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1BD5" w14:textId="77777777" w:rsidR="0059516F" w:rsidRDefault="000D0CDD" w:rsidP="00252FFA">
      <w:pPr>
        <w:pStyle w:val="LID"/>
        <w:spacing w:before="0" w:after="0" w:line="240" w:lineRule="auto"/>
        <w:rPr>
          <w:rFonts w:ascii="Fira Sans Extra Condensed" w:hAnsi="Fira Sans Extra Condensed"/>
          <w:sz w:val="40"/>
          <w:szCs w:val="40"/>
        </w:rPr>
      </w:pPr>
      <w:bookmarkStart w:id="0" w:name="_Hlk207194990"/>
      <w:bookmarkEnd w:id="0"/>
      <w:r>
        <w:rPr>
          <w:rFonts w:ascii="Fira Sans Extra Condensed" w:hAnsi="Fira Sans Extra Condensed"/>
          <w:sz w:val="40"/>
          <w:szCs w:val="40"/>
        </w:rPr>
        <w:t>Osoby młode na rynku pracy</w:t>
      </w:r>
      <w:r w:rsidR="001E45BB">
        <w:rPr>
          <w:rFonts w:ascii="Fira Sans Extra Condensed" w:hAnsi="Fira Sans Extra Condensed"/>
          <w:sz w:val="40"/>
          <w:szCs w:val="40"/>
        </w:rPr>
        <w:t xml:space="preserve"> w 2024 r</w:t>
      </w:r>
      <w:r w:rsidR="0059516F">
        <w:rPr>
          <w:rFonts w:ascii="Fira Sans Extra Condensed" w:hAnsi="Fira Sans Extra Condensed"/>
          <w:sz w:val="40"/>
          <w:szCs w:val="40"/>
        </w:rPr>
        <w:t>.</w:t>
      </w:r>
    </w:p>
    <w:p w14:paraId="600F932B" w14:textId="77777777" w:rsidR="00252FFA" w:rsidRPr="00252FFA" w:rsidRDefault="00252FFA" w:rsidP="00252FFA">
      <w:pPr>
        <w:spacing w:before="0" w:line="240" w:lineRule="auto"/>
        <w:rPr>
          <w:rFonts w:ascii="Fira Sans Extra Condensed" w:hAnsi="Fira Sans Extra Condensed"/>
          <w:b/>
          <w:noProof/>
          <w:sz w:val="40"/>
          <w:szCs w:val="40"/>
          <w:lang w:eastAsia="pl-PL"/>
        </w:rPr>
      </w:pPr>
      <w:r w:rsidRPr="00252FFA">
        <w:rPr>
          <w:rFonts w:ascii="Fira Sans Extra Condensed" w:hAnsi="Fira Sans Extra Condensed"/>
          <w:b/>
          <w:noProof/>
          <w:sz w:val="40"/>
          <w:szCs w:val="40"/>
          <w:lang w:eastAsia="pl-PL"/>
        </w:rPr>
        <w:t>Wyniki badania modułowego</w:t>
      </w:r>
      <w:r>
        <w:rPr>
          <w:rFonts w:ascii="Fira Sans Extra Condensed" w:hAnsi="Fira Sans Extra Condensed"/>
          <w:b/>
          <w:noProof/>
          <w:sz w:val="40"/>
          <w:szCs w:val="40"/>
          <w:lang w:eastAsia="pl-PL"/>
        </w:rPr>
        <w:t xml:space="preserve"> </w:t>
      </w:r>
      <w:r w:rsidRPr="00252FFA">
        <w:rPr>
          <w:rFonts w:ascii="Fira Sans Extra Condensed" w:hAnsi="Fira Sans Extra Condensed"/>
          <w:b/>
          <w:noProof/>
          <w:sz w:val="40"/>
          <w:szCs w:val="40"/>
          <w:lang w:eastAsia="pl-PL"/>
        </w:rPr>
        <w:t>BAEL</w:t>
      </w:r>
      <w:r w:rsidRPr="00252FFA">
        <w:rPr>
          <w:rFonts w:ascii="Fira Sans Extra Condensed" w:hAnsi="Fira Sans Extra Condensed"/>
          <w:b/>
          <w:noProof/>
          <w:sz w:val="40"/>
          <w:szCs w:val="40"/>
          <w:vertAlign w:val="superscript"/>
          <w:lang w:eastAsia="pl-PL"/>
        </w:rPr>
        <w:footnoteReference w:id="1"/>
      </w:r>
      <w:r w:rsidRPr="00252FFA">
        <w:rPr>
          <w:rFonts w:ascii="Fira Sans Extra Condensed" w:hAnsi="Fira Sans Extra Condensed"/>
          <w:b/>
          <w:noProof/>
          <w:sz w:val="40"/>
          <w:szCs w:val="40"/>
          <w:lang w:eastAsia="pl-PL"/>
        </w:rPr>
        <w:tab/>
      </w:r>
    </w:p>
    <w:p w14:paraId="508DBBD3" w14:textId="77777777" w:rsidR="00A847CC" w:rsidRPr="00C263BB" w:rsidRDefault="00252FFA" w:rsidP="00876D7F">
      <w:pPr>
        <w:spacing w:before="0" w:line="260" w:lineRule="exact"/>
        <w:rPr>
          <w:rFonts w:eastAsia="Times New Roman" w:cs="Times New Roman"/>
          <w:b/>
          <w:i/>
          <w:szCs w:val="19"/>
          <w:lang w:eastAsia="pl-PL"/>
        </w:rPr>
      </w:pPr>
      <w:r w:rsidRPr="00C263BB">
        <w:rPr>
          <w:rFonts w:eastAsia="Times New Roman" w:cs="Times New Roman"/>
          <w:b/>
          <w:i/>
          <w:szCs w:val="19"/>
          <w:lang w:eastAsia="pl-PL"/>
        </w:rPr>
        <w:t xml:space="preserve">Badanie modułowe „Osoby młode na rynku pracy” zostało zrealizowane w ramach Badania Aktywności Ekonomicznej Ludności (BAEL) w 2024 r. Modułem objęto osoby w wieku </w:t>
      </w:r>
      <w:r w:rsidR="00E46012">
        <w:rPr>
          <w:rFonts w:eastAsia="Times New Roman" w:cs="Times New Roman"/>
          <w:b/>
          <w:i/>
          <w:szCs w:val="19"/>
          <w:lang w:eastAsia="pl-PL"/>
        </w:rPr>
        <w:br/>
      </w:r>
      <w:r w:rsidRPr="00C263BB">
        <w:rPr>
          <w:rFonts w:eastAsia="Times New Roman" w:cs="Times New Roman"/>
          <w:b/>
          <w:i/>
          <w:szCs w:val="19"/>
          <w:lang w:eastAsia="pl-PL"/>
        </w:rPr>
        <w:t>15-34 lata, a głów</w:t>
      </w:r>
      <w:r w:rsidRPr="00C263BB">
        <w:rPr>
          <w:rFonts w:eastAsia="Times New Roman" w:cs="Times New Roman"/>
          <w:b/>
          <w:i/>
          <w:szCs w:val="19"/>
          <w:lang w:eastAsia="pl-PL"/>
        </w:rPr>
        <w:softHyphen/>
        <w:t>nym celem badania było uzyskanie informacji</w:t>
      </w:r>
      <w:r w:rsidR="0071002E" w:rsidRPr="00C263BB">
        <w:rPr>
          <w:rFonts w:eastAsia="Times New Roman" w:cs="Times New Roman"/>
          <w:b/>
          <w:i/>
          <w:szCs w:val="19"/>
          <w:lang w:eastAsia="pl-PL"/>
        </w:rPr>
        <w:t xml:space="preserve"> </w:t>
      </w:r>
      <w:r w:rsidRPr="00C263BB">
        <w:rPr>
          <w:rFonts w:eastAsia="Times New Roman" w:cs="Times New Roman"/>
          <w:b/>
          <w:i/>
          <w:szCs w:val="19"/>
          <w:lang w:eastAsia="pl-PL"/>
        </w:rPr>
        <w:t>o skali i przyczynach przerywania formalnej edukacji przez osoby młode oraz na jakim poziomie zdobywania edukacji te przerwania miały miejsce. Wyniki badania mogą też służyć ocenie w jakim stopniu wykształce</w:t>
      </w:r>
      <w:r w:rsidRPr="00C263BB">
        <w:rPr>
          <w:rFonts w:eastAsia="Times New Roman" w:cs="Times New Roman"/>
          <w:b/>
          <w:i/>
          <w:szCs w:val="19"/>
          <w:lang w:eastAsia="pl-PL"/>
        </w:rPr>
        <w:softHyphen/>
        <w:t xml:space="preserve">nie (poziom i dziedzina) oraz umiejętności osób młodych były dopasowane do wykonywanej przez te osoby pracy. Ponadto, aby dokładniej poznać ścieżkę edukacji osób z wyższym wykształceniem zapytano je </w:t>
      </w:r>
      <w:r w:rsidR="00746A36" w:rsidRPr="00C263BB">
        <w:rPr>
          <w:rFonts w:eastAsia="Times New Roman" w:cs="Times New Roman"/>
          <w:b/>
          <w:i/>
          <w:szCs w:val="19"/>
          <w:lang w:eastAsia="pl-PL"/>
        </w:rPr>
        <w:t>czy oprócz posiadanego wykształcenia wyższego uzyskały wykształcenie zawodowe na niższym poziomie edukacji.</w:t>
      </w:r>
      <w:r w:rsidR="00746A36" w:rsidRPr="00C263BB" w:rsidDel="00746A36">
        <w:rPr>
          <w:rFonts w:eastAsia="Times New Roman" w:cs="Times New Roman"/>
          <w:b/>
          <w:i/>
          <w:szCs w:val="19"/>
          <w:lang w:eastAsia="pl-PL"/>
        </w:rPr>
        <w:t xml:space="preserve"> </w:t>
      </w:r>
    </w:p>
    <w:p w14:paraId="686B7A5F" w14:textId="0ECD8092" w:rsidR="00252FFA" w:rsidRPr="00252FFA" w:rsidRDefault="00252FFA" w:rsidP="00876D7F">
      <w:pPr>
        <w:spacing w:before="0" w:line="260" w:lineRule="exact"/>
        <w:rPr>
          <w:b/>
          <w:i/>
          <w:sz w:val="18"/>
          <w:szCs w:val="18"/>
        </w:rPr>
      </w:pPr>
      <w:r w:rsidRPr="00C263BB">
        <w:rPr>
          <w:b/>
          <w:i/>
          <w:szCs w:val="19"/>
        </w:rPr>
        <w:t xml:space="preserve">Badanie modułowe było realizowane </w:t>
      </w:r>
      <w:r w:rsidR="007B419C" w:rsidRPr="007B419C">
        <w:rPr>
          <w:b/>
          <w:i/>
          <w:szCs w:val="19"/>
        </w:rPr>
        <w:t>na części próby BAEL</w:t>
      </w:r>
      <w:r w:rsidR="000E7A73">
        <w:rPr>
          <w:b/>
          <w:i/>
          <w:szCs w:val="19"/>
        </w:rPr>
        <w:t xml:space="preserve"> </w:t>
      </w:r>
      <w:r w:rsidRPr="00C263BB">
        <w:rPr>
          <w:b/>
          <w:i/>
          <w:szCs w:val="19"/>
        </w:rPr>
        <w:t xml:space="preserve">przez wszystkie kwartały 2024 r. </w:t>
      </w:r>
      <w:bookmarkStart w:id="1" w:name="_Hlk207560648"/>
      <w:r w:rsidRPr="00C263BB">
        <w:rPr>
          <w:b/>
          <w:i/>
          <w:szCs w:val="19"/>
        </w:rPr>
        <w:t>Przedstawiane poniżej dane stanowią uśrednione wyniki za cały 2024 rok</w:t>
      </w:r>
      <w:r w:rsidRPr="00C263BB">
        <w:rPr>
          <w:i/>
          <w:szCs w:val="19"/>
          <w:vertAlign w:val="superscript"/>
        </w:rPr>
        <w:footnoteReference w:id="2"/>
      </w:r>
      <w:r w:rsidRPr="00C263BB">
        <w:rPr>
          <w:b/>
          <w:i/>
          <w:szCs w:val="19"/>
        </w:rPr>
        <w:t xml:space="preserve">. </w:t>
      </w:r>
      <w:bookmarkEnd w:id="1"/>
      <w:r w:rsidRPr="00C263BB">
        <w:rPr>
          <w:b/>
          <w:i/>
          <w:szCs w:val="19"/>
        </w:rPr>
        <w:t>Podstawą prezentowa</w:t>
      </w:r>
      <w:r w:rsidRPr="00C263BB">
        <w:rPr>
          <w:b/>
          <w:i/>
          <w:szCs w:val="19"/>
        </w:rPr>
        <w:softHyphen/>
        <w:t>nych wyników są odpowiedzi respondentów uzyskane w</w:t>
      </w:r>
      <w:r w:rsidR="000E7A73">
        <w:rPr>
          <w:b/>
          <w:i/>
          <w:szCs w:val="19"/>
        </w:rPr>
        <w:t> </w:t>
      </w:r>
      <w:r w:rsidRPr="00C263BB">
        <w:rPr>
          <w:b/>
          <w:i/>
          <w:szCs w:val="19"/>
        </w:rPr>
        <w:t>trakcie wywiadów prowadzonych przez Ankieterów statystycznych GUS w wylosowanych do badania mieszkaniach.</w:t>
      </w:r>
    </w:p>
    <w:p w14:paraId="7E427DDA" w14:textId="77777777" w:rsidR="00252FFA" w:rsidRPr="00252FFA" w:rsidRDefault="00252FFA" w:rsidP="00252FFA">
      <w:pPr>
        <w:rPr>
          <w:lang w:eastAsia="pl-PL"/>
        </w:rPr>
      </w:pPr>
      <w:r w:rsidRPr="00252FFA">
        <w:rPr>
          <w:noProof/>
          <w:color w:val="001D77"/>
          <w:lang w:eastAsia="pl-PL"/>
        </w:rPr>
        <mc:AlternateContent>
          <mc:Choice Requires="wps">
            <w:drawing>
              <wp:anchor distT="45720" distB="45720" distL="114300" distR="114300" simplePos="0" relativeHeight="252043264" behindDoc="0" locked="0" layoutInCell="1" allowOverlap="1" wp14:anchorId="0E53B2E7" wp14:editId="7689B6A0">
                <wp:simplePos x="0" y="0"/>
                <wp:positionH relativeFrom="margin">
                  <wp:align>left</wp:align>
                </wp:positionH>
                <wp:positionV relativeFrom="paragraph">
                  <wp:posOffset>82550</wp:posOffset>
                </wp:positionV>
                <wp:extent cx="2004060" cy="1234440"/>
                <wp:effectExtent l="0" t="0" r="0" b="3810"/>
                <wp:wrapSquare wrapText="bothSides"/>
                <wp:docPr id="7" name="Pole tekstowe 7" descr="Wskaźnik zatrudnienia osób w wieku 15-34 lat - 59,8%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234440"/>
                        </a:xfrm>
                        <a:prstGeom prst="roundRect">
                          <a:avLst/>
                        </a:prstGeom>
                        <a:solidFill>
                          <a:srgbClr val="001D77"/>
                        </a:solidFill>
                        <a:ln w="9525">
                          <a:noFill/>
                          <a:miter lim="800000"/>
                          <a:headEnd/>
                          <a:tailEnd/>
                        </a:ln>
                      </wps:spPr>
                      <wps:txbx>
                        <w:txbxContent>
                          <w:p w14:paraId="07782710" w14:textId="77777777" w:rsidR="00352C44" w:rsidRPr="003F07AD" w:rsidRDefault="00352C44" w:rsidP="00C263BB">
                            <w:pPr>
                              <w:spacing w:after="0" w:line="240" w:lineRule="auto"/>
                              <w:jc w:val="center"/>
                              <w:rPr>
                                <w:rFonts w:ascii="Fira Sans SemiBold" w:hAnsi="Fira Sans SemiBold"/>
                                <w:color w:val="FFFFFF" w:themeColor="background1"/>
                                <w:sz w:val="72"/>
                              </w:rPr>
                            </w:pPr>
                            <w:r w:rsidRPr="003F07AD">
                              <w:rPr>
                                <w:rFonts w:ascii="Fira Sans SemiBold" w:hAnsi="Fira Sans SemiBold"/>
                                <w:color w:val="FFFFFF" w:themeColor="background1"/>
                                <w:sz w:val="72"/>
                                <w:szCs w:val="72"/>
                              </w:rPr>
                              <w:t>59,8%</w:t>
                            </w:r>
                          </w:p>
                          <w:p w14:paraId="277F3D79" w14:textId="77777777" w:rsidR="00352C44" w:rsidRDefault="00352C44" w:rsidP="00252FFA">
                            <w:pPr>
                              <w:pStyle w:val="tekstnaniebieskimtle"/>
                              <w:jc w:val="center"/>
                            </w:pPr>
                            <w:r w:rsidRPr="00EE2052">
                              <w:t>Ws</w:t>
                            </w:r>
                            <w:r>
                              <w:t>k</w:t>
                            </w:r>
                            <w:r w:rsidRPr="00EE2052">
                              <w:t>a</w:t>
                            </w:r>
                            <w:r>
                              <w:t>źnik</w:t>
                            </w:r>
                            <w:r w:rsidRPr="00EE2052">
                              <w:t xml:space="preserve"> za</w:t>
                            </w:r>
                            <w:r>
                              <w:t>trudnienia</w:t>
                            </w:r>
                          </w:p>
                          <w:p w14:paraId="57660852" w14:textId="77777777" w:rsidR="00352C44" w:rsidRPr="001F49E2" w:rsidRDefault="00352C44" w:rsidP="00252FFA">
                            <w:pPr>
                              <w:pStyle w:val="tekstnaniebieskimtle"/>
                              <w:jc w:val="center"/>
                              <w:rPr>
                                <w:color w:val="FFFFFF" w:themeColor="background1"/>
                                <w:sz w:val="18"/>
                                <w:szCs w:val="20"/>
                              </w:rPr>
                            </w:pPr>
                            <w:r>
                              <w:t xml:space="preserve">osób w wieku 15-34 lata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E53B2E7" id="Pole tekstowe 7" o:spid="_x0000_s1026" alt="Wskaźnik zatrudnienia osób w wieku 15-34 lat - 59,8% &#10;" style="position:absolute;margin-left:0;margin-top:6.5pt;width:157.8pt;height:97.2pt;z-index:252043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" fillcolor="#001d77" stroked="f">
                <v:stroke joinstyle="miter"/>
                <v:textbox>
                  <w:txbxContent>
                    <w:p w14:paraId="07782710" w14:textId="77777777" w:rsidR="00352C44" w:rsidRPr="003F07AD" w:rsidRDefault="00352C44" w:rsidP="00C263BB">
                      <w:pPr>
                        <w:spacing w:after="0" w:line="240" w:lineRule="auto"/>
                        <w:jc w:val="center"/>
                        <w:rPr>
                          <w:rFonts w:ascii="Fira Sans SemiBold" w:hAnsi="Fira Sans SemiBold"/>
                          <w:color w:val="FFFFFF" w:themeColor="background1"/>
                          <w:sz w:val="72"/>
                        </w:rPr>
                      </w:pPr>
                      <w:r w:rsidRPr="003F07AD">
                        <w:rPr>
                          <w:rFonts w:ascii="Fira Sans SemiBold" w:hAnsi="Fira Sans SemiBold"/>
                          <w:color w:val="FFFFFF" w:themeColor="background1"/>
                          <w:sz w:val="72"/>
                          <w:szCs w:val="72"/>
                        </w:rPr>
                        <w:t>59,8%</w:t>
                      </w:r>
                    </w:p>
                    <w:p w14:paraId="277F3D79" w14:textId="77777777" w:rsidR="00352C44" w:rsidRDefault="00352C44" w:rsidP="00252FFA">
                      <w:pPr>
                        <w:pStyle w:val="tekstnaniebieskimtle"/>
                        <w:jc w:val="center"/>
                      </w:pPr>
                      <w:r w:rsidRPr="00EE2052">
                        <w:t>Ws</w:t>
                      </w:r>
                      <w:r>
                        <w:t>k</w:t>
                      </w:r>
                      <w:r w:rsidRPr="00EE2052">
                        <w:t>a</w:t>
                      </w:r>
                      <w:r>
                        <w:t>źnik</w:t>
                      </w:r>
                      <w:r w:rsidRPr="00EE2052">
                        <w:t xml:space="preserve"> za</w:t>
                      </w:r>
                      <w:r>
                        <w:t>trudnienia</w:t>
                      </w:r>
                    </w:p>
                    <w:p w14:paraId="57660852" w14:textId="77777777" w:rsidR="00352C44" w:rsidRPr="001F49E2" w:rsidRDefault="00352C44" w:rsidP="00252FFA">
                      <w:pPr>
                        <w:pStyle w:val="tekstnaniebieskimtle"/>
                        <w:jc w:val="center"/>
                        <w:rPr>
                          <w:color w:val="FFFFFF" w:themeColor="background1"/>
                          <w:sz w:val="18"/>
                          <w:szCs w:val="20"/>
                        </w:rPr>
                      </w:pPr>
                      <w:r>
                        <w:t xml:space="preserve">osób w wieku 15-34 lata </w:t>
                      </w:r>
                    </w:p>
                  </w:txbxContent>
                </v:textbox>
                <w10:wrap type="square" anchorx="margin"/>
              </v:roundrect>
            </w:pict>
          </mc:Fallback>
        </mc:AlternateContent>
      </w:r>
    </w:p>
    <w:p w14:paraId="57E31140" w14:textId="77777777" w:rsidR="00252FFA" w:rsidRPr="00252FFA" w:rsidRDefault="00252FFA" w:rsidP="00252FFA">
      <w:pPr>
        <w:spacing w:before="0" w:after="0" w:line="252" w:lineRule="auto"/>
        <w:rPr>
          <w:bCs/>
        </w:rPr>
      </w:pPr>
    </w:p>
    <w:p w14:paraId="3D19A43C" w14:textId="77777777" w:rsidR="00252FFA" w:rsidRPr="00252FFA" w:rsidRDefault="00252FFA" w:rsidP="00252FFA">
      <w:pPr>
        <w:spacing w:before="0" w:after="0" w:line="252" w:lineRule="auto"/>
        <w:rPr>
          <w:b/>
          <w:szCs w:val="19"/>
        </w:rPr>
      </w:pPr>
      <w:r w:rsidRPr="00252FFA">
        <w:rPr>
          <w:b/>
        </w:rPr>
        <w:t>Osoby pracujące</w:t>
      </w:r>
      <w:r w:rsidR="005017A0">
        <w:rPr>
          <w:b/>
        </w:rPr>
        <w:t xml:space="preserve"> </w:t>
      </w:r>
      <w:r w:rsidR="005017A0" w:rsidRPr="0058196A">
        <w:rPr>
          <w:b/>
        </w:rPr>
        <w:t>w</w:t>
      </w:r>
      <w:r w:rsidRPr="00252FFA">
        <w:rPr>
          <w:b/>
        </w:rPr>
        <w:t xml:space="preserve"> wieku 15-34 lata stanowiły w</w:t>
      </w:r>
      <w:r w:rsidR="008159CA">
        <w:rPr>
          <w:b/>
        </w:rPr>
        <w:t> </w:t>
      </w:r>
      <w:r w:rsidRPr="00252FFA">
        <w:rPr>
          <w:b/>
        </w:rPr>
        <w:t>2024</w:t>
      </w:r>
      <w:r w:rsidR="008159CA">
        <w:rPr>
          <w:b/>
        </w:rPr>
        <w:t> </w:t>
      </w:r>
      <w:r w:rsidRPr="00252FFA">
        <w:rPr>
          <w:b/>
        </w:rPr>
        <w:t>r. 59,8% ogółu ludności w tej grupie wieku, wskaźnik zatrudnienia dla osób młodych był zatem wyższy (o</w:t>
      </w:r>
      <w:r w:rsidR="00BF2B61">
        <w:rPr>
          <w:b/>
        </w:rPr>
        <w:t> 3,0</w:t>
      </w:r>
      <w:r w:rsidRPr="00252FFA">
        <w:rPr>
          <w:b/>
        </w:rPr>
        <w:t xml:space="preserve"> p. proc.) od notowanego dla całej badanej populacji osób w wieku 15-89 lat</w:t>
      </w:r>
      <w:r w:rsidRPr="00252FFA" w:rsidDel="00C243DC">
        <w:rPr>
          <w:b/>
        </w:rPr>
        <w:t xml:space="preserve"> </w:t>
      </w:r>
      <w:r w:rsidRPr="00252FFA">
        <w:rPr>
          <w:b/>
        </w:rPr>
        <w:t>(5</w:t>
      </w:r>
      <w:r w:rsidR="00BF2B61">
        <w:rPr>
          <w:b/>
        </w:rPr>
        <w:t>6,8</w:t>
      </w:r>
      <w:r w:rsidRPr="00252FFA">
        <w:rPr>
          <w:b/>
        </w:rPr>
        <w:t>%).</w:t>
      </w:r>
    </w:p>
    <w:p w14:paraId="1BBE5F6D" w14:textId="77777777" w:rsidR="00252FFA" w:rsidRPr="00252FFA" w:rsidRDefault="00252FFA" w:rsidP="00832DAD">
      <w:pPr>
        <w:spacing w:line="288" w:lineRule="auto"/>
        <w:rPr>
          <w:szCs w:val="19"/>
        </w:rPr>
      </w:pPr>
    </w:p>
    <w:p w14:paraId="715F92F7" w14:textId="77777777" w:rsidR="00252FFA" w:rsidRPr="00252FFA" w:rsidRDefault="00252FFA" w:rsidP="00252FFA">
      <w:pPr>
        <w:keepNext/>
        <w:spacing w:before="0" w:line="240" w:lineRule="auto"/>
        <w:outlineLvl w:val="0"/>
        <w:rPr>
          <w:rFonts w:eastAsia="Times New Roman" w:cs="Times New Roman"/>
          <w:b/>
          <w:bCs/>
          <w:color w:val="001D77"/>
          <w:szCs w:val="19"/>
          <w:lang w:eastAsia="pl-PL"/>
        </w:rPr>
      </w:pPr>
      <w:r w:rsidRPr="00252FFA">
        <w:rPr>
          <w:rFonts w:eastAsia="Times New Roman" w:cs="Times New Roman"/>
          <w:b/>
          <w:bCs/>
          <w:color w:val="001D77"/>
          <w:szCs w:val="19"/>
          <w:lang w:eastAsia="pl-PL"/>
        </w:rPr>
        <w:t xml:space="preserve">Aktywność ekonomiczna osób w wieku 15-34 </w:t>
      </w:r>
      <w:r w:rsidRPr="00A46FC2">
        <w:rPr>
          <w:rFonts w:eastAsia="Times New Roman" w:cs="Times New Roman"/>
          <w:b/>
          <w:bCs/>
          <w:color w:val="001D77"/>
          <w:szCs w:val="19"/>
          <w:lang w:eastAsia="pl-PL"/>
        </w:rPr>
        <w:t xml:space="preserve">lata </w:t>
      </w:r>
      <w:r w:rsidRPr="00A27417">
        <w:rPr>
          <w:rFonts w:eastAsia="Times New Roman" w:cs="Times New Roman"/>
          <w:b/>
          <w:bCs/>
          <w:color w:val="001D77"/>
          <w:szCs w:val="19"/>
          <w:lang w:eastAsia="pl-PL"/>
        </w:rPr>
        <w:t>i łączenie aktywności zawodowej z nauką</w:t>
      </w:r>
    </w:p>
    <w:p w14:paraId="7A95FAAC" w14:textId="7206A78B" w:rsidR="00252FFA" w:rsidRPr="00252FFA" w:rsidRDefault="00252FFA" w:rsidP="00252FFA">
      <w:pPr>
        <w:spacing w:line="288" w:lineRule="auto"/>
        <w:rPr>
          <w:szCs w:val="19"/>
        </w:rPr>
      </w:pPr>
      <w:r w:rsidRPr="00252FFA">
        <w:rPr>
          <w:szCs w:val="19"/>
        </w:rPr>
        <w:t xml:space="preserve">W celu pełniejszej charakterystyki osób w wieku 15-34 lata warto na wstępie spojrzeć na aktywność ekonomiczną tej grupy, ustaloną w podstawowym badaniu BAEL. Jej liczebność w 2024 r. wyniosła 7 902 tys., z czego 4 722 tys. stanowiły osoby pracujące, 253 tys. – bezrobotne, a 2 927 tys. – bierne zawodowo. </w:t>
      </w:r>
    </w:p>
    <w:p w14:paraId="66BE9CE1" w14:textId="77777777" w:rsidR="00252FFA" w:rsidRDefault="00413C47" w:rsidP="00832DAD">
      <w:pPr>
        <w:spacing w:before="240" w:after="0" w:line="240" w:lineRule="auto"/>
        <w:rPr>
          <w:b/>
          <w:szCs w:val="19"/>
        </w:rPr>
      </w:pPr>
      <w:bookmarkStart w:id="2" w:name="_Hlk207270908"/>
      <w:r w:rsidRPr="00252FFA">
        <w:rPr>
          <w:noProof/>
          <w:lang w:eastAsia="pl-PL"/>
        </w:rPr>
        <mc:AlternateContent>
          <mc:Choice Requires="wps">
            <w:drawing>
              <wp:anchor distT="0" distB="0" distL="114300" distR="114300" simplePos="0" relativeHeight="252044288" behindDoc="0" locked="0" layoutInCell="1" allowOverlap="1" wp14:anchorId="5BC068DA" wp14:editId="0548F99C">
                <wp:simplePos x="0" y="0"/>
                <wp:positionH relativeFrom="page">
                  <wp:posOffset>5755005</wp:posOffset>
                </wp:positionH>
                <wp:positionV relativeFrom="paragraph">
                  <wp:posOffset>85725</wp:posOffset>
                </wp:positionV>
                <wp:extent cx="1736808" cy="1144988"/>
                <wp:effectExtent l="0" t="0" r="0" b="0"/>
                <wp:wrapNone/>
                <wp:docPr id="16" name="Pole tekstowe 16" descr="W 2024 r. odsetek osób aktywnych zawodowo wśród osób w wieku 15-34 wyniósł 63,0%. Stopa bezrobocia w tej grupie wieku wyniosła 5,1%"/>
                <wp:cNvGraphicFramePr/>
                <a:graphic xmlns:a="http://schemas.openxmlformats.org/drawingml/2006/main">
                  <a:graphicData uri="http://schemas.microsoft.com/office/word/2010/wordprocessingShape">
                    <wps:wsp>
                      <wps:cNvSpPr txBox="1"/>
                      <wps:spPr>
                        <a:xfrm>
                          <a:off x="0" y="0"/>
                          <a:ext cx="1736808" cy="1144988"/>
                        </a:xfrm>
                        <a:prstGeom prst="rect">
                          <a:avLst/>
                        </a:prstGeom>
                        <a:noFill/>
                        <a:ln w="6350">
                          <a:noFill/>
                        </a:ln>
                      </wps:spPr>
                      <wps:txbx>
                        <w:txbxContent>
                          <w:p w14:paraId="1DE0DE99" w14:textId="77777777" w:rsidR="00352C44" w:rsidRPr="00DA008C" w:rsidRDefault="00352C44" w:rsidP="00252FFA">
                            <w:pPr>
                              <w:rPr>
                                <w:color w:val="001D77"/>
                                <w:sz w:val="18"/>
                                <w:szCs w:val="18"/>
                              </w:rPr>
                            </w:pPr>
                            <w:r>
                              <w:rPr>
                                <w:color w:val="001D77"/>
                                <w:sz w:val="18"/>
                                <w:szCs w:val="18"/>
                              </w:rPr>
                              <w:t>W 2024 r. o</w:t>
                            </w:r>
                            <w:r w:rsidRPr="00DA008C">
                              <w:rPr>
                                <w:color w:val="001D77"/>
                                <w:sz w:val="18"/>
                                <w:szCs w:val="18"/>
                              </w:rPr>
                              <w:t>dsetek osób aktywnych zawodowo wśród osób w </w:t>
                            </w:r>
                            <w:r w:rsidRPr="00255E96">
                              <w:rPr>
                                <w:color w:val="001D77"/>
                                <w:sz w:val="18"/>
                                <w:szCs w:val="18"/>
                              </w:rPr>
                              <w:t>wieku</w:t>
                            </w:r>
                            <w:r w:rsidRPr="00DA008C">
                              <w:rPr>
                                <w:color w:val="001D77"/>
                                <w:sz w:val="18"/>
                                <w:szCs w:val="18"/>
                              </w:rPr>
                              <w:t xml:space="preserve"> 15-34 wyniósł 63</w:t>
                            </w:r>
                            <w:r>
                              <w:rPr>
                                <w:color w:val="001D77"/>
                                <w:sz w:val="18"/>
                                <w:szCs w:val="18"/>
                              </w:rPr>
                              <w:t>,0</w:t>
                            </w:r>
                            <w:r w:rsidRPr="00DA008C">
                              <w:rPr>
                                <w:color w:val="001D77"/>
                                <w:sz w:val="18"/>
                                <w:szCs w:val="18"/>
                              </w:rPr>
                              <w:t xml:space="preserve">%. Stopa bezrobocia w tej grupie wieku </w:t>
                            </w:r>
                            <w:r w:rsidRPr="0058196A">
                              <w:rPr>
                                <w:color w:val="001D77"/>
                                <w:sz w:val="18"/>
                                <w:szCs w:val="18"/>
                              </w:rPr>
                              <w:t>wyniosła</w:t>
                            </w:r>
                            <w:r w:rsidRPr="00DA008C">
                              <w:rPr>
                                <w:color w:val="001D77"/>
                                <w:sz w:val="18"/>
                                <w:szCs w:val="18"/>
                              </w:rPr>
                              <w:t xml:space="preserve"> 5,1%</w:t>
                            </w:r>
                          </w:p>
                          <w:p w14:paraId="56C84689" w14:textId="77777777" w:rsidR="00352C44" w:rsidRDefault="00352C44" w:rsidP="00252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068DA" id="_x0000_t202" coordsize="21600,21600" o:spt="202" path="m,l,21600r21600,l21600,xe">
                <v:stroke joinstyle="miter"/>
                <v:path gradientshapeok="t" o:connecttype="rect"/>
              </v:shapetype>
              <v:shape id="Pole tekstowe 16" o:spid="_x0000_s1027" type="#_x0000_t202" alt="W 2024 r. odsetek osób aktywnych zawodowo wśród osób w wieku 15-34 wyniósł 63,0%. Stopa bezrobocia w tej grupie wieku wyniosła 5,1%" style="position:absolute;margin-left:453.15pt;margin-top:6.75pt;width:136.75pt;height:90.15pt;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" filled="f" stroked="f" strokeweight=".5pt">
                <v:textbox>
                  <w:txbxContent>
                    <w:p w14:paraId="1DE0DE99" w14:textId="77777777" w:rsidR="00352C44" w:rsidRPr="00DA008C" w:rsidRDefault="00352C44" w:rsidP="00252FFA">
                      <w:pPr>
                        <w:rPr>
                          <w:color w:val="001D77"/>
                          <w:sz w:val="18"/>
                          <w:szCs w:val="18"/>
                        </w:rPr>
                      </w:pPr>
                      <w:r>
                        <w:rPr>
                          <w:color w:val="001D77"/>
                          <w:sz w:val="18"/>
                          <w:szCs w:val="18"/>
                        </w:rPr>
                        <w:t>W 2024 r. o</w:t>
                      </w:r>
                      <w:r w:rsidRPr="00DA008C">
                        <w:rPr>
                          <w:color w:val="001D77"/>
                          <w:sz w:val="18"/>
                          <w:szCs w:val="18"/>
                        </w:rPr>
                        <w:t>dsetek osób aktywnych zawodowo wśród osób w </w:t>
                      </w:r>
                      <w:r w:rsidRPr="00255E96">
                        <w:rPr>
                          <w:color w:val="001D77"/>
                          <w:sz w:val="18"/>
                          <w:szCs w:val="18"/>
                        </w:rPr>
                        <w:t>wieku</w:t>
                      </w:r>
                      <w:r w:rsidRPr="00DA008C">
                        <w:rPr>
                          <w:color w:val="001D77"/>
                          <w:sz w:val="18"/>
                          <w:szCs w:val="18"/>
                        </w:rPr>
                        <w:t xml:space="preserve"> 15-34 wyniósł 63</w:t>
                      </w:r>
                      <w:r>
                        <w:rPr>
                          <w:color w:val="001D77"/>
                          <w:sz w:val="18"/>
                          <w:szCs w:val="18"/>
                        </w:rPr>
                        <w:t>,0</w:t>
                      </w:r>
                      <w:r w:rsidRPr="00DA008C">
                        <w:rPr>
                          <w:color w:val="001D77"/>
                          <w:sz w:val="18"/>
                          <w:szCs w:val="18"/>
                        </w:rPr>
                        <w:t xml:space="preserve">%. Stopa bezrobocia w tej grupie wieku </w:t>
                      </w:r>
                      <w:r w:rsidRPr="0058196A">
                        <w:rPr>
                          <w:color w:val="001D77"/>
                          <w:sz w:val="18"/>
                          <w:szCs w:val="18"/>
                        </w:rPr>
                        <w:t>wyniosła</w:t>
                      </w:r>
                      <w:r w:rsidRPr="00DA008C">
                        <w:rPr>
                          <w:color w:val="001D77"/>
                          <w:sz w:val="18"/>
                          <w:szCs w:val="18"/>
                        </w:rPr>
                        <w:t xml:space="preserve"> 5,1%</w:t>
                      </w:r>
                    </w:p>
                    <w:p w14:paraId="56C84689" w14:textId="77777777" w:rsidR="00352C44" w:rsidRDefault="00352C44" w:rsidP="00252FFA"/>
                  </w:txbxContent>
                </v:textbox>
                <w10:wrap anchorx="page"/>
              </v:shape>
            </w:pict>
          </mc:Fallback>
        </mc:AlternateContent>
      </w:r>
      <w:r w:rsidR="00252FFA" w:rsidRPr="00252FFA">
        <w:rPr>
          <w:b/>
          <w:szCs w:val="19"/>
        </w:rPr>
        <w:t xml:space="preserve">Tablica </w:t>
      </w:r>
      <w:bookmarkEnd w:id="2"/>
      <w:r w:rsidR="00252FFA" w:rsidRPr="00252FFA">
        <w:rPr>
          <w:b/>
          <w:szCs w:val="19"/>
        </w:rPr>
        <w:t>1. Aktywność ekonomiczna osób młodych według wieku</w:t>
      </w:r>
    </w:p>
    <w:tbl>
      <w:tblPr>
        <w:tblStyle w:val="Tabela-Siatka"/>
        <w:tblpPr w:leftFromText="141" w:rightFromText="141" w:vertAnchor="text" w:horzAnchor="margin" w:tblpY="51"/>
        <w:tblW w:w="0" w:type="auto"/>
        <w:tblBorders>
          <w:top w:val="single" w:sz="4" w:space="0" w:color="001D77"/>
          <w:left w:val="none" w:sz="0" w:space="0" w:color="auto"/>
          <w:bottom w:val="single" w:sz="4" w:space="0" w:color="001D77"/>
          <w:right w:val="none" w:sz="0" w:space="0" w:color="auto"/>
          <w:insideH w:val="single" w:sz="4" w:space="0" w:color="001D77"/>
          <w:insideV w:val="single" w:sz="4" w:space="0" w:color="001D77"/>
        </w:tblBorders>
        <w:tblLayout w:type="fixed"/>
        <w:tblLook w:val="04A0" w:firstRow="1" w:lastRow="0" w:firstColumn="1" w:lastColumn="0" w:noHBand="0" w:noVBand="1"/>
      </w:tblPr>
      <w:tblGrid>
        <w:gridCol w:w="851"/>
        <w:gridCol w:w="682"/>
        <w:gridCol w:w="594"/>
        <w:gridCol w:w="850"/>
        <w:gridCol w:w="851"/>
        <w:gridCol w:w="992"/>
        <w:gridCol w:w="1134"/>
        <w:gridCol w:w="992"/>
        <w:gridCol w:w="992"/>
      </w:tblGrid>
      <w:tr w:rsidR="00832DAD" w:rsidRPr="007158C1" w14:paraId="614F3CB6" w14:textId="77777777" w:rsidTr="00832DAD">
        <w:trPr>
          <w:trHeight w:val="261"/>
        </w:trPr>
        <w:tc>
          <w:tcPr>
            <w:tcW w:w="851" w:type="dxa"/>
            <w:vMerge w:val="restart"/>
            <w:vAlign w:val="center"/>
          </w:tcPr>
          <w:p w14:paraId="39956271" w14:textId="77777777" w:rsidR="00832DAD" w:rsidRPr="007158C1" w:rsidRDefault="00832DAD" w:rsidP="00832DAD">
            <w:pPr>
              <w:spacing w:before="0" w:after="0"/>
              <w:jc w:val="center"/>
              <w:rPr>
                <w:rFonts w:cs="Arial"/>
                <w:sz w:val="16"/>
                <w:szCs w:val="16"/>
              </w:rPr>
            </w:pPr>
            <w:bookmarkStart w:id="3" w:name="_Hlk207194691"/>
            <w:r w:rsidRPr="007158C1">
              <w:rPr>
                <w:rFonts w:cs="Arial"/>
                <w:sz w:val="16"/>
                <w:szCs w:val="16"/>
              </w:rPr>
              <w:t>Wiek</w:t>
            </w:r>
          </w:p>
        </w:tc>
        <w:tc>
          <w:tcPr>
            <w:tcW w:w="682" w:type="dxa"/>
            <w:vMerge w:val="restart"/>
            <w:vAlign w:val="center"/>
          </w:tcPr>
          <w:p w14:paraId="32EE68CF" w14:textId="77777777" w:rsidR="00832DAD" w:rsidRPr="007158C1" w:rsidRDefault="00832DAD" w:rsidP="00A704C1">
            <w:pPr>
              <w:spacing w:before="0" w:after="0"/>
              <w:ind w:left="-110" w:right="-133"/>
              <w:jc w:val="center"/>
              <w:rPr>
                <w:rFonts w:cs="Arial"/>
                <w:sz w:val="16"/>
                <w:szCs w:val="16"/>
              </w:rPr>
            </w:pPr>
            <w:r w:rsidRPr="007158C1">
              <w:rPr>
                <w:rFonts w:cs="Arial"/>
                <w:sz w:val="16"/>
                <w:szCs w:val="16"/>
              </w:rPr>
              <w:t>Ogółem</w:t>
            </w:r>
          </w:p>
        </w:tc>
        <w:tc>
          <w:tcPr>
            <w:tcW w:w="2295" w:type="dxa"/>
            <w:gridSpan w:val="3"/>
            <w:vAlign w:val="center"/>
          </w:tcPr>
          <w:p w14:paraId="7F37AC48" w14:textId="77777777" w:rsidR="00832DAD" w:rsidRPr="007158C1" w:rsidRDefault="00832DAD" w:rsidP="00832DAD">
            <w:pPr>
              <w:spacing w:before="0" w:after="0"/>
              <w:jc w:val="center"/>
              <w:rPr>
                <w:rFonts w:cs="Arial"/>
                <w:sz w:val="16"/>
                <w:szCs w:val="16"/>
              </w:rPr>
            </w:pPr>
            <w:r w:rsidRPr="007158C1">
              <w:rPr>
                <w:rFonts w:cs="Arial"/>
                <w:sz w:val="16"/>
                <w:szCs w:val="16"/>
              </w:rPr>
              <w:t>Aktywni zawodowo</w:t>
            </w:r>
          </w:p>
        </w:tc>
        <w:tc>
          <w:tcPr>
            <w:tcW w:w="992" w:type="dxa"/>
            <w:vMerge w:val="restart"/>
            <w:vAlign w:val="center"/>
          </w:tcPr>
          <w:p w14:paraId="15D93341" w14:textId="77777777" w:rsidR="00832DAD" w:rsidRPr="007158C1" w:rsidRDefault="00832DAD" w:rsidP="00832DAD">
            <w:pPr>
              <w:spacing w:before="0" w:after="0"/>
              <w:ind w:left="-107" w:right="-109"/>
              <w:jc w:val="center"/>
              <w:rPr>
                <w:rFonts w:cs="Arial"/>
                <w:sz w:val="16"/>
                <w:szCs w:val="16"/>
              </w:rPr>
            </w:pPr>
            <w:r w:rsidRPr="007158C1">
              <w:rPr>
                <w:rFonts w:cs="Arial"/>
                <w:sz w:val="16"/>
                <w:szCs w:val="16"/>
              </w:rPr>
              <w:t>Bierni zawodowo</w:t>
            </w:r>
          </w:p>
        </w:tc>
        <w:tc>
          <w:tcPr>
            <w:tcW w:w="1134" w:type="dxa"/>
            <w:vMerge w:val="restart"/>
            <w:vAlign w:val="center"/>
          </w:tcPr>
          <w:p w14:paraId="48900A12" w14:textId="77777777" w:rsidR="00832DAD" w:rsidRPr="007158C1" w:rsidRDefault="00832DAD" w:rsidP="00A704C1">
            <w:pPr>
              <w:spacing w:before="0" w:after="0"/>
              <w:ind w:left="-105" w:right="-107"/>
              <w:jc w:val="center"/>
              <w:rPr>
                <w:rFonts w:cs="Arial"/>
                <w:sz w:val="16"/>
                <w:szCs w:val="16"/>
              </w:rPr>
            </w:pPr>
            <w:r w:rsidRPr="007158C1">
              <w:rPr>
                <w:rFonts w:cs="Arial"/>
                <w:sz w:val="16"/>
                <w:szCs w:val="16"/>
              </w:rPr>
              <w:t>Współczynnik aktywności zawodowej</w:t>
            </w:r>
          </w:p>
        </w:tc>
        <w:tc>
          <w:tcPr>
            <w:tcW w:w="992" w:type="dxa"/>
            <w:vMerge w:val="restart"/>
            <w:vAlign w:val="center"/>
          </w:tcPr>
          <w:p w14:paraId="58DF3CFD" w14:textId="77777777" w:rsidR="00832DAD" w:rsidRPr="007158C1" w:rsidRDefault="00832DAD" w:rsidP="00832DAD">
            <w:pPr>
              <w:spacing w:before="0" w:after="0"/>
              <w:ind w:left="-104" w:right="-95"/>
              <w:jc w:val="center"/>
              <w:rPr>
                <w:rFonts w:cs="Arial"/>
                <w:sz w:val="16"/>
                <w:szCs w:val="16"/>
              </w:rPr>
            </w:pPr>
            <w:r w:rsidRPr="007158C1">
              <w:rPr>
                <w:rFonts w:cs="Arial"/>
                <w:sz w:val="16"/>
                <w:szCs w:val="16"/>
              </w:rPr>
              <w:t>Wskaźnik zatrudnienia</w:t>
            </w:r>
          </w:p>
        </w:tc>
        <w:tc>
          <w:tcPr>
            <w:tcW w:w="992" w:type="dxa"/>
            <w:vMerge w:val="restart"/>
            <w:vAlign w:val="center"/>
          </w:tcPr>
          <w:p w14:paraId="073397B2" w14:textId="77777777" w:rsidR="00832DAD" w:rsidRPr="007158C1" w:rsidRDefault="00832DAD" w:rsidP="00832DAD">
            <w:pPr>
              <w:spacing w:before="0" w:after="0"/>
              <w:ind w:left="-110" w:right="-124"/>
              <w:jc w:val="center"/>
              <w:rPr>
                <w:rFonts w:cs="Arial"/>
                <w:sz w:val="16"/>
                <w:szCs w:val="16"/>
              </w:rPr>
            </w:pPr>
            <w:r w:rsidRPr="007158C1">
              <w:rPr>
                <w:rFonts w:cs="Arial"/>
                <w:sz w:val="16"/>
                <w:szCs w:val="16"/>
              </w:rPr>
              <w:t>Stopa bezrobocia</w:t>
            </w:r>
          </w:p>
        </w:tc>
      </w:tr>
      <w:tr w:rsidR="00832DAD" w:rsidRPr="007158C1" w14:paraId="0BDC05BC" w14:textId="77777777" w:rsidTr="00832DAD">
        <w:trPr>
          <w:trHeight w:val="406"/>
        </w:trPr>
        <w:tc>
          <w:tcPr>
            <w:tcW w:w="851" w:type="dxa"/>
            <w:vMerge/>
            <w:vAlign w:val="center"/>
          </w:tcPr>
          <w:p w14:paraId="37D90309" w14:textId="77777777" w:rsidR="00832DAD" w:rsidRPr="007158C1" w:rsidRDefault="00832DAD" w:rsidP="00832DAD">
            <w:pPr>
              <w:spacing w:before="0" w:after="0"/>
              <w:jc w:val="center"/>
              <w:rPr>
                <w:rFonts w:cs="Arial"/>
                <w:sz w:val="16"/>
                <w:szCs w:val="16"/>
              </w:rPr>
            </w:pPr>
          </w:p>
        </w:tc>
        <w:tc>
          <w:tcPr>
            <w:tcW w:w="682" w:type="dxa"/>
            <w:vMerge/>
            <w:vAlign w:val="center"/>
          </w:tcPr>
          <w:p w14:paraId="1B563FD9" w14:textId="77777777" w:rsidR="00832DAD" w:rsidRPr="007158C1" w:rsidRDefault="00832DAD" w:rsidP="00832DAD">
            <w:pPr>
              <w:spacing w:before="0" w:after="0"/>
              <w:jc w:val="center"/>
              <w:rPr>
                <w:rFonts w:cs="Arial"/>
                <w:sz w:val="16"/>
                <w:szCs w:val="16"/>
              </w:rPr>
            </w:pPr>
          </w:p>
        </w:tc>
        <w:tc>
          <w:tcPr>
            <w:tcW w:w="594" w:type="dxa"/>
            <w:vAlign w:val="center"/>
          </w:tcPr>
          <w:p w14:paraId="56DC178F" w14:textId="77777777" w:rsidR="00832DAD" w:rsidRPr="007158C1" w:rsidRDefault="00832DAD" w:rsidP="00832DAD">
            <w:pPr>
              <w:spacing w:before="0" w:after="0"/>
              <w:ind w:left="-79" w:right="-108"/>
              <w:jc w:val="center"/>
              <w:rPr>
                <w:rFonts w:cs="Arial"/>
                <w:sz w:val="16"/>
                <w:szCs w:val="16"/>
              </w:rPr>
            </w:pPr>
            <w:r w:rsidRPr="007158C1">
              <w:rPr>
                <w:rFonts w:cs="Arial"/>
                <w:sz w:val="16"/>
                <w:szCs w:val="16"/>
              </w:rPr>
              <w:t>razem</w:t>
            </w:r>
          </w:p>
        </w:tc>
        <w:tc>
          <w:tcPr>
            <w:tcW w:w="850" w:type="dxa"/>
            <w:vAlign w:val="center"/>
          </w:tcPr>
          <w:p w14:paraId="5480BDD6" w14:textId="77777777" w:rsidR="00832DAD" w:rsidRPr="007158C1" w:rsidRDefault="00832DAD" w:rsidP="00832DAD">
            <w:pPr>
              <w:spacing w:before="0" w:after="0"/>
              <w:ind w:left="-110" w:right="-105"/>
              <w:jc w:val="center"/>
              <w:rPr>
                <w:rFonts w:cs="Arial"/>
                <w:sz w:val="16"/>
                <w:szCs w:val="16"/>
              </w:rPr>
            </w:pPr>
            <w:r w:rsidRPr="007158C1">
              <w:rPr>
                <w:rFonts w:cs="Arial"/>
                <w:sz w:val="16"/>
                <w:szCs w:val="16"/>
              </w:rPr>
              <w:t>pracujący</w:t>
            </w:r>
          </w:p>
        </w:tc>
        <w:tc>
          <w:tcPr>
            <w:tcW w:w="851" w:type="dxa"/>
            <w:vAlign w:val="center"/>
          </w:tcPr>
          <w:p w14:paraId="69FFA25E" w14:textId="77777777" w:rsidR="00832DAD" w:rsidRPr="007158C1" w:rsidRDefault="00832DAD" w:rsidP="00832DAD">
            <w:pPr>
              <w:spacing w:before="0" w:after="0"/>
              <w:ind w:left="-109" w:right="-98"/>
              <w:jc w:val="center"/>
              <w:rPr>
                <w:rFonts w:cs="Arial"/>
                <w:sz w:val="16"/>
                <w:szCs w:val="16"/>
              </w:rPr>
            </w:pPr>
            <w:r w:rsidRPr="007158C1">
              <w:rPr>
                <w:rFonts w:cs="Arial"/>
                <w:sz w:val="16"/>
                <w:szCs w:val="16"/>
              </w:rPr>
              <w:t>bezrobotni</w:t>
            </w:r>
          </w:p>
        </w:tc>
        <w:tc>
          <w:tcPr>
            <w:tcW w:w="992" w:type="dxa"/>
            <w:vMerge/>
            <w:vAlign w:val="center"/>
          </w:tcPr>
          <w:p w14:paraId="0F04D202" w14:textId="77777777" w:rsidR="00832DAD" w:rsidRPr="007158C1" w:rsidRDefault="00832DAD" w:rsidP="00832DAD">
            <w:pPr>
              <w:spacing w:before="0" w:after="0"/>
              <w:jc w:val="center"/>
              <w:rPr>
                <w:rFonts w:cs="Arial"/>
                <w:sz w:val="16"/>
                <w:szCs w:val="16"/>
              </w:rPr>
            </w:pPr>
          </w:p>
        </w:tc>
        <w:tc>
          <w:tcPr>
            <w:tcW w:w="1134" w:type="dxa"/>
            <w:vMerge/>
            <w:vAlign w:val="center"/>
          </w:tcPr>
          <w:p w14:paraId="46F952BE" w14:textId="77777777" w:rsidR="00832DAD" w:rsidRPr="007158C1" w:rsidRDefault="00832DAD" w:rsidP="00832DAD">
            <w:pPr>
              <w:spacing w:before="0" w:after="0"/>
              <w:jc w:val="center"/>
              <w:rPr>
                <w:rFonts w:cs="Arial"/>
                <w:sz w:val="16"/>
                <w:szCs w:val="16"/>
              </w:rPr>
            </w:pPr>
          </w:p>
        </w:tc>
        <w:tc>
          <w:tcPr>
            <w:tcW w:w="992" w:type="dxa"/>
            <w:vMerge/>
            <w:vAlign w:val="center"/>
          </w:tcPr>
          <w:p w14:paraId="65E82FD1" w14:textId="77777777" w:rsidR="00832DAD" w:rsidRPr="007158C1" w:rsidRDefault="00832DAD" w:rsidP="00832DAD">
            <w:pPr>
              <w:spacing w:before="0" w:after="0"/>
              <w:jc w:val="center"/>
              <w:rPr>
                <w:rFonts w:cs="Arial"/>
                <w:sz w:val="16"/>
                <w:szCs w:val="16"/>
              </w:rPr>
            </w:pPr>
          </w:p>
        </w:tc>
        <w:tc>
          <w:tcPr>
            <w:tcW w:w="992" w:type="dxa"/>
            <w:vMerge/>
            <w:vAlign w:val="center"/>
          </w:tcPr>
          <w:p w14:paraId="177F5B3E" w14:textId="77777777" w:rsidR="00832DAD" w:rsidRPr="007158C1" w:rsidRDefault="00832DAD" w:rsidP="00832DAD">
            <w:pPr>
              <w:spacing w:before="0" w:after="0"/>
              <w:jc w:val="center"/>
              <w:rPr>
                <w:rFonts w:cs="Arial"/>
                <w:sz w:val="16"/>
                <w:szCs w:val="16"/>
              </w:rPr>
            </w:pPr>
          </w:p>
        </w:tc>
      </w:tr>
      <w:tr w:rsidR="00832DAD" w:rsidRPr="007158C1" w14:paraId="754450E7" w14:textId="77777777" w:rsidTr="00832DAD">
        <w:trPr>
          <w:trHeight w:val="271"/>
        </w:trPr>
        <w:tc>
          <w:tcPr>
            <w:tcW w:w="851" w:type="dxa"/>
            <w:vMerge/>
            <w:vAlign w:val="center"/>
          </w:tcPr>
          <w:p w14:paraId="12D4B738" w14:textId="77777777" w:rsidR="00832DAD" w:rsidRPr="007158C1" w:rsidRDefault="00832DAD" w:rsidP="00832DAD">
            <w:pPr>
              <w:spacing w:before="0" w:after="0"/>
              <w:jc w:val="center"/>
              <w:rPr>
                <w:rFonts w:cs="Arial"/>
                <w:sz w:val="16"/>
                <w:szCs w:val="16"/>
              </w:rPr>
            </w:pPr>
          </w:p>
        </w:tc>
        <w:tc>
          <w:tcPr>
            <w:tcW w:w="3969" w:type="dxa"/>
            <w:gridSpan w:val="5"/>
            <w:vAlign w:val="center"/>
          </w:tcPr>
          <w:p w14:paraId="0585A27C" w14:textId="77777777" w:rsidR="00832DAD" w:rsidRPr="007158C1" w:rsidRDefault="00832DAD" w:rsidP="00832DAD">
            <w:pPr>
              <w:spacing w:before="0" w:after="0"/>
              <w:jc w:val="center"/>
              <w:rPr>
                <w:rFonts w:cs="Arial"/>
                <w:sz w:val="16"/>
                <w:szCs w:val="16"/>
              </w:rPr>
            </w:pPr>
            <w:r w:rsidRPr="007158C1">
              <w:rPr>
                <w:rFonts w:cs="Arial"/>
                <w:sz w:val="16"/>
                <w:szCs w:val="16"/>
              </w:rPr>
              <w:t>w tysiącach</w:t>
            </w:r>
          </w:p>
        </w:tc>
        <w:tc>
          <w:tcPr>
            <w:tcW w:w="3118" w:type="dxa"/>
            <w:gridSpan w:val="3"/>
            <w:vAlign w:val="center"/>
          </w:tcPr>
          <w:p w14:paraId="72B718EE" w14:textId="77777777" w:rsidR="00832DAD" w:rsidRPr="007158C1" w:rsidRDefault="00832DAD" w:rsidP="00832DAD">
            <w:pPr>
              <w:spacing w:before="0" w:after="0"/>
              <w:jc w:val="center"/>
              <w:rPr>
                <w:rFonts w:cs="Arial"/>
                <w:sz w:val="16"/>
                <w:szCs w:val="16"/>
              </w:rPr>
            </w:pPr>
            <w:r w:rsidRPr="007158C1">
              <w:rPr>
                <w:rFonts w:cs="Arial"/>
                <w:sz w:val="16"/>
                <w:szCs w:val="16"/>
              </w:rPr>
              <w:t>w %</w:t>
            </w:r>
          </w:p>
        </w:tc>
      </w:tr>
      <w:tr w:rsidR="00832DAD" w:rsidRPr="007158C1" w14:paraId="0FD238DC" w14:textId="77777777" w:rsidTr="00832DAD">
        <w:trPr>
          <w:trHeight w:val="274"/>
        </w:trPr>
        <w:tc>
          <w:tcPr>
            <w:tcW w:w="851" w:type="dxa"/>
            <w:shd w:val="clear" w:color="auto" w:fill="auto"/>
            <w:vAlign w:val="bottom"/>
          </w:tcPr>
          <w:p w14:paraId="58E0A43B" w14:textId="77777777" w:rsidR="00832DAD" w:rsidRPr="007158C1" w:rsidRDefault="00832DAD" w:rsidP="00832DAD">
            <w:pPr>
              <w:spacing w:before="0" w:after="0"/>
              <w:rPr>
                <w:rFonts w:cs="Arial"/>
                <w:b/>
                <w:bCs/>
                <w:sz w:val="16"/>
                <w:szCs w:val="16"/>
              </w:rPr>
            </w:pPr>
            <w:r w:rsidRPr="007158C1">
              <w:rPr>
                <w:rFonts w:cs="Arial"/>
                <w:b/>
                <w:bCs/>
                <w:sz w:val="16"/>
                <w:szCs w:val="16"/>
              </w:rPr>
              <w:t xml:space="preserve">OGÓŁEM                                                                                                                                                                                                                                                      </w:t>
            </w:r>
          </w:p>
        </w:tc>
        <w:tc>
          <w:tcPr>
            <w:tcW w:w="682" w:type="dxa"/>
            <w:shd w:val="clear" w:color="auto" w:fill="auto"/>
            <w:vAlign w:val="center"/>
          </w:tcPr>
          <w:p w14:paraId="3D093E14"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7902</w:t>
            </w:r>
          </w:p>
        </w:tc>
        <w:tc>
          <w:tcPr>
            <w:tcW w:w="594" w:type="dxa"/>
            <w:shd w:val="clear" w:color="auto" w:fill="auto"/>
            <w:vAlign w:val="center"/>
          </w:tcPr>
          <w:p w14:paraId="269F6C85"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4975</w:t>
            </w:r>
          </w:p>
        </w:tc>
        <w:tc>
          <w:tcPr>
            <w:tcW w:w="850" w:type="dxa"/>
            <w:shd w:val="clear" w:color="auto" w:fill="auto"/>
            <w:vAlign w:val="center"/>
          </w:tcPr>
          <w:p w14:paraId="4D12E955"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4722</w:t>
            </w:r>
          </w:p>
        </w:tc>
        <w:tc>
          <w:tcPr>
            <w:tcW w:w="851" w:type="dxa"/>
            <w:shd w:val="clear" w:color="auto" w:fill="auto"/>
            <w:vAlign w:val="center"/>
          </w:tcPr>
          <w:p w14:paraId="698E3280"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253</w:t>
            </w:r>
          </w:p>
        </w:tc>
        <w:tc>
          <w:tcPr>
            <w:tcW w:w="992" w:type="dxa"/>
            <w:shd w:val="clear" w:color="auto" w:fill="auto"/>
            <w:vAlign w:val="center"/>
          </w:tcPr>
          <w:p w14:paraId="0F34436D"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2927</w:t>
            </w:r>
          </w:p>
        </w:tc>
        <w:tc>
          <w:tcPr>
            <w:tcW w:w="1134" w:type="dxa"/>
            <w:shd w:val="clear" w:color="auto" w:fill="auto"/>
            <w:vAlign w:val="center"/>
          </w:tcPr>
          <w:p w14:paraId="630B67CA"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63,0</w:t>
            </w:r>
          </w:p>
        </w:tc>
        <w:tc>
          <w:tcPr>
            <w:tcW w:w="992" w:type="dxa"/>
            <w:shd w:val="clear" w:color="auto" w:fill="auto"/>
            <w:vAlign w:val="center"/>
          </w:tcPr>
          <w:p w14:paraId="47999D41"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59,8</w:t>
            </w:r>
          </w:p>
        </w:tc>
        <w:tc>
          <w:tcPr>
            <w:tcW w:w="992" w:type="dxa"/>
            <w:shd w:val="clear" w:color="auto" w:fill="auto"/>
            <w:vAlign w:val="center"/>
          </w:tcPr>
          <w:p w14:paraId="6B329D87" w14:textId="77777777" w:rsidR="00832DAD" w:rsidRPr="007158C1" w:rsidRDefault="00832DAD" w:rsidP="00832DAD">
            <w:pPr>
              <w:spacing w:before="0" w:after="0"/>
              <w:jc w:val="right"/>
              <w:rPr>
                <w:rFonts w:cs="Arial"/>
                <w:b/>
                <w:bCs/>
                <w:color w:val="000000"/>
                <w:sz w:val="16"/>
                <w:szCs w:val="16"/>
              </w:rPr>
            </w:pPr>
            <w:r w:rsidRPr="007158C1">
              <w:rPr>
                <w:rFonts w:cs="Arial"/>
                <w:b/>
                <w:bCs/>
                <w:color w:val="000000"/>
                <w:sz w:val="16"/>
                <w:szCs w:val="16"/>
              </w:rPr>
              <w:t xml:space="preserve"> 5,1</w:t>
            </w:r>
          </w:p>
        </w:tc>
      </w:tr>
      <w:tr w:rsidR="00832DAD" w:rsidRPr="007158C1" w14:paraId="4AB6731C" w14:textId="77777777" w:rsidTr="00832DAD">
        <w:trPr>
          <w:trHeight w:val="292"/>
        </w:trPr>
        <w:tc>
          <w:tcPr>
            <w:tcW w:w="851" w:type="dxa"/>
            <w:shd w:val="clear" w:color="auto" w:fill="auto"/>
            <w:vAlign w:val="bottom"/>
          </w:tcPr>
          <w:p w14:paraId="0EDC0A4B" w14:textId="77777777" w:rsidR="00832DAD" w:rsidRPr="007158C1" w:rsidRDefault="00832DAD" w:rsidP="00832DAD">
            <w:pPr>
              <w:spacing w:before="0" w:after="0"/>
              <w:rPr>
                <w:rFonts w:cs="Arial"/>
                <w:sz w:val="16"/>
                <w:szCs w:val="16"/>
              </w:rPr>
            </w:pPr>
            <w:r w:rsidRPr="007158C1">
              <w:rPr>
                <w:rFonts w:cs="Arial"/>
                <w:sz w:val="16"/>
                <w:szCs w:val="16"/>
              </w:rPr>
              <w:t xml:space="preserve">15-19 lat                                                                                                                                                                                                                                              </w:t>
            </w:r>
          </w:p>
        </w:tc>
        <w:tc>
          <w:tcPr>
            <w:tcW w:w="682" w:type="dxa"/>
            <w:shd w:val="clear" w:color="auto" w:fill="auto"/>
            <w:vAlign w:val="center"/>
          </w:tcPr>
          <w:p w14:paraId="2A83A5D5"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1836</w:t>
            </w:r>
          </w:p>
        </w:tc>
        <w:tc>
          <w:tcPr>
            <w:tcW w:w="594" w:type="dxa"/>
            <w:shd w:val="clear" w:color="auto" w:fill="auto"/>
            <w:vAlign w:val="center"/>
          </w:tcPr>
          <w:p w14:paraId="177D93E7"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125</w:t>
            </w:r>
          </w:p>
        </w:tc>
        <w:tc>
          <w:tcPr>
            <w:tcW w:w="850" w:type="dxa"/>
            <w:shd w:val="clear" w:color="auto" w:fill="auto"/>
            <w:vAlign w:val="center"/>
          </w:tcPr>
          <w:p w14:paraId="479FCF3F"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101</w:t>
            </w:r>
          </w:p>
        </w:tc>
        <w:tc>
          <w:tcPr>
            <w:tcW w:w="851" w:type="dxa"/>
            <w:shd w:val="clear" w:color="auto" w:fill="auto"/>
            <w:vAlign w:val="center"/>
          </w:tcPr>
          <w:p w14:paraId="58DE84EB"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24</w:t>
            </w:r>
          </w:p>
        </w:tc>
        <w:tc>
          <w:tcPr>
            <w:tcW w:w="992" w:type="dxa"/>
            <w:shd w:val="clear" w:color="auto" w:fill="auto"/>
            <w:vAlign w:val="center"/>
          </w:tcPr>
          <w:p w14:paraId="6B9E0DD3"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1711</w:t>
            </w:r>
          </w:p>
        </w:tc>
        <w:tc>
          <w:tcPr>
            <w:tcW w:w="1134" w:type="dxa"/>
            <w:shd w:val="clear" w:color="auto" w:fill="auto"/>
            <w:vAlign w:val="center"/>
          </w:tcPr>
          <w:p w14:paraId="29854B6B"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 xml:space="preserve"> 6,8</w:t>
            </w:r>
          </w:p>
        </w:tc>
        <w:tc>
          <w:tcPr>
            <w:tcW w:w="992" w:type="dxa"/>
            <w:shd w:val="clear" w:color="auto" w:fill="auto"/>
            <w:vAlign w:val="center"/>
          </w:tcPr>
          <w:p w14:paraId="79AB13C5"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 xml:space="preserve"> 5,5</w:t>
            </w:r>
          </w:p>
        </w:tc>
        <w:tc>
          <w:tcPr>
            <w:tcW w:w="992" w:type="dxa"/>
            <w:shd w:val="clear" w:color="auto" w:fill="auto"/>
            <w:vAlign w:val="center"/>
          </w:tcPr>
          <w:p w14:paraId="33226CD8"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 xml:space="preserve"> 19,2</w:t>
            </w:r>
          </w:p>
        </w:tc>
      </w:tr>
      <w:tr w:rsidR="00832DAD" w:rsidRPr="007158C1" w14:paraId="46926C24" w14:textId="77777777" w:rsidTr="00832DAD">
        <w:trPr>
          <w:trHeight w:val="254"/>
        </w:trPr>
        <w:tc>
          <w:tcPr>
            <w:tcW w:w="851" w:type="dxa"/>
            <w:shd w:val="clear" w:color="auto" w:fill="auto"/>
            <w:vAlign w:val="bottom"/>
          </w:tcPr>
          <w:p w14:paraId="546ACE70" w14:textId="77777777" w:rsidR="00832DAD" w:rsidRPr="007158C1" w:rsidRDefault="00832DAD" w:rsidP="00832DAD">
            <w:pPr>
              <w:spacing w:before="0" w:after="0"/>
              <w:rPr>
                <w:rFonts w:cs="Arial"/>
                <w:sz w:val="16"/>
                <w:szCs w:val="16"/>
              </w:rPr>
            </w:pPr>
            <w:r w:rsidRPr="007158C1">
              <w:rPr>
                <w:rFonts w:cs="Arial"/>
                <w:sz w:val="16"/>
                <w:szCs w:val="16"/>
              </w:rPr>
              <w:t xml:space="preserve">20-24                                                                                                                                                                                                                                                   </w:t>
            </w:r>
          </w:p>
        </w:tc>
        <w:tc>
          <w:tcPr>
            <w:tcW w:w="682" w:type="dxa"/>
            <w:shd w:val="clear" w:color="auto" w:fill="auto"/>
            <w:vAlign w:val="center"/>
          </w:tcPr>
          <w:p w14:paraId="207E93A7"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1709</w:t>
            </w:r>
          </w:p>
        </w:tc>
        <w:tc>
          <w:tcPr>
            <w:tcW w:w="594" w:type="dxa"/>
            <w:shd w:val="clear" w:color="auto" w:fill="auto"/>
            <w:vAlign w:val="center"/>
          </w:tcPr>
          <w:p w14:paraId="32F335E6"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1007</w:t>
            </w:r>
          </w:p>
        </w:tc>
        <w:tc>
          <w:tcPr>
            <w:tcW w:w="850" w:type="dxa"/>
            <w:shd w:val="clear" w:color="auto" w:fill="auto"/>
            <w:vAlign w:val="center"/>
          </w:tcPr>
          <w:p w14:paraId="3767964A"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908</w:t>
            </w:r>
          </w:p>
        </w:tc>
        <w:tc>
          <w:tcPr>
            <w:tcW w:w="851" w:type="dxa"/>
            <w:shd w:val="clear" w:color="auto" w:fill="auto"/>
            <w:vAlign w:val="center"/>
          </w:tcPr>
          <w:p w14:paraId="1BFD77A4"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99</w:t>
            </w:r>
          </w:p>
        </w:tc>
        <w:tc>
          <w:tcPr>
            <w:tcW w:w="992" w:type="dxa"/>
            <w:shd w:val="clear" w:color="auto" w:fill="auto"/>
            <w:vAlign w:val="center"/>
          </w:tcPr>
          <w:p w14:paraId="65E3917D"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701</w:t>
            </w:r>
          </w:p>
        </w:tc>
        <w:tc>
          <w:tcPr>
            <w:tcW w:w="1134" w:type="dxa"/>
            <w:shd w:val="clear" w:color="auto" w:fill="auto"/>
            <w:vAlign w:val="center"/>
          </w:tcPr>
          <w:p w14:paraId="66514A1D"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58,9</w:t>
            </w:r>
          </w:p>
        </w:tc>
        <w:tc>
          <w:tcPr>
            <w:tcW w:w="992" w:type="dxa"/>
            <w:shd w:val="clear" w:color="auto" w:fill="auto"/>
            <w:vAlign w:val="center"/>
          </w:tcPr>
          <w:p w14:paraId="57953557"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53,1</w:t>
            </w:r>
          </w:p>
        </w:tc>
        <w:tc>
          <w:tcPr>
            <w:tcW w:w="992" w:type="dxa"/>
            <w:shd w:val="clear" w:color="auto" w:fill="auto"/>
            <w:vAlign w:val="center"/>
          </w:tcPr>
          <w:p w14:paraId="122C3FA6"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 xml:space="preserve"> 9,8</w:t>
            </w:r>
          </w:p>
        </w:tc>
      </w:tr>
      <w:tr w:rsidR="00832DAD" w:rsidRPr="007158C1" w14:paraId="676B0049" w14:textId="77777777" w:rsidTr="00832DAD">
        <w:trPr>
          <w:trHeight w:val="286"/>
        </w:trPr>
        <w:tc>
          <w:tcPr>
            <w:tcW w:w="851" w:type="dxa"/>
            <w:shd w:val="clear" w:color="auto" w:fill="auto"/>
            <w:vAlign w:val="bottom"/>
          </w:tcPr>
          <w:p w14:paraId="7A4B7AB0" w14:textId="77777777" w:rsidR="00832DAD" w:rsidRPr="007158C1" w:rsidRDefault="00832DAD" w:rsidP="00832DAD">
            <w:pPr>
              <w:spacing w:before="0" w:after="0"/>
              <w:rPr>
                <w:rFonts w:cs="Arial"/>
                <w:sz w:val="16"/>
                <w:szCs w:val="16"/>
              </w:rPr>
            </w:pPr>
            <w:r w:rsidRPr="007158C1">
              <w:rPr>
                <w:rFonts w:cs="Arial"/>
                <w:sz w:val="16"/>
                <w:szCs w:val="16"/>
              </w:rPr>
              <w:t xml:space="preserve">25-29                                                                                                                                                                                                                                                </w:t>
            </w:r>
          </w:p>
        </w:tc>
        <w:tc>
          <w:tcPr>
            <w:tcW w:w="682" w:type="dxa"/>
            <w:shd w:val="clear" w:color="auto" w:fill="auto"/>
            <w:vAlign w:val="center"/>
          </w:tcPr>
          <w:p w14:paraId="3CAEBB6E"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1968</w:t>
            </w:r>
          </w:p>
        </w:tc>
        <w:tc>
          <w:tcPr>
            <w:tcW w:w="594" w:type="dxa"/>
            <w:shd w:val="clear" w:color="auto" w:fill="auto"/>
            <w:vAlign w:val="center"/>
          </w:tcPr>
          <w:p w14:paraId="165950CB"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1705</w:t>
            </w:r>
          </w:p>
        </w:tc>
        <w:tc>
          <w:tcPr>
            <w:tcW w:w="850" w:type="dxa"/>
            <w:shd w:val="clear" w:color="auto" w:fill="auto"/>
            <w:vAlign w:val="center"/>
          </w:tcPr>
          <w:p w14:paraId="7B7D2973"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1640</w:t>
            </w:r>
          </w:p>
        </w:tc>
        <w:tc>
          <w:tcPr>
            <w:tcW w:w="851" w:type="dxa"/>
            <w:shd w:val="clear" w:color="auto" w:fill="auto"/>
            <w:vAlign w:val="center"/>
          </w:tcPr>
          <w:p w14:paraId="0BAC1957"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65</w:t>
            </w:r>
          </w:p>
        </w:tc>
        <w:tc>
          <w:tcPr>
            <w:tcW w:w="992" w:type="dxa"/>
            <w:shd w:val="clear" w:color="auto" w:fill="auto"/>
            <w:vAlign w:val="center"/>
          </w:tcPr>
          <w:p w14:paraId="6454DC1F"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263</w:t>
            </w:r>
          </w:p>
        </w:tc>
        <w:tc>
          <w:tcPr>
            <w:tcW w:w="1134" w:type="dxa"/>
            <w:shd w:val="clear" w:color="auto" w:fill="auto"/>
            <w:vAlign w:val="center"/>
          </w:tcPr>
          <w:p w14:paraId="268D6FF9"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86,6</w:t>
            </w:r>
          </w:p>
        </w:tc>
        <w:tc>
          <w:tcPr>
            <w:tcW w:w="992" w:type="dxa"/>
            <w:shd w:val="clear" w:color="auto" w:fill="auto"/>
            <w:vAlign w:val="center"/>
          </w:tcPr>
          <w:p w14:paraId="1B0D6DB7"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83,3</w:t>
            </w:r>
          </w:p>
        </w:tc>
        <w:tc>
          <w:tcPr>
            <w:tcW w:w="992" w:type="dxa"/>
            <w:shd w:val="clear" w:color="auto" w:fill="auto"/>
            <w:vAlign w:val="center"/>
          </w:tcPr>
          <w:p w14:paraId="6D36B92E"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 xml:space="preserve"> 3,8</w:t>
            </w:r>
          </w:p>
        </w:tc>
      </w:tr>
      <w:tr w:rsidR="00832DAD" w:rsidRPr="007158C1" w14:paraId="65FDC58E" w14:textId="77777777" w:rsidTr="00832DAD">
        <w:trPr>
          <w:trHeight w:val="263"/>
        </w:trPr>
        <w:tc>
          <w:tcPr>
            <w:tcW w:w="851" w:type="dxa"/>
            <w:shd w:val="clear" w:color="auto" w:fill="auto"/>
            <w:vAlign w:val="bottom"/>
          </w:tcPr>
          <w:p w14:paraId="0EF6E3FD" w14:textId="77777777" w:rsidR="00832DAD" w:rsidRPr="007158C1" w:rsidRDefault="00832DAD" w:rsidP="00832DAD">
            <w:pPr>
              <w:spacing w:before="0" w:after="0"/>
              <w:rPr>
                <w:rFonts w:cs="Arial"/>
                <w:bCs/>
                <w:sz w:val="16"/>
                <w:szCs w:val="16"/>
              </w:rPr>
            </w:pPr>
            <w:r w:rsidRPr="007158C1">
              <w:rPr>
                <w:rFonts w:cs="Arial"/>
                <w:bCs/>
                <w:sz w:val="16"/>
                <w:szCs w:val="16"/>
              </w:rPr>
              <w:t xml:space="preserve">30-34                                                                                                                                                                                                                                               </w:t>
            </w:r>
          </w:p>
        </w:tc>
        <w:tc>
          <w:tcPr>
            <w:tcW w:w="682" w:type="dxa"/>
            <w:shd w:val="clear" w:color="auto" w:fill="auto"/>
            <w:vAlign w:val="center"/>
          </w:tcPr>
          <w:p w14:paraId="309510DE"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2390</w:t>
            </w:r>
          </w:p>
        </w:tc>
        <w:tc>
          <w:tcPr>
            <w:tcW w:w="594" w:type="dxa"/>
            <w:shd w:val="clear" w:color="auto" w:fill="auto"/>
            <w:vAlign w:val="center"/>
          </w:tcPr>
          <w:p w14:paraId="61B4D1B7"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2138</w:t>
            </w:r>
          </w:p>
        </w:tc>
        <w:tc>
          <w:tcPr>
            <w:tcW w:w="850" w:type="dxa"/>
            <w:shd w:val="clear" w:color="auto" w:fill="auto"/>
            <w:vAlign w:val="center"/>
          </w:tcPr>
          <w:p w14:paraId="70DE34BE"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2073</w:t>
            </w:r>
          </w:p>
        </w:tc>
        <w:tc>
          <w:tcPr>
            <w:tcW w:w="851" w:type="dxa"/>
            <w:shd w:val="clear" w:color="auto" w:fill="auto"/>
            <w:vAlign w:val="center"/>
          </w:tcPr>
          <w:p w14:paraId="179A4002"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65</w:t>
            </w:r>
          </w:p>
        </w:tc>
        <w:tc>
          <w:tcPr>
            <w:tcW w:w="992" w:type="dxa"/>
            <w:shd w:val="clear" w:color="auto" w:fill="auto"/>
            <w:vAlign w:val="center"/>
          </w:tcPr>
          <w:p w14:paraId="13963E42"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252</w:t>
            </w:r>
          </w:p>
        </w:tc>
        <w:tc>
          <w:tcPr>
            <w:tcW w:w="1134" w:type="dxa"/>
            <w:shd w:val="clear" w:color="auto" w:fill="auto"/>
            <w:vAlign w:val="center"/>
          </w:tcPr>
          <w:p w14:paraId="05DF1FEE"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89,5</w:t>
            </w:r>
          </w:p>
        </w:tc>
        <w:tc>
          <w:tcPr>
            <w:tcW w:w="992" w:type="dxa"/>
            <w:shd w:val="clear" w:color="auto" w:fill="auto"/>
            <w:vAlign w:val="center"/>
          </w:tcPr>
          <w:p w14:paraId="5BD8988B"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86,7</w:t>
            </w:r>
          </w:p>
        </w:tc>
        <w:tc>
          <w:tcPr>
            <w:tcW w:w="992" w:type="dxa"/>
            <w:shd w:val="clear" w:color="auto" w:fill="auto"/>
            <w:vAlign w:val="center"/>
          </w:tcPr>
          <w:p w14:paraId="1F60F759" w14:textId="77777777" w:rsidR="00832DAD" w:rsidRPr="007158C1" w:rsidRDefault="00832DAD" w:rsidP="00832DAD">
            <w:pPr>
              <w:spacing w:before="0" w:after="0"/>
              <w:jc w:val="right"/>
              <w:rPr>
                <w:rFonts w:cs="Arial"/>
                <w:color w:val="000000"/>
                <w:sz w:val="16"/>
                <w:szCs w:val="16"/>
              </w:rPr>
            </w:pPr>
            <w:r w:rsidRPr="007158C1">
              <w:rPr>
                <w:rFonts w:cs="Arial"/>
                <w:color w:val="000000"/>
                <w:sz w:val="16"/>
                <w:szCs w:val="16"/>
              </w:rPr>
              <w:t xml:space="preserve"> 3,0</w:t>
            </w:r>
          </w:p>
        </w:tc>
      </w:tr>
    </w:tbl>
    <w:bookmarkEnd w:id="3"/>
    <w:p w14:paraId="5390C994" w14:textId="29DF7572" w:rsidR="002479BC" w:rsidRDefault="00252FFA" w:rsidP="00A2243F">
      <w:pPr>
        <w:spacing w:before="0" w:line="288" w:lineRule="auto"/>
        <w:rPr>
          <w:szCs w:val="19"/>
        </w:rPr>
      </w:pPr>
      <w:r w:rsidRPr="00252FFA">
        <w:rPr>
          <w:szCs w:val="19"/>
        </w:rPr>
        <w:lastRenderedPageBreak/>
        <w:t xml:space="preserve">Osoby aktywne zawodowo (pracujące i bezrobotne) </w:t>
      </w:r>
      <w:r w:rsidRPr="000D48D8">
        <w:rPr>
          <w:szCs w:val="19"/>
        </w:rPr>
        <w:t>stanowiły 63,0% ogółu osób w</w:t>
      </w:r>
      <w:r w:rsidR="003B1B47">
        <w:rPr>
          <w:szCs w:val="19"/>
        </w:rPr>
        <w:t> </w:t>
      </w:r>
      <w:r w:rsidRPr="000D48D8">
        <w:rPr>
          <w:szCs w:val="19"/>
        </w:rPr>
        <w:t>analizowanej grupie wieku 15-34 lata (dla porównania analogicznie wyznaczany wskaźnik dla popu</w:t>
      </w:r>
      <w:r w:rsidRPr="000D48D8">
        <w:rPr>
          <w:szCs w:val="19"/>
        </w:rPr>
        <w:softHyphen/>
        <w:t xml:space="preserve">lacji osób 15-89 lat </w:t>
      </w:r>
      <w:r w:rsidRPr="004A7FF1">
        <w:rPr>
          <w:szCs w:val="19"/>
        </w:rPr>
        <w:t>to</w:t>
      </w:r>
      <w:r w:rsidRPr="000D48D8">
        <w:rPr>
          <w:szCs w:val="19"/>
        </w:rPr>
        <w:t xml:space="preserve"> 58,5%)</w:t>
      </w:r>
      <w:r w:rsidRPr="00252FFA">
        <w:rPr>
          <w:szCs w:val="19"/>
        </w:rPr>
        <w:t>. Odsete</w:t>
      </w:r>
      <w:r w:rsidRPr="000D48D8">
        <w:rPr>
          <w:szCs w:val="19"/>
        </w:rPr>
        <w:t xml:space="preserve">k pracujących w populacji osób w wieku </w:t>
      </w:r>
      <w:r w:rsidR="003B1B47">
        <w:rPr>
          <w:szCs w:val="19"/>
        </w:rPr>
        <w:br/>
      </w:r>
      <w:r w:rsidRPr="000D48D8">
        <w:rPr>
          <w:szCs w:val="19"/>
        </w:rPr>
        <w:t>15-34 lata wyniósł 59,8%  (56,8%</w:t>
      </w:r>
      <w:r w:rsidRPr="00252FFA">
        <w:rPr>
          <w:szCs w:val="19"/>
        </w:rPr>
        <w:t xml:space="preserve"> w całej populacji 15-89 lat</w:t>
      </w:r>
      <w:r w:rsidRPr="000D48D8">
        <w:rPr>
          <w:szCs w:val="19"/>
        </w:rPr>
        <w:t xml:space="preserve">). Stopa bezrobocia osób młodych wyniosła 5,1% (czyli była wyższa niż stopa bezrobocia dla ogółu badanych osób w wieku </w:t>
      </w:r>
      <w:r w:rsidR="003B1B47">
        <w:rPr>
          <w:szCs w:val="19"/>
        </w:rPr>
        <w:br/>
      </w:r>
      <w:r w:rsidRPr="000D48D8">
        <w:rPr>
          <w:szCs w:val="19"/>
        </w:rPr>
        <w:t>15-89 lat, która w</w:t>
      </w:r>
      <w:r w:rsidR="000D48D8">
        <w:rPr>
          <w:szCs w:val="19"/>
        </w:rPr>
        <w:t> </w:t>
      </w:r>
      <w:r w:rsidRPr="000D48D8">
        <w:rPr>
          <w:szCs w:val="19"/>
        </w:rPr>
        <w:t xml:space="preserve">2024 r. wynosiła 2,9%). </w:t>
      </w:r>
    </w:p>
    <w:p w14:paraId="7492094E" w14:textId="77777777" w:rsidR="006743F1" w:rsidRDefault="00252FFA" w:rsidP="00A2243F">
      <w:pPr>
        <w:spacing w:before="0" w:line="288" w:lineRule="auto"/>
        <w:rPr>
          <w:szCs w:val="19"/>
        </w:rPr>
      </w:pPr>
      <w:r w:rsidRPr="000D48D8">
        <w:rPr>
          <w:szCs w:val="19"/>
        </w:rPr>
        <w:t xml:space="preserve">Należy jednak podkreślić, że aktywność ekonomiczna badanej </w:t>
      </w:r>
      <w:r w:rsidR="002479BC" w:rsidRPr="000D48D8">
        <w:rPr>
          <w:szCs w:val="19"/>
        </w:rPr>
        <w:t>grup</w:t>
      </w:r>
      <w:r w:rsidR="002479BC">
        <w:rPr>
          <w:szCs w:val="19"/>
        </w:rPr>
        <w:t xml:space="preserve">y </w:t>
      </w:r>
      <w:r w:rsidRPr="000D48D8">
        <w:rPr>
          <w:szCs w:val="19"/>
        </w:rPr>
        <w:t>osób młodych</w:t>
      </w:r>
      <w:r w:rsidRPr="000D48D8">
        <w:t xml:space="preserve"> </w:t>
      </w:r>
      <w:r w:rsidRPr="000D48D8">
        <w:rPr>
          <w:szCs w:val="19"/>
        </w:rPr>
        <w:t>była bardzo zróżnicowana w zależności od</w:t>
      </w:r>
      <w:r w:rsidR="00946A1C">
        <w:rPr>
          <w:szCs w:val="19"/>
        </w:rPr>
        <w:t xml:space="preserve"> szczegółowych grup</w:t>
      </w:r>
      <w:r w:rsidRPr="000D48D8">
        <w:rPr>
          <w:szCs w:val="19"/>
        </w:rPr>
        <w:t xml:space="preserve"> wieku (patrz tabl. 1.), co wynika przede wszystkim z kontynuowania nauki oraz procesu przejścia z systemu edukacji </w:t>
      </w:r>
      <w:r w:rsidR="00946A1C">
        <w:rPr>
          <w:szCs w:val="19"/>
        </w:rPr>
        <w:t>na rynek pracy, w tym p</w:t>
      </w:r>
      <w:r w:rsidR="005B3491">
        <w:rPr>
          <w:szCs w:val="19"/>
        </w:rPr>
        <w:t xml:space="preserve">ierwszych doświadczeń </w:t>
      </w:r>
      <w:r w:rsidR="00904EF4">
        <w:rPr>
          <w:szCs w:val="19"/>
        </w:rPr>
        <w:t>w</w:t>
      </w:r>
      <w:r w:rsidR="005B3491">
        <w:rPr>
          <w:szCs w:val="19"/>
        </w:rPr>
        <w:t xml:space="preserve"> p</w:t>
      </w:r>
      <w:r w:rsidR="00946A1C">
        <w:rPr>
          <w:szCs w:val="19"/>
        </w:rPr>
        <w:t>oszukiwani</w:t>
      </w:r>
      <w:r w:rsidR="00904EF4">
        <w:rPr>
          <w:szCs w:val="19"/>
        </w:rPr>
        <w:t>u</w:t>
      </w:r>
      <w:r w:rsidR="00946A1C">
        <w:rPr>
          <w:szCs w:val="19"/>
        </w:rPr>
        <w:t xml:space="preserve"> i podejmowani</w:t>
      </w:r>
      <w:r w:rsidR="00904EF4">
        <w:rPr>
          <w:szCs w:val="19"/>
        </w:rPr>
        <w:t>u</w:t>
      </w:r>
      <w:r w:rsidR="00946A1C">
        <w:rPr>
          <w:szCs w:val="19"/>
        </w:rPr>
        <w:t xml:space="preserve"> pracy zawodowej</w:t>
      </w:r>
      <w:r w:rsidR="005B3491">
        <w:rPr>
          <w:szCs w:val="19"/>
        </w:rPr>
        <w:t>.</w:t>
      </w:r>
      <w:r w:rsidR="00E321C8">
        <w:rPr>
          <w:szCs w:val="19"/>
        </w:rPr>
        <w:t xml:space="preserve"> </w:t>
      </w:r>
      <w:r w:rsidR="00156DB8">
        <w:rPr>
          <w:szCs w:val="19"/>
        </w:rPr>
        <w:t>Im </w:t>
      </w:r>
      <w:r w:rsidR="00E321C8">
        <w:rPr>
          <w:szCs w:val="19"/>
        </w:rPr>
        <w:t>starsza gru</w:t>
      </w:r>
      <w:r w:rsidR="006743F1">
        <w:rPr>
          <w:szCs w:val="19"/>
        </w:rPr>
        <w:t>p</w:t>
      </w:r>
      <w:r w:rsidR="00E321C8">
        <w:rPr>
          <w:szCs w:val="19"/>
        </w:rPr>
        <w:t>a</w:t>
      </w:r>
      <w:r w:rsidR="006743F1">
        <w:rPr>
          <w:szCs w:val="19"/>
        </w:rPr>
        <w:t xml:space="preserve"> wieku analizowanej populacji osób młodych, tym wyższy współczynnik aktywności zawodowej, wyższy wskaźnik zatrudnienia i jednocześnie niższa stopa bezrobocia.</w:t>
      </w:r>
    </w:p>
    <w:p w14:paraId="217BEDAC" w14:textId="3B120785" w:rsidR="008B2CFC" w:rsidRDefault="00946A1C" w:rsidP="00A2243F">
      <w:pPr>
        <w:spacing w:before="0" w:line="288" w:lineRule="auto"/>
        <w:rPr>
          <w:szCs w:val="19"/>
        </w:rPr>
      </w:pPr>
      <w:r w:rsidRPr="00252FFA">
        <w:rPr>
          <w:szCs w:val="19"/>
        </w:rPr>
        <w:t xml:space="preserve">Bierność zawodowa osób młodych była w znacznej mierze </w:t>
      </w:r>
      <w:r>
        <w:rPr>
          <w:szCs w:val="19"/>
        </w:rPr>
        <w:t xml:space="preserve">związana z </w:t>
      </w:r>
      <w:r w:rsidRPr="00252FFA">
        <w:rPr>
          <w:szCs w:val="19"/>
        </w:rPr>
        <w:t>kontynuowaniem nauki</w:t>
      </w:r>
      <w:r w:rsidR="000E7A73">
        <w:rPr>
          <w:szCs w:val="19"/>
        </w:rPr>
        <w:t>.</w:t>
      </w:r>
      <w:r w:rsidRPr="007B5522">
        <w:rPr>
          <w:noProof/>
          <w:lang w:eastAsia="pl-PL"/>
        </w:rPr>
        <w:t xml:space="preserve"> </w:t>
      </w:r>
      <w:r w:rsidR="00252FFA" w:rsidRPr="00252FFA">
        <w:rPr>
          <w:szCs w:val="19"/>
        </w:rPr>
        <w:t xml:space="preserve">Odsetek biernych zawodowo wśród </w:t>
      </w:r>
      <w:r w:rsidR="002479BC">
        <w:rPr>
          <w:szCs w:val="19"/>
        </w:rPr>
        <w:t xml:space="preserve">ogółu </w:t>
      </w:r>
      <w:r w:rsidR="00252FFA" w:rsidRPr="00252FFA">
        <w:rPr>
          <w:szCs w:val="19"/>
        </w:rPr>
        <w:t>osób w wieku 15-34 lata wyniósł 37,0%</w:t>
      </w:r>
      <w:r w:rsidR="007007A0">
        <w:rPr>
          <w:rStyle w:val="Odwoanieprzypisudolnego"/>
          <w:szCs w:val="19"/>
        </w:rPr>
        <w:footnoteReference w:id="3"/>
      </w:r>
      <w:r w:rsidR="00252FFA" w:rsidRPr="00252FFA">
        <w:rPr>
          <w:szCs w:val="19"/>
        </w:rPr>
        <w:t xml:space="preserve"> </w:t>
      </w:r>
      <w:r>
        <w:rPr>
          <w:szCs w:val="19"/>
        </w:rPr>
        <w:t>n</w:t>
      </w:r>
      <w:r w:rsidR="002479BC">
        <w:rPr>
          <w:szCs w:val="19"/>
        </w:rPr>
        <w:t xml:space="preserve">atomiast </w:t>
      </w:r>
      <w:r w:rsidR="00A95DE9">
        <w:rPr>
          <w:szCs w:val="19"/>
        </w:rPr>
        <w:t>w ramach uwzględnianych</w:t>
      </w:r>
      <w:r w:rsidR="002479BC">
        <w:rPr>
          <w:szCs w:val="19"/>
        </w:rPr>
        <w:t xml:space="preserve"> bardziej szczegółowych grup wieku </w:t>
      </w:r>
      <w:r>
        <w:rPr>
          <w:szCs w:val="19"/>
        </w:rPr>
        <w:t>był on bardziej zróżnicowany</w:t>
      </w:r>
      <w:r w:rsidR="008B2CFC">
        <w:rPr>
          <w:szCs w:val="19"/>
        </w:rPr>
        <w:t xml:space="preserve">, </w:t>
      </w:r>
      <w:r w:rsidR="008A00B0">
        <w:rPr>
          <w:szCs w:val="19"/>
        </w:rPr>
        <w:t xml:space="preserve">najwyższy dla </w:t>
      </w:r>
      <w:r w:rsidR="00EB073A">
        <w:rPr>
          <w:szCs w:val="19"/>
        </w:rPr>
        <w:t xml:space="preserve">grupy </w:t>
      </w:r>
      <w:r w:rsidR="008A00B0">
        <w:rPr>
          <w:szCs w:val="19"/>
        </w:rPr>
        <w:t>osób najmłodszych</w:t>
      </w:r>
      <w:r w:rsidR="00152778">
        <w:rPr>
          <w:szCs w:val="19"/>
        </w:rPr>
        <w:t xml:space="preserve"> (15-19 lat),</w:t>
      </w:r>
      <w:r w:rsidR="008B2CFC">
        <w:rPr>
          <w:szCs w:val="19"/>
        </w:rPr>
        <w:t xml:space="preserve"> a </w:t>
      </w:r>
      <w:r w:rsidR="008F56DE">
        <w:rPr>
          <w:szCs w:val="19"/>
        </w:rPr>
        <w:t xml:space="preserve">najniższy </w:t>
      </w:r>
      <w:r w:rsidR="008B2CFC">
        <w:rPr>
          <w:szCs w:val="19"/>
        </w:rPr>
        <w:t xml:space="preserve">dla </w:t>
      </w:r>
      <w:r w:rsidR="00EB073A">
        <w:rPr>
          <w:szCs w:val="19"/>
        </w:rPr>
        <w:t xml:space="preserve">populacji </w:t>
      </w:r>
      <w:r w:rsidR="008B2CFC">
        <w:rPr>
          <w:szCs w:val="19"/>
        </w:rPr>
        <w:t xml:space="preserve">osób </w:t>
      </w:r>
      <w:r w:rsidR="008A00B0">
        <w:rPr>
          <w:szCs w:val="19"/>
        </w:rPr>
        <w:t xml:space="preserve"> </w:t>
      </w:r>
      <w:r w:rsidR="008B2CFC">
        <w:rPr>
          <w:szCs w:val="19"/>
        </w:rPr>
        <w:t>w wieku 30-34 lata</w:t>
      </w:r>
      <w:r w:rsidR="00AE2ABD">
        <w:rPr>
          <w:rStyle w:val="Odwoanieprzypisudolnego"/>
          <w:szCs w:val="19"/>
        </w:rPr>
        <w:footnoteReference w:id="4"/>
      </w:r>
      <w:r w:rsidR="008B2CFC">
        <w:rPr>
          <w:szCs w:val="19"/>
        </w:rPr>
        <w:t xml:space="preserve">. </w:t>
      </w:r>
    </w:p>
    <w:p w14:paraId="2A59AE89" w14:textId="77777777" w:rsidR="008A00B0" w:rsidRDefault="00627244" w:rsidP="00A2243F">
      <w:pPr>
        <w:spacing w:before="0" w:line="288" w:lineRule="auto"/>
        <w:rPr>
          <w:szCs w:val="19"/>
        </w:rPr>
      </w:pPr>
      <w:r w:rsidRPr="00252FFA">
        <w:rPr>
          <w:noProof/>
          <w:lang w:eastAsia="pl-PL"/>
        </w:rPr>
        <mc:AlternateContent>
          <mc:Choice Requires="wps">
            <w:drawing>
              <wp:anchor distT="0" distB="0" distL="114300" distR="114300" simplePos="0" relativeHeight="252048384" behindDoc="0" locked="0" layoutInCell="1" allowOverlap="1" wp14:anchorId="6AFE4623" wp14:editId="34426427">
                <wp:simplePos x="0" y="0"/>
                <wp:positionH relativeFrom="page">
                  <wp:posOffset>5754939</wp:posOffset>
                </wp:positionH>
                <wp:positionV relativeFrom="paragraph">
                  <wp:posOffset>406713</wp:posOffset>
                </wp:positionV>
                <wp:extent cx="1566406" cy="1116281"/>
                <wp:effectExtent l="0" t="0" r="0" b="0"/>
                <wp:wrapNone/>
                <wp:docPr id="3" name="Pole tekstowe 3" descr="W 2024 r. dla 77,4% osób biernych zawodowo w wieku 15-34 lata przyczyną bierności była podjęta nauka, uzupełnianie kwalifikacji"/>
                <wp:cNvGraphicFramePr/>
                <a:graphic xmlns:a="http://schemas.openxmlformats.org/drawingml/2006/main">
                  <a:graphicData uri="http://schemas.microsoft.com/office/word/2010/wordprocessingShape">
                    <wps:wsp>
                      <wps:cNvSpPr txBox="1"/>
                      <wps:spPr>
                        <a:xfrm>
                          <a:off x="0" y="0"/>
                          <a:ext cx="1566406" cy="1116281"/>
                        </a:xfrm>
                        <a:prstGeom prst="rect">
                          <a:avLst/>
                        </a:prstGeom>
                        <a:noFill/>
                        <a:ln w="6350">
                          <a:noFill/>
                        </a:ln>
                      </wps:spPr>
                      <wps:txbx>
                        <w:txbxContent>
                          <w:p w14:paraId="22F66C97" w14:textId="3B83183B" w:rsidR="00352C44" w:rsidRPr="00255E96" w:rsidRDefault="00352C44" w:rsidP="00814C25">
                            <w:pPr>
                              <w:rPr>
                                <w:color w:val="001D77"/>
                              </w:rPr>
                            </w:pPr>
                            <w:r w:rsidRPr="00255E96">
                              <w:rPr>
                                <w:color w:val="001D77"/>
                                <w:sz w:val="18"/>
                                <w:szCs w:val="18"/>
                              </w:rPr>
                              <w:t>W 2024 r. dla 77,4% osób biernych zawodowo w</w:t>
                            </w:r>
                            <w:r>
                              <w:rPr>
                                <w:color w:val="001D77"/>
                                <w:sz w:val="18"/>
                                <w:szCs w:val="18"/>
                              </w:rPr>
                              <w:t> </w:t>
                            </w:r>
                            <w:r w:rsidRPr="00255E96">
                              <w:rPr>
                                <w:color w:val="001D77"/>
                                <w:sz w:val="18"/>
                                <w:szCs w:val="18"/>
                              </w:rPr>
                              <w:t>wieku 15-34 lata przyczyną bierności była podjęta nauka, uzupełnianie kwalifikacji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4623" id="Pole tekstowe 3" o:spid="_x0000_s1028" type="#_x0000_t202" alt="W 2024 r. dla 77,4% osób biernych zawodowo w wieku 15-34 lata przyczyną bierności była podjęta nauka, uzupełnianie kwalifikacji" style="position:absolute;margin-left:453.15pt;margin-top:32pt;width:123.35pt;height:87.9pt;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" filled="f" stroked="f" strokeweight=".5pt">
                <v:textbox>
                  <w:txbxContent>
                    <w:p w14:paraId="22F66C97" w14:textId="3B83183B" w:rsidR="00352C44" w:rsidRPr="00255E96" w:rsidRDefault="00352C44" w:rsidP="00814C25">
                      <w:pPr>
                        <w:rPr>
                          <w:color w:val="001D77"/>
                        </w:rPr>
                      </w:pPr>
                      <w:r w:rsidRPr="00255E96">
                        <w:rPr>
                          <w:color w:val="001D77"/>
                          <w:sz w:val="18"/>
                          <w:szCs w:val="18"/>
                        </w:rPr>
                        <w:t>W 2024 r. dla 77,4% osób biernych zawodowo w</w:t>
                      </w:r>
                      <w:r>
                        <w:rPr>
                          <w:color w:val="001D77"/>
                          <w:sz w:val="18"/>
                          <w:szCs w:val="18"/>
                        </w:rPr>
                        <w:t> </w:t>
                      </w:r>
                      <w:r w:rsidRPr="00255E96">
                        <w:rPr>
                          <w:color w:val="001D77"/>
                          <w:sz w:val="18"/>
                          <w:szCs w:val="18"/>
                        </w:rPr>
                        <w:t>wieku 15-34 lata przyczyną bierności była podjęta nauka, uzupełnianie kwalifikacji</w:t>
                      </w:r>
                    </w:p>
                  </w:txbxContent>
                </v:textbox>
                <w10:wrap anchorx="page"/>
              </v:shape>
            </w:pict>
          </mc:Fallback>
        </mc:AlternateContent>
      </w:r>
      <w:r w:rsidR="008B2CFC">
        <w:rPr>
          <w:szCs w:val="19"/>
        </w:rPr>
        <w:t>Struktura populacji młodych osób biernych zawodowo (</w:t>
      </w:r>
      <w:r w:rsidR="008B2CFC" w:rsidRPr="00252FFA">
        <w:rPr>
          <w:szCs w:val="19"/>
        </w:rPr>
        <w:t>2 927 tys.</w:t>
      </w:r>
      <w:r w:rsidR="008B2CFC">
        <w:rPr>
          <w:szCs w:val="19"/>
        </w:rPr>
        <w:t>)</w:t>
      </w:r>
      <w:r w:rsidR="008B2CFC" w:rsidRPr="00252FFA">
        <w:rPr>
          <w:szCs w:val="19"/>
        </w:rPr>
        <w:t xml:space="preserve"> </w:t>
      </w:r>
      <w:r w:rsidR="00EB073A">
        <w:rPr>
          <w:szCs w:val="19"/>
        </w:rPr>
        <w:t xml:space="preserve">według wieku </w:t>
      </w:r>
      <w:r w:rsidR="008B2CFC">
        <w:rPr>
          <w:szCs w:val="19"/>
        </w:rPr>
        <w:t xml:space="preserve">układała się następująco: </w:t>
      </w:r>
      <w:r w:rsidR="008B2CFC" w:rsidRPr="00252FFA">
        <w:rPr>
          <w:szCs w:val="19"/>
        </w:rPr>
        <w:t xml:space="preserve">58,5% </w:t>
      </w:r>
      <w:r w:rsidR="008862B4">
        <w:rPr>
          <w:szCs w:val="19"/>
        </w:rPr>
        <w:t xml:space="preserve">to osoby </w:t>
      </w:r>
      <w:r w:rsidR="008B2CFC">
        <w:rPr>
          <w:szCs w:val="19"/>
        </w:rPr>
        <w:t>w wieku 15-</w:t>
      </w:r>
      <w:r w:rsidR="00EB073A">
        <w:rPr>
          <w:szCs w:val="19"/>
        </w:rPr>
        <w:t>19 lat</w:t>
      </w:r>
      <w:r w:rsidR="00902BF3">
        <w:rPr>
          <w:szCs w:val="19"/>
        </w:rPr>
        <w:t>,</w:t>
      </w:r>
      <w:r w:rsidR="00252FFA" w:rsidRPr="00252FFA">
        <w:rPr>
          <w:szCs w:val="19"/>
        </w:rPr>
        <w:t xml:space="preserve"> 23,9% – w wieku 20-24 lata</w:t>
      </w:r>
      <w:r w:rsidR="00EB073A">
        <w:rPr>
          <w:szCs w:val="19"/>
        </w:rPr>
        <w:t xml:space="preserve">, </w:t>
      </w:r>
      <w:r w:rsidR="008A7F26">
        <w:rPr>
          <w:szCs w:val="19"/>
        </w:rPr>
        <w:t>9</w:t>
      </w:r>
      <w:r w:rsidR="00EB073A">
        <w:rPr>
          <w:szCs w:val="19"/>
        </w:rPr>
        <w:t>,</w:t>
      </w:r>
      <w:r w:rsidR="008A7F26">
        <w:rPr>
          <w:szCs w:val="19"/>
        </w:rPr>
        <w:t>0</w:t>
      </w:r>
      <w:r w:rsidR="00EB073A">
        <w:rPr>
          <w:szCs w:val="19"/>
        </w:rPr>
        <w:t>%</w:t>
      </w:r>
      <w:r w:rsidR="0058196A">
        <w:rPr>
          <w:szCs w:val="19"/>
        </w:rPr>
        <w:t xml:space="preserve"> </w:t>
      </w:r>
      <w:r w:rsidR="0058196A" w:rsidRPr="0058196A">
        <w:rPr>
          <w:szCs w:val="19"/>
        </w:rPr>
        <w:t>–</w:t>
      </w:r>
      <w:r w:rsidR="008862B4">
        <w:rPr>
          <w:szCs w:val="19"/>
        </w:rPr>
        <w:t xml:space="preserve"> </w:t>
      </w:r>
      <w:r w:rsidR="00EB073A">
        <w:rPr>
          <w:szCs w:val="19"/>
        </w:rPr>
        <w:t xml:space="preserve">w </w:t>
      </w:r>
      <w:r w:rsidR="00252FFA" w:rsidRPr="00252FFA">
        <w:rPr>
          <w:szCs w:val="19"/>
        </w:rPr>
        <w:t>wieku 25</w:t>
      </w:r>
      <w:r w:rsidR="00252FFA" w:rsidRPr="00252FFA">
        <w:rPr>
          <w:szCs w:val="19"/>
        </w:rPr>
        <w:noBreakHyphen/>
      </w:r>
      <w:r w:rsidR="008A7F26">
        <w:rPr>
          <w:szCs w:val="19"/>
        </w:rPr>
        <w:t>2</w:t>
      </w:r>
      <w:r w:rsidR="00CC11F8">
        <w:rPr>
          <w:szCs w:val="19"/>
        </w:rPr>
        <w:t xml:space="preserve">9 </w:t>
      </w:r>
      <w:r w:rsidR="00252FFA" w:rsidRPr="00252FFA">
        <w:rPr>
          <w:szCs w:val="19"/>
        </w:rPr>
        <w:t>lat</w:t>
      </w:r>
      <w:r w:rsidR="008A7F26">
        <w:rPr>
          <w:szCs w:val="19"/>
        </w:rPr>
        <w:t xml:space="preserve">, 8,6% </w:t>
      </w:r>
      <w:r w:rsidR="008862B4">
        <w:rPr>
          <w:szCs w:val="19"/>
        </w:rPr>
        <w:t xml:space="preserve">- </w:t>
      </w:r>
      <w:r w:rsidR="008A7F26">
        <w:rPr>
          <w:szCs w:val="19"/>
        </w:rPr>
        <w:t xml:space="preserve">w wieku </w:t>
      </w:r>
      <w:r w:rsidR="00CC11F8">
        <w:rPr>
          <w:szCs w:val="19"/>
        </w:rPr>
        <w:t>30-34 lata</w:t>
      </w:r>
      <w:r w:rsidR="00EB073A">
        <w:rPr>
          <w:szCs w:val="19"/>
        </w:rPr>
        <w:t>.</w:t>
      </w:r>
      <w:r w:rsidR="00252FFA" w:rsidRPr="00252FFA">
        <w:rPr>
          <w:szCs w:val="19"/>
        </w:rPr>
        <w:t xml:space="preserve"> </w:t>
      </w:r>
    </w:p>
    <w:p w14:paraId="4D898972" w14:textId="77777777" w:rsidR="00252FFA" w:rsidRPr="00252FFA" w:rsidRDefault="00252FFA" w:rsidP="00A2243F">
      <w:pPr>
        <w:spacing w:before="0" w:line="288" w:lineRule="auto"/>
        <w:rPr>
          <w:szCs w:val="19"/>
        </w:rPr>
      </w:pPr>
      <w:r w:rsidRPr="0041784E">
        <w:rPr>
          <w:szCs w:val="19"/>
        </w:rPr>
        <w:t>Ogólnie dla 77,4% osób biernych zawodowo w wieku 15-34 lata przyczyną bierności była podjęta nauka, uzupełnianie kwalifi</w:t>
      </w:r>
      <w:r w:rsidRPr="0041784E">
        <w:rPr>
          <w:szCs w:val="19"/>
        </w:rPr>
        <w:softHyphen/>
        <w:t>kacji, dla 10</w:t>
      </w:r>
      <w:r w:rsidR="00BE406A" w:rsidRPr="0041784E">
        <w:rPr>
          <w:szCs w:val="19"/>
        </w:rPr>
        <w:t>,0</w:t>
      </w:r>
      <w:r w:rsidRPr="0041784E">
        <w:rPr>
          <w:szCs w:val="19"/>
        </w:rPr>
        <w:t>% – obowiązki rodzinne i związane z</w:t>
      </w:r>
      <w:r w:rsidR="0058196A">
        <w:rPr>
          <w:szCs w:val="19"/>
        </w:rPr>
        <w:t> </w:t>
      </w:r>
      <w:r w:rsidRPr="0041784E">
        <w:rPr>
          <w:szCs w:val="19"/>
        </w:rPr>
        <w:t>prowadzeniem domu (dla kobiet 17,8%), a dla 5,5% – choroba lub niepełnosprawność.</w:t>
      </w:r>
    </w:p>
    <w:p w14:paraId="306AC5CA" w14:textId="77777777" w:rsidR="00074CF4" w:rsidRDefault="00627244" w:rsidP="005E2954">
      <w:pPr>
        <w:spacing w:before="0" w:after="240" w:line="288" w:lineRule="auto"/>
        <w:rPr>
          <w:szCs w:val="19"/>
        </w:rPr>
      </w:pPr>
      <w:r w:rsidRPr="007B5522">
        <w:rPr>
          <w:noProof/>
          <w:lang w:eastAsia="pl-PL"/>
        </w:rPr>
        <mc:AlternateContent>
          <mc:Choice Requires="wps">
            <w:drawing>
              <wp:anchor distT="0" distB="0" distL="114300" distR="114300" simplePos="0" relativeHeight="252046336" behindDoc="0" locked="0" layoutInCell="1" allowOverlap="1" wp14:anchorId="1A495147" wp14:editId="4C01DA1B">
                <wp:simplePos x="0" y="0"/>
                <wp:positionH relativeFrom="page">
                  <wp:posOffset>5744655</wp:posOffset>
                </wp:positionH>
                <wp:positionV relativeFrom="paragraph">
                  <wp:posOffset>389139</wp:posOffset>
                </wp:positionV>
                <wp:extent cx="1666875" cy="1664340"/>
                <wp:effectExtent l="0" t="0" r="0" b="0"/>
                <wp:wrapNone/>
                <wp:docPr id="2" name="Pole tekstowe 2" descr="Współczynnik aktywności ekonomicznej dla populacji osób młodych nieuczących się i niedokształcających się w 2024 r. wyniósł 85,8% i był blisko 2,5-krotnie wyższy niż w grupie młodych kontynuujących edukację lub doszkalających się  "/>
                <wp:cNvGraphicFramePr/>
                <a:graphic xmlns:a="http://schemas.openxmlformats.org/drawingml/2006/main">
                  <a:graphicData uri="http://schemas.microsoft.com/office/word/2010/wordprocessingShape">
                    <wps:wsp>
                      <wps:cNvSpPr txBox="1"/>
                      <wps:spPr>
                        <a:xfrm>
                          <a:off x="0" y="0"/>
                          <a:ext cx="1666875" cy="1664340"/>
                        </a:xfrm>
                        <a:prstGeom prst="rect">
                          <a:avLst/>
                        </a:prstGeom>
                        <a:noFill/>
                        <a:ln w="6350">
                          <a:noFill/>
                        </a:ln>
                      </wps:spPr>
                      <wps:txbx>
                        <w:txbxContent>
                          <w:p w14:paraId="2AA39E4B" w14:textId="77777777" w:rsidR="00352C44" w:rsidRPr="00255E96" w:rsidRDefault="00352C44" w:rsidP="007B5522">
                            <w:pPr>
                              <w:rPr>
                                <w:color w:val="001D77"/>
                              </w:rPr>
                            </w:pPr>
                            <w:r w:rsidRPr="0058196A">
                              <w:rPr>
                                <w:color w:val="001D77"/>
                                <w:sz w:val="18"/>
                                <w:szCs w:val="18"/>
                              </w:rPr>
                              <w:t>Współczynnik aktywności ekonomicznej dla populacji osób młodych nieuczących się i niedokształcających się w 2024 r. wyniósł 85,8% i był blisko 2,5-krotnie wyższy niż w grupie młodych kontynuujących edukację lub doszkalających się</w:t>
                            </w:r>
                            <w:r>
                              <w:rPr>
                                <w:color w:val="001D77"/>
                                <w:sz w:val="18"/>
                                <w:szCs w:val="18"/>
                              </w:rPr>
                              <w:t xml:space="preserve"> </w:t>
                            </w:r>
                            <w:r w:rsidRPr="00255E96">
                              <w:rPr>
                                <w:color w:val="001D77"/>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5147" id="Pole tekstowe 2" o:spid="_x0000_s1029" type="#_x0000_t202" alt="Współczynnik aktywności ekonomicznej dla populacji osób młodych nieuczących się i niedokształcających się w 2024 r. wyniósł 85,8% i był blisko 2,5-krotnie wyższy niż w grupie młodych kontynuujących edukację lub doszkalających się  " style="position:absolute;margin-left:452.35pt;margin-top:30.65pt;width:131.25pt;height:131.05pt;z-index:25204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" filled="f" stroked="f" strokeweight=".5pt">
                <v:textbox>
                  <w:txbxContent>
                    <w:p w14:paraId="2AA39E4B" w14:textId="77777777" w:rsidR="00352C44" w:rsidRPr="00255E96" w:rsidRDefault="00352C44" w:rsidP="007B5522">
                      <w:pPr>
                        <w:rPr>
                          <w:color w:val="001D77"/>
                        </w:rPr>
                      </w:pPr>
                      <w:r w:rsidRPr="0058196A">
                        <w:rPr>
                          <w:color w:val="001D77"/>
                          <w:sz w:val="18"/>
                          <w:szCs w:val="18"/>
                        </w:rPr>
                        <w:t>Współczynnik aktywności ekonomicznej dla populacji osób młodych nieuczących się i niedokształcających się w 2024 r. wyniósł 85,8% i był blisko 2,5-krotnie wyższy niż w grupie młodych kontynuujących edukację lub doszkalających się</w:t>
                      </w:r>
                      <w:r>
                        <w:rPr>
                          <w:color w:val="001D77"/>
                          <w:sz w:val="18"/>
                          <w:szCs w:val="18"/>
                        </w:rPr>
                        <w:t xml:space="preserve"> </w:t>
                      </w:r>
                      <w:r w:rsidRPr="00255E96">
                        <w:rPr>
                          <w:color w:val="001D77"/>
                          <w:sz w:val="18"/>
                          <w:szCs w:val="18"/>
                        </w:rPr>
                        <w:t xml:space="preserve"> </w:t>
                      </w:r>
                    </w:p>
                  </w:txbxContent>
                </v:textbox>
                <w10:wrap anchorx="page"/>
              </v:shape>
            </w:pict>
          </mc:Fallback>
        </mc:AlternateContent>
      </w:r>
      <w:r w:rsidR="00252FFA" w:rsidRPr="00252FFA">
        <w:rPr>
          <w:szCs w:val="19"/>
        </w:rPr>
        <w:t xml:space="preserve">Na aktywność ekonomiczną osób młodych istotny wpływ ma fakt </w:t>
      </w:r>
      <w:r w:rsidR="00453A8F">
        <w:rPr>
          <w:szCs w:val="19"/>
        </w:rPr>
        <w:t>czy kontynuują one naukę</w:t>
      </w:r>
      <w:r w:rsidR="00252FFA" w:rsidRPr="00252FFA">
        <w:rPr>
          <w:szCs w:val="19"/>
        </w:rPr>
        <w:t>. Współczynnik aktywności ekonomicznej dla osób młodych jest wyraźnie wyższy w</w:t>
      </w:r>
      <w:r w:rsidR="00A2243F">
        <w:rPr>
          <w:szCs w:val="19"/>
        </w:rPr>
        <w:t> </w:t>
      </w:r>
      <w:r w:rsidR="00252FFA" w:rsidRPr="00252FFA">
        <w:rPr>
          <w:szCs w:val="19"/>
        </w:rPr>
        <w:t xml:space="preserve">grupie osób nieuczących </w:t>
      </w:r>
      <w:r w:rsidR="00C93CF3">
        <w:rPr>
          <w:szCs w:val="19"/>
        </w:rPr>
        <w:t xml:space="preserve">się </w:t>
      </w:r>
      <w:r w:rsidR="00252FFA" w:rsidRPr="00252FFA">
        <w:rPr>
          <w:szCs w:val="19"/>
        </w:rPr>
        <w:t>i niedokształcających się, w 2024 r. wynosił on 8</w:t>
      </w:r>
      <w:r w:rsidR="00A46FC2">
        <w:rPr>
          <w:szCs w:val="19"/>
        </w:rPr>
        <w:t>5</w:t>
      </w:r>
      <w:r w:rsidR="00252FFA" w:rsidRPr="00252FFA">
        <w:rPr>
          <w:szCs w:val="19"/>
        </w:rPr>
        <w:t xml:space="preserve">,8%  wobec </w:t>
      </w:r>
      <w:r w:rsidR="00A46FC2">
        <w:rPr>
          <w:szCs w:val="19"/>
        </w:rPr>
        <w:t>34,9</w:t>
      </w:r>
      <w:r w:rsidR="00252FFA" w:rsidRPr="00252FFA">
        <w:rPr>
          <w:szCs w:val="19"/>
        </w:rPr>
        <w:t xml:space="preserve">% dla osób uczących </w:t>
      </w:r>
      <w:r w:rsidR="00F41D95">
        <w:rPr>
          <w:szCs w:val="19"/>
        </w:rPr>
        <w:t>się w formalnym systemie edukacji</w:t>
      </w:r>
      <w:r w:rsidR="00A46FC2">
        <w:rPr>
          <w:szCs w:val="19"/>
        </w:rPr>
        <w:t xml:space="preserve"> lub dokształca</w:t>
      </w:r>
      <w:r w:rsidR="005A2477">
        <w:rPr>
          <w:szCs w:val="19"/>
        </w:rPr>
        <w:t>jących</w:t>
      </w:r>
      <w:r w:rsidR="00252FFA" w:rsidRPr="00252FFA">
        <w:rPr>
          <w:szCs w:val="19"/>
        </w:rPr>
        <w:t xml:space="preserve"> się (poza formalnym systemem edukacji). Taką samą prawidłowość obserwuje się dla wskaźnika zatrudnienia (odpowiednio: 8</w:t>
      </w:r>
      <w:r w:rsidR="00A46FC2">
        <w:rPr>
          <w:szCs w:val="19"/>
        </w:rPr>
        <w:t>1</w:t>
      </w:r>
      <w:r w:rsidR="00252FFA" w:rsidRPr="00252FFA">
        <w:rPr>
          <w:szCs w:val="19"/>
        </w:rPr>
        <w:t>,</w:t>
      </w:r>
      <w:r w:rsidR="00A46FC2">
        <w:rPr>
          <w:szCs w:val="19"/>
        </w:rPr>
        <w:t>1</w:t>
      </w:r>
      <w:r w:rsidR="00252FFA" w:rsidRPr="00252FFA">
        <w:rPr>
          <w:szCs w:val="19"/>
        </w:rPr>
        <w:t>%</w:t>
      </w:r>
      <w:r w:rsidR="00A46FC2">
        <w:rPr>
          <w:szCs w:val="19"/>
        </w:rPr>
        <w:t xml:space="preserve"> wobec 33,5</w:t>
      </w:r>
      <w:r w:rsidR="00252FFA" w:rsidRPr="00252FFA">
        <w:rPr>
          <w:szCs w:val="19"/>
        </w:rPr>
        <w:t>%).</w:t>
      </w:r>
      <w:r w:rsidR="00A46FC2">
        <w:rPr>
          <w:szCs w:val="19"/>
        </w:rPr>
        <w:t xml:space="preserve"> </w:t>
      </w:r>
    </w:p>
    <w:tbl>
      <w:tblPr>
        <w:tblStyle w:val="Tabela-Siatka"/>
        <w:tblpPr w:leftFromText="141" w:rightFromText="141" w:vertAnchor="text" w:horzAnchor="margin" w:tblpY="870"/>
        <w:tblW w:w="8080" w:type="dxa"/>
        <w:tblBorders>
          <w:top w:val="single" w:sz="4" w:space="0" w:color="001D77"/>
          <w:left w:val="none" w:sz="0" w:space="0" w:color="auto"/>
          <w:bottom w:val="single" w:sz="4" w:space="0" w:color="001D77"/>
          <w:right w:val="none" w:sz="0" w:space="0" w:color="auto"/>
          <w:insideH w:val="single" w:sz="4" w:space="0" w:color="001D77"/>
          <w:insideV w:val="single" w:sz="4" w:space="0" w:color="001D77"/>
        </w:tblBorders>
        <w:tblLayout w:type="fixed"/>
        <w:tblLook w:val="04A0" w:firstRow="1" w:lastRow="0" w:firstColumn="1" w:lastColumn="0" w:noHBand="0" w:noVBand="1"/>
      </w:tblPr>
      <w:tblGrid>
        <w:gridCol w:w="879"/>
        <w:gridCol w:w="681"/>
        <w:gridCol w:w="567"/>
        <w:gridCol w:w="850"/>
        <w:gridCol w:w="992"/>
        <w:gridCol w:w="993"/>
        <w:gridCol w:w="1134"/>
        <w:gridCol w:w="1134"/>
        <w:gridCol w:w="850"/>
      </w:tblGrid>
      <w:tr w:rsidR="00033D90" w:rsidRPr="003E09BC" w14:paraId="37C005FF" w14:textId="77777777" w:rsidTr="00033D90">
        <w:trPr>
          <w:trHeight w:val="261"/>
        </w:trPr>
        <w:tc>
          <w:tcPr>
            <w:tcW w:w="879" w:type="dxa"/>
            <w:vMerge w:val="restart"/>
            <w:vAlign w:val="center"/>
          </w:tcPr>
          <w:p w14:paraId="0B329507" w14:textId="77777777" w:rsidR="00033D90" w:rsidRPr="00255E96" w:rsidRDefault="00033D90" w:rsidP="00033D90">
            <w:pPr>
              <w:spacing w:before="0" w:after="0"/>
              <w:ind w:left="-108" w:right="-77"/>
              <w:jc w:val="center"/>
              <w:rPr>
                <w:rFonts w:cs="Arial"/>
                <w:sz w:val="16"/>
                <w:szCs w:val="16"/>
              </w:rPr>
            </w:pPr>
            <w:bookmarkStart w:id="4" w:name="_Hlk207194922"/>
            <w:bookmarkStart w:id="5" w:name="_Hlk207274737"/>
            <w:r w:rsidRPr="00255E96">
              <w:rPr>
                <w:rFonts w:cs="Arial"/>
                <w:sz w:val="16"/>
                <w:szCs w:val="16"/>
              </w:rPr>
              <w:t>Wiek</w:t>
            </w:r>
          </w:p>
        </w:tc>
        <w:tc>
          <w:tcPr>
            <w:tcW w:w="681" w:type="dxa"/>
            <w:vMerge w:val="restart"/>
            <w:vAlign w:val="center"/>
          </w:tcPr>
          <w:p w14:paraId="2E8BDB53" w14:textId="77777777" w:rsidR="00033D90" w:rsidRPr="00255E96" w:rsidRDefault="00033D90" w:rsidP="00033D90">
            <w:pPr>
              <w:spacing w:before="0" w:after="0"/>
              <w:ind w:left="-66" w:right="-42"/>
              <w:jc w:val="center"/>
              <w:rPr>
                <w:rFonts w:cs="Arial"/>
                <w:sz w:val="16"/>
                <w:szCs w:val="16"/>
              </w:rPr>
            </w:pPr>
            <w:r w:rsidRPr="00255E96">
              <w:rPr>
                <w:rFonts w:cs="Arial"/>
                <w:sz w:val="16"/>
                <w:szCs w:val="16"/>
              </w:rPr>
              <w:t>Ogółem</w:t>
            </w:r>
          </w:p>
        </w:tc>
        <w:tc>
          <w:tcPr>
            <w:tcW w:w="2409" w:type="dxa"/>
            <w:gridSpan w:val="3"/>
            <w:vAlign w:val="center"/>
          </w:tcPr>
          <w:p w14:paraId="4669D851" w14:textId="77777777" w:rsidR="00033D90" w:rsidRPr="00255E96" w:rsidRDefault="00033D90" w:rsidP="00033D90">
            <w:pPr>
              <w:spacing w:before="0" w:after="0"/>
              <w:ind w:left="-46" w:right="-158"/>
              <w:jc w:val="center"/>
              <w:rPr>
                <w:rFonts w:cs="Arial"/>
                <w:sz w:val="16"/>
                <w:szCs w:val="16"/>
              </w:rPr>
            </w:pPr>
            <w:r w:rsidRPr="00255E96">
              <w:rPr>
                <w:rFonts w:cs="Arial"/>
                <w:sz w:val="16"/>
                <w:szCs w:val="16"/>
              </w:rPr>
              <w:t>Aktywni zawodowo</w:t>
            </w:r>
          </w:p>
        </w:tc>
        <w:tc>
          <w:tcPr>
            <w:tcW w:w="993" w:type="dxa"/>
            <w:vMerge w:val="restart"/>
            <w:vAlign w:val="center"/>
          </w:tcPr>
          <w:p w14:paraId="659C7B1B" w14:textId="77777777" w:rsidR="00033D90" w:rsidRPr="00255E96" w:rsidRDefault="00033D90" w:rsidP="00033D90">
            <w:pPr>
              <w:spacing w:before="0" w:after="0"/>
              <w:ind w:left="-109" w:right="-127"/>
              <w:jc w:val="center"/>
              <w:rPr>
                <w:rFonts w:cs="Arial"/>
                <w:sz w:val="16"/>
                <w:szCs w:val="16"/>
              </w:rPr>
            </w:pPr>
            <w:r w:rsidRPr="00255E96">
              <w:rPr>
                <w:rFonts w:cs="Arial"/>
                <w:sz w:val="16"/>
                <w:szCs w:val="16"/>
              </w:rPr>
              <w:t>Bierni zawodowo</w:t>
            </w:r>
          </w:p>
        </w:tc>
        <w:tc>
          <w:tcPr>
            <w:tcW w:w="1134" w:type="dxa"/>
            <w:vMerge w:val="restart"/>
            <w:vAlign w:val="center"/>
          </w:tcPr>
          <w:p w14:paraId="3F2BB94A" w14:textId="77777777" w:rsidR="00033D90" w:rsidRPr="00255E96" w:rsidRDefault="00033D90" w:rsidP="00033D90">
            <w:pPr>
              <w:spacing w:before="0" w:after="0"/>
              <w:ind w:left="-107" w:right="-137"/>
              <w:jc w:val="center"/>
              <w:rPr>
                <w:rFonts w:cs="Arial"/>
                <w:sz w:val="16"/>
                <w:szCs w:val="16"/>
              </w:rPr>
            </w:pPr>
            <w:r w:rsidRPr="00255E96">
              <w:rPr>
                <w:rFonts w:cs="Arial"/>
                <w:sz w:val="16"/>
                <w:szCs w:val="16"/>
              </w:rPr>
              <w:t>Współczynnik aktywności zawodowej</w:t>
            </w:r>
          </w:p>
        </w:tc>
        <w:tc>
          <w:tcPr>
            <w:tcW w:w="1134" w:type="dxa"/>
            <w:vMerge w:val="restart"/>
            <w:vAlign w:val="center"/>
          </w:tcPr>
          <w:p w14:paraId="0B7016BD" w14:textId="77777777" w:rsidR="00033D90" w:rsidRPr="00255E96" w:rsidRDefault="00033D90" w:rsidP="00033D90">
            <w:pPr>
              <w:spacing w:before="0" w:after="0"/>
              <w:ind w:left="-105" w:right="-81"/>
              <w:jc w:val="center"/>
              <w:rPr>
                <w:rFonts w:cs="Arial"/>
                <w:sz w:val="16"/>
                <w:szCs w:val="16"/>
              </w:rPr>
            </w:pPr>
            <w:r w:rsidRPr="00255E96">
              <w:rPr>
                <w:rFonts w:cs="Arial"/>
                <w:sz w:val="16"/>
                <w:szCs w:val="16"/>
              </w:rPr>
              <w:t>Wskaźnik zatrudnienia</w:t>
            </w:r>
          </w:p>
        </w:tc>
        <w:tc>
          <w:tcPr>
            <w:tcW w:w="850" w:type="dxa"/>
            <w:vMerge w:val="restart"/>
            <w:vAlign w:val="center"/>
          </w:tcPr>
          <w:p w14:paraId="662515BE" w14:textId="77777777" w:rsidR="00033D90" w:rsidRPr="00255E96" w:rsidRDefault="00033D90" w:rsidP="00033D90">
            <w:pPr>
              <w:spacing w:before="0" w:after="0"/>
              <w:ind w:left="-111" w:right="-106"/>
              <w:jc w:val="center"/>
              <w:rPr>
                <w:rFonts w:cs="Arial"/>
                <w:sz w:val="16"/>
                <w:szCs w:val="16"/>
              </w:rPr>
            </w:pPr>
            <w:r w:rsidRPr="00255E96">
              <w:rPr>
                <w:rFonts w:cs="Arial"/>
                <w:sz w:val="16"/>
                <w:szCs w:val="16"/>
              </w:rPr>
              <w:t>Stopa bezrobocia</w:t>
            </w:r>
          </w:p>
        </w:tc>
      </w:tr>
      <w:tr w:rsidR="00033D90" w:rsidRPr="003E09BC" w14:paraId="439E1AD7" w14:textId="77777777" w:rsidTr="00033D90">
        <w:trPr>
          <w:trHeight w:val="406"/>
        </w:trPr>
        <w:tc>
          <w:tcPr>
            <w:tcW w:w="879" w:type="dxa"/>
            <w:vMerge/>
            <w:vAlign w:val="center"/>
          </w:tcPr>
          <w:p w14:paraId="5CB2D7A9" w14:textId="77777777" w:rsidR="00033D90" w:rsidRPr="00255E96" w:rsidRDefault="00033D90" w:rsidP="00033D90">
            <w:pPr>
              <w:spacing w:before="0" w:after="0"/>
              <w:jc w:val="center"/>
              <w:rPr>
                <w:rFonts w:cs="Arial"/>
                <w:sz w:val="16"/>
                <w:szCs w:val="16"/>
              </w:rPr>
            </w:pPr>
          </w:p>
        </w:tc>
        <w:tc>
          <w:tcPr>
            <w:tcW w:w="681" w:type="dxa"/>
            <w:vMerge/>
            <w:vAlign w:val="center"/>
          </w:tcPr>
          <w:p w14:paraId="540847EF" w14:textId="77777777" w:rsidR="00033D90" w:rsidRPr="00255E96" w:rsidRDefault="00033D90" w:rsidP="00033D90">
            <w:pPr>
              <w:spacing w:before="0" w:after="0"/>
              <w:jc w:val="center"/>
              <w:rPr>
                <w:rFonts w:cs="Arial"/>
                <w:sz w:val="16"/>
                <w:szCs w:val="16"/>
              </w:rPr>
            </w:pPr>
          </w:p>
        </w:tc>
        <w:tc>
          <w:tcPr>
            <w:tcW w:w="567" w:type="dxa"/>
            <w:vAlign w:val="center"/>
          </w:tcPr>
          <w:p w14:paraId="5CBC77FC" w14:textId="77777777" w:rsidR="00033D90" w:rsidRPr="00255E96" w:rsidRDefault="00033D90" w:rsidP="00033D90">
            <w:pPr>
              <w:spacing w:before="0" w:after="0"/>
              <w:ind w:left="-46" w:right="-54"/>
              <w:jc w:val="center"/>
              <w:rPr>
                <w:rFonts w:cs="Arial"/>
                <w:sz w:val="16"/>
                <w:szCs w:val="16"/>
              </w:rPr>
            </w:pPr>
            <w:r w:rsidRPr="00255E96">
              <w:rPr>
                <w:rFonts w:cs="Arial"/>
                <w:sz w:val="16"/>
                <w:szCs w:val="16"/>
              </w:rPr>
              <w:t>razem</w:t>
            </w:r>
          </w:p>
        </w:tc>
        <w:tc>
          <w:tcPr>
            <w:tcW w:w="850" w:type="dxa"/>
            <w:vAlign w:val="center"/>
          </w:tcPr>
          <w:p w14:paraId="4553E86C" w14:textId="77777777" w:rsidR="00033D90" w:rsidRPr="00255E96" w:rsidRDefault="00033D90" w:rsidP="00033D90">
            <w:pPr>
              <w:spacing w:before="0" w:after="0"/>
              <w:ind w:left="-104" w:right="-81"/>
              <w:jc w:val="center"/>
              <w:rPr>
                <w:rFonts w:cs="Arial"/>
                <w:sz w:val="16"/>
                <w:szCs w:val="16"/>
              </w:rPr>
            </w:pPr>
            <w:r w:rsidRPr="00255E96">
              <w:rPr>
                <w:rFonts w:cs="Arial"/>
                <w:sz w:val="16"/>
                <w:szCs w:val="16"/>
              </w:rPr>
              <w:t>pracujący</w:t>
            </w:r>
          </w:p>
        </w:tc>
        <w:tc>
          <w:tcPr>
            <w:tcW w:w="992" w:type="dxa"/>
            <w:vAlign w:val="center"/>
          </w:tcPr>
          <w:p w14:paraId="3F0843F6" w14:textId="77777777" w:rsidR="00033D90" w:rsidRPr="00255E96" w:rsidRDefault="00033D90" w:rsidP="00033D90">
            <w:pPr>
              <w:spacing w:before="0" w:after="0"/>
              <w:ind w:left="-110" w:right="-158"/>
              <w:jc w:val="center"/>
              <w:rPr>
                <w:rFonts w:cs="Arial"/>
                <w:sz w:val="16"/>
                <w:szCs w:val="16"/>
              </w:rPr>
            </w:pPr>
            <w:r w:rsidRPr="00255E96">
              <w:rPr>
                <w:rFonts w:cs="Arial"/>
                <w:sz w:val="16"/>
                <w:szCs w:val="16"/>
              </w:rPr>
              <w:t>bezrobotni</w:t>
            </w:r>
          </w:p>
        </w:tc>
        <w:tc>
          <w:tcPr>
            <w:tcW w:w="993" w:type="dxa"/>
            <w:vMerge/>
            <w:vAlign w:val="center"/>
          </w:tcPr>
          <w:p w14:paraId="3B240E35" w14:textId="77777777" w:rsidR="00033D90" w:rsidRPr="00255E96" w:rsidRDefault="00033D90" w:rsidP="00033D90">
            <w:pPr>
              <w:spacing w:before="0" w:after="0"/>
              <w:jc w:val="center"/>
              <w:rPr>
                <w:rFonts w:cs="Arial"/>
                <w:sz w:val="16"/>
                <w:szCs w:val="16"/>
              </w:rPr>
            </w:pPr>
          </w:p>
        </w:tc>
        <w:tc>
          <w:tcPr>
            <w:tcW w:w="1134" w:type="dxa"/>
            <w:vMerge/>
            <w:vAlign w:val="center"/>
          </w:tcPr>
          <w:p w14:paraId="7141D8EC" w14:textId="77777777" w:rsidR="00033D90" w:rsidRPr="00255E96" w:rsidRDefault="00033D90" w:rsidP="00033D90">
            <w:pPr>
              <w:spacing w:before="0" w:after="0"/>
              <w:jc w:val="center"/>
              <w:rPr>
                <w:rFonts w:cs="Arial"/>
                <w:sz w:val="16"/>
                <w:szCs w:val="16"/>
              </w:rPr>
            </w:pPr>
          </w:p>
        </w:tc>
        <w:tc>
          <w:tcPr>
            <w:tcW w:w="1134" w:type="dxa"/>
            <w:vMerge/>
            <w:vAlign w:val="center"/>
          </w:tcPr>
          <w:p w14:paraId="062BD57E" w14:textId="77777777" w:rsidR="00033D90" w:rsidRPr="00255E96" w:rsidRDefault="00033D90" w:rsidP="00033D90">
            <w:pPr>
              <w:spacing w:before="0" w:after="0"/>
              <w:jc w:val="center"/>
              <w:rPr>
                <w:rFonts w:cs="Arial"/>
                <w:sz w:val="16"/>
                <w:szCs w:val="16"/>
              </w:rPr>
            </w:pPr>
          </w:p>
        </w:tc>
        <w:tc>
          <w:tcPr>
            <w:tcW w:w="850" w:type="dxa"/>
            <w:vMerge/>
            <w:vAlign w:val="center"/>
          </w:tcPr>
          <w:p w14:paraId="5AA9EAB5" w14:textId="77777777" w:rsidR="00033D90" w:rsidRPr="00255E96" w:rsidRDefault="00033D90" w:rsidP="00033D90">
            <w:pPr>
              <w:spacing w:before="0" w:after="0"/>
              <w:jc w:val="center"/>
              <w:rPr>
                <w:rFonts w:cs="Arial"/>
                <w:sz w:val="16"/>
                <w:szCs w:val="16"/>
              </w:rPr>
            </w:pPr>
          </w:p>
        </w:tc>
      </w:tr>
      <w:tr w:rsidR="00033D90" w:rsidRPr="003E09BC" w14:paraId="2F87AEAA" w14:textId="77777777" w:rsidTr="00033D90">
        <w:trPr>
          <w:trHeight w:val="271"/>
        </w:trPr>
        <w:tc>
          <w:tcPr>
            <w:tcW w:w="879" w:type="dxa"/>
            <w:vMerge/>
            <w:vAlign w:val="center"/>
          </w:tcPr>
          <w:p w14:paraId="237871F7" w14:textId="77777777" w:rsidR="00033D90" w:rsidRPr="00255E96" w:rsidRDefault="00033D90" w:rsidP="00033D90">
            <w:pPr>
              <w:spacing w:before="0" w:after="0"/>
              <w:jc w:val="center"/>
              <w:rPr>
                <w:rFonts w:cs="Arial"/>
                <w:sz w:val="16"/>
                <w:szCs w:val="16"/>
              </w:rPr>
            </w:pPr>
          </w:p>
        </w:tc>
        <w:tc>
          <w:tcPr>
            <w:tcW w:w="4083" w:type="dxa"/>
            <w:gridSpan w:val="5"/>
            <w:tcBorders>
              <w:bottom w:val="single" w:sz="4" w:space="0" w:color="001D77"/>
            </w:tcBorders>
            <w:vAlign w:val="center"/>
          </w:tcPr>
          <w:p w14:paraId="5EB8CB9F" w14:textId="77777777" w:rsidR="00033D90" w:rsidRPr="00255E96" w:rsidRDefault="00033D90" w:rsidP="00033D90">
            <w:pPr>
              <w:spacing w:before="0" w:after="0"/>
              <w:jc w:val="center"/>
              <w:rPr>
                <w:rFonts w:cs="Arial"/>
                <w:sz w:val="16"/>
                <w:szCs w:val="16"/>
              </w:rPr>
            </w:pPr>
            <w:r w:rsidRPr="00255E96">
              <w:rPr>
                <w:rFonts w:cs="Arial"/>
                <w:sz w:val="16"/>
                <w:szCs w:val="16"/>
              </w:rPr>
              <w:t>w tysiącach</w:t>
            </w:r>
          </w:p>
        </w:tc>
        <w:tc>
          <w:tcPr>
            <w:tcW w:w="3118" w:type="dxa"/>
            <w:gridSpan w:val="3"/>
            <w:tcBorders>
              <w:bottom w:val="single" w:sz="4" w:space="0" w:color="001D77"/>
            </w:tcBorders>
            <w:vAlign w:val="center"/>
          </w:tcPr>
          <w:p w14:paraId="72688A1F" w14:textId="77777777" w:rsidR="00033D90" w:rsidRPr="00255E96" w:rsidRDefault="00033D90" w:rsidP="00033D90">
            <w:pPr>
              <w:spacing w:before="0" w:after="0"/>
              <w:jc w:val="center"/>
              <w:rPr>
                <w:rFonts w:cs="Arial"/>
                <w:sz w:val="16"/>
                <w:szCs w:val="16"/>
              </w:rPr>
            </w:pPr>
            <w:r w:rsidRPr="00255E96">
              <w:rPr>
                <w:rFonts w:cs="Arial"/>
                <w:sz w:val="16"/>
                <w:szCs w:val="16"/>
              </w:rPr>
              <w:t>w %</w:t>
            </w:r>
          </w:p>
        </w:tc>
      </w:tr>
      <w:tr w:rsidR="00033D90" w:rsidRPr="003E09BC" w14:paraId="27D06A08" w14:textId="77777777" w:rsidTr="00033D90">
        <w:trPr>
          <w:trHeight w:val="274"/>
        </w:trPr>
        <w:tc>
          <w:tcPr>
            <w:tcW w:w="879" w:type="dxa"/>
            <w:tcBorders>
              <w:right w:val="single" w:sz="4" w:space="0" w:color="001D77"/>
            </w:tcBorders>
            <w:shd w:val="clear" w:color="auto" w:fill="auto"/>
            <w:vAlign w:val="bottom"/>
          </w:tcPr>
          <w:p w14:paraId="03447CB7" w14:textId="77777777" w:rsidR="00033D90" w:rsidRPr="00255E96" w:rsidRDefault="00033D90" w:rsidP="00033D90">
            <w:pPr>
              <w:spacing w:before="0" w:after="0"/>
              <w:rPr>
                <w:rFonts w:cs="Arial"/>
                <w:b/>
                <w:bCs/>
                <w:sz w:val="16"/>
                <w:szCs w:val="16"/>
              </w:rPr>
            </w:pPr>
            <w:r w:rsidRPr="00255E96">
              <w:rPr>
                <w:rFonts w:cs="Arial"/>
                <w:b/>
                <w:bCs/>
                <w:sz w:val="16"/>
                <w:szCs w:val="16"/>
              </w:rPr>
              <w:t xml:space="preserve">OGÓŁEM                                                                                                                                                                                                                                                      </w:t>
            </w:r>
          </w:p>
        </w:tc>
        <w:tc>
          <w:tcPr>
            <w:tcW w:w="68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5711A7F" w14:textId="77777777" w:rsidR="00033D90" w:rsidRPr="00255E96" w:rsidRDefault="00033D90" w:rsidP="00033D90">
            <w:pPr>
              <w:spacing w:before="0" w:after="0"/>
              <w:jc w:val="right"/>
              <w:rPr>
                <w:rFonts w:cs="Calibri"/>
                <w:b/>
                <w:bCs/>
                <w:sz w:val="16"/>
                <w:szCs w:val="16"/>
              </w:rPr>
            </w:pPr>
            <w:r w:rsidRPr="00255E96">
              <w:rPr>
                <w:rFonts w:cs="Arial"/>
                <w:b/>
                <w:color w:val="000000"/>
                <w:sz w:val="16"/>
                <w:szCs w:val="16"/>
              </w:rPr>
              <w:t>4358</w:t>
            </w:r>
          </w:p>
        </w:tc>
        <w:tc>
          <w:tcPr>
            <w:tcW w:w="56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F1265D0" w14:textId="77777777" w:rsidR="00033D90" w:rsidRPr="00255E96" w:rsidRDefault="00033D90" w:rsidP="00033D90">
            <w:pPr>
              <w:spacing w:before="0" w:after="0"/>
              <w:jc w:val="right"/>
              <w:rPr>
                <w:rFonts w:cs="Calibri"/>
                <w:b/>
                <w:bCs/>
                <w:sz w:val="16"/>
                <w:szCs w:val="16"/>
              </w:rPr>
            </w:pPr>
            <w:r w:rsidRPr="00255E96">
              <w:rPr>
                <w:rFonts w:cs="Calibri"/>
                <w:b/>
                <w:bCs/>
                <w:sz w:val="16"/>
                <w:szCs w:val="16"/>
              </w:rPr>
              <w:t>3737</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FD8A7B7" w14:textId="77777777" w:rsidR="00033D90" w:rsidRPr="00255E96" w:rsidRDefault="00033D90" w:rsidP="00033D90">
            <w:pPr>
              <w:spacing w:before="0" w:after="0"/>
              <w:jc w:val="right"/>
              <w:rPr>
                <w:rFonts w:cs="Calibri"/>
                <w:b/>
                <w:bCs/>
                <w:sz w:val="16"/>
                <w:szCs w:val="16"/>
              </w:rPr>
            </w:pPr>
            <w:r w:rsidRPr="00255E96">
              <w:rPr>
                <w:rFonts w:cs="Arial"/>
                <w:b/>
                <w:color w:val="000000"/>
                <w:sz w:val="16"/>
                <w:szCs w:val="16"/>
              </w:rPr>
              <w:t>3534</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5A6F870" w14:textId="77777777" w:rsidR="00033D90" w:rsidRPr="00255E96" w:rsidRDefault="00033D90" w:rsidP="00033D90">
            <w:pPr>
              <w:spacing w:before="0" w:after="0"/>
              <w:jc w:val="right"/>
              <w:rPr>
                <w:rFonts w:cs="Calibri"/>
                <w:b/>
                <w:bCs/>
                <w:sz w:val="16"/>
                <w:szCs w:val="16"/>
              </w:rPr>
            </w:pPr>
            <w:r w:rsidRPr="00255E96">
              <w:rPr>
                <w:rFonts w:cs="Arial"/>
                <w:b/>
                <w:color w:val="000000"/>
                <w:sz w:val="16"/>
                <w:szCs w:val="16"/>
              </w:rPr>
              <w:t>203</w:t>
            </w:r>
          </w:p>
        </w:tc>
        <w:tc>
          <w:tcPr>
            <w:tcW w:w="99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195BC2D" w14:textId="77777777" w:rsidR="00033D90" w:rsidRPr="00255E96" w:rsidRDefault="00033D90" w:rsidP="00033D90">
            <w:pPr>
              <w:spacing w:before="0" w:after="0"/>
              <w:jc w:val="right"/>
              <w:rPr>
                <w:rFonts w:cs="Calibri"/>
                <w:b/>
                <w:bCs/>
                <w:sz w:val="16"/>
                <w:szCs w:val="16"/>
              </w:rPr>
            </w:pPr>
            <w:r w:rsidRPr="00255E96">
              <w:rPr>
                <w:rFonts w:cs="Arial"/>
                <w:b/>
                <w:color w:val="000000"/>
                <w:sz w:val="16"/>
                <w:szCs w:val="16"/>
              </w:rPr>
              <w:t>621</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860DBDE" w14:textId="77777777" w:rsidR="00033D90" w:rsidRPr="00255E96" w:rsidRDefault="00033D90" w:rsidP="00033D90">
            <w:pPr>
              <w:spacing w:before="0" w:after="0"/>
              <w:jc w:val="right"/>
              <w:rPr>
                <w:rFonts w:cs="Calibri"/>
                <w:b/>
                <w:bCs/>
                <w:sz w:val="16"/>
                <w:szCs w:val="16"/>
              </w:rPr>
            </w:pPr>
            <w:r w:rsidRPr="00255E96">
              <w:rPr>
                <w:rFonts w:cs="Arial"/>
                <w:b/>
                <w:color w:val="000000"/>
                <w:sz w:val="16"/>
                <w:szCs w:val="16"/>
              </w:rPr>
              <w:t>85,8</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6DFC578" w14:textId="77777777" w:rsidR="00033D90" w:rsidRPr="00255E96" w:rsidRDefault="00033D90" w:rsidP="00033D90">
            <w:pPr>
              <w:spacing w:before="0" w:after="0"/>
              <w:jc w:val="right"/>
              <w:rPr>
                <w:rFonts w:cs="Calibri"/>
                <w:b/>
                <w:bCs/>
                <w:sz w:val="16"/>
                <w:szCs w:val="16"/>
              </w:rPr>
            </w:pPr>
            <w:r w:rsidRPr="00255E96">
              <w:rPr>
                <w:rFonts w:cs="Arial"/>
                <w:b/>
                <w:color w:val="000000"/>
                <w:sz w:val="16"/>
                <w:szCs w:val="16"/>
              </w:rPr>
              <w:t>81,1</w:t>
            </w:r>
          </w:p>
        </w:tc>
        <w:tc>
          <w:tcPr>
            <w:tcW w:w="850" w:type="dxa"/>
            <w:tcBorders>
              <w:top w:val="single" w:sz="4" w:space="0" w:color="001D77"/>
              <w:left w:val="single" w:sz="4" w:space="0" w:color="001D77"/>
              <w:bottom w:val="single" w:sz="4" w:space="0" w:color="001D77"/>
              <w:right w:val="nil"/>
            </w:tcBorders>
            <w:shd w:val="clear" w:color="auto" w:fill="auto"/>
            <w:vAlign w:val="bottom"/>
          </w:tcPr>
          <w:p w14:paraId="21A73CB3" w14:textId="77777777" w:rsidR="00033D90" w:rsidRPr="00255E96" w:rsidRDefault="00033D90" w:rsidP="00033D90">
            <w:pPr>
              <w:spacing w:before="0" w:after="0"/>
              <w:jc w:val="right"/>
              <w:rPr>
                <w:rFonts w:cs="Calibri"/>
                <w:b/>
                <w:bCs/>
                <w:sz w:val="16"/>
                <w:szCs w:val="16"/>
              </w:rPr>
            </w:pPr>
            <w:r w:rsidRPr="00255E96">
              <w:rPr>
                <w:rFonts w:cs="Arial"/>
                <w:b/>
                <w:color w:val="000000"/>
                <w:sz w:val="16"/>
                <w:szCs w:val="16"/>
              </w:rPr>
              <w:t>5,4</w:t>
            </w:r>
          </w:p>
        </w:tc>
      </w:tr>
      <w:tr w:rsidR="00033D90" w:rsidRPr="003E09BC" w14:paraId="582C1E1E" w14:textId="77777777" w:rsidTr="00033D90">
        <w:trPr>
          <w:trHeight w:val="292"/>
        </w:trPr>
        <w:tc>
          <w:tcPr>
            <w:tcW w:w="879" w:type="dxa"/>
            <w:shd w:val="clear" w:color="auto" w:fill="auto"/>
            <w:vAlign w:val="bottom"/>
          </w:tcPr>
          <w:p w14:paraId="018087EE" w14:textId="77777777" w:rsidR="00033D90" w:rsidRPr="00255E96" w:rsidRDefault="00033D90" w:rsidP="00033D90">
            <w:pPr>
              <w:spacing w:before="0" w:after="0"/>
              <w:rPr>
                <w:rFonts w:cs="Arial"/>
                <w:sz w:val="16"/>
                <w:szCs w:val="16"/>
              </w:rPr>
            </w:pPr>
            <w:r w:rsidRPr="00255E96">
              <w:rPr>
                <w:rFonts w:cs="Arial"/>
                <w:sz w:val="16"/>
                <w:szCs w:val="16"/>
              </w:rPr>
              <w:t xml:space="preserve">15-19 lat                                                                                                                                                                                                                                              </w:t>
            </w:r>
          </w:p>
        </w:tc>
        <w:tc>
          <w:tcPr>
            <w:tcW w:w="681" w:type="dxa"/>
            <w:tcBorders>
              <w:top w:val="single" w:sz="4" w:space="0" w:color="001D77"/>
              <w:left w:val="nil"/>
              <w:bottom w:val="single" w:sz="4" w:space="0" w:color="001D77"/>
              <w:right w:val="single" w:sz="4" w:space="0" w:color="001D77"/>
            </w:tcBorders>
            <w:shd w:val="clear" w:color="auto" w:fill="auto"/>
            <w:vAlign w:val="bottom"/>
          </w:tcPr>
          <w:p w14:paraId="3AEB72D4" w14:textId="77777777" w:rsidR="00033D90" w:rsidRPr="00255E96" w:rsidRDefault="00033D90" w:rsidP="00033D90">
            <w:pPr>
              <w:spacing w:before="0" w:after="0"/>
              <w:jc w:val="right"/>
              <w:rPr>
                <w:rFonts w:cs="Calibri"/>
                <w:sz w:val="16"/>
                <w:szCs w:val="16"/>
              </w:rPr>
            </w:pPr>
            <w:r w:rsidRPr="00255E96">
              <w:rPr>
                <w:rFonts w:cs="Arial"/>
                <w:sz w:val="16"/>
                <w:szCs w:val="16"/>
              </w:rPr>
              <w:t>101</w:t>
            </w:r>
          </w:p>
        </w:tc>
        <w:tc>
          <w:tcPr>
            <w:tcW w:w="56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5A0FFC9" w14:textId="77777777" w:rsidR="00033D90" w:rsidRPr="00255E96" w:rsidRDefault="00033D90" w:rsidP="00033D90">
            <w:pPr>
              <w:spacing w:before="0" w:after="0"/>
              <w:jc w:val="right"/>
              <w:rPr>
                <w:rFonts w:cs="Calibri"/>
                <w:sz w:val="16"/>
                <w:szCs w:val="16"/>
              </w:rPr>
            </w:pPr>
            <w:r w:rsidRPr="00255E96">
              <w:rPr>
                <w:rFonts w:cs="Calibri"/>
                <w:sz w:val="16"/>
                <w:szCs w:val="16"/>
              </w:rPr>
              <w:t>61</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C81C658"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44</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9A2EF6A"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17</w:t>
            </w:r>
          </w:p>
        </w:tc>
        <w:tc>
          <w:tcPr>
            <w:tcW w:w="99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AC7A05B"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41</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75F9DA6"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60,4</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A2FB3EE"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43,6</w:t>
            </w:r>
          </w:p>
        </w:tc>
        <w:tc>
          <w:tcPr>
            <w:tcW w:w="850" w:type="dxa"/>
            <w:tcBorders>
              <w:top w:val="single" w:sz="4" w:space="0" w:color="001D77"/>
              <w:left w:val="single" w:sz="4" w:space="0" w:color="001D77"/>
              <w:bottom w:val="single" w:sz="4" w:space="0" w:color="001D77"/>
              <w:right w:val="nil"/>
            </w:tcBorders>
            <w:shd w:val="clear" w:color="auto" w:fill="auto"/>
            <w:vAlign w:val="bottom"/>
          </w:tcPr>
          <w:p w14:paraId="4316AE5E"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27,9</w:t>
            </w:r>
          </w:p>
        </w:tc>
      </w:tr>
      <w:tr w:rsidR="00033D90" w:rsidRPr="003E09BC" w14:paraId="43FC44C7" w14:textId="77777777" w:rsidTr="00033D90">
        <w:trPr>
          <w:trHeight w:val="254"/>
        </w:trPr>
        <w:tc>
          <w:tcPr>
            <w:tcW w:w="879" w:type="dxa"/>
            <w:shd w:val="clear" w:color="auto" w:fill="auto"/>
            <w:vAlign w:val="bottom"/>
          </w:tcPr>
          <w:p w14:paraId="2F8C5A2A" w14:textId="77777777" w:rsidR="00033D90" w:rsidRPr="00255E96" w:rsidRDefault="00033D90" w:rsidP="00033D90">
            <w:pPr>
              <w:spacing w:before="0" w:after="0"/>
              <w:rPr>
                <w:rFonts w:cs="Arial"/>
                <w:sz w:val="16"/>
                <w:szCs w:val="16"/>
              </w:rPr>
            </w:pPr>
            <w:r w:rsidRPr="00255E96">
              <w:rPr>
                <w:rFonts w:cs="Arial"/>
                <w:sz w:val="16"/>
                <w:szCs w:val="16"/>
              </w:rPr>
              <w:t xml:space="preserve">20-24                                                                                                                                                                                                                                                   </w:t>
            </w:r>
          </w:p>
        </w:tc>
        <w:tc>
          <w:tcPr>
            <w:tcW w:w="681" w:type="dxa"/>
            <w:tcBorders>
              <w:top w:val="single" w:sz="4" w:space="0" w:color="001D77"/>
              <w:left w:val="nil"/>
              <w:bottom w:val="single" w:sz="4" w:space="0" w:color="001D77"/>
              <w:right w:val="single" w:sz="4" w:space="0" w:color="001D77"/>
            </w:tcBorders>
            <w:shd w:val="clear" w:color="auto" w:fill="auto"/>
            <w:vAlign w:val="bottom"/>
          </w:tcPr>
          <w:p w14:paraId="366BBB00" w14:textId="77777777" w:rsidR="00033D90" w:rsidRPr="00255E96" w:rsidRDefault="00033D90" w:rsidP="00033D90">
            <w:pPr>
              <w:spacing w:before="0" w:after="0"/>
              <w:jc w:val="right"/>
              <w:rPr>
                <w:rFonts w:cs="Calibri"/>
                <w:sz w:val="16"/>
                <w:szCs w:val="16"/>
              </w:rPr>
            </w:pPr>
            <w:r w:rsidRPr="00255E96">
              <w:rPr>
                <w:rFonts w:cs="Arial"/>
                <w:sz w:val="16"/>
                <w:szCs w:val="16"/>
              </w:rPr>
              <w:t>729</w:t>
            </w:r>
          </w:p>
        </w:tc>
        <w:tc>
          <w:tcPr>
            <w:tcW w:w="56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DF1BC40" w14:textId="77777777" w:rsidR="00033D90" w:rsidRPr="00255E96" w:rsidRDefault="00033D90" w:rsidP="00033D90">
            <w:pPr>
              <w:spacing w:before="0" w:after="0"/>
              <w:jc w:val="right"/>
              <w:rPr>
                <w:rFonts w:cs="Calibri"/>
                <w:sz w:val="16"/>
                <w:szCs w:val="16"/>
              </w:rPr>
            </w:pPr>
            <w:r w:rsidRPr="00255E96">
              <w:rPr>
                <w:rFonts w:cs="Calibri"/>
                <w:sz w:val="16"/>
                <w:szCs w:val="16"/>
              </w:rPr>
              <w:t>608</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DCFC782"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533</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7257B0D"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75</w:t>
            </w:r>
          </w:p>
        </w:tc>
        <w:tc>
          <w:tcPr>
            <w:tcW w:w="99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3EE7DBD"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121</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F5A713B"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83,4</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BB6DFC3"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73,1</w:t>
            </w:r>
          </w:p>
        </w:tc>
        <w:tc>
          <w:tcPr>
            <w:tcW w:w="850" w:type="dxa"/>
            <w:tcBorders>
              <w:top w:val="single" w:sz="4" w:space="0" w:color="001D77"/>
              <w:left w:val="single" w:sz="4" w:space="0" w:color="001D77"/>
              <w:bottom w:val="single" w:sz="4" w:space="0" w:color="001D77"/>
              <w:right w:val="nil"/>
            </w:tcBorders>
            <w:shd w:val="clear" w:color="auto" w:fill="auto"/>
            <w:vAlign w:val="bottom"/>
          </w:tcPr>
          <w:p w14:paraId="31B33B72"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12,3</w:t>
            </w:r>
          </w:p>
        </w:tc>
      </w:tr>
      <w:tr w:rsidR="00033D90" w:rsidRPr="003E09BC" w14:paraId="2A037069" w14:textId="77777777" w:rsidTr="00033D90">
        <w:trPr>
          <w:trHeight w:val="286"/>
        </w:trPr>
        <w:tc>
          <w:tcPr>
            <w:tcW w:w="879" w:type="dxa"/>
            <w:shd w:val="clear" w:color="auto" w:fill="auto"/>
            <w:vAlign w:val="bottom"/>
          </w:tcPr>
          <w:p w14:paraId="3FE76142" w14:textId="77777777" w:rsidR="00033D90" w:rsidRPr="00255E96" w:rsidRDefault="00033D90" w:rsidP="00033D90">
            <w:pPr>
              <w:spacing w:before="0" w:after="0"/>
              <w:rPr>
                <w:rFonts w:cs="Arial"/>
                <w:sz w:val="16"/>
                <w:szCs w:val="16"/>
              </w:rPr>
            </w:pPr>
            <w:r w:rsidRPr="00255E96">
              <w:rPr>
                <w:rFonts w:cs="Arial"/>
                <w:sz w:val="16"/>
                <w:szCs w:val="16"/>
              </w:rPr>
              <w:t xml:space="preserve">25-34                                                                                                                                                                                                                                                </w:t>
            </w:r>
          </w:p>
        </w:tc>
        <w:tc>
          <w:tcPr>
            <w:tcW w:w="681" w:type="dxa"/>
            <w:tcBorders>
              <w:top w:val="single" w:sz="4" w:space="0" w:color="001D77"/>
              <w:left w:val="nil"/>
              <w:bottom w:val="single" w:sz="4" w:space="0" w:color="001D77"/>
              <w:right w:val="single" w:sz="4" w:space="0" w:color="001D77"/>
            </w:tcBorders>
            <w:shd w:val="clear" w:color="auto" w:fill="auto"/>
            <w:vAlign w:val="bottom"/>
          </w:tcPr>
          <w:p w14:paraId="2A8AE816" w14:textId="77777777" w:rsidR="00033D90" w:rsidRPr="00255E96" w:rsidRDefault="00033D90" w:rsidP="00033D90">
            <w:pPr>
              <w:spacing w:before="0" w:after="0"/>
              <w:jc w:val="right"/>
              <w:rPr>
                <w:rFonts w:cs="Calibri"/>
                <w:sz w:val="16"/>
                <w:szCs w:val="16"/>
              </w:rPr>
            </w:pPr>
            <w:r w:rsidRPr="00255E96">
              <w:rPr>
                <w:rFonts w:cs="Arial"/>
                <w:sz w:val="16"/>
                <w:szCs w:val="16"/>
              </w:rPr>
              <w:t>3529</w:t>
            </w:r>
          </w:p>
        </w:tc>
        <w:tc>
          <w:tcPr>
            <w:tcW w:w="567"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DF655EE" w14:textId="77777777" w:rsidR="00033D90" w:rsidRPr="00255E96" w:rsidRDefault="00033D90" w:rsidP="00033D90">
            <w:pPr>
              <w:spacing w:before="0" w:after="0"/>
              <w:jc w:val="right"/>
              <w:rPr>
                <w:rFonts w:cs="Calibri"/>
                <w:sz w:val="16"/>
                <w:szCs w:val="16"/>
              </w:rPr>
            </w:pPr>
            <w:r w:rsidRPr="00255E96">
              <w:rPr>
                <w:rFonts w:cs="Calibri"/>
                <w:sz w:val="16"/>
                <w:szCs w:val="16"/>
              </w:rPr>
              <w:t>3069</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E4B5F4E"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2958</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C9416FE"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111</w:t>
            </w:r>
          </w:p>
        </w:tc>
        <w:tc>
          <w:tcPr>
            <w:tcW w:w="993"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842D814" w14:textId="77777777" w:rsidR="00033D90" w:rsidRPr="00255E96" w:rsidRDefault="00033D90" w:rsidP="00033D90">
            <w:pPr>
              <w:spacing w:before="0" w:after="0"/>
              <w:jc w:val="right"/>
              <w:rPr>
                <w:rFonts w:cs="Calibri"/>
                <w:sz w:val="16"/>
                <w:szCs w:val="16"/>
              </w:rPr>
            </w:pPr>
            <w:r w:rsidRPr="00255E96">
              <w:rPr>
                <w:rFonts w:cs="Arial"/>
                <w:color w:val="000000"/>
                <w:sz w:val="16"/>
                <w:szCs w:val="16"/>
              </w:rPr>
              <w:t>460</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7684DE2"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87,0</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780B00A"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83,8</w:t>
            </w:r>
          </w:p>
        </w:tc>
        <w:tc>
          <w:tcPr>
            <w:tcW w:w="850" w:type="dxa"/>
            <w:tcBorders>
              <w:top w:val="single" w:sz="4" w:space="0" w:color="001D77"/>
              <w:left w:val="single" w:sz="4" w:space="0" w:color="001D77"/>
              <w:bottom w:val="single" w:sz="4" w:space="0" w:color="001D77"/>
              <w:right w:val="nil"/>
            </w:tcBorders>
            <w:shd w:val="clear" w:color="auto" w:fill="auto"/>
            <w:vAlign w:val="bottom"/>
          </w:tcPr>
          <w:p w14:paraId="4EEE60C6" w14:textId="77777777" w:rsidR="00033D90" w:rsidRPr="00255E96" w:rsidRDefault="00033D90" w:rsidP="00033D90">
            <w:pPr>
              <w:spacing w:before="0" w:after="0"/>
              <w:jc w:val="right"/>
              <w:rPr>
                <w:rFonts w:cs="Calibri"/>
                <w:bCs/>
                <w:sz w:val="16"/>
                <w:szCs w:val="16"/>
              </w:rPr>
            </w:pPr>
            <w:r w:rsidRPr="00255E96">
              <w:rPr>
                <w:rFonts w:cs="Arial"/>
                <w:color w:val="000000"/>
                <w:sz w:val="16"/>
                <w:szCs w:val="16"/>
              </w:rPr>
              <w:t>3,6</w:t>
            </w:r>
          </w:p>
        </w:tc>
      </w:tr>
    </w:tbl>
    <w:bookmarkEnd w:id="4"/>
    <w:p w14:paraId="60FC35DF" w14:textId="77777777" w:rsidR="00033D90" w:rsidRPr="005E2954" w:rsidRDefault="009F443E" w:rsidP="005E2954">
      <w:pPr>
        <w:spacing w:before="0" w:line="240" w:lineRule="auto"/>
        <w:ind w:left="851" w:hanging="851"/>
        <w:rPr>
          <w:b/>
          <w:szCs w:val="19"/>
        </w:rPr>
      </w:pPr>
      <w:r w:rsidRPr="007B5522">
        <w:rPr>
          <w:noProof/>
          <w:lang w:eastAsia="pl-PL"/>
        </w:rPr>
        <mc:AlternateContent>
          <mc:Choice Requires="wps">
            <w:drawing>
              <wp:anchor distT="0" distB="0" distL="114300" distR="114300" simplePos="0" relativeHeight="252059648" behindDoc="0" locked="0" layoutInCell="1" allowOverlap="1" wp14:anchorId="1E632B06" wp14:editId="6567162B">
                <wp:simplePos x="0" y="0"/>
                <wp:positionH relativeFrom="page">
                  <wp:posOffset>5775850</wp:posOffset>
                </wp:positionH>
                <wp:positionV relativeFrom="paragraph">
                  <wp:posOffset>1482533</wp:posOffset>
                </wp:positionV>
                <wp:extent cx="1709530" cy="2137986"/>
                <wp:effectExtent l="0" t="0" r="0" b="0"/>
                <wp:wrapNone/>
                <wp:docPr id="20" name="Pole tekstowe 20" descr="W populacji osób młodych kontynuujących naukę lub dokształcających się – współczynnik aktywności ekonomicznej był zdecydowanie wyższy w populacji osób dokształcających się poza formalnym systemem edukacji niż wśród osób uczących się w ramach edukacji formalnej "/>
                <wp:cNvGraphicFramePr/>
                <a:graphic xmlns:a="http://schemas.openxmlformats.org/drawingml/2006/main">
                  <a:graphicData uri="http://schemas.microsoft.com/office/word/2010/wordprocessingShape">
                    <wps:wsp>
                      <wps:cNvSpPr txBox="1"/>
                      <wps:spPr>
                        <a:xfrm>
                          <a:off x="0" y="0"/>
                          <a:ext cx="1709530" cy="2137986"/>
                        </a:xfrm>
                        <a:prstGeom prst="rect">
                          <a:avLst/>
                        </a:prstGeom>
                        <a:noFill/>
                        <a:ln w="6350">
                          <a:noFill/>
                        </a:ln>
                      </wps:spPr>
                      <wps:txbx>
                        <w:txbxContent>
                          <w:p w14:paraId="2D0A15AB" w14:textId="424EFA0D" w:rsidR="00352C44" w:rsidRPr="0058196A" w:rsidRDefault="00352C44" w:rsidP="00D36F81">
                            <w:pPr>
                              <w:rPr>
                                <w:color w:val="002060"/>
                              </w:rPr>
                            </w:pPr>
                            <w:r w:rsidRPr="0058196A">
                              <w:rPr>
                                <w:color w:val="002060"/>
                                <w:sz w:val="18"/>
                                <w:szCs w:val="18"/>
                              </w:rPr>
                              <w:t>W populacji osób młodych kontynuujących naukę lub dokształcających się</w:t>
                            </w:r>
                            <w:r>
                              <w:rPr>
                                <w:color w:val="002060"/>
                                <w:sz w:val="18"/>
                                <w:szCs w:val="18"/>
                              </w:rPr>
                              <w:t xml:space="preserve"> –</w:t>
                            </w:r>
                            <w:r w:rsidRPr="0058196A">
                              <w:rPr>
                                <w:color w:val="002060"/>
                                <w:sz w:val="18"/>
                                <w:szCs w:val="18"/>
                              </w:rPr>
                              <w:t xml:space="preserve"> współczynnik aktywności ekonomicznej był zdecydowanie wyższy w</w:t>
                            </w:r>
                            <w:r>
                              <w:rPr>
                                <w:color w:val="002060"/>
                                <w:sz w:val="18"/>
                                <w:szCs w:val="18"/>
                              </w:rPr>
                              <w:t> </w:t>
                            </w:r>
                            <w:r w:rsidRPr="0058196A">
                              <w:rPr>
                                <w:color w:val="002060"/>
                                <w:sz w:val="18"/>
                                <w:szCs w:val="18"/>
                              </w:rPr>
                              <w:t>populacji osób dokształcających się poza formalnym systemem edukacji</w:t>
                            </w:r>
                            <w:r w:rsidRPr="0058196A" w:rsidDel="00D36F81">
                              <w:rPr>
                                <w:color w:val="002060"/>
                                <w:sz w:val="18"/>
                                <w:szCs w:val="18"/>
                              </w:rPr>
                              <w:t xml:space="preserve"> </w:t>
                            </w:r>
                            <w:r w:rsidRPr="0058196A">
                              <w:rPr>
                                <w:color w:val="002060"/>
                                <w:sz w:val="18"/>
                                <w:szCs w:val="18"/>
                              </w:rPr>
                              <w:t>niż wśród osób uczących się w ramach edukacji formalnej</w:t>
                            </w:r>
                            <w:r w:rsidRPr="0058196A" w:rsidDel="00D36F81">
                              <w:rPr>
                                <w:color w:val="00206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32B06" id="Pole tekstowe 20" o:spid="_x0000_s1030" type="#_x0000_t202" alt="W populacji osób młodych kontynuujących naukę lub dokształcających się – współczynnik aktywności ekonomicznej był zdecydowanie wyższy w populacji osób dokształcających się poza formalnym systemem edukacji niż wśród osób uczących się w ramach edukacji formalnej " style="position:absolute;left:0;text-align:left;margin-left:454.8pt;margin-top:116.75pt;width:134.6pt;height:168.35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" filled="f" stroked="f" strokeweight=".5pt">
                <v:textbox>
                  <w:txbxContent>
                    <w:p w14:paraId="2D0A15AB" w14:textId="424EFA0D" w:rsidR="00352C44" w:rsidRPr="0058196A" w:rsidRDefault="00352C44" w:rsidP="00D36F81">
                      <w:pPr>
                        <w:rPr>
                          <w:color w:val="002060"/>
                        </w:rPr>
                      </w:pPr>
                      <w:r w:rsidRPr="0058196A">
                        <w:rPr>
                          <w:color w:val="002060"/>
                          <w:sz w:val="18"/>
                          <w:szCs w:val="18"/>
                        </w:rPr>
                        <w:t>W populacji osób młodych kontynuujących naukę lub dokształcających się</w:t>
                      </w:r>
                      <w:r>
                        <w:rPr>
                          <w:color w:val="002060"/>
                          <w:sz w:val="18"/>
                          <w:szCs w:val="18"/>
                        </w:rPr>
                        <w:t xml:space="preserve"> –</w:t>
                      </w:r>
                      <w:r w:rsidRPr="0058196A">
                        <w:rPr>
                          <w:color w:val="002060"/>
                          <w:sz w:val="18"/>
                          <w:szCs w:val="18"/>
                        </w:rPr>
                        <w:t xml:space="preserve"> współczynnik aktywności ekonomicznej był zdecydowanie wyższy w</w:t>
                      </w:r>
                      <w:r>
                        <w:rPr>
                          <w:color w:val="002060"/>
                          <w:sz w:val="18"/>
                          <w:szCs w:val="18"/>
                        </w:rPr>
                        <w:t> </w:t>
                      </w:r>
                      <w:r w:rsidRPr="0058196A">
                        <w:rPr>
                          <w:color w:val="002060"/>
                          <w:sz w:val="18"/>
                          <w:szCs w:val="18"/>
                        </w:rPr>
                        <w:t>populacji osób dokształcających się poza formalnym systemem edukacji</w:t>
                      </w:r>
                      <w:r w:rsidRPr="0058196A" w:rsidDel="00D36F81">
                        <w:rPr>
                          <w:color w:val="002060"/>
                          <w:sz w:val="18"/>
                          <w:szCs w:val="18"/>
                        </w:rPr>
                        <w:t xml:space="preserve"> </w:t>
                      </w:r>
                      <w:r w:rsidRPr="0058196A">
                        <w:rPr>
                          <w:color w:val="002060"/>
                          <w:sz w:val="18"/>
                          <w:szCs w:val="18"/>
                        </w:rPr>
                        <w:t>niż wśród osób uczących się w ramach edukacji formalnej</w:t>
                      </w:r>
                      <w:r w:rsidRPr="0058196A" w:rsidDel="00D36F81">
                        <w:rPr>
                          <w:color w:val="002060"/>
                          <w:sz w:val="18"/>
                          <w:szCs w:val="18"/>
                        </w:rPr>
                        <w:t xml:space="preserve"> </w:t>
                      </w:r>
                    </w:p>
                  </w:txbxContent>
                </v:textbox>
                <w10:wrap anchorx="page"/>
              </v:shape>
            </w:pict>
          </mc:Fallback>
        </mc:AlternateContent>
      </w:r>
      <w:r w:rsidR="00033D90" w:rsidRPr="005E2954">
        <w:rPr>
          <w:b/>
          <w:szCs w:val="19"/>
        </w:rPr>
        <w:t xml:space="preserve">Tablica </w:t>
      </w:r>
      <w:bookmarkEnd w:id="5"/>
      <w:r w:rsidR="00033D90" w:rsidRPr="005E2954">
        <w:rPr>
          <w:b/>
          <w:szCs w:val="19"/>
        </w:rPr>
        <w:t>2. Aktywność ekonomiczna osób w wieku 15-34 lata nieuczących się w formalnym systemie edukacji oraz niedokształcających się poza formalnym systemem edukacji według wieku</w:t>
      </w:r>
    </w:p>
    <w:p w14:paraId="46ABA206" w14:textId="7CA94D2F" w:rsidR="00033D90" w:rsidRPr="00255E96" w:rsidRDefault="00147C37" w:rsidP="00255E96">
      <w:pPr>
        <w:spacing w:before="360" w:line="288" w:lineRule="auto"/>
        <w:rPr>
          <w:szCs w:val="19"/>
        </w:rPr>
      </w:pPr>
      <w:r w:rsidRPr="00255E96">
        <w:rPr>
          <w:szCs w:val="19"/>
        </w:rPr>
        <w:t xml:space="preserve">Aktywność zawodowa </w:t>
      </w:r>
      <w:r w:rsidR="00814C25" w:rsidRPr="00255E96">
        <w:rPr>
          <w:szCs w:val="19"/>
        </w:rPr>
        <w:t>osób uczących się lub dokształca</w:t>
      </w:r>
      <w:r w:rsidR="00D213C5">
        <w:rPr>
          <w:szCs w:val="19"/>
        </w:rPr>
        <w:t xml:space="preserve">jących się </w:t>
      </w:r>
      <w:r w:rsidR="00814C25" w:rsidRPr="00255E96">
        <w:rPr>
          <w:szCs w:val="19"/>
        </w:rPr>
        <w:t xml:space="preserve">różni się </w:t>
      </w:r>
      <w:r w:rsidRPr="00255E96">
        <w:rPr>
          <w:szCs w:val="19"/>
        </w:rPr>
        <w:t>istotnie w</w:t>
      </w:r>
      <w:r w:rsidR="00413C47">
        <w:rPr>
          <w:szCs w:val="19"/>
        </w:rPr>
        <w:t> </w:t>
      </w:r>
      <w:r w:rsidRPr="00255E96">
        <w:rPr>
          <w:szCs w:val="19"/>
        </w:rPr>
        <w:t>zależności od formy kontynuowania</w:t>
      </w:r>
      <w:r w:rsidR="00814C25" w:rsidRPr="00255E96">
        <w:rPr>
          <w:szCs w:val="19"/>
        </w:rPr>
        <w:t xml:space="preserve"> edukacji </w:t>
      </w:r>
      <w:r w:rsidR="00A2243F">
        <w:rPr>
          <w:szCs w:val="19"/>
        </w:rPr>
        <w:t>–</w:t>
      </w:r>
      <w:r w:rsidR="00A2243F" w:rsidRPr="00255E96">
        <w:rPr>
          <w:szCs w:val="19"/>
        </w:rPr>
        <w:t xml:space="preserve"> </w:t>
      </w:r>
      <w:r w:rsidR="00814C25" w:rsidRPr="00255E96">
        <w:rPr>
          <w:szCs w:val="19"/>
        </w:rPr>
        <w:t>j</w:t>
      </w:r>
      <w:r w:rsidRPr="00255E96">
        <w:rPr>
          <w:szCs w:val="19"/>
        </w:rPr>
        <w:t>est ona zdecydowanie niższa wśród osób uczących się w ramach edukacji formalnej</w:t>
      </w:r>
      <w:r w:rsidR="00814C25" w:rsidRPr="00255E96">
        <w:rPr>
          <w:szCs w:val="19"/>
        </w:rPr>
        <w:t>. W</w:t>
      </w:r>
      <w:r w:rsidRPr="00255E96">
        <w:rPr>
          <w:szCs w:val="19"/>
        </w:rPr>
        <w:t xml:space="preserve"> 2024 r. współczynnik aktywności zawodowej dla </w:t>
      </w:r>
      <w:r w:rsidR="00814C25" w:rsidRPr="00255E96">
        <w:rPr>
          <w:szCs w:val="19"/>
        </w:rPr>
        <w:t>uczniów i</w:t>
      </w:r>
      <w:r w:rsidR="0058196A">
        <w:rPr>
          <w:szCs w:val="19"/>
        </w:rPr>
        <w:t> </w:t>
      </w:r>
      <w:r w:rsidR="00814C25" w:rsidRPr="00255E96">
        <w:rPr>
          <w:szCs w:val="19"/>
        </w:rPr>
        <w:t>studentów</w:t>
      </w:r>
      <w:r w:rsidRPr="00255E96">
        <w:rPr>
          <w:szCs w:val="19"/>
        </w:rPr>
        <w:t xml:space="preserve"> w wieku 15-34 lata wynosił </w:t>
      </w:r>
      <w:r w:rsidR="00814C25" w:rsidRPr="00255E96">
        <w:rPr>
          <w:szCs w:val="19"/>
        </w:rPr>
        <w:t>19,4</w:t>
      </w:r>
      <w:r w:rsidRPr="00255E96">
        <w:rPr>
          <w:szCs w:val="19"/>
        </w:rPr>
        <w:t xml:space="preserve">% </w:t>
      </w:r>
      <w:r w:rsidR="00E642C0" w:rsidRPr="00255E96">
        <w:rPr>
          <w:szCs w:val="19"/>
        </w:rPr>
        <w:t>wobec 84,0%</w:t>
      </w:r>
      <w:r w:rsidR="00814C25" w:rsidRPr="00255E96">
        <w:rPr>
          <w:szCs w:val="19"/>
        </w:rPr>
        <w:t xml:space="preserve"> dla</w:t>
      </w:r>
      <w:r w:rsidRPr="00255E96">
        <w:rPr>
          <w:szCs w:val="19"/>
        </w:rPr>
        <w:t xml:space="preserve"> osób dokształcających się poza formalnym </w:t>
      </w:r>
      <w:r w:rsidR="00814C25" w:rsidRPr="00255E96">
        <w:rPr>
          <w:szCs w:val="19"/>
        </w:rPr>
        <w:t>systemem</w:t>
      </w:r>
      <w:r w:rsidRPr="00255E96">
        <w:rPr>
          <w:szCs w:val="19"/>
        </w:rPr>
        <w:t xml:space="preserve"> edukacji</w:t>
      </w:r>
      <w:r w:rsidR="00814C25" w:rsidRPr="00255E96">
        <w:rPr>
          <w:szCs w:val="19"/>
        </w:rPr>
        <w:t xml:space="preserve">. </w:t>
      </w:r>
      <w:r w:rsidRPr="00255E96">
        <w:rPr>
          <w:szCs w:val="19"/>
        </w:rPr>
        <w:t>Wartości wskaźnika zatrud</w:t>
      </w:r>
      <w:r w:rsidR="00BF0664" w:rsidRPr="00255E96">
        <w:rPr>
          <w:szCs w:val="19"/>
        </w:rPr>
        <w:t>nie</w:t>
      </w:r>
      <w:r w:rsidRPr="00255E96">
        <w:rPr>
          <w:szCs w:val="19"/>
        </w:rPr>
        <w:t>nia dla tych grup wynosiły w 2024 r. odpowiednio</w:t>
      </w:r>
      <w:r w:rsidR="00E642C0" w:rsidRPr="00255E96">
        <w:rPr>
          <w:szCs w:val="19"/>
        </w:rPr>
        <w:t>: 18,1% oraz</w:t>
      </w:r>
      <w:r w:rsidRPr="00255E96">
        <w:rPr>
          <w:szCs w:val="19"/>
        </w:rPr>
        <w:t xml:space="preserve"> 82,2%</w:t>
      </w:r>
      <w:r w:rsidR="00C93CF3" w:rsidRPr="00255E96">
        <w:rPr>
          <w:szCs w:val="19"/>
        </w:rPr>
        <w:t>.</w:t>
      </w:r>
    </w:p>
    <w:p w14:paraId="41739D3E" w14:textId="77777777" w:rsidR="00252FFA" w:rsidRPr="00252FFA" w:rsidRDefault="00F41D95" w:rsidP="00A2243F">
      <w:pPr>
        <w:spacing w:before="0" w:line="288" w:lineRule="auto"/>
        <w:rPr>
          <w:szCs w:val="19"/>
        </w:rPr>
      </w:pPr>
      <w:r>
        <w:rPr>
          <w:szCs w:val="19"/>
        </w:rPr>
        <w:lastRenderedPageBreak/>
        <w:t xml:space="preserve">Aktywność </w:t>
      </w:r>
      <w:r w:rsidR="00B64A4B">
        <w:rPr>
          <w:szCs w:val="19"/>
        </w:rPr>
        <w:t>ekonomiczna</w:t>
      </w:r>
      <w:r w:rsidR="00252FFA" w:rsidRPr="00252FFA">
        <w:rPr>
          <w:szCs w:val="19"/>
        </w:rPr>
        <w:t xml:space="preserve"> wśród młodych osób uczących się lub dokształcających się jest jeszcze dodatkowo zróżnicowana w zależności od ich wieku, co wynika zarówno z samego obowiązku nauki w systemie formalnym (trwającego do ukończenia 18 roku życia), jak i</w:t>
      </w:r>
      <w:r w:rsidR="00A2243F">
        <w:rPr>
          <w:szCs w:val="19"/>
        </w:rPr>
        <w:t> </w:t>
      </w:r>
      <w:r w:rsidR="00252FFA" w:rsidRPr="00252FFA">
        <w:rPr>
          <w:szCs w:val="19"/>
        </w:rPr>
        <w:t xml:space="preserve">wieku wejścia na rynek pracy. </w:t>
      </w:r>
      <w:r w:rsidR="00B64A4B">
        <w:rPr>
          <w:szCs w:val="19"/>
        </w:rPr>
        <w:t>P</w:t>
      </w:r>
      <w:r w:rsidR="00746A36" w:rsidRPr="00252FFA">
        <w:rPr>
          <w:szCs w:val="19"/>
        </w:rPr>
        <w:t xml:space="preserve">ocząwszy </w:t>
      </w:r>
      <w:r w:rsidR="00746A36">
        <w:rPr>
          <w:szCs w:val="19"/>
        </w:rPr>
        <w:t xml:space="preserve">od grupy </w:t>
      </w:r>
      <w:r w:rsidR="00252FFA" w:rsidRPr="00252FFA">
        <w:rPr>
          <w:szCs w:val="19"/>
        </w:rPr>
        <w:t>osób będących w wieku 20-24 lata, aktywność na rynku</w:t>
      </w:r>
      <w:r w:rsidR="000660D6">
        <w:rPr>
          <w:szCs w:val="19"/>
        </w:rPr>
        <w:t xml:space="preserve"> pracy, mierzona w</w:t>
      </w:r>
      <w:r w:rsidR="000660D6" w:rsidRPr="000660D6">
        <w:rPr>
          <w:szCs w:val="19"/>
        </w:rPr>
        <w:t>spółczynnik</w:t>
      </w:r>
      <w:r w:rsidR="000660D6">
        <w:rPr>
          <w:szCs w:val="19"/>
        </w:rPr>
        <w:t>iem</w:t>
      </w:r>
      <w:r w:rsidR="000660D6" w:rsidRPr="000660D6">
        <w:rPr>
          <w:szCs w:val="19"/>
        </w:rPr>
        <w:t xml:space="preserve"> aktywności zawodowej</w:t>
      </w:r>
      <w:r w:rsidR="000660D6">
        <w:rPr>
          <w:szCs w:val="19"/>
        </w:rPr>
        <w:t xml:space="preserve">, </w:t>
      </w:r>
      <w:r w:rsidR="00746A36" w:rsidRPr="00252FFA">
        <w:rPr>
          <w:szCs w:val="19"/>
        </w:rPr>
        <w:t xml:space="preserve">wyraźnie rośnie </w:t>
      </w:r>
      <w:r w:rsidR="00252FFA" w:rsidRPr="00252FFA">
        <w:rPr>
          <w:szCs w:val="19"/>
        </w:rPr>
        <w:t>nawet w</w:t>
      </w:r>
      <w:r w:rsidR="00BF2B61">
        <w:rPr>
          <w:szCs w:val="19"/>
        </w:rPr>
        <w:t> </w:t>
      </w:r>
      <w:r w:rsidR="00252FFA" w:rsidRPr="00252FFA">
        <w:rPr>
          <w:szCs w:val="19"/>
        </w:rPr>
        <w:t xml:space="preserve">przypadku kontynuowania </w:t>
      </w:r>
      <w:r w:rsidR="00B8145F">
        <w:rPr>
          <w:szCs w:val="19"/>
        </w:rPr>
        <w:t xml:space="preserve">przez te osoby </w:t>
      </w:r>
      <w:r w:rsidR="00252FFA" w:rsidRPr="00252FFA">
        <w:rPr>
          <w:szCs w:val="19"/>
        </w:rPr>
        <w:t>nauki w formalnym systemie edukacji</w:t>
      </w:r>
      <w:r w:rsidR="00B64A4B">
        <w:rPr>
          <w:szCs w:val="19"/>
        </w:rPr>
        <w:t xml:space="preserve">. Podczas gdy dla osób w wieku 15-19 lat </w:t>
      </w:r>
      <w:r w:rsidR="00D57CA2">
        <w:rPr>
          <w:szCs w:val="19"/>
        </w:rPr>
        <w:t xml:space="preserve">wskaźnik ten wynosił </w:t>
      </w:r>
      <w:r w:rsidR="000660D6">
        <w:rPr>
          <w:szCs w:val="19"/>
        </w:rPr>
        <w:t>3,1</w:t>
      </w:r>
      <w:r w:rsidR="0071002E">
        <w:rPr>
          <w:szCs w:val="19"/>
        </w:rPr>
        <w:t>%</w:t>
      </w:r>
      <w:r w:rsidR="00D57CA2">
        <w:rPr>
          <w:szCs w:val="19"/>
        </w:rPr>
        <w:t>, to dla osób w</w:t>
      </w:r>
      <w:r w:rsidR="00A2243F">
        <w:rPr>
          <w:szCs w:val="19"/>
        </w:rPr>
        <w:t> </w:t>
      </w:r>
      <w:r w:rsidR="00D57CA2">
        <w:rPr>
          <w:szCs w:val="19"/>
        </w:rPr>
        <w:t xml:space="preserve">wieku 20-24 wynosił już </w:t>
      </w:r>
      <w:r w:rsidR="000660D6">
        <w:rPr>
          <w:szCs w:val="19"/>
        </w:rPr>
        <w:t>36,0</w:t>
      </w:r>
      <w:r w:rsidR="0071002E">
        <w:rPr>
          <w:szCs w:val="19"/>
        </w:rPr>
        <w:t>%</w:t>
      </w:r>
      <w:r w:rsidR="00D57CA2">
        <w:rPr>
          <w:szCs w:val="19"/>
        </w:rPr>
        <w:t>, a</w:t>
      </w:r>
      <w:r w:rsidR="0071002E">
        <w:rPr>
          <w:szCs w:val="19"/>
        </w:rPr>
        <w:t xml:space="preserve"> dla </w:t>
      </w:r>
      <w:r w:rsidR="000660D6">
        <w:rPr>
          <w:szCs w:val="19"/>
        </w:rPr>
        <w:t xml:space="preserve">osób w wieku </w:t>
      </w:r>
      <w:r w:rsidR="00D57CA2">
        <w:rPr>
          <w:szCs w:val="19"/>
        </w:rPr>
        <w:t>25-34</w:t>
      </w:r>
      <w:r w:rsidR="0071002E">
        <w:rPr>
          <w:szCs w:val="19"/>
        </w:rPr>
        <w:t xml:space="preserve"> lata</w:t>
      </w:r>
      <w:r w:rsidR="000660D6">
        <w:rPr>
          <w:szCs w:val="19"/>
        </w:rPr>
        <w:t xml:space="preserve"> </w:t>
      </w:r>
      <w:r w:rsidR="00D57CA2">
        <w:rPr>
          <w:szCs w:val="19"/>
        </w:rPr>
        <w:t xml:space="preserve">wzrósł </w:t>
      </w:r>
      <w:r w:rsidR="000660D6">
        <w:rPr>
          <w:szCs w:val="19"/>
        </w:rPr>
        <w:t>do 81</w:t>
      </w:r>
      <w:r w:rsidR="00BF2B61">
        <w:rPr>
          <w:szCs w:val="19"/>
        </w:rPr>
        <w:t>,0</w:t>
      </w:r>
      <w:r w:rsidR="000660D6">
        <w:rPr>
          <w:szCs w:val="19"/>
        </w:rPr>
        <w:t>%</w:t>
      </w:r>
      <w:r w:rsidR="00D57CA2">
        <w:rPr>
          <w:szCs w:val="19"/>
        </w:rPr>
        <w:t xml:space="preserve"> </w:t>
      </w:r>
      <w:r w:rsidR="00DC207F">
        <w:rPr>
          <w:szCs w:val="19"/>
        </w:rPr>
        <w:t>(</w:t>
      </w:r>
      <w:r w:rsidR="000660D6">
        <w:rPr>
          <w:szCs w:val="19"/>
        </w:rPr>
        <w:t>patrz tabl.</w:t>
      </w:r>
      <w:r w:rsidR="00255E96">
        <w:rPr>
          <w:szCs w:val="19"/>
        </w:rPr>
        <w:t xml:space="preserve"> </w:t>
      </w:r>
      <w:r w:rsidR="000660D6">
        <w:rPr>
          <w:szCs w:val="19"/>
        </w:rPr>
        <w:t>3</w:t>
      </w:r>
      <w:r w:rsidR="0071002E">
        <w:rPr>
          <w:szCs w:val="19"/>
        </w:rPr>
        <w:t>)</w:t>
      </w:r>
      <w:r w:rsidR="00252FFA" w:rsidRPr="00252FFA">
        <w:rPr>
          <w:szCs w:val="19"/>
        </w:rPr>
        <w:t xml:space="preserve">. </w:t>
      </w:r>
      <w:r w:rsidR="0071002E">
        <w:rPr>
          <w:szCs w:val="19"/>
        </w:rPr>
        <w:t>W</w:t>
      </w:r>
      <w:r w:rsidR="00074CF4">
        <w:rPr>
          <w:szCs w:val="19"/>
        </w:rPr>
        <w:t xml:space="preserve">ynika </w:t>
      </w:r>
      <w:r w:rsidR="0071002E">
        <w:rPr>
          <w:szCs w:val="19"/>
        </w:rPr>
        <w:t xml:space="preserve">to </w:t>
      </w:r>
      <w:r w:rsidR="00074CF4">
        <w:rPr>
          <w:szCs w:val="19"/>
        </w:rPr>
        <w:t>zarówno z</w:t>
      </w:r>
      <w:r w:rsidR="00BF2B61">
        <w:rPr>
          <w:szCs w:val="19"/>
        </w:rPr>
        <w:t> </w:t>
      </w:r>
      <w:r w:rsidR="0071002E">
        <w:rPr>
          <w:szCs w:val="19"/>
        </w:rPr>
        <w:t xml:space="preserve">faktu </w:t>
      </w:r>
      <w:r w:rsidR="00074CF4">
        <w:rPr>
          <w:szCs w:val="19"/>
        </w:rPr>
        <w:t xml:space="preserve">usamodzielniania się tych osób, jak i większych możliwości łączenia nauki na wyższych poziomach edukacji z praca zawodową. </w:t>
      </w:r>
      <w:r w:rsidR="00074CF4" w:rsidRPr="00252FFA">
        <w:rPr>
          <w:szCs w:val="19"/>
        </w:rPr>
        <w:t>Z kolei</w:t>
      </w:r>
      <w:r w:rsidR="00074CF4">
        <w:rPr>
          <w:szCs w:val="19"/>
        </w:rPr>
        <w:t xml:space="preserve"> wśród</w:t>
      </w:r>
      <w:r w:rsidR="00252FFA" w:rsidRPr="00252FFA">
        <w:rPr>
          <w:szCs w:val="19"/>
        </w:rPr>
        <w:t xml:space="preserve"> os</w:t>
      </w:r>
      <w:r w:rsidR="00074CF4">
        <w:rPr>
          <w:szCs w:val="19"/>
        </w:rPr>
        <w:t>ób</w:t>
      </w:r>
      <w:r w:rsidR="00252FFA" w:rsidRPr="00252FFA">
        <w:rPr>
          <w:szCs w:val="19"/>
        </w:rPr>
        <w:t>, które zakończyły już edukację formalną ale nadal się dokształcają (za wyjątkiem osób młodych w</w:t>
      </w:r>
      <w:r w:rsidR="00A2243F">
        <w:rPr>
          <w:szCs w:val="19"/>
        </w:rPr>
        <w:t> </w:t>
      </w:r>
      <w:r w:rsidR="00252FFA" w:rsidRPr="00252FFA">
        <w:rPr>
          <w:szCs w:val="19"/>
        </w:rPr>
        <w:t xml:space="preserve">wieku 15-19 lat, które </w:t>
      </w:r>
      <w:r w:rsidR="000660D6">
        <w:rPr>
          <w:szCs w:val="19"/>
        </w:rPr>
        <w:t xml:space="preserve">z różnych przyczyn </w:t>
      </w:r>
      <w:r w:rsidR="00252FFA" w:rsidRPr="00252FFA">
        <w:rPr>
          <w:szCs w:val="19"/>
        </w:rPr>
        <w:t>znalazły się w</w:t>
      </w:r>
      <w:r w:rsidR="000D48D8">
        <w:rPr>
          <w:szCs w:val="19"/>
        </w:rPr>
        <w:t> </w:t>
      </w:r>
      <w:r w:rsidR="00252FFA" w:rsidRPr="00252FFA">
        <w:rPr>
          <w:szCs w:val="19"/>
        </w:rPr>
        <w:t xml:space="preserve">tej grupie) aktywność na rynku pracy jest już bardzo wysoka </w:t>
      </w:r>
      <w:r w:rsidR="000660D6">
        <w:rPr>
          <w:szCs w:val="19"/>
        </w:rPr>
        <w:t xml:space="preserve">(od 68,5% dla osób w wieku </w:t>
      </w:r>
      <w:r w:rsidR="00BF2B61">
        <w:rPr>
          <w:szCs w:val="19"/>
        </w:rPr>
        <w:t>20</w:t>
      </w:r>
      <w:r w:rsidR="000660D6">
        <w:rPr>
          <w:szCs w:val="19"/>
        </w:rPr>
        <w:t>-24 lata do 97,4% dla osób wieku 25-34 lata</w:t>
      </w:r>
      <w:r w:rsidR="00DC207F">
        <w:rPr>
          <w:szCs w:val="19"/>
        </w:rPr>
        <w:t>)</w:t>
      </w:r>
      <w:r w:rsidR="00A2243F">
        <w:rPr>
          <w:szCs w:val="19"/>
        </w:rPr>
        <w:t>.</w:t>
      </w:r>
      <w:r w:rsidR="00252FFA" w:rsidRPr="00252FFA">
        <w:rPr>
          <w:szCs w:val="19"/>
        </w:rPr>
        <w:t xml:space="preserve"> </w:t>
      </w:r>
      <w:r w:rsidR="00E642C0">
        <w:rPr>
          <w:szCs w:val="19"/>
        </w:rPr>
        <w:t>Wynik</w:t>
      </w:r>
      <w:r w:rsidR="00BF2B61">
        <w:rPr>
          <w:szCs w:val="19"/>
        </w:rPr>
        <w:t>a</w:t>
      </w:r>
      <w:r w:rsidR="00E642C0">
        <w:rPr>
          <w:szCs w:val="19"/>
        </w:rPr>
        <w:t xml:space="preserve"> to przede wszystkim z tego</w:t>
      </w:r>
      <w:r w:rsidR="00074CF4">
        <w:rPr>
          <w:szCs w:val="19"/>
        </w:rPr>
        <w:t>, że forma dokształcania</w:t>
      </w:r>
      <w:r w:rsidR="000660D6">
        <w:rPr>
          <w:szCs w:val="19"/>
        </w:rPr>
        <w:t xml:space="preserve"> </w:t>
      </w:r>
      <w:r w:rsidR="00E9196A">
        <w:rPr>
          <w:szCs w:val="19"/>
        </w:rPr>
        <w:t>poza edukacją formalną</w:t>
      </w:r>
      <w:r w:rsidR="00074CF4">
        <w:rPr>
          <w:szCs w:val="19"/>
        </w:rPr>
        <w:t xml:space="preserve"> jest dużo łatwiejsza do </w:t>
      </w:r>
      <w:r w:rsidR="00E9196A">
        <w:rPr>
          <w:szCs w:val="19"/>
        </w:rPr>
        <w:t>pogodzenia</w:t>
      </w:r>
      <w:r w:rsidR="00074CF4">
        <w:rPr>
          <w:szCs w:val="19"/>
        </w:rPr>
        <w:t xml:space="preserve"> z pracą zawodową, a czasami stanowi jej integralną część (np. w przypadku szkoleń organizowanych przez pracodawcę).</w:t>
      </w:r>
    </w:p>
    <w:p w14:paraId="0B641DEE" w14:textId="77777777" w:rsidR="00033D90" w:rsidRDefault="00033D90" w:rsidP="00033D90">
      <w:pPr>
        <w:spacing w:before="240" w:line="288" w:lineRule="auto"/>
        <w:ind w:left="851" w:hanging="851"/>
        <w:rPr>
          <w:b/>
          <w:szCs w:val="19"/>
        </w:rPr>
      </w:pPr>
      <w:r w:rsidRPr="00252FFA">
        <w:rPr>
          <w:b/>
          <w:szCs w:val="19"/>
        </w:rPr>
        <w:t xml:space="preserve">Tablica </w:t>
      </w:r>
      <w:r>
        <w:rPr>
          <w:b/>
          <w:szCs w:val="19"/>
        </w:rPr>
        <w:t>3</w:t>
      </w:r>
      <w:r w:rsidRPr="00252FFA">
        <w:rPr>
          <w:b/>
          <w:szCs w:val="19"/>
        </w:rPr>
        <w:t>. Aktywność ekonomiczna osób w wieku 15-34 lata uczących się w formalnym systemie edukacji lub dokształcających się poza formalnym systemem edukacji według wieku</w:t>
      </w:r>
    </w:p>
    <w:tbl>
      <w:tblPr>
        <w:tblStyle w:val="Tabela-Siatka"/>
        <w:tblpPr w:leftFromText="141" w:rightFromText="141" w:vertAnchor="text" w:horzAnchor="margin" w:tblpY="19"/>
        <w:tblW w:w="7938" w:type="dxa"/>
        <w:tblBorders>
          <w:top w:val="single" w:sz="4" w:space="0" w:color="001D77"/>
          <w:left w:val="none" w:sz="0" w:space="0" w:color="auto"/>
          <w:bottom w:val="single" w:sz="4" w:space="0" w:color="001D77"/>
          <w:right w:val="none" w:sz="0" w:space="0" w:color="auto"/>
          <w:insideH w:val="single" w:sz="4" w:space="0" w:color="001D77"/>
          <w:insideV w:val="single" w:sz="4" w:space="0" w:color="001D77"/>
        </w:tblBorders>
        <w:tblLayout w:type="fixed"/>
        <w:tblLook w:val="04A0" w:firstRow="1" w:lastRow="0" w:firstColumn="1" w:lastColumn="0" w:noHBand="0" w:noVBand="1"/>
      </w:tblPr>
      <w:tblGrid>
        <w:gridCol w:w="840"/>
        <w:gridCol w:w="720"/>
        <w:gridCol w:w="719"/>
        <w:gridCol w:w="840"/>
        <w:gridCol w:w="850"/>
        <w:gridCol w:w="851"/>
        <w:gridCol w:w="1134"/>
        <w:gridCol w:w="992"/>
        <w:gridCol w:w="992"/>
      </w:tblGrid>
      <w:tr w:rsidR="00033D90" w:rsidRPr="00F34660" w14:paraId="7D7893A6" w14:textId="77777777" w:rsidTr="00814C25">
        <w:trPr>
          <w:trHeight w:val="261"/>
        </w:trPr>
        <w:tc>
          <w:tcPr>
            <w:tcW w:w="840" w:type="dxa"/>
            <w:vMerge w:val="restart"/>
            <w:vAlign w:val="center"/>
          </w:tcPr>
          <w:p w14:paraId="1ADCF51A" w14:textId="77777777" w:rsidR="00033D90" w:rsidRPr="00255E96" w:rsidRDefault="00033D90" w:rsidP="00814C25">
            <w:pPr>
              <w:spacing w:before="0" w:after="0"/>
              <w:jc w:val="center"/>
              <w:rPr>
                <w:rFonts w:cs="Arial"/>
                <w:sz w:val="16"/>
                <w:szCs w:val="16"/>
              </w:rPr>
            </w:pPr>
            <w:bookmarkStart w:id="6" w:name="_Hlk207194787"/>
            <w:r w:rsidRPr="00255E96">
              <w:rPr>
                <w:rFonts w:cs="Arial"/>
                <w:sz w:val="16"/>
                <w:szCs w:val="16"/>
              </w:rPr>
              <w:t>Wiek</w:t>
            </w:r>
          </w:p>
        </w:tc>
        <w:tc>
          <w:tcPr>
            <w:tcW w:w="720" w:type="dxa"/>
            <w:vMerge w:val="restart"/>
            <w:vAlign w:val="center"/>
          </w:tcPr>
          <w:p w14:paraId="29B39E6B" w14:textId="77777777" w:rsidR="00033D90" w:rsidRPr="00255E96" w:rsidRDefault="00033D90" w:rsidP="00814C25">
            <w:pPr>
              <w:spacing w:before="0" w:after="0"/>
              <w:ind w:left="-97" w:right="-45"/>
              <w:jc w:val="center"/>
              <w:rPr>
                <w:rFonts w:cs="Arial"/>
                <w:sz w:val="16"/>
                <w:szCs w:val="16"/>
              </w:rPr>
            </w:pPr>
            <w:r w:rsidRPr="00255E96">
              <w:rPr>
                <w:rFonts w:cs="Arial"/>
                <w:sz w:val="16"/>
                <w:szCs w:val="16"/>
              </w:rPr>
              <w:t>Ogółem</w:t>
            </w:r>
          </w:p>
        </w:tc>
        <w:tc>
          <w:tcPr>
            <w:tcW w:w="2409" w:type="dxa"/>
            <w:gridSpan w:val="3"/>
            <w:vAlign w:val="center"/>
          </w:tcPr>
          <w:p w14:paraId="6AD13CA5" w14:textId="77777777" w:rsidR="00033D90" w:rsidRPr="00255E96" w:rsidRDefault="00033D90" w:rsidP="00814C25">
            <w:pPr>
              <w:spacing w:before="0" w:after="0"/>
              <w:jc w:val="center"/>
              <w:rPr>
                <w:rFonts w:cs="Arial"/>
                <w:sz w:val="16"/>
                <w:szCs w:val="16"/>
              </w:rPr>
            </w:pPr>
            <w:r w:rsidRPr="00255E96">
              <w:rPr>
                <w:rFonts w:cs="Arial"/>
                <w:sz w:val="16"/>
                <w:szCs w:val="16"/>
              </w:rPr>
              <w:t>Aktywni zawodowo</w:t>
            </w:r>
          </w:p>
        </w:tc>
        <w:tc>
          <w:tcPr>
            <w:tcW w:w="851" w:type="dxa"/>
            <w:vMerge w:val="restart"/>
            <w:vAlign w:val="center"/>
          </w:tcPr>
          <w:p w14:paraId="7810749B" w14:textId="77777777" w:rsidR="00033D90" w:rsidRPr="00255E96" w:rsidRDefault="00033D90" w:rsidP="00814C25">
            <w:pPr>
              <w:spacing w:before="0" w:after="0"/>
              <w:ind w:left="-109" w:right="-109"/>
              <w:jc w:val="center"/>
              <w:rPr>
                <w:rFonts w:cs="Arial"/>
                <w:sz w:val="16"/>
                <w:szCs w:val="16"/>
              </w:rPr>
            </w:pPr>
            <w:r w:rsidRPr="00255E96">
              <w:rPr>
                <w:rFonts w:cs="Arial"/>
                <w:sz w:val="16"/>
                <w:szCs w:val="16"/>
              </w:rPr>
              <w:t>Bierni zawodowo</w:t>
            </w:r>
          </w:p>
        </w:tc>
        <w:tc>
          <w:tcPr>
            <w:tcW w:w="1134" w:type="dxa"/>
            <w:vMerge w:val="restart"/>
            <w:vAlign w:val="center"/>
          </w:tcPr>
          <w:p w14:paraId="2A566974" w14:textId="77777777" w:rsidR="00033D90" w:rsidRPr="00255E96" w:rsidRDefault="00033D90" w:rsidP="00814C25">
            <w:pPr>
              <w:spacing w:before="0" w:after="0"/>
              <w:ind w:left="-107" w:right="-111"/>
              <w:jc w:val="center"/>
              <w:rPr>
                <w:rFonts w:cs="Arial"/>
                <w:sz w:val="16"/>
                <w:szCs w:val="16"/>
              </w:rPr>
            </w:pPr>
            <w:r w:rsidRPr="00255E96">
              <w:rPr>
                <w:rFonts w:cs="Arial"/>
                <w:sz w:val="16"/>
                <w:szCs w:val="16"/>
              </w:rPr>
              <w:t>Współczynnik aktywności zawodowej</w:t>
            </w:r>
          </w:p>
        </w:tc>
        <w:tc>
          <w:tcPr>
            <w:tcW w:w="992" w:type="dxa"/>
            <w:vMerge w:val="restart"/>
            <w:vAlign w:val="center"/>
          </w:tcPr>
          <w:p w14:paraId="50184674" w14:textId="77777777" w:rsidR="00033D90" w:rsidRPr="00255E96" w:rsidRDefault="00033D90" w:rsidP="00814C25">
            <w:pPr>
              <w:spacing w:before="0" w:after="0"/>
              <w:ind w:left="-105" w:right="-105"/>
              <w:jc w:val="center"/>
              <w:rPr>
                <w:rFonts w:cs="Arial"/>
                <w:sz w:val="16"/>
                <w:szCs w:val="16"/>
              </w:rPr>
            </w:pPr>
            <w:r w:rsidRPr="00255E96">
              <w:rPr>
                <w:rFonts w:cs="Arial"/>
                <w:sz w:val="16"/>
                <w:szCs w:val="16"/>
              </w:rPr>
              <w:t>Wskaźnik zatrudnienia</w:t>
            </w:r>
          </w:p>
        </w:tc>
        <w:tc>
          <w:tcPr>
            <w:tcW w:w="992" w:type="dxa"/>
            <w:vMerge w:val="restart"/>
            <w:vAlign w:val="center"/>
          </w:tcPr>
          <w:p w14:paraId="4E53BCA3" w14:textId="77777777" w:rsidR="00033D90" w:rsidRPr="00255E96" w:rsidRDefault="00033D90" w:rsidP="00814C25">
            <w:pPr>
              <w:spacing w:before="0" w:after="0"/>
              <w:ind w:left="-104" w:right="-106"/>
              <w:jc w:val="center"/>
              <w:rPr>
                <w:rFonts w:cs="Arial"/>
                <w:sz w:val="16"/>
                <w:szCs w:val="16"/>
              </w:rPr>
            </w:pPr>
            <w:r w:rsidRPr="00255E96">
              <w:rPr>
                <w:rFonts w:cs="Arial"/>
                <w:sz w:val="16"/>
                <w:szCs w:val="16"/>
              </w:rPr>
              <w:t>Stopa bezrobocia</w:t>
            </w:r>
          </w:p>
        </w:tc>
      </w:tr>
      <w:tr w:rsidR="00033D90" w:rsidRPr="00F34660" w14:paraId="4BBE7BDF" w14:textId="77777777" w:rsidTr="00814C25">
        <w:trPr>
          <w:trHeight w:val="406"/>
        </w:trPr>
        <w:tc>
          <w:tcPr>
            <w:tcW w:w="840" w:type="dxa"/>
            <w:vMerge/>
            <w:vAlign w:val="center"/>
          </w:tcPr>
          <w:p w14:paraId="15C550BA" w14:textId="77777777" w:rsidR="00033D90" w:rsidRPr="00255E96" w:rsidRDefault="00033D90" w:rsidP="00814C25">
            <w:pPr>
              <w:spacing w:before="0" w:after="0"/>
              <w:jc w:val="center"/>
              <w:rPr>
                <w:rFonts w:cs="Arial"/>
                <w:sz w:val="16"/>
                <w:szCs w:val="16"/>
              </w:rPr>
            </w:pPr>
          </w:p>
        </w:tc>
        <w:tc>
          <w:tcPr>
            <w:tcW w:w="720" w:type="dxa"/>
            <w:vMerge/>
            <w:vAlign w:val="center"/>
          </w:tcPr>
          <w:p w14:paraId="4DB6A824" w14:textId="77777777" w:rsidR="00033D90" w:rsidRPr="00255E96" w:rsidRDefault="00033D90" w:rsidP="00814C25">
            <w:pPr>
              <w:spacing w:before="0" w:after="0"/>
              <w:jc w:val="center"/>
              <w:rPr>
                <w:rFonts w:cs="Arial"/>
                <w:sz w:val="16"/>
                <w:szCs w:val="16"/>
              </w:rPr>
            </w:pPr>
          </w:p>
        </w:tc>
        <w:tc>
          <w:tcPr>
            <w:tcW w:w="719" w:type="dxa"/>
            <w:vAlign w:val="center"/>
          </w:tcPr>
          <w:p w14:paraId="735D4C3C" w14:textId="77777777" w:rsidR="00033D90" w:rsidRPr="00255E96" w:rsidRDefault="00033D90" w:rsidP="00814C25">
            <w:pPr>
              <w:spacing w:before="0" w:after="0"/>
              <w:ind w:left="-104" w:right="-96"/>
              <w:jc w:val="center"/>
              <w:rPr>
                <w:rFonts w:cs="Arial"/>
                <w:sz w:val="16"/>
                <w:szCs w:val="16"/>
              </w:rPr>
            </w:pPr>
            <w:r w:rsidRPr="00255E96">
              <w:rPr>
                <w:rFonts w:cs="Arial"/>
                <w:sz w:val="16"/>
                <w:szCs w:val="16"/>
              </w:rPr>
              <w:t>razem</w:t>
            </w:r>
          </w:p>
        </w:tc>
        <w:tc>
          <w:tcPr>
            <w:tcW w:w="840" w:type="dxa"/>
            <w:vAlign w:val="center"/>
          </w:tcPr>
          <w:p w14:paraId="5D428DDC" w14:textId="77777777" w:rsidR="00033D90" w:rsidRPr="00255E96" w:rsidRDefault="00033D90" w:rsidP="00814C25">
            <w:pPr>
              <w:spacing w:before="0" w:after="0"/>
              <w:ind w:left="-120" w:right="-106"/>
              <w:jc w:val="center"/>
              <w:rPr>
                <w:rFonts w:cs="Arial"/>
                <w:sz w:val="16"/>
                <w:szCs w:val="16"/>
              </w:rPr>
            </w:pPr>
            <w:r w:rsidRPr="00255E96">
              <w:rPr>
                <w:rFonts w:cs="Arial"/>
                <w:sz w:val="16"/>
                <w:szCs w:val="16"/>
              </w:rPr>
              <w:t>pracujący</w:t>
            </w:r>
          </w:p>
        </w:tc>
        <w:tc>
          <w:tcPr>
            <w:tcW w:w="850" w:type="dxa"/>
            <w:vAlign w:val="center"/>
          </w:tcPr>
          <w:p w14:paraId="5D4918B2" w14:textId="77777777" w:rsidR="00033D90" w:rsidRPr="00255E96" w:rsidRDefault="00033D90" w:rsidP="00814C25">
            <w:pPr>
              <w:spacing w:before="0" w:after="0"/>
              <w:ind w:left="-110" w:right="-107"/>
              <w:jc w:val="center"/>
              <w:rPr>
                <w:rFonts w:cs="Arial"/>
                <w:sz w:val="16"/>
                <w:szCs w:val="16"/>
              </w:rPr>
            </w:pPr>
            <w:r w:rsidRPr="00255E96">
              <w:rPr>
                <w:rFonts w:cs="Arial"/>
                <w:sz w:val="16"/>
                <w:szCs w:val="16"/>
              </w:rPr>
              <w:t>bezrobotni</w:t>
            </w:r>
          </w:p>
        </w:tc>
        <w:tc>
          <w:tcPr>
            <w:tcW w:w="851" w:type="dxa"/>
            <w:vMerge/>
            <w:vAlign w:val="center"/>
          </w:tcPr>
          <w:p w14:paraId="58455475" w14:textId="77777777" w:rsidR="00033D90" w:rsidRPr="00255E96" w:rsidRDefault="00033D90" w:rsidP="00814C25">
            <w:pPr>
              <w:spacing w:before="0" w:after="0"/>
              <w:jc w:val="center"/>
              <w:rPr>
                <w:rFonts w:cs="Arial"/>
                <w:sz w:val="16"/>
                <w:szCs w:val="16"/>
              </w:rPr>
            </w:pPr>
          </w:p>
        </w:tc>
        <w:tc>
          <w:tcPr>
            <w:tcW w:w="1134" w:type="dxa"/>
            <w:vMerge/>
            <w:vAlign w:val="center"/>
          </w:tcPr>
          <w:p w14:paraId="76C5E6A4" w14:textId="77777777" w:rsidR="00033D90" w:rsidRPr="00255E96" w:rsidRDefault="00033D90" w:rsidP="00814C25">
            <w:pPr>
              <w:spacing w:before="0" w:after="0"/>
              <w:jc w:val="center"/>
              <w:rPr>
                <w:rFonts w:cs="Arial"/>
                <w:sz w:val="16"/>
                <w:szCs w:val="16"/>
              </w:rPr>
            </w:pPr>
          </w:p>
        </w:tc>
        <w:tc>
          <w:tcPr>
            <w:tcW w:w="992" w:type="dxa"/>
            <w:vMerge/>
            <w:vAlign w:val="center"/>
          </w:tcPr>
          <w:p w14:paraId="212E0F20" w14:textId="77777777" w:rsidR="00033D90" w:rsidRPr="00255E96" w:rsidRDefault="00033D90" w:rsidP="00814C25">
            <w:pPr>
              <w:spacing w:before="0" w:after="0"/>
              <w:jc w:val="center"/>
              <w:rPr>
                <w:rFonts w:cs="Arial"/>
                <w:sz w:val="16"/>
                <w:szCs w:val="16"/>
              </w:rPr>
            </w:pPr>
          </w:p>
        </w:tc>
        <w:tc>
          <w:tcPr>
            <w:tcW w:w="992" w:type="dxa"/>
            <w:vMerge/>
            <w:vAlign w:val="center"/>
          </w:tcPr>
          <w:p w14:paraId="7F0707AD" w14:textId="77777777" w:rsidR="00033D90" w:rsidRPr="00255E96" w:rsidRDefault="00033D90" w:rsidP="00814C25">
            <w:pPr>
              <w:spacing w:before="0" w:after="0"/>
              <w:jc w:val="center"/>
              <w:rPr>
                <w:rFonts w:cs="Arial"/>
                <w:sz w:val="16"/>
                <w:szCs w:val="16"/>
              </w:rPr>
            </w:pPr>
          </w:p>
        </w:tc>
      </w:tr>
      <w:tr w:rsidR="00033D90" w:rsidRPr="00F34660" w14:paraId="31E51489" w14:textId="77777777" w:rsidTr="00814C25">
        <w:trPr>
          <w:trHeight w:val="271"/>
        </w:trPr>
        <w:tc>
          <w:tcPr>
            <w:tcW w:w="840" w:type="dxa"/>
            <w:vMerge/>
            <w:vAlign w:val="center"/>
          </w:tcPr>
          <w:p w14:paraId="65A2F5F2" w14:textId="77777777" w:rsidR="00033D90" w:rsidRPr="00255E96" w:rsidRDefault="00033D90" w:rsidP="00814C25">
            <w:pPr>
              <w:spacing w:before="0" w:after="0"/>
              <w:jc w:val="center"/>
              <w:rPr>
                <w:rFonts w:cs="Arial"/>
                <w:sz w:val="16"/>
                <w:szCs w:val="16"/>
              </w:rPr>
            </w:pPr>
          </w:p>
        </w:tc>
        <w:tc>
          <w:tcPr>
            <w:tcW w:w="3980" w:type="dxa"/>
            <w:gridSpan w:val="5"/>
            <w:vAlign w:val="center"/>
          </w:tcPr>
          <w:p w14:paraId="37C2403F" w14:textId="77777777" w:rsidR="00033D90" w:rsidRPr="00255E96" w:rsidRDefault="00033D90" w:rsidP="00814C25">
            <w:pPr>
              <w:spacing w:before="0" w:after="0"/>
              <w:jc w:val="center"/>
              <w:rPr>
                <w:rFonts w:cs="Arial"/>
                <w:sz w:val="16"/>
                <w:szCs w:val="16"/>
              </w:rPr>
            </w:pPr>
            <w:r w:rsidRPr="00255E96">
              <w:rPr>
                <w:rFonts w:cs="Arial"/>
                <w:sz w:val="16"/>
                <w:szCs w:val="16"/>
              </w:rPr>
              <w:t>w tysiącach</w:t>
            </w:r>
          </w:p>
        </w:tc>
        <w:tc>
          <w:tcPr>
            <w:tcW w:w="3118" w:type="dxa"/>
            <w:gridSpan w:val="3"/>
            <w:vAlign w:val="center"/>
          </w:tcPr>
          <w:p w14:paraId="322789FA" w14:textId="77777777" w:rsidR="00033D90" w:rsidRPr="00255E96" w:rsidRDefault="00033D90" w:rsidP="00814C25">
            <w:pPr>
              <w:spacing w:before="0" w:after="0"/>
              <w:jc w:val="center"/>
              <w:rPr>
                <w:rFonts w:cs="Arial"/>
                <w:sz w:val="16"/>
                <w:szCs w:val="16"/>
              </w:rPr>
            </w:pPr>
            <w:r w:rsidRPr="00255E96">
              <w:rPr>
                <w:rFonts w:cs="Arial"/>
                <w:sz w:val="16"/>
                <w:szCs w:val="16"/>
              </w:rPr>
              <w:t>w %</w:t>
            </w:r>
          </w:p>
        </w:tc>
      </w:tr>
      <w:tr w:rsidR="00033D90" w:rsidRPr="00F34660" w14:paraId="267E6110" w14:textId="77777777" w:rsidTr="00814C25">
        <w:trPr>
          <w:trHeight w:val="274"/>
        </w:trPr>
        <w:tc>
          <w:tcPr>
            <w:tcW w:w="840" w:type="dxa"/>
            <w:shd w:val="clear" w:color="auto" w:fill="auto"/>
            <w:vAlign w:val="bottom"/>
          </w:tcPr>
          <w:p w14:paraId="3C51A802" w14:textId="77777777" w:rsidR="00033D90" w:rsidRPr="00255E96" w:rsidRDefault="00033D90" w:rsidP="00814C25">
            <w:pPr>
              <w:spacing w:before="0" w:after="0"/>
              <w:rPr>
                <w:rFonts w:cs="Arial"/>
                <w:b/>
                <w:bCs/>
                <w:sz w:val="16"/>
                <w:szCs w:val="16"/>
              </w:rPr>
            </w:pPr>
            <w:r w:rsidRPr="00255E96">
              <w:rPr>
                <w:rFonts w:cs="Arial"/>
                <w:b/>
                <w:bCs/>
                <w:sz w:val="16"/>
                <w:szCs w:val="16"/>
              </w:rPr>
              <w:t xml:space="preserve">OGÓŁEM                                                                                                                                                                                                                                                      </w:t>
            </w:r>
          </w:p>
        </w:tc>
        <w:tc>
          <w:tcPr>
            <w:tcW w:w="720" w:type="dxa"/>
            <w:tcBorders>
              <w:bottom w:val="single" w:sz="4" w:space="0" w:color="001D77"/>
              <w:right w:val="single" w:sz="4" w:space="0" w:color="001D77"/>
            </w:tcBorders>
            <w:shd w:val="clear" w:color="auto" w:fill="auto"/>
            <w:vAlign w:val="bottom"/>
          </w:tcPr>
          <w:p w14:paraId="23A71F35"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3544</w:t>
            </w:r>
          </w:p>
        </w:tc>
        <w:tc>
          <w:tcPr>
            <w:tcW w:w="719" w:type="dxa"/>
            <w:tcBorders>
              <w:left w:val="single" w:sz="4" w:space="0" w:color="001D77"/>
              <w:bottom w:val="single" w:sz="4" w:space="0" w:color="001D77"/>
              <w:right w:val="single" w:sz="4" w:space="0" w:color="001D77"/>
            </w:tcBorders>
            <w:shd w:val="clear" w:color="auto" w:fill="auto"/>
            <w:vAlign w:val="bottom"/>
          </w:tcPr>
          <w:p w14:paraId="5D64FCDC"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1238</w:t>
            </w:r>
          </w:p>
        </w:tc>
        <w:tc>
          <w:tcPr>
            <w:tcW w:w="840" w:type="dxa"/>
            <w:tcBorders>
              <w:left w:val="single" w:sz="4" w:space="0" w:color="001D77"/>
              <w:bottom w:val="single" w:sz="4" w:space="0" w:color="001D77"/>
              <w:right w:val="single" w:sz="4" w:space="0" w:color="001D77"/>
            </w:tcBorders>
            <w:shd w:val="clear" w:color="auto" w:fill="auto"/>
            <w:vAlign w:val="bottom"/>
          </w:tcPr>
          <w:p w14:paraId="06455E24"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1188</w:t>
            </w:r>
          </w:p>
        </w:tc>
        <w:tc>
          <w:tcPr>
            <w:tcW w:w="850" w:type="dxa"/>
            <w:tcBorders>
              <w:left w:val="single" w:sz="4" w:space="0" w:color="001D77"/>
              <w:bottom w:val="single" w:sz="4" w:space="0" w:color="001D77"/>
              <w:right w:val="single" w:sz="4" w:space="0" w:color="001D77"/>
            </w:tcBorders>
            <w:shd w:val="clear" w:color="auto" w:fill="auto"/>
            <w:vAlign w:val="bottom"/>
          </w:tcPr>
          <w:p w14:paraId="2E3932DE"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50</w:t>
            </w:r>
          </w:p>
        </w:tc>
        <w:tc>
          <w:tcPr>
            <w:tcW w:w="851" w:type="dxa"/>
            <w:tcBorders>
              <w:left w:val="single" w:sz="4" w:space="0" w:color="001D77"/>
              <w:bottom w:val="single" w:sz="4" w:space="0" w:color="001D77"/>
              <w:right w:val="single" w:sz="4" w:space="0" w:color="001D77"/>
            </w:tcBorders>
            <w:shd w:val="clear" w:color="auto" w:fill="auto"/>
            <w:vAlign w:val="bottom"/>
          </w:tcPr>
          <w:p w14:paraId="6361336E"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2306</w:t>
            </w:r>
          </w:p>
        </w:tc>
        <w:tc>
          <w:tcPr>
            <w:tcW w:w="1134" w:type="dxa"/>
            <w:tcBorders>
              <w:top w:val="nil"/>
              <w:left w:val="single" w:sz="4" w:space="0" w:color="001D77"/>
              <w:bottom w:val="single" w:sz="4" w:space="0" w:color="001D77"/>
              <w:right w:val="single" w:sz="4" w:space="0" w:color="001D77"/>
            </w:tcBorders>
            <w:shd w:val="clear" w:color="auto" w:fill="auto"/>
            <w:vAlign w:val="bottom"/>
          </w:tcPr>
          <w:p w14:paraId="22FEF96D" w14:textId="77777777" w:rsidR="00033D90" w:rsidRPr="00255E96" w:rsidRDefault="00033D90" w:rsidP="00814C25">
            <w:pPr>
              <w:spacing w:before="0" w:after="0"/>
              <w:jc w:val="right"/>
              <w:rPr>
                <w:rFonts w:cs="Calibri"/>
                <w:b/>
                <w:bCs/>
                <w:sz w:val="16"/>
                <w:szCs w:val="16"/>
              </w:rPr>
            </w:pPr>
            <w:r w:rsidRPr="00255E96">
              <w:rPr>
                <w:rFonts w:cs="Arial"/>
                <w:b/>
                <w:sz w:val="16"/>
                <w:szCs w:val="16"/>
              </w:rPr>
              <w:t>34,9</w:t>
            </w:r>
          </w:p>
        </w:tc>
        <w:tc>
          <w:tcPr>
            <w:tcW w:w="992" w:type="dxa"/>
            <w:tcBorders>
              <w:top w:val="nil"/>
              <w:left w:val="single" w:sz="4" w:space="0" w:color="001D77"/>
              <w:bottom w:val="single" w:sz="4" w:space="0" w:color="001D77"/>
              <w:right w:val="single" w:sz="4" w:space="0" w:color="001D77"/>
            </w:tcBorders>
            <w:shd w:val="clear" w:color="auto" w:fill="auto"/>
            <w:vAlign w:val="bottom"/>
          </w:tcPr>
          <w:p w14:paraId="2AB384BE" w14:textId="77777777" w:rsidR="00033D90" w:rsidRPr="00255E96" w:rsidRDefault="00033D90" w:rsidP="00814C25">
            <w:pPr>
              <w:spacing w:before="0" w:after="0"/>
              <w:jc w:val="right"/>
              <w:rPr>
                <w:rFonts w:cs="Calibri"/>
                <w:b/>
                <w:bCs/>
                <w:sz w:val="16"/>
                <w:szCs w:val="16"/>
              </w:rPr>
            </w:pPr>
            <w:r w:rsidRPr="00255E96">
              <w:rPr>
                <w:rFonts w:cs="Arial"/>
                <w:b/>
                <w:color w:val="000000"/>
                <w:sz w:val="16"/>
                <w:szCs w:val="16"/>
              </w:rPr>
              <w:t>33,5</w:t>
            </w:r>
          </w:p>
        </w:tc>
        <w:tc>
          <w:tcPr>
            <w:tcW w:w="992" w:type="dxa"/>
            <w:tcBorders>
              <w:top w:val="nil"/>
              <w:left w:val="single" w:sz="4" w:space="0" w:color="001D77"/>
              <w:bottom w:val="single" w:sz="4" w:space="0" w:color="001D77"/>
              <w:right w:val="nil"/>
            </w:tcBorders>
            <w:shd w:val="clear" w:color="auto" w:fill="auto"/>
            <w:vAlign w:val="bottom"/>
          </w:tcPr>
          <w:p w14:paraId="43F84510" w14:textId="77777777" w:rsidR="00033D90" w:rsidRPr="00255E96" w:rsidRDefault="00033D90" w:rsidP="00814C25">
            <w:pPr>
              <w:spacing w:before="0" w:after="0"/>
              <w:jc w:val="right"/>
              <w:rPr>
                <w:rFonts w:cs="Calibri"/>
                <w:b/>
                <w:bCs/>
                <w:sz w:val="16"/>
                <w:szCs w:val="16"/>
              </w:rPr>
            </w:pPr>
            <w:r w:rsidRPr="00255E96">
              <w:rPr>
                <w:rFonts w:cs="Arial"/>
                <w:b/>
                <w:color w:val="000000"/>
                <w:sz w:val="16"/>
                <w:szCs w:val="16"/>
              </w:rPr>
              <w:t>4,0</w:t>
            </w:r>
          </w:p>
        </w:tc>
      </w:tr>
      <w:tr w:rsidR="00033D90" w:rsidRPr="00F34660" w14:paraId="5A1608AD" w14:textId="77777777" w:rsidTr="00814C25">
        <w:trPr>
          <w:trHeight w:val="292"/>
        </w:trPr>
        <w:tc>
          <w:tcPr>
            <w:tcW w:w="840" w:type="dxa"/>
            <w:shd w:val="clear" w:color="auto" w:fill="auto"/>
            <w:vAlign w:val="bottom"/>
          </w:tcPr>
          <w:p w14:paraId="595E6C04" w14:textId="77777777" w:rsidR="00033D90" w:rsidRPr="00255E96" w:rsidRDefault="00033D90" w:rsidP="00814C25">
            <w:pPr>
              <w:spacing w:before="0" w:after="0"/>
              <w:rPr>
                <w:rFonts w:cs="Arial"/>
                <w:sz w:val="16"/>
                <w:szCs w:val="16"/>
              </w:rPr>
            </w:pPr>
            <w:r w:rsidRPr="00255E96">
              <w:rPr>
                <w:rFonts w:cs="Arial"/>
                <w:sz w:val="16"/>
                <w:szCs w:val="16"/>
              </w:rPr>
              <w:t xml:space="preserve">15-19 lat                                                                                                                                                                                                                                              </w:t>
            </w:r>
          </w:p>
        </w:tc>
        <w:tc>
          <w:tcPr>
            <w:tcW w:w="720" w:type="dxa"/>
            <w:tcBorders>
              <w:top w:val="single" w:sz="4" w:space="0" w:color="001D77"/>
              <w:bottom w:val="single" w:sz="4" w:space="0" w:color="001D77"/>
              <w:right w:val="single" w:sz="4" w:space="0" w:color="001D77"/>
            </w:tcBorders>
            <w:shd w:val="clear" w:color="auto" w:fill="auto"/>
            <w:vAlign w:val="bottom"/>
          </w:tcPr>
          <w:p w14:paraId="1662C10E" w14:textId="77777777" w:rsidR="00033D90" w:rsidRPr="00255E96" w:rsidRDefault="00033D90" w:rsidP="00814C25">
            <w:pPr>
              <w:spacing w:before="0" w:after="0"/>
              <w:jc w:val="right"/>
              <w:rPr>
                <w:rFonts w:cs="Calibri"/>
                <w:sz w:val="16"/>
                <w:szCs w:val="16"/>
              </w:rPr>
            </w:pPr>
            <w:r w:rsidRPr="00255E96">
              <w:rPr>
                <w:rFonts w:cs="Calibri"/>
                <w:sz w:val="16"/>
                <w:szCs w:val="16"/>
              </w:rPr>
              <w:t>1734</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594E344" w14:textId="77777777" w:rsidR="00033D90" w:rsidRPr="00255E96" w:rsidRDefault="00033D90" w:rsidP="00814C25">
            <w:pPr>
              <w:spacing w:before="0" w:after="0"/>
              <w:jc w:val="right"/>
              <w:rPr>
                <w:rFonts w:cs="Calibri"/>
                <w:sz w:val="16"/>
                <w:szCs w:val="16"/>
              </w:rPr>
            </w:pPr>
            <w:r w:rsidRPr="00255E96">
              <w:rPr>
                <w:rFonts w:cs="Calibri"/>
                <w:sz w:val="16"/>
                <w:szCs w:val="16"/>
              </w:rPr>
              <w:t>64</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BDF95DA" w14:textId="77777777" w:rsidR="00033D90" w:rsidRPr="00255E96" w:rsidRDefault="00033D90" w:rsidP="00814C25">
            <w:pPr>
              <w:spacing w:before="0" w:after="0"/>
              <w:jc w:val="right"/>
              <w:rPr>
                <w:rFonts w:cs="Calibri"/>
                <w:sz w:val="16"/>
                <w:szCs w:val="16"/>
              </w:rPr>
            </w:pPr>
            <w:r w:rsidRPr="00255E96">
              <w:rPr>
                <w:rFonts w:cs="Calibri"/>
                <w:sz w:val="16"/>
                <w:szCs w:val="16"/>
              </w:rPr>
              <w:t>57</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B84801E" w14:textId="77777777" w:rsidR="00033D90" w:rsidRPr="00255E96" w:rsidRDefault="00033D90" w:rsidP="00814C25">
            <w:pPr>
              <w:spacing w:before="0" w:after="0"/>
              <w:jc w:val="right"/>
              <w:rPr>
                <w:rFonts w:cs="Calibri"/>
                <w:sz w:val="16"/>
                <w:szCs w:val="16"/>
              </w:rPr>
            </w:pPr>
            <w:r w:rsidRPr="00255E96">
              <w:rPr>
                <w:rFonts w:cs="Calibri"/>
                <w:sz w:val="16"/>
                <w:szCs w:val="16"/>
              </w:rPr>
              <w:t>.</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533FA61" w14:textId="77777777" w:rsidR="00033D90" w:rsidRPr="00255E96" w:rsidRDefault="00033D90" w:rsidP="00814C25">
            <w:pPr>
              <w:spacing w:before="0" w:after="0"/>
              <w:jc w:val="right"/>
              <w:rPr>
                <w:rFonts w:cs="Calibri"/>
                <w:sz w:val="16"/>
                <w:szCs w:val="16"/>
              </w:rPr>
            </w:pPr>
            <w:r w:rsidRPr="00255E96">
              <w:rPr>
                <w:rFonts w:cs="Calibri"/>
                <w:sz w:val="16"/>
                <w:szCs w:val="16"/>
              </w:rPr>
              <w:t>1670</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6194244" w14:textId="77777777" w:rsidR="00033D90" w:rsidRPr="00255E96" w:rsidRDefault="00033D90" w:rsidP="00814C25">
            <w:pPr>
              <w:spacing w:before="0" w:after="0"/>
              <w:jc w:val="right"/>
              <w:rPr>
                <w:rFonts w:cs="Calibri"/>
                <w:bCs/>
                <w:sz w:val="16"/>
                <w:szCs w:val="16"/>
              </w:rPr>
            </w:pPr>
            <w:r w:rsidRPr="00255E96">
              <w:rPr>
                <w:rFonts w:cs="Arial"/>
                <w:sz w:val="16"/>
                <w:szCs w:val="16"/>
              </w:rPr>
              <w:t>3,7</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20FFB2D"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3,3</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4A23CA55" w14:textId="77777777" w:rsidR="00033D90" w:rsidRPr="00255E96" w:rsidRDefault="00033D90" w:rsidP="00814C25">
            <w:pPr>
              <w:spacing w:before="0" w:after="0"/>
              <w:jc w:val="right"/>
              <w:rPr>
                <w:rFonts w:cs="Calibri"/>
                <w:bCs/>
                <w:sz w:val="16"/>
                <w:szCs w:val="16"/>
              </w:rPr>
            </w:pPr>
            <w:r w:rsidRPr="00255E96">
              <w:rPr>
                <w:rFonts w:cs="Calibri"/>
                <w:bCs/>
                <w:sz w:val="16"/>
                <w:szCs w:val="16"/>
              </w:rPr>
              <w:t>.</w:t>
            </w:r>
          </w:p>
        </w:tc>
      </w:tr>
      <w:tr w:rsidR="00033D90" w:rsidRPr="00F34660" w14:paraId="7DB6049C" w14:textId="77777777" w:rsidTr="00814C25">
        <w:trPr>
          <w:trHeight w:val="254"/>
        </w:trPr>
        <w:tc>
          <w:tcPr>
            <w:tcW w:w="840" w:type="dxa"/>
            <w:shd w:val="clear" w:color="auto" w:fill="auto"/>
            <w:vAlign w:val="bottom"/>
          </w:tcPr>
          <w:p w14:paraId="1A57C0F9" w14:textId="77777777" w:rsidR="00033D90" w:rsidRPr="00255E96" w:rsidRDefault="00033D90" w:rsidP="00814C25">
            <w:pPr>
              <w:spacing w:before="0" w:after="0"/>
              <w:rPr>
                <w:rFonts w:cs="Arial"/>
                <w:sz w:val="16"/>
                <w:szCs w:val="16"/>
              </w:rPr>
            </w:pPr>
            <w:r w:rsidRPr="00255E96">
              <w:rPr>
                <w:rFonts w:cs="Arial"/>
                <w:sz w:val="16"/>
                <w:szCs w:val="16"/>
              </w:rPr>
              <w:t xml:space="preserve">20-24                                                                                                                                                                                                                                                   </w:t>
            </w:r>
          </w:p>
        </w:tc>
        <w:tc>
          <w:tcPr>
            <w:tcW w:w="720" w:type="dxa"/>
            <w:tcBorders>
              <w:top w:val="single" w:sz="4" w:space="0" w:color="001D77"/>
              <w:bottom w:val="single" w:sz="4" w:space="0" w:color="001D77"/>
              <w:right w:val="single" w:sz="4" w:space="0" w:color="001D77"/>
            </w:tcBorders>
            <w:shd w:val="clear" w:color="auto" w:fill="auto"/>
            <w:vAlign w:val="bottom"/>
          </w:tcPr>
          <w:p w14:paraId="3392C80E" w14:textId="77777777" w:rsidR="00033D90" w:rsidRPr="00255E96" w:rsidRDefault="00033D90" w:rsidP="00814C25">
            <w:pPr>
              <w:spacing w:before="0" w:after="0"/>
              <w:jc w:val="right"/>
              <w:rPr>
                <w:rFonts w:cs="Calibri"/>
                <w:sz w:val="16"/>
                <w:szCs w:val="16"/>
              </w:rPr>
            </w:pPr>
            <w:r w:rsidRPr="00255E96">
              <w:rPr>
                <w:rFonts w:cs="Calibri"/>
                <w:sz w:val="16"/>
                <w:szCs w:val="16"/>
              </w:rPr>
              <w:t>980</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1119263" w14:textId="77777777" w:rsidR="00033D90" w:rsidRPr="00255E96" w:rsidRDefault="00033D90" w:rsidP="00814C25">
            <w:pPr>
              <w:spacing w:before="0" w:after="0"/>
              <w:jc w:val="right"/>
              <w:rPr>
                <w:rFonts w:cs="Calibri"/>
                <w:sz w:val="16"/>
                <w:szCs w:val="16"/>
              </w:rPr>
            </w:pPr>
            <w:r w:rsidRPr="00255E96">
              <w:rPr>
                <w:rFonts w:cs="Calibri"/>
                <w:sz w:val="16"/>
                <w:szCs w:val="16"/>
              </w:rPr>
              <w:t>400</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A299683" w14:textId="77777777" w:rsidR="00033D90" w:rsidRPr="00255E96" w:rsidRDefault="00033D90" w:rsidP="00814C25">
            <w:pPr>
              <w:spacing w:before="0" w:after="0"/>
              <w:jc w:val="right"/>
              <w:rPr>
                <w:rFonts w:cs="Calibri"/>
                <w:sz w:val="16"/>
                <w:szCs w:val="16"/>
              </w:rPr>
            </w:pPr>
            <w:r w:rsidRPr="00255E96">
              <w:rPr>
                <w:rFonts w:cs="Calibri"/>
                <w:sz w:val="16"/>
                <w:szCs w:val="16"/>
              </w:rPr>
              <w:t>376</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880026B" w14:textId="77777777" w:rsidR="00033D90" w:rsidRPr="00255E96" w:rsidRDefault="00033D90" w:rsidP="00814C25">
            <w:pPr>
              <w:spacing w:before="0" w:after="0"/>
              <w:jc w:val="right"/>
              <w:rPr>
                <w:rFonts w:cs="Calibri"/>
                <w:sz w:val="16"/>
                <w:szCs w:val="16"/>
              </w:rPr>
            </w:pPr>
            <w:r w:rsidRPr="00255E96">
              <w:rPr>
                <w:rFonts w:cs="Calibri"/>
                <w:sz w:val="16"/>
                <w:szCs w:val="16"/>
              </w:rPr>
              <w:t>24</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1E9B31E" w14:textId="77777777" w:rsidR="00033D90" w:rsidRPr="00255E96" w:rsidRDefault="00033D90" w:rsidP="00814C25">
            <w:pPr>
              <w:spacing w:before="0" w:after="0"/>
              <w:jc w:val="right"/>
              <w:rPr>
                <w:rFonts w:cs="Calibri"/>
                <w:sz w:val="16"/>
                <w:szCs w:val="16"/>
              </w:rPr>
            </w:pPr>
            <w:r w:rsidRPr="00255E96">
              <w:rPr>
                <w:rFonts w:cs="Calibri"/>
                <w:sz w:val="16"/>
                <w:szCs w:val="16"/>
              </w:rPr>
              <w:t>580</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D893D1F" w14:textId="77777777" w:rsidR="00033D90" w:rsidRPr="00255E96" w:rsidRDefault="00033D90" w:rsidP="00814C25">
            <w:pPr>
              <w:spacing w:before="0" w:after="0"/>
              <w:jc w:val="right"/>
              <w:rPr>
                <w:rFonts w:cs="Calibri"/>
                <w:bCs/>
                <w:sz w:val="16"/>
                <w:szCs w:val="16"/>
              </w:rPr>
            </w:pPr>
            <w:r w:rsidRPr="00255E96">
              <w:rPr>
                <w:rFonts w:cs="Arial"/>
                <w:sz w:val="16"/>
                <w:szCs w:val="16"/>
              </w:rPr>
              <w:t>40,8</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4FAA315"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38,4</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3E4F27C8"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6,0</w:t>
            </w:r>
          </w:p>
        </w:tc>
      </w:tr>
      <w:tr w:rsidR="00033D90" w:rsidRPr="00F34660" w14:paraId="1CBABE4F" w14:textId="77777777" w:rsidTr="00814C25">
        <w:trPr>
          <w:trHeight w:val="286"/>
        </w:trPr>
        <w:tc>
          <w:tcPr>
            <w:tcW w:w="840" w:type="dxa"/>
            <w:shd w:val="clear" w:color="auto" w:fill="auto"/>
            <w:vAlign w:val="bottom"/>
          </w:tcPr>
          <w:p w14:paraId="4ADBD686" w14:textId="77777777" w:rsidR="00033D90" w:rsidRPr="00255E96" w:rsidRDefault="00033D90" w:rsidP="00814C25">
            <w:pPr>
              <w:spacing w:before="0" w:after="0"/>
              <w:rPr>
                <w:rFonts w:cs="Arial"/>
                <w:sz w:val="16"/>
                <w:szCs w:val="16"/>
              </w:rPr>
            </w:pPr>
            <w:r w:rsidRPr="00255E96">
              <w:rPr>
                <w:rFonts w:cs="Arial"/>
                <w:sz w:val="16"/>
                <w:szCs w:val="16"/>
              </w:rPr>
              <w:t xml:space="preserve">25-34                                                                                                                                                                                                                                               </w:t>
            </w:r>
          </w:p>
        </w:tc>
        <w:tc>
          <w:tcPr>
            <w:tcW w:w="720" w:type="dxa"/>
            <w:tcBorders>
              <w:top w:val="single" w:sz="4" w:space="0" w:color="001D77"/>
              <w:right w:val="single" w:sz="4" w:space="0" w:color="001D77"/>
            </w:tcBorders>
            <w:shd w:val="clear" w:color="auto" w:fill="auto"/>
            <w:vAlign w:val="bottom"/>
          </w:tcPr>
          <w:p w14:paraId="6EC1A446" w14:textId="77777777" w:rsidR="00033D90" w:rsidRPr="00255E96" w:rsidRDefault="00033D90" w:rsidP="00814C25">
            <w:pPr>
              <w:spacing w:before="0" w:after="0"/>
              <w:jc w:val="right"/>
              <w:rPr>
                <w:rFonts w:cs="Calibri"/>
                <w:sz w:val="16"/>
                <w:szCs w:val="16"/>
              </w:rPr>
            </w:pPr>
            <w:r w:rsidRPr="00255E96">
              <w:rPr>
                <w:rFonts w:cs="Calibri"/>
                <w:sz w:val="16"/>
                <w:szCs w:val="16"/>
              </w:rPr>
              <w:t>829</w:t>
            </w:r>
          </w:p>
        </w:tc>
        <w:tc>
          <w:tcPr>
            <w:tcW w:w="719" w:type="dxa"/>
            <w:tcBorders>
              <w:top w:val="single" w:sz="4" w:space="0" w:color="001D77"/>
              <w:left w:val="single" w:sz="4" w:space="0" w:color="001D77"/>
              <w:right w:val="single" w:sz="4" w:space="0" w:color="001D77"/>
            </w:tcBorders>
            <w:shd w:val="clear" w:color="auto" w:fill="auto"/>
            <w:vAlign w:val="bottom"/>
          </w:tcPr>
          <w:p w14:paraId="15C80A38" w14:textId="77777777" w:rsidR="00033D90" w:rsidRPr="00255E96" w:rsidRDefault="00033D90" w:rsidP="00814C25">
            <w:pPr>
              <w:spacing w:before="0" w:after="0"/>
              <w:jc w:val="right"/>
              <w:rPr>
                <w:rFonts w:cs="Calibri"/>
                <w:sz w:val="16"/>
                <w:szCs w:val="16"/>
              </w:rPr>
            </w:pPr>
            <w:r w:rsidRPr="00255E96">
              <w:rPr>
                <w:rFonts w:cs="Calibri"/>
                <w:sz w:val="16"/>
                <w:szCs w:val="16"/>
              </w:rPr>
              <w:t>774</w:t>
            </w:r>
          </w:p>
        </w:tc>
        <w:tc>
          <w:tcPr>
            <w:tcW w:w="840" w:type="dxa"/>
            <w:tcBorders>
              <w:top w:val="single" w:sz="4" w:space="0" w:color="001D77"/>
              <w:left w:val="single" w:sz="4" w:space="0" w:color="001D77"/>
              <w:right w:val="single" w:sz="4" w:space="0" w:color="001D77"/>
            </w:tcBorders>
            <w:shd w:val="clear" w:color="auto" w:fill="auto"/>
            <w:vAlign w:val="bottom"/>
          </w:tcPr>
          <w:p w14:paraId="363CB254" w14:textId="77777777" w:rsidR="00033D90" w:rsidRPr="00255E96" w:rsidRDefault="00033D90" w:rsidP="00814C25">
            <w:pPr>
              <w:spacing w:before="0" w:after="0"/>
              <w:jc w:val="right"/>
              <w:rPr>
                <w:rFonts w:cs="Calibri"/>
                <w:sz w:val="16"/>
                <w:szCs w:val="16"/>
              </w:rPr>
            </w:pPr>
            <w:r w:rsidRPr="00255E96">
              <w:rPr>
                <w:rFonts w:cs="Calibri"/>
                <w:sz w:val="16"/>
                <w:szCs w:val="16"/>
              </w:rPr>
              <w:t>755</w:t>
            </w:r>
          </w:p>
        </w:tc>
        <w:tc>
          <w:tcPr>
            <w:tcW w:w="850" w:type="dxa"/>
            <w:tcBorders>
              <w:top w:val="single" w:sz="4" w:space="0" w:color="001D77"/>
              <w:left w:val="single" w:sz="4" w:space="0" w:color="001D77"/>
              <w:right w:val="single" w:sz="4" w:space="0" w:color="001D77"/>
            </w:tcBorders>
            <w:shd w:val="clear" w:color="auto" w:fill="auto"/>
            <w:vAlign w:val="bottom"/>
          </w:tcPr>
          <w:p w14:paraId="51920BE5" w14:textId="77777777" w:rsidR="00033D90" w:rsidRPr="00255E96" w:rsidRDefault="00033D90" w:rsidP="00814C25">
            <w:pPr>
              <w:spacing w:before="0" w:after="0"/>
              <w:jc w:val="right"/>
              <w:rPr>
                <w:rFonts w:cs="Calibri"/>
                <w:sz w:val="16"/>
                <w:szCs w:val="16"/>
              </w:rPr>
            </w:pPr>
            <w:r w:rsidRPr="00255E96">
              <w:rPr>
                <w:rFonts w:cs="Calibri"/>
                <w:sz w:val="16"/>
                <w:szCs w:val="16"/>
              </w:rPr>
              <w:t>19</w:t>
            </w:r>
          </w:p>
        </w:tc>
        <w:tc>
          <w:tcPr>
            <w:tcW w:w="851" w:type="dxa"/>
            <w:tcBorders>
              <w:top w:val="single" w:sz="4" w:space="0" w:color="001D77"/>
              <w:left w:val="single" w:sz="4" w:space="0" w:color="001D77"/>
              <w:right w:val="single" w:sz="4" w:space="0" w:color="001D77"/>
            </w:tcBorders>
            <w:shd w:val="clear" w:color="auto" w:fill="auto"/>
            <w:vAlign w:val="bottom"/>
          </w:tcPr>
          <w:p w14:paraId="6ADF1FB0" w14:textId="77777777" w:rsidR="00033D90" w:rsidRPr="00255E96" w:rsidRDefault="00033D90" w:rsidP="00814C25">
            <w:pPr>
              <w:spacing w:before="0" w:after="0"/>
              <w:jc w:val="right"/>
              <w:rPr>
                <w:rFonts w:cs="Calibri"/>
                <w:sz w:val="16"/>
                <w:szCs w:val="16"/>
              </w:rPr>
            </w:pPr>
            <w:r w:rsidRPr="00255E96">
              <w:rPr>
                <w:rFonts w:cs="Calibri"/>
                <w:sz w:val="16"/>
                <w:szCs w:val="16"/>
              </w:rPr>
              <w:t>55</w:t>
            </w:r>
          </w:p>
        </w:tc>
        <w:tc>
          <w:tcPr>
            <w:tcW w:w="1134" w:type="dxa"/>
            <w:tcBorders>
              <w:top w:val="single" w:sz="4" w:space="0" w:color="001D77"/>
              <w:left w:val="single" w:sz="4" w:space="0" w:color="001D77"/>
              <w:bottom w:val="nil"/>
              <w:right w:val="single" w:sz="4" w:space="0" w:color="001D77"/>
            </w:tcBorders>
            <w:shd w:val="clear" w:color="auto" w:fill="auto"/>
            <w:vAlign w:val="bottom"/>
          </w:tcPr>
          <w:p w14:paraId="0CCF986E" w14:textId="77777777" w:rsidR="00033D90" w:rsidRPr="00255E96" w:rsidRDefault="00033D90" w:rsidP="00814C25">
            <w:pPr>
              <w:spacing w:before="0" w:after="0"/>
              <w:jc w:val="right"/>
              <w:rPr>
                <w:rFonts w:cs="Calibri"/>
                <w:bCs/>
                <w:sz w:val="16"/>
                <w:szCs w:val="16"/>
              </w:rPr>
            </w:pPr>
            <w:r w:rsidRPr="00255E96">
              <w:rPr>
                <w:rFonts w:cs="Arial"/>
                <w:sz w:val="16"/>
                <w:szCs w:val="16"/>
              </w:rPr>
              <w:t>93,4</w:t>
            </w:r>
          </w:p>
        </w:tc>
        <w:tc>
          <w:tcPr>
            <w:tcW w:w="992" w:type="dxa"/>
            <w:tcBorders>
              <w:top w:val="single" w:sz="4" w:space="0" w:color="001D77"/>
              <w:left w:val="single" w:sz="4" w:space="0" w:color="001D77"/>
              <w:bottom w:val="nil"/>
              <w:right w:val="single" w:sz="4" w:space="0" w:color="001D77"/>
            </w:tcBorders>
            <w:shd w:val="clear" w:color="auto" w:fill="auto"/>
            <w:vAlign w:val="bottom"/>
          </w:tcPr>
          <w:p w14:paraId="1317603F"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91,1</w:t>
            </w:r>
          </w:p>
        </w:tc>
        <w:tc>
          <w:tcPr>
            <w:tcW w:w="992" w:type="dxa"/>
            <w:tcBorders>
              <w:top w:val="single" w:sz="4" w:space="0" w:color="001D77"/>
              <w:left w:val="single" w:sz="4" w:space="0" w:color="001D77"/>
              <w:bottom w:val="nil"/>
              <w:right w:val="nil"/>
            </w:tcBorders>
            <w:shd w:val="clear" w:color="auto" w:fill="auto"/>
            <w:vAlign w:val="bottom"/>
          </w:tcPr>
          <w:p w14:paraId="02D411C7"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2,5</w:t>
            </w:r>
          </w:p>
        </w:tc>
      </w:tr>
      <w:tr w:rsidR="00033D90" w:rsidRPr="00F34660" w14:paraId="553658F8" w14:textId="77777777" w:rsidTr="00814C25">
        <w:trPr>
          <w:trHeight w:val="263"/>
        </w:trPr>
        <w:tc>
          <w:tcPr>
            <w:tcW w:w="840" w:type="dxa"/>
            <w:shd w:val="clear" w:color="auto" w:fill="auto"/>
            <w:vAlign w:val="bottom"/>
          </w:tcPr>
          <w:p w14:paraId="4323AD53" w14:textId="77777777" w:rsidR="00033D90" w:rsidRPr="00255E96" w:rsidRDefault="00033D90" w:rsidP="00814C25">
            <w:pPr>
              <w:spacing w:before="0" w:after="0"/>
              <w:rPr>
                <w:rFonts w:cs="Arial"/>
                <w:bCs/>
                <w:sz w:val="16"/>
                <w:szCs w:val="16"/>
              </w:rPr>
            </w:pPr>
          </w:p>
        </w:tc>
        <w:tc>
          <w:tcPr>
            <w:tcW w:w="7098" w:type="dxa"/>
            <w:gridSpan w:val="8"/>
            <w:tcBorders>
              <w:bottom w:val="single" w:sz="4" w:space="0" w:color="001D77"/>
            </w:tcBorders>
            <w:shd w:val="clear" w:color="auto" w:fill="auto"/>
            <w:vAlign w:val="center"/>
          </w:tcPr>
          <w:p w14:paraId="4ABD24B7" w14:textId="77777777" w:rsidR="00033D90" w:rsidRPr="00255E96" w:rsidRDefault="00033D90" w:rsidP="00814C25">
            <w:pPr>
              <w:spacing w:before="0" w:after="0"/>
              <w:jc w:val="center"/>
              <w:rPr>
                <w:rFonts w:cs="Arial"/>
                <w:color w:val="000000"/>
                <w:sz w:val="16"/>
                <w:szCs w:val="16"/>
              </w:rPr>
            </w:pPr>
            <w:r w:rsidRPr="00255E96">
              <w:rPr>
                <w:rFonts w:cs="Arial"/>
                <w:color w:val="000000"/>
                <w:sz w:val="16"/>
                <w:szCs w:val="16"/>
              </w:rPr>
              <w:t>w tym osoby uczące się w formalnym systemie edukacji</w:t>
            </w:r>
          </w:p>
        </w:tc>
      </w:tr>
      <w:tr w:rsidR="00033D90" w:rsidRPr="00F34660" w14:paraId="64BDEA5B" w14:textId="77777777" w:rsidTr="00814C25">
        <w:trPr>
          <w:trHeight w:val="263"/>
        </w:trPr>
        <w:tc>
          <w:tcPr>
            <w:tcW w:w="840" w:type="dxa"/>
            <w:tcBorders>
              <w:right w:val="single" w:sz="4" w:space="0" w:color="001D77"/>
            </w:tcBorders>
            <w:shd w:val="clear" w:color="auto" w:fill="auto"/>
            <w:vAlign w:val="bottom"/>
          </w:tcPr>
          <w:p w14:paraId="21000FCA" w14:textId="77777777" w:rsidR="00033D90" w:rsidRPr="00255E96" w:rsidRDefault="00033D90" w:rsidP="00814C25">
            <w:pPr>
              <w:spacing w:before="0" w:after="0"/>
              <w:rPr>
                <w:rFonts w:cs="Arial"/>
                <w:b/>
                <w:bCs/>
                <w:sz w:val="16"/>
                <w:szCs w:val="16"/>
              </w:rPr>
            </w:pPr>
            <w:r w:rsidRPr="00255E96">
              <w:rPr>
                <w:rFonts w:cs="Arial"/>
                <w:b/>
                <w:bCs/>
                <w:sz w:val="16"/>
                <w:szCs w:val="16"/>
              </w:rPr>
              <w:t xml:space="preserve">OGÓŁEM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A6A8F3A"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2692</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5056B8E"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522</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BFBE500"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488</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98D169A"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34</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4A8F779"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2170</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12ABB85" w14:textId="77777777" w:rsidR="00033D90" w:rsidRPr="00255E96" w:rsidRDefault="00033D90" w:rsidP="00814C25">
            <w:pPr>
              <w:spacing w:before="0" w:after="0"/>
              <w:jc w:val="right"/>
              <w:rPr>
                <w:rFonts w:cs="Calibri"/>
                <w:b/>
                <w:bCs/>
                <w:sz w:val="16"/>
                <w:szCs w:val="16"/>
              </w:rPr>
            </w:pPr>
            <w:r w:rsidRPr="00255E96">
              <w:rPr>
                <w:rFonts w:cs="Arial"/>
                <w:b/>
                <w:sz w:val="16"/>
                <w:szCs w:val="16"/>
              </w:rPr>
              <w:t>19,4</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F6899A1" w14:textId="77777777" w:rsidR="00033D90" w:rsidRPr="00255E96" w:rsidRDefault="00033D90" w:rsidP="00814C25">
            <w:pPr>
              <w:spacing w:before="0" w:after="0"/>
              <w:jc w:val="right"/>
              <w:rPr>
                <w:rFonts w:cs="Calibri"/>
                <w:b/>
                <w:bCs/>
                <w:sz w:val="16"/>
                <w:szCs w:val="16"/>
              </w:rPr>
            </w:pPr>
            <w:r w:rsidRPr="00255E96">
              <w:rPr>
                <w:rFonts w:cs="Arial"/>
                <w:b/>
                <w:color w:val="000000"/>
                <w:sz w:val="16"/>
                <w:szCs w:val="16"/>
              </w:rPr>
              <w:t>18,1</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6ADABE28" w14:textId="77777777" w:rsidR="00033D90" w:rsidRPr="00255E96" w:rsidRDefault="00033D90" w:rsidP="00814C25">
            <w:pPr>
              <w:spacing w:before="0" w:after="0"/>
              <w:jc w:val="right"/>
              <w:rPr>
                <w:rFonts w:cs="Calibri"/>
                <w:b/>
                <w:bCs/>
                <w:sz w:val="16"/>
                <w:szCs w:val="16"/>
              </w:rPr>
            </w:pPr>
            <w:r w:rsidRPr="00255E96">
              <w:rPr>
                <w:rFonts w:cs="Arial"/>
                <w:b/>
                <w:color w:val="000000"/>
                <w:sz w:val="16"/>
                <w:szCs w:val="16"/>
              </w:rPr>
              <w:t>6,5</w:t>
            </w:r>
          </w:p>
        </w:tc>
      </w:tr>
      <w:tr w:rsidR="00033D90" w:rsidRPr="00F34660" w14:paraId="7DF325B8" w14:textId="77777777" w:rsidTr="00814C25">
        <w:trPr>
          <w:trHeight w:val="263"/>
        </w:trPr>
        <w:tc>
          <w:tcPr>
            <w:tcW w:w="840" w:type="dxa"/>
            <w:tcBorders>
              <w:right w:val="single" w:sz="4" w:space="0" w:color="001D77"/>
            </w:tcBorders>
            <w:shd w:val="clear" w:color="auto" w:fill="auto"/>
            <w:vAlign w:val="bottom"/>
          </w:tcPr>
          <w:p w14:paraId="64D49F90" w14:textId="77777777" w:rsidR="00033D90" w:rsidRPr="00255E96" w:rsidRDefault="00033D90" w:rsidP="00814C25">
            <w:pPr>
              <w:spacing w:before="0" w:after="0"/>
              <w:rPr>
                <w:rFonts w:cs="Arial"/>
                <w:sz w:val="16"/>
                <w:szCs w:val="16"/>
              </w:rPr>
            </w:pPr>
            <w:r w:rsidRPr="00255E96">
              <w:rPr>
                <w:rFonts w:cs="Arial"/>
                <w:sz w:val="16"/>
                <w:szCs w:val="16"/>
              </w:rPr>
              <w:t xml:space="preserve">15-19 lat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BFA56D7" w14:textId="77777777" w:rsidR="00033D90" w:rsidRPr="00255E96" w:rsidRDefault="00033D90" w:rsidP="00814C25">
            <w:pPr>
              <w:spacing w:before="0" w:after="0"/>
              <w:jc w:val="right"/>
              <w:rPr>
                <w:rFonts w:cs="Calibri"/>
                <w:sz w:val="16"/>
                <w:szCs w:val="16"/>
              </w:rPr>
            </w:pPr>
            <w:r w:rsidRPr="00255E96">
              <w:rPr>
                <w:rFonts w:cs="Calibri"/>
                <w:sz w:val="16"/>
                <w:szCs w:val="16"/>
              </w:rPr>
              <w:t>1647</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DE255CA" w14:textId="77777777" w:rsidR="00033D90" w:rsidRPr="00255E96" w:rsidRDefault="00033D90" w:rsidP="00814C25">
            <w:pPr>
              <w:spacing w:before="0" w:after="0"/>
              <w:jc w:val="right"/>
              <w:rPr>
                <w:rFonts w:cs="Calibri"/>
                <w:sz w:val="16"/>
                <w:szCs w:val="16"/>
              </w:rPr>
            </w:pPr>
            <w:r w:rsidRPr="00255E96">
              <w:rPr>
                <w:rFonts w:cs="Calibri"/>
                <w:sz w:val="16"/>
                <w:szCs w:val="16"/>
              </w:rPr>
              <w:t>51</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F01FE7F" w14:textId="77777777" w:rsidR="00033D90" w:rsidRPr="00255E96" w:rsidRDefault="00033D90" w:rsidP="00814C25">
            <w:pPr>
              <w:spacing w:before="0" w:after="0"/>
              <w:jc w:val="right"/>
              <w:rPr>
                <w:rFonts w:cs="Calibri"/>
                <w:sz w:val="16"/>
                <w:szCs w:val="16"/>
              </w:rPr>
            </w:pPr>
            <w:r w:rsidRPr="00255E96">
              <w:rPr>
                <w:rFonts w:cs="Calibri"/>
                <w:sz w:val="16"/>
                <w:szCs w:val="16"/>
              </w:rPr>
              <w:t>45</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A8D3F5B" w14:textId="77777777" w:rsidR="00033D90" w:rsidRPr="00255E96" w:rsidRDefault="00033D90" w:rsidP="00814C25">
            <w:pPr>
              <w:spacing w:before="0" w:after="0"/>
              <w:jc w:val="right"/>
              <w:rPr>
                <w:rFonts w:cs="Calibri"/>
                <w:sz w:val="16"/>
                <w:szCs w:val="16"/>
              </w:rPr>
            </w:pPr>
            <w:r w:rsidRPr="00255E96">
              <w:rPr>
                <w:rFonts w:cs="Calibri"/>
                <w:sz w:val="16"/>
                <w:szCs w:val="16"/>
              </w:rPr>
              <w:t>.</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7C44B25" w14:textId="77777777" w:rsidR="00033D90" w:rsidRPr="00255E96" w:rsidRDefault="00033D90" w:rsidP="00814C25">
            <w:pPr>
              <w:spacing w:before="0" w:after="0"/>
              <w:jc w:val="right"/>
              <w:rPr>
                <w:rFonts w:cs="Calibri"/>
                <w:sz w:val="16"/>
                <w:szCs w:val="16"/>
              </w:rPr>
            </w:pPr>
            <w:r w:rsidRPr="00255E96">
              <w:rPr>
                <w:rFonts w:cs="Calibri"/>
                <w:sz w:val="16"/>
                <w:szCs w:val="16"/>
              </w:rPr>
              <w:t>1596</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083900E" w14:textId="77777777" w:rsidR="00033D90" w:rsidRPr="00255E96" w:rsidRDefault="00033D90" w:rsidP="00814C25">
            <w:pPr>
              <w:spacing w:before="0" w:after="0"/>
              <w:jc w:val="right"/>
              <w:rPr>
                <w:rFonts w:cs="Calibri"/>
                <w:bCs/>
                <w:sz w:val="16"/>
                <w:szCs w:val="16"/>
              </w:rPr>
            </w:pPr>
            <w:r w:rsidRPr="00255E96">
              <w:rPr>
                <w:rFonts w:cs="Arial"/>
                <w:sz w:val="16"/>
                <w:szCs w:val="16"/>
              </w:rPr>
              <w:t>3,1</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23A12BF"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2,7</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18EE02EE" w14:textId="77777777" w:rsidR="00033D90" w:rsidRPr="00255E96" w:rsidRDefault="00033D90" w:rsidP="00814C25">
            <w:pPr>
              <w:spacing w:before="0" w:after="0"/>
              <w:jc w:val="right"/>
              <w:rPr>
                <w:rFonts w:cs="Calibri"/>
                <w:bCs/>
                <w:sz w:val="16"/>
                <w:szCs w:val="16"/>
              </w:rPr>
            </w:pPr>
            <w:r w:rsidRPr="00255E96">
              <w:rPr>
                <w:rFonts w:cs="Calibri"/>
                <w:bCs/>
                <w:sz w:val="16"/>
                <w:szCs w:val="16"/>
              </w:rPr>
              <w:t>.</w:t>
            </w:r>
          </w:p>
        </w:tc>
      </w:tr>
      <w:tr w:rsidR="00033D90" w:rsidRPr="00F34660" w14:paraId="20E3E7C0" w14:textId="77777777" w:rsidTr="00814C25">
        <w:trPr>
          <w:trHeight w:val="263"/>
        </w:trPr>
        <w:tc>
          <w:tcPr>
            <w:tcW w:w="840" w:type="dxa"/>
            <w:tcBorders>
              <w:right w:val="single" w:sz="4" w:space="0" w:color="001D77"/>
            </w:tcBorders>
            <w:shd w:val="clear" w:color="auto" w:fill="auto"/>
            <w:vAlign w:val="bottom"/>
          </w:tcPr>
          <w:p w14:paraId="73FB0C10" w14:textId="77777777" w:rsidR="00033D90" w:rsidRPr="00255E96" w:rsidRDefault="00033D90" w:rsidP="00814C25">
            <w:pPr>
              <w:spacing w:before="0" w:after="0"/>
              <w:rPr>
                <w:rFonts w:cs="Arial"/>
                <w:sz w:val="16"/>
                <w:szCs w:val="16"/>
              </w:rPr>
            </w:pPr>
            <w:r w:rsidRPr="00255E96">
              <w:rPr>
                <w:rFonts w:cs="Arial"/>
                <w:sz w:val="16"/>
                <w:szCs w:val="16"/>
              </w:rPr>
              <w:t xml:space="preserve">20-24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10AA459" w14:textId="77777777" w:rsidR="00033D90" w:rsidRPr="00255E96" w:rsidRDefault="00033D90" w:rsidP="00814C25">
            <w:pPr>
              <w:spacing w:before="0" w:after="0"/>
              <w:jc w:val="right"/>
              <w:rPr>
                <w:rFonts w:cs="Calibri"/>
                <w:sz w:val="16"/>
                <w:szCs w:val="16"/>
              </w:rPr>
            </w:pPr>
            <w:r w:rsidRPr="00255E96">
              <w:rPr>
                <w:rFonts w:cs="Calibri"/>
                <w:sz w:val="16"/>
                <w:szCs w:val="16"/>
              </w:rPr>
              <w:t>834</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04F986B" w14:textId="77777777" w:rsidR="00033D90" w:rsidRPr="00255E96" w:rsidRDefault="00033D90" w:rsidP="00814C25">
            <w:pPr>
              <w:spacing w:before="0" w:after="0"/>
              <w:jc w:val="right"/>
              <w:rPr>
                <w:rFonts w:cs="Calibri"/>
                <w:sz w:val="16"/>
                <w:szCs w:val="16"/>
              </w:rPr>
            </w:pPr>
            <w:r w:rsidRPr="00255E96">
              <w:rPr>
                <w:rFonts w:cs="Calibri"/>
                <w:sz w:val="16"/>
                <w:szCs w:val="16"/>
              </w:rPr>
              <w:t>300</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896E92F" w14:textId="77777777" w:rsidR="00033D90" w:rsidRPr="00255E96" w:rsidRDefault="00033D90" w:rsidP="00814C25">
            <w:pPr>
              <w:spacing w:before="0" w:after="0"/>
              <w:jc w:val="right"/>
              <w:rPr>
                <w:rFonts w:cs="Calibri"/>
                <w:sz w:val="16"/>
                <w:szCs w:val="16"/>
              </w:rPr>
            </w:pPr>
            <w:r w:rsidRPr="00255E96">
              <w:rPr>
                <w:rFonts w:cs="Calibri"/>
                <w:sz w:val="16"/>
                <w:szCs w:val="16"/>
              </w:rPr>
              <w:t>281</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07C8AC7" w14:textId="77777777" w:rsidR="00033D90" w:rsidRPr="00255E96" w:rsidRDefault="00033D90" w:rsidP="00814C25">
            <w:pPr>
              <w:spacing w:before="0" w:after="0"/>
              <w:jc w:val="right"/>
              <w:rPr>
                <w:rFonts w:cs="Calibri"/>
                <w:sz w:val="16"/>
                <w:szCs w:val="16"/>
              </w:rPr>
            </w:pPr>
            <w:r w:rsidRPr="00255E96">
              <w:rPr>
                <w:rFonts w:cs="Calibri"/>
                <w:sz w:val="16"/>
                <w:szCs w:val="16"/>
              </w:rPr>
              <w:t>19</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4E4B63B" w14:textId="77777777" w:rsidR="00033D90" w:rsidRPr="00255E96" w:rsidRDefault="00033D90" w:rsidP="00814C25">
            <w:pPr>
              <w:spacing w:before="0" w:after="0"/>
              <w:jc w:val="right"/>
              <w:rPr>
                <w:rFonts w:cs="Calibri"/>
                <w:sz w:val="16"/>
                <w:szCs w:val="16"/>
              </w:rPr>
            </w:pPr>
            <w:r w:rsidRPr="00255E96">
              <w:rPr>
                <w:rFonts w:cs="Calibri"/>
                <w:sz w:val="16"/>
                <w:szCs w:val="16"/>
              </w:rPr>
              <w:t>535</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52FC947" w14:textId="77777777" w:rsidR="00033D90" w:rsidRPr="00255E96" w:rsidRDefault="00033D90" w:rsidP="00814C25">
            <w:pPr>
              <w:spacing w:before="0" w:after="0"/>
              <w:jc w:val="right"/>
              <w:rPr>
                <w:rFonts w:cs="Calibri"/>
                <w:bCs/>
                <w:sz w:val="16"/>
                <w:szCs w:val="16"/>
              </w:rPr>
            </w:pPr>
            <w:r w:rsidRPr="00255E96">
              <w:rPr>
                <w:rFonts w:cs="Arial"/>
                <w:sz w:val="16"/>
                <w:szCs w:val="16"/>
              </w:rPr>
              <w:t>36,0</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5498C72"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33,7</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019DE196"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6,3</w:t>
            </w:r>
          </w:p>
        </w:tc>
      </w:tr>
      <w:tr w:rsidR="00033D90" w:rsidRPr="00F34660" w14:paraId="1DF412CC" w14:textId="77777777" w:rsidTr="00814C25">
        <w:trPr>
          <w:trHeight w:val="263"/>
        </w:trPr>
        <w:tc>
          <w:tcPr>
            <w:tcW w:w="840" w:type="dxa"/>
            <w:tcBorders>
              <w:right w:val="single" w:sz="4" w:space="0" w:color="001D77"/>
            </w:tcBorders>
            <w:shd w:val="clear" w:color="auto" w:fill="auto"/>
            <w:vAlign w:val="bottom"/>
          </w:tcPr>
          <w:p w14:paraId="623E6353" w14:textId="77777777" w:rsidR="00033D90" w:rsidRPr="00255E96" w:rsidRDefault="00033D90" w:rsidP="00814C25">
            <w:pPr>
              <w:spacing w:before="0" w:after="0"/>
              <w:rPr>
                <w:rFonts w:cs="Arial"/>
                <w:sz w:val="16"/>
                <w:szCs w:val="16"/>
              </w:rPr>
            </w:pPr>
            <w:r w:rsidRPr="00255E96">
              <w:rPr>
                <w:rFonts w:cs="Arial"/>
                <w:sz w:val="16"/>
                <w:szCs w:val="16"/>
              </w:rPr>
              <w:t xml:space="preserve">25-34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E7563CD" w14:textId="77777777" w:rsidR="00033D90" w:rsidRPr="00255E96" w:rsidRDefault="00033D90" w:rsidP="00814C25">
            <w:pPr>
              <w:spacing w:before="0" w:after="0"/>
              <w:jc w:val="right"/>
              <w:rPr>
                <w:rFonts w:cs="Calibri"/>
                <w:sz w:val="16"/>
                <w:szCs w:val="16"/>
              </w:rPr>
            </w:pPr>
            <w:r w:rsidRPr="00255E96">
              <w:rPr>
                <w:rFonts w:cs="Calibri"/>
                <w:sz w:val="16"/>
                <w:szCs w:val="16"/>
              </w:rPr>
              <w:t>211</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88255D6" w14:textId="77777777" w:rsidR="00033D90" w:rsidRPr="00255E96" w:rsidRDefault="00033D90" w:rsidP="00814C25">
            <w:pPr>
              <w:spacing w:before="0" w:after="0"/>
              <w:jc w:val="right"/>
              <w:rPr>
                <w:rFonts w:cs="Calibri"/>
                <w:sz w:val="16"/>
                <w:szCs w:val="16"/>
              </w:rPr>
            </w:pPr>
            <w:r w:rsidRPr="00255E96">
              <w:rPr>
                <w:rFonts w:cs="Calibri"/>
                <w:sz w:val="16"/>
                <w:szCs w:val="16"/>
              </w:rPr>
              <w:t>171</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B23CC95" w14:textId="77777777" w:rsidR="00033D90" w:rsidRPr="00255E96" w:rsidRDefault="00033D90" w:rsidP="00814C25">
            <w:pPr>
              <w:spacing w:before="0" w:after="0"/>
              <w:jc w:val="right"/>
              <w:rPr>
                <w:rFonts w:cs="Calibri"/>
                <w:sz w:val="16"/>
                <w:szCs w:val="16"/>
              </w:rPr>
            </w:pPr>
            <w:r w:rsidRPr="00255E96">
              <w:rPr>
                <w:rFonts w:cs="Calibri"/>
                <w:sz w:val="16"/>
                <w:szCs w:val="16"/>
              </w:rPr>
              <w:t>162</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76C41CD" w14:textId="77777777" w:rsidR="00033D90" w:rsidRPr="00255E96" w:rsidRDefault="00033D90" w:rsidP="00814C25">
            <w:pPr>
              <w:spacing w:before="0" w:after="0"/>
              <w:jc w:val="right"/>
              <w:rPr>
                <w:rFonts w:cs="Calibri"/>
                <w:sz w:val="16"/>
                <w:szCs w:val="16"/>
              </w:rPr>
            </w:pPr>
            <w:r w:rsidRPr="00255E96">
              <w:rPr>
                <w:rFonts w:cs="Calibri"/>
                <w:sz w:val="16"/>
                <w:szCs w:val="16"/>
              </w:rPr>
              <w:t>.</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F252EDD" w14:textId="77777777" w:rsidR="00033D90" w:rsidRPr="00255E96" w:rsidRDefault="00033D90" w:rsidP="00814C25">
            <w:pPr>
              <w:spacing w:before="0" w:after="0"/>
              <w:jc w:val="right"/>
              <w:rPr>
                <w:rFonts w:cs="Calibri"/>
                <w:sz w:val="16"/>
                <w:szCs w:val="16"/>
              </w:rPr>
            </w:pPr>
            <w:r w:rsidRPr="00255E96">
              <w:rPr>
                <w:rFonts w:cs="Calibri"/>
                <w:sz w:val="16"/>
                <w:szCs w:val="16"/>
              </w:rPr>
              <w:t>39</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083A282" w14:textId="77777777" w:rsidR="00033D90" w:rsidRPr="00255E96" w:rsidRDefault="00033D90" w:rsidP="00814C25">
            <w:pPr>
              <w:spacing w:before="0" w:after="0"/>
              <w:jc w:val="right"/>
              <w:rPr>
                <w:rFonts w:cs="Calibri"/>
                <w:bCs/>
                <w:sz w:val="16"/>
                <w:szCs w:val="16"/>
              </w:rPr>
            </w:pPr>
            <w:r w:rsidRPr="00255E96">
              <w:rPr>
                <w:rFonts w:cs="Arial"/>
                <w:sz w:val="16"/>
                <w:szCs w:val="16"/>
              </w:rPr>
              <w:t>81,0</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4FE4758"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76,8</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1A03C6F3" w14:textId="77777777" w:rsidR="00033D90" w:rsidRPr="00255E96" w:rsidRDefault="00033D90" w:rsidP="00814C25">
            <w:pPr>
              <w:spacing w:before="0" w:after="0"/>
              <w:jc w:val="right"/>
              <w:rPr>
                <w:rFonts w:cs="Calibri"/>
                <w:bCs/>
                <w:sz w:val="16"/>
                <w:szCs w:val="16"/>
              </w:rPr>
            </w:pPr>
            <w:r w:rsidRPr="00255E96">
              <w:rPr>
                <w:rFonts w:cs="Calibri"/>
                <w:bCs/>
                <w:sz w:val="16"/>
                <w:szCs w:val="16"/>
              </w:rPr>
              <w:t>.</w:t>
            </w:r>
          </w:p>
        </w:tc>
      </w:tr>
      <w:tr w:rsidR="00033D90" w:rsidRPr="00F34660" w14:paraId="0738B16F" w14:textId="77777777" w:rsidTr="00814C25">
        <w:trPr>
          <w:trHeight w:val="263"/>
        </w:trPr>
        <w:tc>
          <w:tcPr>
            <w:tcW w:w="840" w:type="dxa"/>
            <w:shd w:val="clear" w:color="auto" w:fill="auto"/>
            <w:vAlign w:val="bottom"/>
          </w:tcPr>
          <w:p w14:paraId="3781F0A1" w14:textId="77777777" w:rsidR="00033D90" w:rsidRPr="00255E96" w:rsidRDefault="00033D90" w:rsidP="00814C25">
            <w:pPr>
              <w:spacing w:before="0" w:after="0"/>
              <w:rPr>
                <w:rFonts w:cs="Arial"/>
                <w:bCs/>
                <w:sz w:val="16"/>
                <w:szCs w:val="16"/>
              </w:rPr>
            </w:pPr>
          </w:p>
        </w:tc>
        <w:tc>
          <w:tcPr>
            <w:tcW w:w="7098" w:type="dxa"/>
            <w:gridSpan w:val="8"/>
            <w:tcBorders>
              <w:top w:val="single" w:sz="4" w:space="0" w:color="001D77"/>
              <w:bottom w:val="single" w:sz="4" w:space="0" w:color="001D77"/>
            </w:tcBorders>
            <w:shd w:val="clear" w:color="auto" w:fill="auto"/>
            <w:vAlign w:val="center"/>
          </w:tcPr>
          <w:p w14:paraId="0EF92622" w14:textId="77777777" w:rsidR="00033D90" w:rsidRPr="00255E96" w:rsidRDefault="00033D90" w:rsidP="00814C25">
            <w:pPr>
              <w:spacing w:before="0" w:after="0"/>
              <w:jc w:val="right"/>
              <w:rPr>
                <w:rFonts w:cs="Arial"/>
                <w:color w:val="000000"/>
                <w:sz w:val="16"/>
                <w:szCs w:val="16"/>
              </w:rPr>
            </w:pPr>
            <w:r w:rsidRPr="00255E96">
              <w:rPr>
                <w:rFonts w:cs="Arial"/>
                <w:color w:val="000000"/>
                <w:sz w:val="16"/>
                <w:szCs w:val="16"/>
              </w:rPr>
              <w:t>w tym osoby uczestniczące w kształceniu lub szkoleniu poza formalnym systemem edukacji</w:t>
            </w:r>
          </w:p>
        </w:tc>
      </w:tr>
      <w:tr w:rsidR="00033D90" w:rsidRPr="00F34660" w14:paraId="425D60C7" w14:textId="77777777" w:rsidTr="00814C25">
        <w:trPr>
          <w:trHeight w:val="263"/>
        </w:trPr>
        <w:tc>
          <w:tcPr>
            <w:tcW w:w="840" w:type="dxa"/>
            <w:tcBorders>
              <w:right w:val="single" w:sz="4" w:space="0" w:color="001D77"/>
            </w:tcBorders>
            <w:shd w:val="clear" w:color="auto" w:fill="auto"/>
            <w:vAlign w:val="bottom"/>
          </w:tcPr>
          <w:p w14:paraId="24FBA2F4" w14:textId="77777777" w:rsidR="00033D90" w:rsidRPr="00255E96" w:rsidRDefault="00033D90" w:rsidP="00814C25">
            <w:pPr>
              <w:spacing w:before="0" w:after="0"/>
              <w:rPr>
                <w:rFonts w:cs="Arial"/>
                <w:b/>
                <w:bCs/>
                <w:sz w:val="16"/>
                <w:szCs w:val="16"/>
              </w:rPr>
            </w:pPr>
            <w:r w:rsidRPr="00255E96">
              <w:rPr>
                <w:rFonts w:cs="Arial"/>
                <w:b/>
                <w:bCs/>
                <w:sz w:val="16"/>
                <w:szCs w:val="16"/>
              </w:rPr>
              <w:t xml:space="preserve">OGÓŁEM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4A723E2"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852</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B188C9C"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716</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7D73202"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700</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5A661F4"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16</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B087E6C" w14:textId="77777777" w:rsidR="00033D90" w:rsidRPr="00255E96" w:rsidRDefault="00033D90" w:rsidP="00814C25">
            <w:pPr>
              <w:spacing w:before="0" w:after="0"/>
              <w:jc w:val="right"/>
              <w:rPr>
                <w:rFonts w:cs="Calibri"/>
                <w:b/>
                <w:bCs/>
                <w:sz w:val="16"/>
                <w:szCs w:val="16"/>
              </w:rPr>
            </w:pPr>
            <w:r w:rsidRPr="00255E96">
              <w:rPr>
                <w:rFonts w:cs="Calibri"/>
                <w:b/>
                <w:bCs/>
                <w:sz w:val="16"/>
                <w:szCs w:val="16"/>
              </w:rPr>
              <w:t>136</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FE6B239" w14:textId="77777777" w:rsidR="00033D90" w:rsidRPr="00255E96" w:rsidRDefault="00033D90" w:rsidP="00814C25">
            <w:pPr>
              <w:spacing w:before="0" w:after="0"/>
              <w:jc w:val="right"/>
              <w:rPr>
                <w:rFonts w:cs="Calibri"/>
                <w:b/>
                <w:bCs/>
                <w:sz w:val="16"/>
                <w:szCs w:val="16"/>
              </w:rPr>
            </w:pPr>
            <w:r w:rsidRPr="00255E96">
              <w:rPr>
                <w:rFonts w:cs="Arial"/>
                <w:b/>
                <w:sz w:val="16"/>
                <w:szCs w:val="16"/>
              </w:rPr>
              <w:t>84,0</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0502F5D" w14:textId="77777777" w:rsidR="00033D90" w:rsidRPr="00255E96" w:rsidRDefault="00033D90" w:rsidP="00814C25">
            <w:pPr>
              <w:spacing w:before="0" w:after="0"/>
              <w:jc w:val="right"/>
              <w:rPr>
                <w:rFonts w:cs="Calibri"/>
                <w:b/>
                <w:bCs/>
                <w:sz w:val="16"/>
                <w:szCs w:val="16"/>
              </w:rPr>
            </w:pPr>
            <w:r w:rsidRPr="00255E96">
              <w:rPr>
                <w:rFonts w:cs="Arial"/>
                <w:b/>
                <w:color w:val="000000"/>
                <w:sz w:val="16"/>
                <w:szCs w:val="16"/>
              </w:rPr>
              <w:t>82,2</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2F35E9F6" w14:textId="77777777" w:rsidR="00033D90" w:rsidRPr="00255E96" w:rsidRDefault="00033D90" w:rsidP="00814C25">
            <w:pPr>
              <w:spacing w:before="0" w:after="0"/>
              <w:jc w:val="right"/>
              <w:rPr>
                <w:rFonts w:cs="Calibri"/>
                <w:b/>
                <w:bCs/>
                <w:sz w:val="16"/>
                <w:szCs w:val="16"/>
              </w:rPr>
            </w:pPr>
            <w:r w:rsidRPr="00255E96">
              <w:rPr>
                <w:rFonts w:cs="Arial"/>
                <w:b/>
                <w:color w:val="000000"/>
                <w:sz w:val="16"/>
                <w:szCs w:val="16"/>
              </w:rPr>
              <w:t>2,2</w:t>
            </w:r>
          </w:p>
        </w:tc>
      </w:tr>
      <w:tr w:rsidR="00033D90" w:rsidRPr="00F34660" w14:paraId="283D611B" w14:textId="77777777" w:rsidTr="00814C25">
        <w:trPr>
          <w:trHeight w:val="263"/>
        </w:trPr>
        <w:tc>
          <w:tcPr>
            <w:tcW w:w="840" w:type="dxa"/>
            <w:tcBorders>
              <w:right w:val="single" w:sz="4" w:space="0" w:color="001D77"/>
            </w:tcBorders>
            <w:shd w:val="clear" w:color="auto" w:fill="auto"/>
            <w:vAlign w:val="bottom"/>
          </w:tcPr>
          <w:p w14:paraId="1356870A" w14:textId="77777777" w:rsidR="00033D90" w:rsidRPr="00255E96" w:rsidRDefault="00033D90" w:rsidP="00814C25">
            <w:pPr>
              <w:spacing w:before="0" w:after="0"/>
              <w:rPr>
                <w:rFonts w:cs="Arial"/>
                <w:sz w:val="16"/>
                <w:szCs w:val="16"/>
              </w:rPr>
            </w:pPr>
            <w:r w:rsidRPr="00255E96">
              <w:rPr>
                <w:rFonts w:cs="Arial"/>
                <w:sz w:val="16"/>
                <w:szCs w:val="16"/>
              </w:rPr>
              <w:t xml:space="preserve">15-19 lat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79874ED0" w14:textId="77777777" w:rsidR="00033D90" w:rsidRPr="00255E96" w:rsidRDefault="00033D90" w:rsidP="00814C25">
            <w:pPr>
              <w:spacing w:before="0" w:after="0"/>
              <w:jc w:val="right"/>
              <w:rPr>
                <w:rFonts w:cs="Calibri"/>
                <w:sz w:val="16"/>
                <w:szCs w:val="16"/>
              </w:rPr>
            </w:pPr>
            <w:r w:rsidRPr="00255E96">
              <w:rPr>
                <w:rFonts w:cs="Calibri"/>
                <w:sz w:val="16"/>
                <w:szCs w:val="16"/>
              </w:rPr>
              <w:t>87</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6E78D01" w14:textId="77777777" w:rsidR="00033D90" w:rsidRPr="00255E96" w:rsidRDefault="00033D90" w:rsidP="00814C25">
            <w:pPr>
              <w:spacing w:before="0" w:after="0"/>
              <w:jc w:val="right"/>
              <w:rPr>
                <w:rFonts w:cs="Calibri"/>
                <w:sz w:val="16"/>
                <w:szCs w:val="16"/>
              </w:rPr>
            </w:pPr>
            <w:r w:rsidRPr="00255E96">
              <w:rPr>
                <w:rFonts w:cs="Calibri"/>
                <w:sz w:val="16"/>
                <w:szCs w:val="16"/>
              </w:rPr>
              <w:t>13</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C193A8E" w14:textId="77777777" w:rsidR="00033D90" w:rsidRPr="00255E96" w:rsidRDefault="00033D90" w:rsidP="00814C25">
            <w:pPr>
              <w:spacing w:before="0" w:after="0"/>
              <w:jc w:val="right"/>
              <w:rPr>
                <w:rFonts w:cs="Calibri"/>
                <w:sz w:val="16"/>
                <w:szCs w:val="16"/>
              </w:rPr>
            </w:pPr>
            <w:r w:rsidRPr="00255E96">
              <w:rPr>
                <w:rFonts w:cs="Calibri"/>
                <w:sz w:val="16"/>
                <w:szCs w:val="16"/>
              </w:rPr>
              <w:t>12</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EE80F3C" w14:textId="77777777" w:rsidR="00033D90" w:rsidRPr="00255E96" w:rsidRDefault="00033D90" w:rsidP="00814C25">
            <w:pPr>
              <w:spacing w:before="0" w:after="0"/>
              <w:jc w:val="right"/>
              <w:rPr>
                <w:rFonts w:cs="Calibri"/>
                <w:sz w:val="16"/>
                <w:szCs w:val="16"/>
              </w:rPr>
            </w:pPr>
            <w:r w:rsidRPr="00255E96">
              <w:rPr>
                <w:rFonts w:cs="Calibri"/>
                <w:sz w:val="16"/>
                <w:szCs w:val="16"/>
              </w:rPr>
              <w:t>.</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79D4CBB" w14:textId="77777777" w:rsidR="00033D90" w:rsidRPr="00255E96" w:rsidRDefault="00033D90" w:rsidP="00814C25">
            <w:pPr>
              <w:spacing w:before="0" w:after="0"/>
              <w:jc w:val="right"/>
              <w:rPr>
                <w:rFonts w:cs="Calibri"/>
                <w:sz w:val="16"/>
                <w:szCs w:val="16"/>
              </w:rPr>
            </w:pPr>
            <w:r w:rsidRPr="00255E96">
              <w:rPr>
                <w:rFonts w:cs="Calibri"/>
                <w:sz w:val="16"/>
                <w:szCs w:val="16"/>
              </w:rPr>
              <w:t>74</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8959D45" w14:textId="77777777" w:rsidR="00033D90" w:rsidRPr="00255E96" w:rsidRDefault="00033D90" w:rsidP="00814C25">
            <w:pPr>
              <w:spacing w:before="0" w:after="0"/>
              <w:jc w:val="right"/>
              <w:rPr>
                <w:rFonts w:cs="Calibri"/>
                <w:bCs/>
                <w:sz w:val="16"/>
                <w:szCs w:val="16"/>
              </w:rPr>
            </w:pPr>
            <w:r w:rsidRPr="00255E96">
              <w:rPr>
                <w:rFonts w:cs="Arial"/>
                <w:sz w:val="16"/>
                <w:szCs w:val="16"/>
              </w:rPr>
              <w:t>14,9</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EBF12CB"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13,8</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4340CE76" w14:textId="77777777" w:rsidR="00033D90" w:rsidRPr="00255E96" w:rsidRDefault="00033D90" w:rsidP="00814C25">
            <w:pPr>
              <w:spacing w:before="0" w:after="0"/>
              <w:jc w:val="right"/>
              <w:rPr>
                <w:rFonts w:cs="Calibri"/>
                <w:bCs/>
                <w:sz w:val="16"/>
                <w:szCs w:val="16"/>
              </w:rPr>
            </w:pPr>
            <w:r w:rsidRPr="00255E96">
              <w:rPr>
                <w:rFonts w:cs="Calibri"/>
                <w:bCs/>
                <w:sz w:val="16"/>
                <w:szCs w:val="16"/>
              </w:rPr>
              <w:t>.</w:t>
            </w:r>
          </w:p>
        </w:tc>
      </w:tr>
      <w:tr w:rsidR="00033D90" w:rsidRPr="00F34660" w14:paraId="23981246" w14:textId="77777777" w:rsidTr="00814C25">
        <w:trPr>
          <w:trHeight w:val="263"/>
        </w:trPr>
        <w:tc>
          <w:tcPr>
            <w:tcW w:w="840" w:type="dxa"/>
            <w:tcBorders>
              <w:bottom w:val="single" w:sz="4" w:space="0" w:color="001D77"/>
              <w:right w:val="single" w:sz="4" w:space="0" w:color="001D77"/>
            </w:tcBorders>
            <w:shd w:val="clear" w:color="auto" w:fill="auto"/>
            <w:vAlign w:val="bottom"/>
          </w:tcPr>
          <w:p w14:paraId="55C31349" w14:textId="77777777" w:rsidR="00033D90" w:rsidRPr="00255E96" w:rsidRDefault="00033D90" w:rsidP="00814C25">
            <w:pPr>
              <w:spacing w:before="0" w:after="0"/>
              <w:rPr>
                <w:rFonts w:cs="Arial"/>
                <w:sz w:val="16"/>
                <w:szCs w:val="16"/>
              </w:rPr>
            </w:pPr>
            <w:r w:rsidRPr="00255E96">
              <w:rPr>
                <w:rFonts w:cs="Arial"/>
                <w:sz w:val="16"/>
                <w:szCs w:val="16"/>
              </w:rPr>
              <w:t xml:space="preserve">20-24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7C7C67D" w14:textId="77777777" w:rsidR="00033D90" w:rsidRPr="00255E96" w:rsidRDefault="00033D90" w:rsidP="00814C25">
            <w:pPr>
              <w:spacing w:before="0" w:after="0"/>
              <w:jc w:val="right"/>
              <w:rPr>
                <w:rFonts w:cs="Calibri"/>
                <w:sz w:val="16"/>
                <w:szCs w:val="16"/>
              </w:rPr>
            </w:pPr>
            <w:r w:rsidRPr="00255E96">
              <w:rPr>
                <w:rFonts w:cs="Calibri"/>
                <w:sz w:val="16"/>
                <w:szCs w:val="16"/>
              </w:rPr>
              <w:t>146</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61683A1" w14:textId="77777777" w:rsidR="00033D90" w:rsidRPr="00255E96" w:rsidRDefault="00033D90" w:rsidP="00814C25">
            <w:pPr>
              <w:spacing w:before="0" w:after="0"/>
              <w:jc w:val="right"/>
              <w:rPr>
                <w:rFonts w:cs="Calibri"/>
                <w:sz w:val="16"/>
                <w:szCs w:val="16"/>
              </w:rPr>
            </w:pPr>
            <w:r w:rsidRPr="00255E96">
              <w:rPr>
                <w:rFonts w:cs="Calibri"/>
                <w:sz w:val="16"/>
                <w:szCs w:val="16"/>
              </w:rPr>
              <w:t>100</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8C45F47" w14:textId="77777777" w:rsidR="00033D90" w:rsidRPr="00255E96" w:rsidRDefault="00033D90" w:rsidP="00814C25">
            <w:pPr>
              <w:spacing w:before="0" w:after="0"/>
              <w:jc w:val="right"/>
              <w:rPr>
                <w:rFonts w:cs="Calibri"/>
                <w:sz w:val="16"/>
                <w:szCs w:val="16"/>
              </w:rPr>
            </w:pPr>
            <w:r w:rsidRPr="00255E96">
              <w:rPr>
                <w:rFonts w:cs="Calibri"/>
                <w:sz w:val="16"/>
                <w:szCs w:val="16"/>
              </w:rPr>
              <w:t>95</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1087EB95" w14:textId="77777777" w:rsidR="00033D90" w:rsidRPr="00255E96" w:rsidRDefault="00033D90" w:rsidP="00814C25">
            <w:pPr>
              <w:spacing w:before="0" w:after="0"/>
              <w:jc w:val="right"/>
              <w:rPr>
                <w:rFonts w:cs="Calibri"/>
                <w:sz w:val="16"/>
                <w:szCs w:val="16"/>
              </w:rPr>
            </w:pPr>
            <w:r w:rsidRPr="00255E96">
              <w:rPr>
                <w:rFonts w:cs="Calibri"/>
                <w:sz w:val="16"/>
                <w:szCs w:val="16"/>
              </w:rPr>
              <w:t>.</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9655CDD" w14:textId="77777777" w:rsidR="00033D90" w:rsidRPr="00255E96" w:rsidRDefault="00033D90" w:rsidP="00814C25">
            <w:pPr>
              <w:spacing w:before="0" w:after="0"/>
              <w:jc w:val="right"/>
              <w:rPr>
                <w:rFonts w:cs="Calibri"/>
                <w:sz w:val="16"/>
                <w:szCs w:val="16"/>
              </w:rPr>
            </w:pPr>
            <w:r w:rsidRPr="00255E96">
              <w:rPr>
                <w:rFonts w:cs="Calibri"/>
                <w:sz w:val="16"/>
                <w:szCs w:val="16"/>
              </w:rPr>
              <w:t>46</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50A86ACB" w14:textId="77777777" w:rsidR="00033D90" w:rsidRPr="00255E96" w:rsidRDefault="00033D90" w:rsidP="00814C25">
            <w:pPr>
              <w:spacing w:before="0" w:after="0"/>
              <w:jc w:val="right"/>
              <w:rPr>
                <w:rFonts w:cs="Calibri"/>
                <w:bCs/>
                <w:sz w:val="16"/>
                <w:szCs w:val="16"/>
              </w:rPr>
            </w:pPr>
            <w:r w:rsidRPr="00255E96">
              <w:rPr>
                <w:rFonts w:cs="Arial"/>
                <w:sz w:val="16"/>
                <w:szCs w:val="16"/>
              </w:rPr>
              <w:t>68,5</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815C5C9"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65,1</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26519A45" w14:textId="77777777" w:rsidR="00033D90" w:rsidRPr="00255E96" w:rsidRDefault="00033D90" w:rsidP="00814C25">
            <w:pPr>
              <w:spacing w:before="0" w:after="0"/>
              <w:jc w:val="right"/>
              <w:rPr>
                <w:rFonts w:cs="Calibri"/>
                <w:bCs/>
                <w:sz w:val="16"/>
                <w:szCs w:val="16"/>
              </w:rPr>
            </w:pPr>
            <w:r w:rsidRPr="00255E96">
              <w:rPr>
                <w:rFonts w:cs="Calibri"/>
                <w:bCs/>
                <w:sz w:val="16"/>
                <w:szCs w:val="16"/>
              </w:rPr>
              <w:t>.</w:t>
            </w:r>
          </w:p>
        </w:tc>
      </w:tr>
      <w:tr w:rsidR="00033D90" w:rsidRPr="00F34660" w14:paraId="7264A4A0" w14:textId="77777777" w:rsidTr="00814C25">
        <w:trPr>
          <w:trHeight w:val="263"/>
        </w:trPr>
        <w:tc>
          <w:tcPr>
            <w:tcW w:w="840" w:type="dxa"/>
            <w:tcBorders>
              <w:bottom w:val="single" w:sz="4" w:space="0" w:color="001D77"/>
              <w:right w:val="single" w:sz="4" w:space="0" w:color="001D77"/>
            </w:tcBorders>
            <w:shd w:val="clear" w:color="auto" w:fill="auto"/>
            <w:vAlign w:val="bottom"/>
          </w:tcPr>
          <w:p w14:paraId="1C01CCAA" w14:textId="77777777" w:rsidR="00033D90" w:rsidRPr="00255E96" w:rsidRDefault="00033D90" w:rsidP="00814C25">
            <w:pPr>
              <w:spacing w:before="0" w:after="0"/>
              <w:rPr>
                <w:rFonts w:cs="Arial"/>
                <w:sz w:val="16"/>
                <w:szCs w:val="16"/>
              </w:rPr>
            </w:pPr>
            <w:r w:rsidRPr="00255E96">
              <w:rPr>
                <w:rFonts w:cs="Arial"/>
                <w:sz w:val="16"/>
                <w:szCs w:val="16"/>
              </w:rPr>
              <w:t xml:space="preserve">25-34                                                                                                                                                                                                                                               </w:t>
            </w:r>
          </w:p>
        </w:tc>
        <w:tc>
          <w:tcPr>
            <w:tcW w:w="72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C15694E" w14:textId="77777777" w:rsidR="00033D90" w:rsidRPr="00255E96" w:rsidRDefault="00033D90" w:rsidP="00814C25">
            <w:pPr>
              <w:spacing w:before="0" w:after="0"/>
              <w:jc w:val="right"/>
              <w:rPr>
                <w:rFonts w:cs="Calibri"/>
                <w:sz w:val="16"/>
                <w:szCs w:val="16"/>
              </w:rPr>
            </w:pPr>
            <w:r w:rsidRPr="00255E96">
              <w:rPr>
                <w:rFonts w:cs="Calibri"/>
                <w:sz w:val="16"/>
                <w:szCs w:val="16"/>
              </w:rPr>
              <w:t>619</w:t>
            </w:r>
          </w:p>
        </w:tc>
        <w:tc>
          <w:tcPr>
            <w:tcW w:w="719" w:type="dxa"/>
            <w:tcBorders>
              <w:top w:val="single" w:sz="4" w:space="0" w:color="001D77"/>
              <w:left w:val="single" w:sz="4" w:space="0" w:color="001D77"/>
              <w:bottom w:val="single" w:sz="4" w:space="0" w:color="001D77"/>
              <w:right w:val="single" w:sz="4" w:space="0" w:color="001D77"/>
            </w:tcBorders>
            <w:shd w:val="clear" w:color="auto" w:fill="auto"/>
            <w:vAlign w:val="bottom"/>
          </w:tcPr>
          <w:p w14:paraId="2C759D1E" w14:textId="77777777" w:rsidR="00033D90" w:rsidRPr="00255E96" w:rsidRDefault="00033D90" w:rsidP="00814C25">
            <w:pPr>
              <w:spacing w:before="0" w:after="0"/>
              <w:jc w:val="right"/>
              <w:rPr>
                <w:rFonts w:cs="Calibri"/>
                <w:sz w:val="16"/>
                <w:szCs w:val="16"/>
              </w:rPr>
            </w:pPr>
            <w:r w:rsidRPr="00255E96">
              <w:rPr>
                <w:rFonts w:cs="Calibri"/>
                <w:sz w:val="16"/>
                <w:szCs w:val="16"/>
              </w:rPr>
              <w:t>603</w:t>
            </w:r>
          </w:p>
        </w:tc>
        <w:tc>
          <w:tcPr>
            <w:tcW w:w="84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7196230" w14:textId="77777777" w:rsidR="00033D90" w:rsidRPr="00255E96" w:rsidRDefault="00033D90" w:rsidP="00814C25">
            <w:pPr>
              <w:spacing w:before="0" w:after="0"/>
              <w:jc w:val="right"/>
              <w:rPr>
                <w:rFonts w:cs="Calibri"/>
                <w:sz w:val="16"/>
                <w:szCs w:val="16"/>
              </w:rPr>
            </w:pPr>
            <w:r w:rsidRPr="00255E96">
              <w:rPr>
                <w:rFonts w:cs="Calibri"/>
                <w:sz w:val="16"/>
                <w:szCs w:val="16"/>
              </w:rPr>
              <w:t>593</w:t>
            </w:r>
          </w:p>
        </w:tc>
        <w:tc>
          <w:tcPr>
            <w:tcW w:w="850" w:type="dxa"/>
            <w:tcBorders>
              <w:top w:val="single" w:sz="4" w:space="0" w:color="001D77"/>
              <w:left w:val="single" w:sz="4" w:space="0" w:color="001D77"/>
              <w:bottom w:val="single" w:sz="4" w:space="0" w:color="001D77"/>
              <w:right w:val="single" w:sz="4" w:space="0" w:color="001D77"/>
            </w:tcBorders>
            <w:shd w:val="clear" w:color="auto" w:fill="auto"/>
            <w:vAlign w:val="bottom"/>
          </w:tcPr>
          <w:p w14:paraId="63D8A08E" w14:textId="77777777" w:rsidR="00033D90" w:rsidRPr="00255E96" w:rsidRDefault="00033D90" w:rsidP="00814C25">
            <w:pPr>
              <w:spacing w:before="0" w:after="0"/>
              <w:jc w:val="right"/>
              <w:rPr>
                <w:rFonts w:cs="Calibri"/>
                <w:sz w:val="16"/>
                <w:szCs w:val="16"/>
              </w:rPr>
            </w:pPr>
            <w:r w:rsidRPr="00255E96">
              <w:rPr>
                <w:rFonts w:cs="Calibri"/>
                <w:sz w:val="16"/>
                <w:szCs w:val="16"/>
              </w:rPr>
              <w:t>10</w:t>
            </w:r>
          </w:p>
        </w:tc>
        <w:tc>
          <w:tcPr>
            <w:tcW w:w="851" w:type="dxa"/>
            <w:tcBorders>
              <w:top w:val="single" w:sz="4" w:space="0" w:color="001D77"/>
              <w:left w:val="single" w:sz="4" w:space="0" w:color="001D77"/>
              <w:bottom w:val="single" w:sz="4" w:space="0" w:color="001D77"/>
              <w:right w:val="single" w:sz="4" w:space="0" w:color="001D77"/>
            </w:tcBorders>
            <w:shd w:val="clear" w:color="auto" w:fill="auto"/>
            <w:vAlign w:val="bottom"/>
          </w:tcPr>
          <w:p w14:paraId="08944E9E" w14:textId="77777777" w:rsidR="00033D90" w:rsidRPr="00255E96" w:rsidRDefault="00033D90" w:rsidP="00814C25">
            <w:pPr>
              <w:spacing w:before="0" w:after="0"/>
              <w:jc w:val="right"/>
              <w:rPr>
                <w:rFonts w:cs="Calibri"/>
                <w:sz w:val="16"/>
                <w:szCs w:val="16"/>
              </w:rPr>
            </w:pPr>
            <w:r w:rsidRPr="00255E96">
              <w:rPr>
                <w:rFonts w:cs="Calibri"/>
                <w:sz w:val="16"/>
                <w:szCs w:val="16"/>
              </w:rPr>
              <w:t>16</w:t>
            </w:r>
          </w:p>
        </w:tc>
        <w:tc>
          <w:tcPr>
            <w:tcW w:w="1134" w:type="dxa"/>
            <w:tcBorders>
              <w:top w:val="single" w:sz="4" w:space="0" w:color="001D77"/>
              <w:left w:val="single" w:sz="4" w:space="0" w:color="001D77"/>
              <w:bottom w:val="single" w:sz="4" w:space="0" w:color="001D77"/>
              <w:right w:val="single" w:sz="4" w:space="0" w:color="001D77"/>
            </w:tcBorders>
            <w:shd w:val="clear" w:color="auto" w:fill="auto"/>
            <w:vAlign w:val="bottom"/>
          </w:tcPr>
          <w:p w14:paraId="3C98AD82" w14:textId="77777777" w:rsidR="00033D90" w:rsidRPr="00255E96" w:rsidRDefault="00033D90" w:rsidP="00814C25">
            <w:pPr>
              <w:spacing w:before="0" w:after="0"/>
              <w:jc w:val="right"/>
              <w:rPr>
                <w:rFonts w:cs="Calibri"/>
                <w:bCs/>
                <w:sz w:val="16"/>
                <w:szCs w:val="16"/>
              </w:rPr>
            </w:pPr>
            <w:r w:rsidRPr="00255E96">
              <w:rPr>
                <w:rFonts w:cs="Arial"/>
                <w:sz w:val="16"/>
                <w:szCs w:val="16"/>
              </w:rPr>
              <w:t>97,4</w:t>
            </w:r>
          </w:p>
        </w:tc>
        <w:tc>
          <w:tcPr>
            <w:tcW w:w="992" w:type="dxa"/>
            <w:tcBorders>
              <w:top w:val="single" w:sz="4" w:space="0" w:color="001D77"/>
              <w:left w:val="single" w:sz="4" w:space="0" w:color="001D77"/>
              <w:bottom w:val="single" w:sz="4" w:space="0" w:color="001D77"/>
              <w:right w:val="single" w:sz="4" w:space="0" w:color="001D77"/>
            </w:tcBorders>
            <w:shd w:val="clear" w:color="auto" w:fill="auto"/>
            <w:vAlign w:val="bottom"/>
          </w:tcPr>
          <w:p w14:paraId="48453136"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95,8</w:t>
            </w:r>
          </w:p>
        </w:tc>
        <w:tc>
          <w:tcPr>
            <w:tcW w:w="992" w:type="dxa"/>
            <w:tcBorders>
              <w:top w:val="single" w:sz="4" w:space="0" w:color="001D77"/>
              <w:left w:val="single" w:sz="4" w:space="0" w:color="001D77"/>
              <w:bottom w:val="single" w:sz="4" w:space="0" w:color="001D77"/>
              <w:right w:val="nil"/>
            </w:tcBorders>
            <w:shd w:val="clear" w:color="auto" w:fill="auto"/>
            <w:vAlign w:val="bottom"/>
          </w:tcPr>
          <w:p w14:paraId="217DCE6B" w14:textId="77777777" w:rsidR="00033D90" w:rsidRPr="00255E96" w:rsidRDefault="00033D90" w:rsidP="00814C25">
            <w:pPr>
              <w:spacing w:before="0" w:after="0"/>
              <w:jc w:val="right"/>
              <w:rPr>
                <w:rFonts w:cs="Calibri"/>
                <w:bCs/>
                <w:sz w:val="16"/>
                <w:szCs w:val="16"/>
              </w:rPr>
            </w:pPr>
            <w:r w:rsidRPr="00255E96">
              <w:rPr>
                <w:rFonts w:cs="Arial"/>
                <w:color w:val="000000"/>
                <w:sz w:val="16"/>
                <w:szCs w:val="16"/>
              </w:rPr>
              <w:t>1,7</w:t>
            </w:r>
          </w:p>
        </w:tc>
      </w:tr>
      <w:bookmarkEnd w:id="6"/>
    </w:tbl>
    <w:p w14:paraId="1A0C9273" w14:textId="77777777" w:rsidR="000D23B7" w:rsidRDefault="000D23B7" w:rsidP="00255E96">
      <w:pPr>
        <w:spacing w:before="240" w:after="240" w:line="288" w:lineRule="auto"/>
      </w:pPr>
    </w:p>
    <w:p w14:paraId="6F5B1739" w14:textId="77777777" w:rsidR="00413C47" w:rsidRDefault="00357570" w:rsidP="00255E96">
      <w:pPr>
        <w:spacing w:before="240" w:after="240" w:line="288" w:lineRule="auto"/>
      </w:pPr>
      <w:r w:rsidRPr="007B5522">
        <w:rPr>
          <w:noProof/>
          <w:lang w:eastAsia="pl-PL"/>
        </w:rPr>
        <mc:AlternateContent>
          <mc:Choice Requires="wps">
            <w:drawing>
              <wp:anchor distT="0" distB="0" distL="114300" distR="114300" simplePos="0" relativeHeight="252061696" behindDoc="0" locked="0" layoutInCell="1" allowOverlap="1" wp14:anchorId="1CF7E4BB" wp14:editId="6D0E8F94">
                <wp:simplePos x="0" y="0"/>
                <wp:positionH relativeFrom="rightMargin">
                  <wp:align>left</wp:align>
                </wp:positionH>
                <wp:positionV relativeFrom="paragraph">
                  <wp:posOffset>3281073</wp:posOffset>
                </wp:positionV>
                <wp:extent cx="1709530" cy="1486894"/>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1709530" cy="1486894"/>
                        </a:xfrm>
                        <a:prstGeom prst="rect">
                          <a:avLst/>
                        </a:prstGeom>
                        <a:noFill/>
                        <a:ln w="6350">
                          <a:noFill/>
                        </a:ln>
                      </wps:spPr>
                      <wps:txbx>
                        <w:txbxContent>
                          <w:p w14:paraId="24628583" w14:textId="77777777" w:rsidR="00352C44" w:rsidRPr="00430A5C" w:rsidRDefault="00352C44" w:rsidP="00357570">
                            <w:pPr>
                              <w:rPr>
                                <w:color w:val="002060"/>
                              </w:rPr>
                            </w:pPr>
                            <w:r w:rsidRPr="00430A5C">
                              <w:rPr>
                                <w:color w:val="002060"/>
                                <w:sz w:val="18"/>
                                <w:szCs w:val="18"/>
                              </w:rPr>
                              <w:t>Wskaźnik osoby młode niepracujące, nieuczące się i niedokształcające się (NEET) w 2024 r. wyniósł 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E4BB" id="Pole tekstowe 26" o:spid="_x0000_s1031" type="#_x0000_t202" style="position:absolute;margin-left:0;margin-top:258.35pt;width:134.6pt;height:117.1pt;z-index:252061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" filled="f" stroked="f" strokeweight=".5pt">
                <v:textbox>
                  <w:txbxContent>
                    <w:p w14:paraId="24628583" w14:textId="77777777" w:rsidR="00352C44" w:rsidRPr="00430A5C" w:rsidRDefault="00352C44" w:rsidP="00357570">
                      <w:pPr>
                        <w:rPr>
                          <w:color w:val="002060"/>
                        </w:rPr>
                      </w:pPr>
                      <w:r w:rsidRPr="00430A5C">
                        <w:rPr>
                          <w:color w:val="002060"/>
                          <w:sz w:val="18"/>
                          <w:szCs w:val="18"/>
                        </w:rPr>
                        <w:t>Wskaźnik osoby młode niepracujące, nieuczące się i niedokształcające się (NEET) w 2024 r. wyniósł 10,3%</w:t>
                      </w:r>
                    </w:p>
                  </w:txbxContent>
                </v:textbox>
                <w10:wrap anchorx="margin"/>
              </v:shape>
            </w:pict>
          </mc:Fallback>
        </mc:AlternateContent>
      </w:r>
      <w:r w:rsidR="00252FFA" w:rsidRPr="00252FFA">
        <w:t>W tym miejscu warto również wspomnieć o szczególnej grupie</w:t>
      </w:r>
      <w:r w:rsidR="00E9196A">
        <w:t xml:space="preserve"> osób</w:t>
      </w:r>
      <w:r w:rsidR="00252FFA" w:rsidRPr="00252FFA">
        <w:t xml:space="preserve">, tzw. NEET, którą stanowią młode osoby niepracujące, nieuczące się i </w:t>
      </w:r>
      <w:r w:rsidR="007B5522" w:rsidRPr="007B5522">
        <w:t xml:space="preserve">niedokształcające się </w:t>
      </w:r>
      <w:r w:rsidR="00252FFA" w:rsidRPr="00252FFA">
        <w:t xml:space="preserve">(NEET – </w:t>
      </w:r>
      <w:r w:rsidR="007B5522">
        <w:t xml:space="preserve">z </w:t>
      </w:r>
      <w:r w:rsidR="00252FFA" w:rsidRPr="00252FFA">
        <w:t xml:space="preserve">ang. Not in </w:t>
      </w:r>
      <w:proofErr w:type="spellStart"/>
      <w:r w:rsidR="00252FFA" w:rsidRPr="00252FFA">
        <w:t>Employment</w:t>
      </w:r>
      <w:proofErr w:type="spellEnd"/>
      <w:r w:rsidR="00252FFA" w:rsidRPr="00252FFA">
        <w:t xml:space="preserve">, </w:t>
      </w:r>
      <w:proofErr w:type="spellStart"/>
      <w:r w:rsidR="00252FFA" w:rsidRPr="00252FFA">
        <w:t>Education</w:t>
      </w:r>
      <w:proofErr w:type="spellEnd"/>
      <w:r w:rsidR="00252FFA" w:rsidRPr="00252FFA">
        <w:t xml:space="preserve"> </w:t>
      </w:r>
      <w:proofErr w:type="spellStart"/>
      <w:r w:rsidR="00252FFA" w:rsidRPr="00252FFA">
        <w:t>or</w:t>
      </w:r>
      <w:proofErr w:type="spellEnd"/>
      <w:r w:rsidR="00252FFA" w:rsidRPr="00252FFA">
        <w:t xml:space="preserve"> Training). Długotrwała przynależność do tej grupy może prowadzić do niepożądanych skutków społecznych i ekonomicznych i w negatywny sposób wpływać na karierę zawodową, </w:t>
      </w:r>
      <w:r w:rsidR="007B5522">
        <w:t xml:space="preserve">a </w:t>
      </w:r>
      <w:r w:rsidR="00252FFA" w:rsidRPr="00252FFA">
        <w:t>w konsekwencji prowadz</w:t>
      </w:r>
      <w:r w:rsidR="007B5522">
        <w:t>ić</w:t>
      </w:r>
      <w:r w:rsidR="00252FFA" w:rsidRPr="00252FFA">
        <w:t xml:space="preserve"> do bierności zawodowej. W</w:t>
      </w:r>
      <w:r w:rsidR="00A2243F">
        <w:t> </w:t>
      </w:r>
      <w:r w:rsidR="00252FFA" w:rsidRPr="00252FFA">
        <w:t>2024</w:t>
      </w:r>
      <w:r w:rsidR="00A2243F">
        <w:t> </w:t>
      </w:r>
      <w:r w:rsidR="00252FFA" w:rsidRPr="00252FFA">
        <w:t>r. osoby takie stanowiły 10,3% ogółu ludności w wieku 15-34 lata</w:t>
      </w:r>
      <w:r w:rsidR="00252FFA" w:rsidRPr="00252FFA">
        <w:rPr>
          <w:vertAlign w:val="superscript"/>
        </w:rPr>
        <w:footnoteReference w:id="5"/>
      </w:r>
      <w:r w:rsidR="00413C47">
        <w:t>.</w:t>
      </w:r>
    </w:p>
    <w:p w14:paraId="1496D08F" w14:textId="77777777" w:rsidR="00413C47" w:rsidRDefault="00413C47">
      <w:pPr>
        <w:spacing w:before="0" w:after="160" w:line="259" w:lineRule="auto"/>
      </w:pPr>
      <w:r>
        <w:br w:type="page"/>
      </w:r>
    </w:p>
    <w:p w14:paraId="78CBB252" w14:textId="77777777" w:rsidR="00252FFA" w:rsidRDefault="00413C47" w:rsidP="00255E96">
      <w:pPr>
        <w:spacing w:before="240" w:after="240" w:line="288" w:lineRule="auto"/>
      </w:pPr>
      <w:r w:rsidRPr="00A70D1B">
        <w:rPr>
          <w:noProof/>
          <w:color w:val="001D77"/>
          <w:lang w:eastAsia="pl-PL"/>
        </w:rPr>
        <w:lastRenderedPageBreak/>
        <mc:AlternateContent>
          <mc:Choice Requires="wps">
            <w:drawing>
              <wp:anchor distT="45720" distB="45720" distL="114300" distR="114300" simplePos="0" relativeHeight="251759616" behindDoc="0" locked="0" layoutInCell="1" allowOverlap="1" wp14:anchorId="62A72310" wp14:editId="51383AEE">
                <wp:simplePos x="0" y="0"/>
                <wp:positionH relativeFrom="margin">
                  <wp:align>left</wp:align>
                </wp:positionH>
                <wp:positionV relativeFrom="paragraph">
                  <wp:posOffset>0</wp:posOffset>
                </wp:positionV>
                <wp:extent cx="2125345" cy="1318260"/>
                <wp:effectExtent l="0" t="0" r="8255" b="0"/>
                <wp:wrapSquare wrapText="bothSides"/>
                <wp:docPr id="15" name="Pole tekstowe 2" descr="Odsetek osób w wieku 15-34 lata, które przerwały formalny program edukacji - 7,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683" cy="1318260"/>
                        </a:xfrm>
                        <a:prstGeom prst="roundRect">
                          <a:avLst/>
                        </a:prstGeom>
                        <a:solidFill>
                          <a:srgbClr val="001D77"/>
                        </a:solidFill>
                        <a:ln w="9525">
                          <a:noFill/>
                          <a:miter lim="800000"/>
                          <a:headEnd/>
                          <a:tailEnd/>
                        </a:ln>
                      </wps:spPr>
                      <wps:txbx>
                        <w:txbxContent>
                          <w:p w14:paraId="4C959939" w14:textId="77777777" w:rsidR="00352C44" w:rsidRPr="000E6274" w:rsidRDefault="00352C44" w:rsidP="00413C47">
                            <w:pPr>
                              <w:spacing w:before="0" w:after="0" w:line="240" w:lineRule="auto"/>
                              <w:jc w:val="center"/>
                              <w:rPr>
                                <w:rFonts w:ascii="Fira Sans SemiBold" w:hAnsi="Fira Sans SemiBold"/>
                                <w:color w:val="FFFFFF" w:themeColor="background1"/>
                                <w:sz w:val="72"/>
                              </w:rPr>
                            </w:pPr>
                            <w:r>
                              <w:rPr>
                                <w:rFonts w:ascii="Fira Sans SemiBold" w:hAnsi="Fira Sans SemiBold"/>
                                <w:color w:val="FFFFFF" w:themeColor="background1"/>
                                <w:sz w:val="72"/>
                                <w:szCs w:val="72"/>
                              </w:rPr>
                              <w:t>7,4</w:t>
                            </w:r>
                            <w:r w:rsidRPr="006A3645">
                              <w:rPr>
                                <w:rFonts w:ascii="Fira Sans SemiBold" w:hAnsi="Fira Sans SemiBold"/>
                                <w:color w:val="FFFFFF" w:themeColor="background1"/>
                                <w:sz w:val="72"/>
                                <w:szCs w:val="72"/>
                              </w:rPr>
                              <w:t>%</w:t>
                            </w:r>
                          </w:p>
                          <w:p w14:paraId="22240DA1" w14:textId="77777777" w:rsidR="00352C44" w:rsidRPr="000D0CDD" w:rsidRDefault="00352C44" w:rsidP="00413C47">
                            <w:pPr>
                              <w:spacing w:before="0" w:after="0"/>
                              <w:jc w:val="center"/>
                              <w:rPr>
                                <w:sz w:val="20"/>
                              </w:rPr>
                            </w:pPr>
                            <w:r w:rsidRPr="000D0CDD">
                              <w:rPr>
                                <w:sz w:val="20"/>
                              </w:rPr>
                              <w:t>Odsetek osób w wieku 15-34 lata, które przerwały formalny program edukacji</w:t>
                            </w:r>
                          </w:p>
                          <w:p w14:paraId="5C2B9EDF" w14:textId="77777777" w:rsidR="00352C44" w:rsidRPr="001F49E2" w:rsidRDefault="00352C44" w:rsidP="00413C47">
                            <w:pPr>
                              <w:pStyle w:val="tekstnaniebieskimtle"/>
                              <w:jc w:val="center"/>
                              <w:rPr>
                                <w:color w:val="FFFFFF" w:themeColor="background1"/>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2A72310" id="_x0000_s1032" alt="Odsetek osób w wieku 15-34 lata, które przerwały formalny program edukacji - 7,4%&#10;" style="position:absolute;margin-left:0;margin-top:0;width:167.35pt;height:103.8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" fillcolor="#001d77" stroked="f">
                <v:stroke joinstyle="miter"/>
                <v:textbox>
                  <w:txbxContent>
                    <w:p w14:paraId="4C959939" w14:textId="77777777" w:rsidR="00352C44" w:rsidRPr="000E6274" w:rsidRDefault="00352C44" w:rsidP="00413C47">
                      <w:pPr>
                        <w:spacing w:before="0" w:after="0" w:line="240" w:lineRule="auto"/>
                        <w:jc w:val="center"/>
                        <w:rPr>
                          <w:rFonts w:ascii="Fira Sans SemiBold" w:hAnsi="Fira Sans SemiBold"/>
                          <w:color w:val="FFFFFF" w:themeColor="background1"/>
                          <w:sz w:val="72"/>
                        </w:rPr>
                      </w:pPr>
                      <w:r>
                        <w:rPr>
                          <w:rFonts w:ascii="Fira Sans SemiBold" w:hAnsi="Fira Sans SemiBold"/>
                          <w:color w:val="FFFFFF" w:themeColor="background1"/>
                          <w:sz w:val="72"/>
                          <w:szCs w:val="72"/>
                        </w:rPr>
                        <w:t>7,4</w:t>
                      </w:r>
                      <w:r w:rsidRPr="006A3645">
                        <w:rPr>
                          <w:rFonts w:ascii="Fira Sans SemiBold" w:hAnsi="Fira Sans SemiBold"/>
                          <w:color w:val="FFFFFF" w:themeColor="background1"/>
                          <w:sz w:val="72"/>
                          <w:szCs w:val="72"/>
                        </w:rPr>
                        <w:t>%</w:t>
                      </w:r>
                    </w:p>
                    <w:p w14:paraId="22240DA1" w14:textId="77777777" w:rsidR="00352C44" w:rsidRPr="000D0CDD" w:rsidRDefault="00352C44" w:rsidP="00413C47">
                      <w:pPr>
                        <w:spacing w:before="0" w:after="0"/>
                        <w:jc w:val="center"/>
                        <w:rPr>
                          <w:sz w:val="20"/>
                        </w:rPr>
                      </w:pPr>
                      <w:r w:rsidRPr="000D0CDD">
                        <w:rPr>
                          <w:sz w:val="20"/>
                        </w:rPr>
                        <w:t>Odsetek osób w wieku 15-34 lata, które przerwały formalny program edukacji</w:t>
                      </w:r>
                    </w:p>
                    <w:p w14:paraId="5C2B9EDF" w14:textId="77777777" w:rsidR="00352C44" w:rsidRPr="001F49E2" w:rsidRDefault="00352C44" w:rsidP="00413C47">
                      <w:pPr>
                        <w:pStyle w:val="tekstnaniebieskimtle"/>
                        <w:jc w:val="center"/>
                        <w:rPr>
                          <w:color w:val="FFFFFF" w:themeColor="background1"/>
                          <w:sz w:val="18"/>
                          <w:szCs w:val="20"/>
                        </w:rPr>
                      </w:pPr>
                    </w:p>
                  </w:txbxContent>
                </v:textbox>
                <w10:wrap type="square" anchorx="margin"/>
              </v:roundrect>
            </w:pict>
          </mc:Fallback>
        </mc:AlternateContent>
      </w:r>
    </w:p>
    <w:p w14:paraId="3984F2B8" w14:textId="77777777" w:rsidR="008B7E32" w:rsidRDefault="000D0CDD" w:rsidP="009C7161">
      <w:pPr>
        <w:pStyle w:val="Lead"/>
        <w:spacing w:before="0" w:after="0" w:line="240" w:lineRule="auto"/>
        <w:ind w:left="3544" w:right="624"/>
      </w:pPr>
      <w:bookmarkStart w:id="7" w:name="_Hlk143263663"/>
      <w:bookmarkEnd w:id="7"/>
      <w:r w:rsidRPr="000D0CDD">
        <w:t>Spośród osób w wieku 15-34 lata 7,4%</w:t>
      </w:r>
      <w:r w:rsidR="008B7E32">
        <w:t> </w:t>
      </w:r>
      <w:r w:rsidRPr="000D0CDD">
        <w:t>przerwało przynajmniej raz formalny</w:t>
      </w:r>
      <w:r w:rsidR="008B7E32">
        <w:t> </w:t>
      </w:r>
      <w:r w:rsidRPr="000D0CDD">
        <w:t xml:space="preserve">program edukacji, </w:t>
      </w:r>
    </w:p>
    <w:p w14:paraId="3C604B4B" w14:textId="77777777" w:rsidR="005F5624" w:rsidRDefault="000D0CDD" w:rsidP="00430A5C">
      <w:pPr>
        <w:pStyle w:val="Lead"/>
        <w:spacing w:before="0" w:after="0" w:line="240" w:lineRule="auto"/>
        <w:ind w:left="3544" w:right="624"/>
      </w:pPr>
      <w:r w:rsidRPr="000D0CDD">
        <w:t>w</w:t>
      </w:r>
      <w:r w:rsidR="00BC4E12">
        <w:t> </w:t>
      </w:r>
      <w:r w:rsidRPr="000D0CDD">
        <w:t>tym 0,9% przerwało go wi</w:t>
      </w:r>
      <w:r w:rsidR="008B7E32">
        <w:t>ę</w:t>
      </w:r>
      <w:r w:rsidRPr="000D0CDD">
        <w:t>cej niż jeden</w:t>
      </w:r>
      <w:r w:rsidR="008B7E32">
        <w:t> </w:t>
      </w:r>
      <w:r w:rsidRPr="000D0CDD">
        <w:t>raz.</w:t>
      </w:r>
    </w:p>
    <w:p w14:paraId="55355CE7" w14:textId="77777777" w:rsidR="000D0CDD" w:rsidRDefault="000D0CDD" w:rsidP="00B53FB7">
      <w:pPr>
        <w:pStyle w:val="Lead"/>
        <w:spacing w:before="0" w:after="0" w:line="240" w:lineRule="auto"/>
        <w:ind w:left="3686"/>
      </w:pPr>
    </w:p>
    <w:p w14:paraId="7B39EFE4" w14:textId="77777777" w:rsidR="00413C47" w:rsidRDefault="00413C47" w:rsidP="002C0C8A">
      <w:pPr>
        <w:pStyle w:val="Nagwek1"/>
        <w:spacing w:before="240"/>
        <w:rPr>
          <w:rFonts w:ascii="Fira Sans" w:hAnsi="Fira Sans"/>
          <w:b/>
          <w:szCs w:val="19"/>
        </w:rPr>
      </w:pPr>
    </w:p>
    <w:p w14:paraId="78B50632" w14:textId="53473479" w:rsidR="002C0C8A" w:rsidRPr="00B718E1" w:rsidRDefault="002C0C8A" w:rsidP="002C0C8A">
      <w:pPr>
        <w:pStyle w:val="Nagwek1"/>
        <w:spacing w:before="240"/>
        <w:rPr>
          <w:rFonts w:ascii="Fira Sans" w:hAnsi="Fira Sans"/>
          <w:b/>
          <w:szCs w:val="19"/>
        </w:rPr>
      </w:pPr>
      <w:r w:rsidRPr="00B718E1">
        <w:rPr>
          <w:rFonts w:ascii="Fira Sans" w:hAnsi="Fira Sans"/>
          <w:b/>
          <w:szCs w:val="19"/>
        </w:rPr>
        <w:t>Przerywanie formalnego programu edukacji przez osoby w wieku 15-34 lata</w:t>
      </w:r>
    </w:p>
    <w:p w14:paraId="53BB9C7B" w14:textId="5D83F079" w:rsidR="000D0CDD" w:rsidRPr="00430A5C" w:rsidRDefault="006120ED" w:rsidP="000D0CDD">
      <w:pPr>
        <w:spacing w:line="288" w:lineRule="auto"/>
        <w:rPr>
          <w:i/>
          <w:sz w:val="18"/>
          <w:szCs w:val="18"/>
        </w:rPr>
      </w:pPr>
      <w:r w:rsidRPr="00430A5C">
        <w:rPr>
          <w:i/>
          <w:noProof/>
          <w:sz w:val="18"/>
          <w:szCs w:val="18"/>
          <w:lang w:eastAsia="pl-PL"/>
        </w:rPr>
        <mc:AlternateContent>
          <mc:Choice Requires="wps">
            <w:drawing>
              <wp:anchor distT="0" distB="0" distL="114300" distR="114300" simplePos="0" relativeHeight="252007424" behindDoc="0" locked="0" layoutInCell="1" allowOverlap="1" wp14:anchorId="18972678" wp14:editId="3732CFE7">
                <wp:simplePos x="0" y="0"/>
                <wp:positionH relativeFrom="page">
                  <wp:posOffset>5753100</wp:posOffset>
                </wp:positionH>
                <wp:positionV relativeFrom="paragraph">
                  <wp:posOffset>586105</wp:posOffset>
                </wp:positionV>
                <wp:extent cx="1666875" cy="819150"/>
                <wp:effectExtent l="0" t="0" r="0" b="0"/>
                <wp:wrapNone/>
                <wp:docPr id="63" name="Pole tekstowe 63" descr="Mężczyźni częściej niż kobiety przerywali formalny program edukacji"/>
                <wp:cNvGraphicFramePr/>
                <a:graphic xmlns:a="http://schemas.openxmlformats.org/drawingml/2006/main">
                  <a:graphicData uri="http://schemas.microsoft.com/office/word/2010/wordprocessingShape">
                    <wps:wsp>
                      <wps:cNvSpPr txBox="1"/>
                      <wps:spPr>
                        <a:xfrm>
                          <a:off x="0" y="0"/>
                          <a:ext cx="1666875" cy="819150"/>
                        </a:xfrm>
                        <a:prstGeom prst="rect">
                          <a:avLst/>
                        </a:prstGeom>
                        <a:noFill/>
                        <a:ln w="6350">
                          <a:noFill/>
                        </a:ln>
                      </wps:spPr>
                      <wps:txbx>
                        <w:txbxContent>
                          <w:p w14:paraId="4E1E71AD" w14:textId="77777777" w:rsidR="00352C44" w:rsidRPr="006120ED" w:rsidRDefault="00352C44" w:rsidP="006120ED">
                            <w:pPr>
                              <w:rPr>
                                <w:color w:val="001D77"/>
                                <w:sz w:val="18"/>
                                <w:szCs w:val="18"/>
                              </w:rPr>
                            </w:pPr>
                            <w:r w:rsidRPr="006120ED">
                              <w:rPr>
                                <w:color w:val="001D77"/>
                                <w:sz w:val="18"/>
                                <w:szCs w:val="18"/>
                              </w:rPr>
                              <w:t>Mężczyźni częściej niż kobiety przerywali formalny program edukacji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2678" id="Pole tekstowe 63" o:spid="_x0000_s1033" type="#_x0000_t202" alt="Mężczyźni częściej niż kobiety przerywali formalny program edukacji" style="position:absolute;margin-left:453pt;margin-top:46.15pt;width:131.25pt;height:64.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" filled="f" stroked="f" strokeweight=".5pt">
                <v:textbox>
                  <w:txbxContent>
                    <w:p w14:paraId="4E1E71AD" w14:textId="77777777" w:rsidR="00352C44" w:rsidRPr="006120ED" w:rsidRDefault="00352C44" w:rsidP="006120ED">
                      <w:pPr>
                        <w:rPr>
                          <w:color w:val="001D77"/>
                          <w:sz w:val="18"/>
                          <w:szCs w:val="18"/>
                        </w:rPr>
                      </w:pPr>
                      <w:r w:rsidRPr="006120ED">
                        <w:rPr>
                          <w:color w:val="001D77"/>
                          <w:sz w:val="18"/>
                          <w:szCs w:val="18"/>
                        </w:rPr>
                        <w:t>Mężczyźni częściej niż kobiety przerywali formalny program edukacji</w:t>
                      </w:r>
                    </w:p>
                  </w:txbxContent>
                </v:textbox>
                <w10:wrap anchorx="page"/>
              </v:shape>
            </w:pict>
          </mc:Fallback>
        </mc:AlternateContent>
      </w:r>
      <w:bookmarkStart w:id="8" w:name="_Hlk207347682"/>
      <w:r w:rsidR="000D0CDD" w:rsidRPr="00430A5C">
        <w:rPr>
          <w:i/>
          <w:sz w:val="18"/>
          <w:szCs w:val="18"/>
        </w:rPr>
        <w:t>Przerwanie edukacji formalnej definiowano w badaniu jako opuszczenie edukacji formalnej bez uzyskania certyfikatu/świadectwa/dyplomu ukończenia danego typu szkoły/kierunku kształcenia</w:t>
      </w:r>
      <w:r w:rsidR="000D0CDD" w:rsidRPr="00430A5C">
        <w:rPr>
          <w:i/>
          <w:sz w:val="18"/>
          <w:szCs w:val="18"/>
          <w:vertAlign w:val="superscript"/>
        </w:rPr>
        <w:footnoteReference w:id="6"/>
      </w:r>
      <w:r w:rsidR="000D0CDD" w:rsidRPr="00430A5C">
        <w:rPr>
          <w:i/>
          <w:sz w:val="18"/>
          <w:szCs w:val="18"/>
        </w:rPr>
        <w:t>.</w:t>
      </w:r>
      <w:bookmarkEnd w:id="8"/>
    </w:p>
    <w:p w14:paraId="5F6EFF50" w14:textId="3DB758B3" w:rsidR="000D0CDD" w:rsidRPr="0093291A" w:rsidRDefault="000D0CDD" w:rsidP="000D0CDD">
      <w:pPr>
        <w:spacing w:line="288" w:lineRule="auto"/>
        <w:rPr>
          <w:szCs w:val="19"/>
        </w:rPr>
      </w:pPr>
      <w:r w:rsidRPr="0093291A">
        <w:rPr>
          <w:szCs w:val="19"/>
        </w:rPr>
        <w:t>Formalny program edukacji przerwało przynajmniej raz w życiu 586 tys. osób</w:t>
      </w:r>
      <w:r w:rsidR="001224E2">
        <w:rPr>
          <w:szCs w:val="19"/>
        </w:rPr>
        <w:t xml:space="preserve">, tj. </w:t>
      </w:r>
      <w:r w:rsidR="00BC4E12">
        <w:rPr>
          <w:szCs w:val="19"/>
        </w:rPr>
        <w:t>7,4% z</w:t>
      </w:r>
      <w:r w:rsidR="001224E2">
        <w:rPr>
          <w:szCs w:val="19"/>
        </w:rPr>
        <w:t> </w:t>
      </w:r>
      <w:r w:rsidR="00BC4E12">
        <w:rPr>
          <w:szCs w:val="19"/>
        </w:rPr>
        <w:t>analizowanej tu populacji 7 902 tys. osób młodych.</w:t>
      </w:r>
      <w:r w:rsidRPr="0093291A">
        <w:rPr>
          <w:szCs w:val="19"/>
        </w:rPr>
        <w:t xml:space="preserve"> Częściej zdarzało się to mężczyznom, dla nich odsetek ten wyniósł 8,6%, </w:t>
      </w:r>
      <w:r w:rsidR="00055DD1">
        <w:rPr>
          <w:szCs w:val="19"/>
        </w:rPr>
        <w:t xml:space="preserve">podczas gdy </w:t>
      </w:r>
      <w:r w:rsidRPr="0093291A">
        <w:rPr>
          <w:szCs w:val="19"/>
        </w:rPr>
        <w:t xml:space="preserve">dla kobiet wyniósł 6,2%. Biorąc pod uwagę miejsce </w:t>
      </w:r>
      <w:r w:rsidRPr="009C5A62">
        <w:rPr>
          <w:szCs w:val="19"/>
        </w:rPr>
        <w:t>zamieszkania, program edukacji przerywało 9,1% mieszkańców miast i 5,1% mieszkańców wsi.</w:t>
      </w:r>
    </w:p>
    <w:p w14:paraId="404577BB" w14:textId="336D92C5" w:rsidR="000D0CDD" w:rsidRPr="0093291A" w:rsidRDefault="000D0CDD" w:rsidP="000D0CDD">
      <w:pPr>
        <w:spacing w:before="0" w:line="288" w:lineRule="auto"/>
        <w:rPr>
          <w:szCs w:val="19"/>
        </w:rPr>
      </w:pPr>
      <w:r w:rsidRPr="0093291A">
        <w:rPr>
          <w:szCs w:val="19"/>
        </w:rPr>
        <w:t>Zdecydowana większość, bo 87,2% z 586 tys. osób przerwało program edukacji jeden raz, natomiast 12,8% przerywało go kilka razy. Częstość kilkukrotnych przerwań programu edukacji była dwukrotnie większa wśród mężczyzn niż wśród kobiet.</w:t>
      </w:r>
    </w:p>
    <w:p w14:paraId="440F0857" w14:textId="18A1DA3E" w:rsidR="000D0CDD" w:rsidRPr="00785051" w:rsidRDefault="007735E9" w:rsidP="000D0CDD">
      <w:pPr>
        <w:pStyle w:val="Tekstkomentarza"/>
        <w:spacing w:line="288" w:lineRule="auto"/>
        <w:rPr>
          <w:sz w:val="19"/>
          <w:szCs w:val="19"/>
        </w:rPr>
      </w:pPr>
      <w:r w:rsidRPr="003F1EC1">
        <w:rPr>
          <w:noProof/>
          <w:szCs w:val="19"/>
          <w:lang w:eastAsia="pl-PL"/>
        </w:rPr>
        <mc:AlternateContent>
          <mc:Choice Requires="wps">
            <w:drawing>
              <wp:anchor distT="0" distB="0" distL="114300" distR="114300" simplePos="0" relativeHeight="252037120" behindDoc="0" locked="0" layoutInCell="1" allowOverlap="1" wp14:anchorId="00EDDFB5" wp14:editId="4E21E164">
                <wp:simplePos x="0" y="0"/>
                <wp:positionH relativeFrom="column">
                  <wp:posOffset>5307468</wp:posOffset>
                </wp:positionH>
                <wp:positionV relativeFrom="paragraph">
                  <wp:posOffset>10795</wp:posOffset>
                </wp:positionV>
                <wp:extent cx="1623060" cy="739140"/>
                <wp:effectExtent l="0" t="0" r="0" b="3810"/>
                <wp:wrapNone/>
                <wp:docPr id="13" name="Pole tekstowe 13" descr="Najwięcej osób przerwało formalną edukację na poziomie szkoły wyższej"/>
                <wp:cNvGraphicFramePr/>
                <a:graphic xmlns:a="http://schemas.openxmlformats.org/drawingml/2006/main">
                  <a:graphicData uri="http://schemas.microsoft.com/office/word/2010/wordprocessingShape">
                    <wps:wsp>
                      <wps:cNvSpPr txBox="1"/>
                      <wps:spPr>
                        <a:xfrm>
                          <a:off x="0" y="0"/>
                          <a:ext cx="1623060" cy="739140"/>
                        </a:xfrm>
                        <a:prstGeom prst="rect">
                          <a:avLst/>
                        </a:prstGeom>
                        <a:noFill/>
                        <a:ln w="6350">
                          <a:noFill/>
                        </a:ln>
                      </wps:spPr>
                      <wps:txbx>
                        <w:txbxContent>
                          <w:p w14:paraId="5822D68A" w14:textId="77777777" w:rsidR="00352C44" w:rsidRPr="00DA008C" w:rsidRDefault="00352C44" w:rsidP="000D0CDD">
                            <w:pPr>
                              <w:rPr>
                                <w:color w:val="001D77"/>
                                <w:sz w:val="18"/>
                                <w:szCs w:val="18"/>
                              </w:rPr>
                            </w:pPr>
                            <w:r w:rsidRPr="00DA008C">
                              <w:rPr>
                                <w:color w:val="001D77"/>
                                <w:sz w:val="18"/>
                                <w:szCs w:val="18"/>
                              </w:rPr>
                              <w:t>Najwięcej osób przerwało formalną edukację na poziomie szkoły wyższej</w:t>
                            </w:r>
                          </w:p>
                          <w:p w14:paraId="4B8D5050" w14:textId="77777777" w:rsidR="00352C44" w:rsidRDefault="00352C44" w:rsidP="000D0C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DDFB5" id="Pole tekstowe 13" o:spid="_x0000_s1034" type="#_x0000_t202" alt="Najwięcej osób przerwało formalną edukację na poziomie szkoły wyższej" style="position:absolute;margin-left:417.9pt;margin-top:.85pt;width:127.8pt;height:58.2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" filled="f" stroked="f" strokeweight=".5pt">
                <v:textbox>
                  <w:txbxContent>
                    <w:p w14:paraId="5822D68A" w14:textId="77777777" w:rsidR="00352C44" w:rsidRPr="00DA008C" w:rsidRDefault="00352C44" w:rsidP="000D0CDD">
                      <w:pPr>
                        <w:rPr>
                          <w:color w:val="001D77"/>
                          <w:sz w:val="18"/>
                          <w:szCs w:val="18"/>
                        </w:rPr>
                      </w:pPr>
                      <w:r w:rsidRPr="00DA008C">
                        <w:rPr>
                          <w:color w:val="001D77"/>
                          <w:sz w:val="18"/>
                          <w:szCs w:val="18"/>
                        </w:rPr>
                        <w:t>Najwięcej osób przerwało formalną edukację na poziomie szkoły wyższej</w:t>
                      </w:r>
                    </w:p>
                    <w:p w14:paraId="4B8D5050" w14:textId="77777777" w:rsidR="00352C44" w:rsidRDefault="00352C44" w:rsidP="000D0CDD"/>
                  </w:txbxContent>
                </v:textbox>
              </v:shape>
            </w:pict>
          </mc:Fallback>
        </mc:AlternateContent>
      </w:r>
      <w:r w:rsidR="000D0CDD" w:rsidRPr="00785051">
        <w:rPr>
          <w:sz w:val="19"/>
          <w:szCs w:val="19"/>
        </w:rPr>
        <w:t xml:space="preserve">Najwięcej </w:t>
      </w:r>
      <w:r w:rsidR="000D0CDD" w:rsidRPr="00BE406A">
        <w:rPr>
          <w:sz w:val="19"/>
          <w:szCs w:val="19"/>
        </w:rPr>
        <w:t>osób (348 tys., tj. 59,4%)</w:t>
      </w:r>
      <w:r w:rsidR="000D0CDD" w:rsidRPr="00785051">
        <w:rPr>
          <w:sz w:val="19"/>
          <w:szCs w:val="19"/>
        </w:rPr>
        <w:t xml:space="preserve"> </w:t>
      </w:r>
      <w:bookmarkStart w:id="9" w:name="_Hlk205540385"/>
      <w:r w:rsidR="000D0CDD" w:rsidRPr="00785051">
        <w:rPr>
          <w:sz w:val="19"/>
          <w:szCs w:val="19"/>
        </w:rPr>
        <w:t>przerwało formalną edukację na poziomie szkoły wyższej</w:t>
      </w:r>
      <w:bookmarkEnd w:id="9"/>
      <w:r w:rsidR="000D0CDD" w:rsidRPr="00785051">
        <w:rPr>
          <w:sz w:val="19"/>
          <w:szCs w:val="19"/>
        </w:rPr>
        <w:t xml:space="preserve">, </w:t>
      </w:r>
      <w:r w:rsidR="0012189E">
        <w:rPr>
          <w:sz w:val="19"/>
          <w:szCs w:val="19"/>
        </w:rPr>
        <w:t>przy czym</w:t>
      </w:r>
      <w:r w:rsidR="000D0CDD" w:rsidRPr="00785051">
        <w:rPr>
          <w:sz w:val="19"/>
          <w:szCs w:val="19"/>
        </w:rPr>
        <w:t xml:space="preserve"> aż 275 tys. osób (tj. </w:t>
      </w:r>
      <w:r w:rsidR="004904D9">
        <w:rPr>
          <w:sz w:val="19"/>
          <w:szCs w:val="19"/>
        </w:rPr>
        <w:t>79,0</w:t>
      </w:r>
      <w:r w:rsidR="000D0CDD" w:rsidRPr="00785051">
        <w:rPr>
          <w:sz w:val="19"/>
          <w:szCs w:val="19"/>
        </w:rPr>
        <w:t>%) na poziomie studiów pierwszego stopnia (tj. licencjackich lub inżynierskich), a</w:t>
      </w:r>
      <w:r w:rsidR="000D0CDD">
        <w:rPr>
          <w:sz w:val="19"/>
          <w:szCs w:val="19"/>
        </w:rPr>
        <w:t> </w:t>
      </w:r>
      <w:r w:rsidR="000D0CDD" w:rsidRPr="00785051">
        <w:rPr>
          <w:sz w:val="19"/>
          <w:szCs w:val="19"/>
        </w:rPr>
        <w:t>71</w:t>
      </w:r>
      <w:r w:rsidR="000D0CDD">
        <w:rPr>
          <w:sz w:val="19"/>
          <w:szCs w:val="19"/>
        </w:rPr>
        <w:t> </w:t>
      </w:r>
      <w:r w:rsidR="000D0CDD" w:rsidRPr="00785051">
        <w:rPr>
          <w:sz w:val="19"/>
          <w:szCs w:val="19"/>
        </w:rPr>
        <w:t xml:space="preserve">tys. osób (tj. </w:t>
      </w:r>
      <w:r w:rsidR="004904D9">
        <w:rPr>
          <w:sz w:val="19"/>
          <w:szCs w:val="19"/>
        </w:rPr>
        <w:t>20,4</w:t>
      </w:r>
      <w:r w:rsidR="000D0CDD" w:rsidRPr="00785051">
        <w:rPr>
          <w:sz w:val="19"/>
          <w:szCs w:val="19"/>
        </w:rPr>
        <w:t>%) – studiów magisterskich.</w:t>
      </w:r>
      <w:r w:rsidR="00BE406A">
        <w:rPr>
          <w:sz w:val="19"/>
          <w:szCs w:val="19"/>
        </w:rPr>
        <w:t xml:space="preserve"> Pozostałe osoby przerwały edukację na poziomie studiów doktoranckich (przy </w:t>
      </w:r>
      <w:r w:rsidR="007A247A">
        <w:rPr>
          <w:sz w:val="19"/>
          <w:szCs w:val="19"/>
        </w:rPr>
        <w:t xml:space="preserve">czym </w:t>
      </w:r>
      <w:r w:rsidR="00BE406A">
        <w:rPr>
          <w:sz w:val="19"/>
          <w:szCs w:val="19"/>
        </w:rPr>
        <w:t>uzyskane w</w:t>
      </w:r>
      <w:r w:rsidR="003B1B47">
        <w:rPr>
          <w:sz w:val="19"/>
          <w:szCs w:val="19"/>
        </w:rPr>
        <w:t> </w:t>
      </w:r>
      <w:r w:rsidR="00BE406A">
        <w:rPr>
          <w:sz w:val="19"/>
          <w:szCs w:val="19"/>
        </w:rPr>
        <w:t>badanu wartości z</w:t>
      </w:r>
      <w:r w:rsidR="00C5464C">
        <w:rPr>
          <w:sz w:val="19"/>
          <w:szCs w:val="19"/>
        </w:rPr>
        <w:t> </w:t>
      </w:r>
      <w:r w:rsidR="00BE406A">
        <w:rPr>
          <w:sz w:val="19"/>
          <w:szCs w:val="19"/>
        </w:rPr>
        <w:t>uwagi na niską skalę zjawiska zostały wyłączone z dalszej analizy).</w:t>
      </w:r>
    </w:p>
    <w:p w14:paraId="0FBFCF6B" w14:textId="73A7A84F" w:rsidR="007735E9" w:rsidRPr="0093291A" w:rsidRDefault="007735E9" w:rsidP="007735E9">
      <w:pPr>
        <w:spacing w:before="0" w:line="288" w:lineRule="auto"/>
        <w:rPr>
          <w:szCs w:val="19"/>
        </w:rPr>
      </w:pPr>
      <w:r w:rsidRPr="0093291A">
        <w:rPr>
          <w:szCs w:val="19"/>
        </w:rPr>
        <w:t xml:space="preserve">Należy zaznaczyć, że spośród 275 tys. osób, które </w:t>
      </w:r>
      <w:r>
        <w:rPr>
          <w:szCs w:val="19"/>
        </w:rPr>
        <w:t xml:space="preserve">zadeklarowały, że </w:t>
      </w:r>
      <w:r w:rsidRPr="0093291A">
        <w:rPr>
          <w:szCs w:val="19"/>
        </w:rPr>
        <w:t>przerwały naukę na etapie studiów licencjackich lub inżynierskich</w:t>
      </w:r>
      <w:r>
        <w:rPr>
          <w:szCs w:val="19"/>
        </w:rPr>
        <w:t xml:space="preserve">, </w:t>
      </w:r>
      <w:r w:rsidRPr="0093291A">
        <w:rPr>
          <w:szCs w:val="19"/>
        </w:rPr>
        <w:t xml:space="preserve">33,5% </w:t>
      </w:r>
      <w:r>
        <w:rPr>
          <w:szCs w:val="19"/>
        </w:rPr>
        <w:t xml:space="preserve">miało </w:t>
      </w:r>
      <w:r w:rsidR="00794264">
        <w:rPr>
          <w:szCs w:val="19"/>
        </w:rPr>
        <w:t>już (</w:t>
      </w:r>
      <w:r>
        <w:rPr>
          <w:szCs w:val="19"/>
        </w:rPr>
        <w:t>w momencie badania w</w:t>
      </w:r>
      <w:r w:rsidR="003B1B47">
        <w:rPr>
          <w:szCs w:val="19"/>
        </w:rPr>
        <w:t> </w:t>
      </w:r>
      <w:r>
        <w:rPr>
          <w:szCs w:val="19"/>
        </w:rPr>
        <w:t>2024</w:t>
      </w:r>
      <w:r w:rsidR="00794264">
        <w:rPr>
          <w:szCs w:val="19"/>
        </w:rPr>
        <w:t> </w:t>
      </w:r>
      <w:r>
        <w:rPr>
          <w:szCs w:val="19"/>
        </w:rPr>
        <w:t xml:space="preserve">r.) </w:t>
      </w:r>
      <w:r w:rsidRPr="0093291A">
        <w:rPr>
          <w:szCs w:val="19"/>
        </w:rPr>
        <w:t>wykształcenie wyższe</w:t>
      </w:r>
      <w:r w:rsidR="00794264">
        <w:rPr>
          <w:szCs w:val="19"/>
        </w:rPr>
        <w:t>. M</w:t>
      </w:r>
      <w:r>
        <w:rPr>
          <w:szCs w:val="19"/>
        </w:rPr>
        <w:t>ożna</w:t>
      </w:r>
      <w:r w:rsidRPr="0093291A">
        <w:rPr>
          <w:szCs w:val="19"/>
        </w:rPr>
        <w:t xml:space="preserve"> zatem </w:t>
      </w:r>
      <w:r>
        <w:rPr>
          <w:szCs w:val="19"/>
        </w:rPr>
        <w:t>przyjąć</w:t>
      </w:r>
      <w:r w:rsidRPr="0093291A">
        <w:rPr>
          <w:szCs w:val="19"/>
        </w:rPr>
        <w:t xml:space="preserve">, że </w:t>
      </w:r>
      <w:r w:rsidR="00794264">
        <w:rPr>
          <w:szCs w:val="19"/>
        </w:rPr>
        <w:t xml:space="preserve">osoby te </w:t>
      </w:r>
      <w:r w:rsidRPr="009C5A62">
        <w:rPr>
          <w:szCs w:val="19"/>
        </w:rPr>
        <w:t>ukończyły inny kierunek</w:t>
      </w:r>
      <w:r w:rsidRPr="0093291A">
        <w:rPr>
          <w:szCs w:val="19"/>
        </w:rPr>
        <w:t xml:space="preserve"> studiów. Pozostałe osoby </w:t>
      </w:r>
      <w:r w:rsidR="00794264">
        <w:rPr>
          <w:szCs w:val="19"/>
        </w:rPr>
        <w:t>miały (</w:t>
      </w:r>
      <w:r w:rsidRPr="00075E93">
        <w:rPr>
          <w:szCs w:val="19"/>
        </w:rPr>
        <w:t>w momencie badania</w:t>
      </w:r>
      <w:r w:rsidR="00794264">
        <w:rPr>
          <w:szCs w:val="19"/>
        </w:rPr>
        <w:t>)</w:t>
      </w:r>
      <w:r w:rsidR="00794264" w:rsidRPr="00075E93">
        <w:rPr>
          <w:szCs w:val="19"/>
        </w:rPr>
        <w:t xml:space="preserve"> </w:t>
      </w:r>
      <w:r w:rsidRPr="00075E93">
        <w:rPr>
          <w:szCs w:val="19"/>
        </w:rPr>
        <w:t>wykształcenie średnie ogólnokształcące</w:t>
      </w:r>
      <w:r>
        <w:rPr>
          <w:szCs w:val="19"/>
        </w:rPr>
        <w:t xml:space="preserve"> –</w:t>
      </w:r>
      <w:r w:rsidRPr="00075E93">
        <w:rPr>
          <w:szCs w:val="19"/>
        </w:rPr>
        <w:t xml:space="preserve"> (40,7%) a</w:t>
      </w:r>
      <w:r>
        <w:rPr>
          <w:szCs w:val="19"/>
        </w:rPr>
        <w:t>lbo</w:t>
      </w:r>
      <w:r w:rsidRPr="00075E93">
        <w:rPr>
          <w:szCs w:val="19"/>
        </w:rPr>
        <w:t xml:space="preserve"> wykształcenie</w:t>
      </w:r>
      <w:r w:rsidRPr="0093291A">
        <w:rPr>
          <w:szCs w:val="19"/>
        </w:rPr>
        <w:t xml:space="preserve"> policealne lub średnie zawodowe</w:t>
      </w:r>
      <w:r>
        <w:rPr>
          <w:szCs w:val="19"/>
        </w:rPr>
        <w:t>/branżowe – 25,8%</w:t>
      </w:r>
      <w:r w:rsidRPr="0093291A">
        <w:rPr>
          <w:szCs w:val="19"/>
        </w:rPr>
        <w:t xml:space="preserve">. </w:t>
      </w:r>
    </w:p>
    <w:p w14:paraId="4C84FF3B" w14:textId="7CCA266B" w:rsidR="007735E9" w:rsidRPr="0093291A" w:rsidRDefault="007735E9" w:rsidP="007735E9">
      <w:pPr>
        <w:spacing w:before="0" w:line="288" w:lineRule="auto"/>
        <w:rPr>
          <w:szCs w:val="19"/>
        </w:rPr>
      </w:pPr>
      <w:r w:rsidRPr="00255E96">
        <w:rPr>
          <w:szCs w:val="19"/>
        </w:rPr>
        <w:t xml:space="preserve">Spośród 71 tys. osób, które przerwały naukę na etapie studiów magisterskich (jednolitych lub II stopnia), </w:t>
      </w:r>
      <w:r w:rsidRPr="009C5A62">
        <w:rPr>
          <w:szCs w:val="19"/>
        </w:rPr>
        <w:t>42,3% (30 tys</w:t>
      </w:r>
      <w:r>
        <w:rPr>
          <w:szCs w:val="19"/>
        </w:rPr>
        <w:t>.</w:t>
      </w:r>
      <w:r w:rsidRPr="009C5A62">
        <w:rPr>
          <w:szCs w:val="19"/>
        </w:rPr>
        <w:t>)</w:t>
      </w:r>
      <w:r w:rsidRPr="00255E96">
        <w:rPr>
          <w:szCs w:val="19"/>
        </w:rPr>
        <w:t xml:space="preserve"> ukończyło studia magisterskie (na innym kierunku), a </w:t>
      </w:r>
      <w:r w:rsidRPr="009C5A62">
        <w:rPr>
          <w:szCs w:val="19"/>
        </w:rPr>
        <w:t>28,2% (20</w:t>
      </w:r>
      <w:r>
        <w:rPr>
          <w:szCs w:val="19"/>
        </w:rPr>
        <w:t> </w:t>
      </w:r>
      <w:r w:rsidRPr="009C5A62">
        <w:rPr>
          <w:szCs w:val="19"/>
        </w:rPr>
        <w:t>tys.</w:t>
      </w:r>
      <w:r w:rsidRPr="00255E96">
        <w:rPr>
          <w:szCs w:val="19"/>
        </w:rPr>
        <w:t>) ukończyło lub pozostało przy ukończonych studiach licencjackich lub inżynierskich (I</w:t>
      </w:r>
      <w:r>
        <w:rPr>
          <w:szCs w:val="19"/>
        </w:rPr>
        <w:t> </w:t>
      </w:r>
      <w:r w:rsidRPr="00255E96">
        <w:rPr>
          <w:szCs w:val="19"/>
        </w:rPr>
        <w:t>stopnia). Pozostali mieli w momencie badania  wykształcenie średnie (ogólnokształcące, policealne lub średnie zawodowe).</w:t>
      </w:r>
    </w:p>
    <w:p w14:paraId="25405F97" w14:textId="77777777" w:rsidR="000D0CDD" w:rsidRPr="0093291A" w:rsidRDefault="00F7200D" w:rsidP="000D0CDD">
      <w:pPr>
        <w:spacing w:before="0" w:line="288" w:lineRule="auto"/>
        <w:rPr>
          <w:szCs w:val="19"/>
        </w:rPr>
      </w:pPr>
      <w:r w:rsidRPr="003F1EC1">
        <w:rPr>
          <w:szCs w:val="19"/>
        </w:rPr>
        <w:t xml:space="preserve">Dość duża </w:t>
      </w:r>
      <w:r w:rsidR="000D0CDD" w:rsidRPr="0093291A">
        <w:rPr>
          <w:szCs w:val="19"/>
        </w:rPr>
        <w:t xml:space="preserve">liczba osób (94 tys., tj. 16,0%) przerwała </w:t>
      </w:r>
      <w:r w:rsidR="000D0CDD">
        <w:rPr>
          <w:szCs w:val="19"/>
        </w:rPr>
        <w:t xml:space="preserve">naukę w </w:t>
      </w:r>
      <w:r w:rsidR="000D0CDD" w:rsidRPr="0093291A">
        <w:rPr>
          <w:szCs w:val="19"/>
        </w:rPr>
        <w:t>szko</w:t>
      </w:r>
      <w:r w:rsidR="000D0CDD">
        <w:rPr>
          <w:szCs w:val="19"/>
        </w:rPr>
        <w:t>le</w:t>
      </w:r>
      <w:r w:rsidR="000D0CDD" w:rsidRPr="0093291A">
        <w:rPr>
          <w:szCs w:val="19"/>
        </w:rPr>
        <w:t xml:space="preserve"> zasadnicz</w:t>
      </w:r>
      <w:r w:rsidR="000D0CDD">
        <w:rPr>
          <w:szCs w:val="19"/>
        </w:rPr>
        <w:t>ej</w:t>
      </w:r>
      <w:r w:rsidR="000D0CDD" w:rsidRPr="0093291A">
        <w:rPr>
          <w:szCs w:val="19"/>
        </w:rPr>
        <w:t xml:space="preserve"> zawodow</w:t>
      </w:r>
      <w:r w:rsidR="000D0CDD">
        <w:rPr>
          <w:szCs w:val="19"/>
        </w:rPr>
        <w:t>ej</w:t>
      </w:r>
      <w:r w:rsidR="000D0CDD" w:rsidRPr="0093291A">
        <w:rPr>
          <w:szCs w:val="19"/>
        </w:rPr>
        <w:t xml:space="preserve"> lub szko</w:t>
      </w:r>
      <w:r w:rsidR="000D0CDD">
        <w:rPr>
          <w:szCs w:val="19"/>
        </w:rPr>
        <w:t>le</w:t>
      </w:r>
      <w:r w:rsidR="000D0CDD" w:rsidRPr="0093291A">
        <w:rPr>
          <w:szCs w:val="19"/>
        </w:rPr>
        <w:t xml:space="preserve"> branżow</w:t>
      </w:r>
      <w:r w:rsidR="000D0CDD">
        <w:rPr>
          <w:szCs w:val="19"/>
        </w:rPr>
        <w:t>ej</w:t>
      </w:r>
      <w:r w:rsidR="000D0CDD" w:rsidRPr="0093291A">
        <w:rPr>
          <w:szCs w:val="19"/>
        </w:rPr>
        <w:t xml:space="preserve"> I stopnia, natomiast </w:t>
      </w:r>
      <w:r w:rsidR="005E2B56">
        <w:rPr>
          <w:szCs w:val="19"/>
        </w:rPr>
        <w:t xml:space="preserve">edukację na poziomie </w:t>
      </w:r>
      <w:r w:rsidR="000D0CDD" w:rsidRPr="0093291A">
        <w:rPr>
          <w:szCs w:val="19"/>
        </w:rPr>
        <w:t>liceum zawodowe</w:t>
      </w:r>
      <w:r w:rsidR="005E2B56">
        <w:rPr>
          <w:szCs w:val="19"/>
        </w:rPr>
        <w:t>go</w:t>
      </w:r>
      <w:r w:rsidR="000D0CDD" w:rsidRPr="0093291A">
        <w:rPr>
          <w:szCs w:val="19"/>
        </w:rPr>
        <w:t>, technikum lub szkoł</w:t>
      </w:r>
      <w:r w:rsidR="005E2B56">
        <w:rPr>
          <w:szCs w:val="19"/>
        </w:rPr>
        <w:t>y</w:t>
      </w:r>
      <w:r w:rsidR="000D0CDD" w:rsidRPr="0093291A">
        <w:rPr>
          <w:szCs w:val="19"/>
        </w:rPr>
        <w:t xml:space="preserve"> branżow</w:t>
      </w:r>
      <w:r w:rsidR="005E2B56">
        <w:rPr>
          <w:szCs w:val="19"/>
        </w:rPr>
        <w:t>ej</w:t>
      </w:r>
      <w:r w:rsidR="000D0CDD" w:rsidRPr="0093291A">
        <w:rPr>
          <w:szCs w:val="19"/>
        </w:rPr>
        <w:t xml:space="preserve"> II stopnia porzuciło 70</w:t>
      </w:r>
      <w:r w:rsidR="000D0CDD">
        <w:rPr>
          <w:szCs w:val="19"/>
        </w:rPr>
        <w:t> </w:t>
      </w:r>
      <w:r w:rsidR="000D0CDD" w:rsidRPr="0093291A">
        <w:rPr>
          <w:szCs w:val="19"/>
        </w:rPr>
        <w:t xml:space="preserve">tys. osób (tj. 11,9%). Inne poziomy </w:t>
      </w:r>
      <w:r w:rsidR="000D0CDD">
        <w:rPr>
          <w:szCs w:val="19"/>
        </w:rPr>
        <w:t xml:space="preserve">edukacji </w:t>
      </w:r>
      <w:r w:rsidR="000D0CDD" w:rsidRPr="0093291A">
        <w:rPr>
          <w:szCs w:val="19"/>
        </w:rPr>
        <w:t>były porzucane rzadziej</w:t>
      </w:r>
      <w:r w:rsidR="000D0CDD" w:rsidRPr="0093291A">
        <w:rPr>
          <w:szCs w:val="19"/>
          <w:vertAlign w:val="superscript"/>
        </w:rPr>
        <w:footnoteReference w:id="7"/>
      </w:r>
      <w:r w:rsidR="000D0CDD" w:rsidRPr="0093291A">
        <w:rPr>
          <w:szCs w:val="19"/>
        </w:rPr>
        <w:t>.</w:t>
      </w:r>
    </w:p>
    <w:p w14:paraId="319FDF93" w14:textId="01F0DCE2" w:rsidR="000D0CDD" w:rsidRPr="0093291A" w:rsidRDefault="000D0CDD" w:rsidP="000D0CDD">
      <w:pPr>
        <w:spacing w:before="0" w:line="288" w:lineRule="auto"/>
        <w:rPr>
          <w:szCs w:val="19"/>
        </w:rPr>
      </w:pPr>
      <w:r w:rsidRPr="0093291A">
        <w:rPr>
          <w:szCs w:val="19"/>
        </w:rPr>
        <w:t>W przypadku osób, które porzuciły szkołę zasadniczą zawodową lub szkołę branżową I</w:t>
      </w:r>
      <w:r w:rsidR="00FA28F1">
        <w:rPr>
          <w:szCs w:val="19"/>
        </w:rPr>
        <w:t> </w:t>
      </w:r>
      <w:r w:rsidRPr="0093291A">
        <w:rPr>
          <w:szCs w:val="19"/>
        </w:rPr>
        <w:t>stopnia (94 tys.)</w:t>
      </w:r>
      <w:r w:rsidR="000D48D8">
        <w:rPr>
          <w:szCs w:val="19"/>
        </w:rPr>
        <w:t>,</w:t>
      </w:r>
      <w:r w:rsidRPr="0093291A">
        <w:rPr>
          <w:szCs w:val="19"/>
        </w:rPr>
        <w:t xml:space="preserve"> 87,2% </w:t>
      </w:r>
      <w:r w:rsidR="00DD0130">
        <w:rPr>
          <w:szCs w:val="19"/>
        </w:rPr>
        <w:t>w momencie badania</w:t>
      </w:r>
      <w:r w:rsidR="00DD0130" w:rsidRPr="0093291A">
        <w:rPr>
          <w:szCs w:val="19"/>
        </w:rPr>
        <w:t xml:space="preserve"> </w:t>
      </w:r>
      <w:r w:rsidRPr="0093291A">
        <w:rPr>
          <w:szCs w:val="19"/>
        </w:rPr>
        <w:t>m</w:t>
      </w:r>
      <w:r w:rsidR="00DD0130">
        <w:rPr>
          <w:szCs w:val="19"/>
        </w:rPr>
        <w:t>iało</w:t>
      </w:r>
      <w:r w:rsidRPr="0093291A">
        <w:rPr>
          <w:szCs w:val="19"/>
        </w:rPr>
        <w:t xml:space="preserve"> wykształcenie podstawowe lub gimnazjalne, pozostali ukończyli szkołę zasadniczą/branżową I</w:t>
      </w:r>
      <w:r>
        <w:rPr>
          <w:szCs w:val="19"/>
        </w:rPr>
        <w:t> </w:t>
      </w:r>
      <w:r w:rsidRPr="0093291A">
        <w:rPr>
          <w:szCs w:val="19"/>
        </w:rPr>
        <w:t>stopnia (o innym profilu) lub zdobyli wykształcenie średnie.</w:t>
      </w:r>
      <w:r w:rsidR="005819B4">
        <w:rPr>
          <w:szCs w:val="19"/>
        </w:rPr>
        <w:t xml:space="preserve"> </w:t>
      </w:r>
    </w:p>
    <w:p w14:paraId="5D50DB53" w14:textId="77777777" w:rsidR="000D0CDD" w:rsidRPr="0093291A" w:rsidRDefault="000D0CDD" w:rsidP="000D0CDD">
      <w:pPr>
        <w:spacing w:before="0" w:line="288" w:lineRule="auto"/>
        <w:rPr>
          <w:szCs w:val="19"/>
        </w:rPr>
      </w:pPr>
      <w:r w:rsidRPr="0093291A">
        <w:rPr>
          <w:szCs w:val="19"/>
        </w:rPr>
        <w:t xml:space="preserve">W przypadku </w:t>
      </w:r>
      <w:r w:rsidR="006802A7" w:rsidRPr="0093291A">
        <w:rPr>
          <w:szCs w:val="19"/>
        </w:rPr>
        <w:t xml:space="preserve">70 tys. </w:t>
      </w:r>
      <w:r w:rsidRPr="0093291A">
        <w:rPr>
          <w:szCs w:val="19"/>
        </w:rPr>
        <w:t>osób, które porzuciły liceum zawodowe, technikum lub szkołę branżow</w:t>
      </w:r>
      <w:r>
        <w:rPr>
          <w:szCs w:val="19"/>
        </w:rPr>
        <w:t>ą</w:t>
      </w:r>
      <w:r w:rsidRPr="0093291A">
        <w:rPr>
          <w:szCs w:val="19"/>
        </w:rPr>
        <w:t xml:space="preserve"> II</w:t>
      </w:r>
      <w:r w:rsidR="006802A7">
        <w:rPr>
          <w:szCs w:val="19"/>
        </w:rPr>
        <w:t> </w:t>
      </w:r>
      <w:r w:rsidRPr="0093291A">
        <w:rPr>
          <w:szCs w:val="19"/>
        </w:rPr>
        <w:t>stopnia</w:t>
      </w:r>
      <w:r w:rsidR="00F75BCC">
        <w:rPr>
          <w:szCs w:val="19"/>
        </w:rPr>
        <w:t>,</w:t>
      </w:r>
      <w:r w:rsidRPr="0093291A">
        <w:rPr>
          <w:szCs w:val="19"/>
        </w:rPr>
        <w:t xml:space="preserve"> 77,1% m</w:t>
      </w:r>
      <w:r w:rsidR="006802A7">
        <w:rPr>
          <w:szCs w:val="19"/>
        </w:rPr>
        <w:t xml:space="preserve">iało w momencie badania </w:t>
      </w:r>
      <w:r w:rsidRPr="0093291A">
        <w:rPr>
          <w:szCs w:val="19"/>
        </w:rPr>
        <w:t xml:space="preserve">wykształcenie podstawowe, gimnazjalne lub </w:t>
      </w:r>
      <w:r w:rsidRPr="0093291A">
        <w:rPr>
          <w:szCs w:val="19"/>
        </w:rPr>
        <w:lastRenderedPageBreak/>
        <w:t>zasadnicze zawodowe/branżowe I stopnia – zatem nie kontynuowały nauki</w:t>
      </w:r>
      <w:r>
        <w:rPr>
          <w:szCs w:val="19"/>
        </w:rPr>
        <w:t xml:space="preserve"> lub </w:t>
      </w:r>
      <w:r w:rsidR="000D0FDD">
        <w:rPr>
          <w:szCs w:val="19"/>
        </w:rPr>
        <w:t xml:space="preserve">do momentu badania </w:t>
      </w:r>
      <w:r>
        <w:rPr>
          <w:szCs w:val="19"/>
        </w:rPr>
        <w:t>jej nie ukończyły</w:t>
      </w:r>
      <w:r w:rsidRPr="0093291A">
        <w:rPr>
          <w:szCs w:val="19"/>
        </w:rPr>
        <w:t>, reszta natomiast osiągnęła średnie lub wyższe wykształcenie.</w:t>
      </w:r>
    </w:p>
    <w:p w14:paraId="01FADF97" w14:textId="22B75530" w:rsidR="000D0CDD" w:rsidRPr="0093291A" w:rsidRDefault="000D0CDD" w:rsidP="000D0CDD">
      <w:pPr>
        <w:spacing w:before="0" w:after="0" w:line="288" w:lineRule="auto"/>
        <w:rPr>
          <w:szCs w:val="19"/>
        </w:rPr>
      </w:pPr>
      <w:r w:rsidRPr="0093291A">
        <w:rPr>
          <w:szCs w:val="19"/>
        </w:rPr>
        <w:t>W grupie osób w wieku 25-34 lata częściej odnotowywano przerwania formalnego programu edukacji niż w grupie 15-24 lata. Ścieżka edukacji tych osób była dłuższa niż np. osób w wieku 15-19 lat, stąd częściej mogły zdarzyć się decyzje o zmianie rodzaju szkoły lub kierunków studiów, a także porzucenie ich z</w:t>
      </w:r>
      <w:r>
        <w:rPr>
          <w:szCs w:val="19"/>
        </w:rPr>
        <w:t> </w:t>
      </w:r>
      <w:r w:rsidRPr="0093291A">
        <w:rPr>
          <w:szCs w:val="19"/>
        </w:rPr>
        <w:t>różnych powodów. Wzrost zmian takich decyzji zaobserwowano już w grupie osób 20-24 lata.</w:t>
      </w:r>
    </w:p>
    <w:p w14:paraId="59B2D8AF" w14:textId="77777777" w:rsidR="000D0CDD" w:rsidRPr="0093291A" w:rsidRDefault="00280815" w:rsidP="0045260C">
      <w:pPr>
        <w:spacing w:before="240"/>
        <w:ind w:left="992" w:hanging="992"/>
        <w:rPr>
          <w:b/>
          <w:szCs w:val="19"/>
        </w:rPr>
      </w:pPr>
      <w:r>
        <w:rPr>
          <w:rFonts w:eastAsia="Times New Roman" w:cs="Times New Roman"/>
          <w:noProof/>
          <w:szCs w:val="19"/>
          <w:lang w:eastAsia="pl-PL"/>
        </w:rPr>
        <w:drawing>
          <wp:anchor distT="0" distB="0" distL="114300" distR="114300" simplePos="0" relativeHeight="252049408" behindDoc="0" locked="0" layoutInCell="1" allowOverlap="1" wp14:anchorId="187207B3" wp14:editId="208FE05C">
            <wp:simplePos x="0" y="0"/>
            <wp:positionH relativeFrom="margin">
              <wp:align>center</wp:align>
            </wp:positionH>
            <wp:positionV relativeFrom="paragraph">
              <wp:posOffset>529948</wp:posOffset>
            </wp:positionV>
            <wp:extent cx="2844140" cy="1864104"/>
            <wp:effectExtent l="0" t="0" r="0" b="3175"/>
            <wp:wrapSquare wrapText="bothSides"/>
            <wp:docPr id="4" name="Obraz 4" descr="Wykres przedstawia osoby w wieku 15-34 lata przerywające formalny program edukacyjny według grup wieku w 2024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5187" r="11272" b="4312"/>
                    <a:stretch/>
                  </pic:blipFill>
                  <pic:spPr bwMode="auto">
                    <a:xfrm>
                      <a:off x="0" y="0"/>
                      <a:ext cx="2844140" cy="1864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CDD" w:rsidRPr="0093291A">
        <w:rPr>
          <w:b/>
          <w:szCs w:val="19"/>
        </w:rPr>
        <w:t xml:space="preserve">Wykres </w:t>
      </w:r>
      <w:r w:rsidR="000D0CDD">
        <w:rPr>
          <w:b/>
          <w:szCs w:val="19"/>
        </w:rPr>
        <w:t>1</w:t>
      </w:r>
      <w:r w:rsidR="000D0CDD" w:rsidRPr="0093291A">
        <w:rPr>
          <w:b/>
          <w:szCs w:val="19"/>
        </w:rPr>
        <w:t xml:space="preserve">. </w:t>
      </w:r>
      <w:r w:rsidR="001446BB">
        <w:rPr>
          <w:b/>
          <w:szCs w:val="19"/>
        </w:rPr>
        <w:tab/>
      </w:r>
      <w:r w:rsidR="000D0CDD" w:rsidRPr="0093291A">
        <w:rPr>
          <w:b/>
          <w:szCs w:val="19"/>
        </w:rPr>
        <w:t>Osoby w wieku 15-34 lata przerywające formalny program edukacyjny według grup wieku w 2024 r.</w:t>
      </w:r>
    </w:p>
    <w:p w14:paraId="3D2F9168" w14:textId="77777777" w:rsidR="00CD3E84" w:rsidRDefault="00CD3E84" w:rsidP="00E23488">
      <w:pPr>
        <w:spacing w:line="288" w:lineRule="auto"/>
        <w:rPr>
          <w:rFonts w:eastAsia="Times New Roman" w:cs="Times New Roman"/>
          <w:szCs w:val="19"/>
          <w:lang w:eastAsia="pl-PL"/>
        </w:rPr>
      </w:pPr>
    </w:p>
    <w:p w14:paraId="64EA28D5" w14:textId="77777777" w:rsidR="00AF4633" w:rsidRDefault="00AF4633" w:rsidP="00E23488">
      <w:pPr>
        <w:spacing w:line="288" w:lineRule="auto"/>
        <w:rPr>
          <w:rFonts w:eastAsia="Times New Roman" w:cs="Times New Roman"/>
          <w:szCs w:val="19"/>
          <w:lang w:eastAsia="pl-PL"/>
        </w:rPr>
      </w:pPr>
    </w:p>
    <w:p w14:paraId="062D5C5B" w14:textId="77777777" w:rsidR="00AF4633" w:rsidRDefault="00AF4633" w:rsidP="00E23488">
      <w:pPr>
        <w:spacing w:line="288" w:lineRule="auto"/>
        <w:rPr>
          <w:rFonts w:eastAsia="Times New Roman" w:cs="Times New Roman"/>
          <w:szCs w:val="19"/>
          <w:lang w:eastAsia="pl-PL"/>
        </w:rPr>
      </w:pPr>
    </w:p>
    <w:p w14:paraId="153CD4E5" w14:textId="77777777" w:rsidR="000D0CDD" w:rsidRDefault="000D0CDD" w:rsidP="00E23488">
      <w:pPr>
        <w:spacing w:line="288" w:lineRule="auto"/>
        <w:rPr>
          <w:rFonts w:eastAsia="Times New Roman" w:cs="Times New Roman"/>
          <w:szCs w:val="19"/>
          <w:lang w:eastAsia="pl-PL"/>
        </w:rPr>
      </w:pPr>
    </w:p>
    <w:p w14:paraId="59C013C1" w14:textId="77777777" w:rsidR="00022F84" w:rsidRDefault="00022F84" w:rsidP="000D0CDD">
      <w:pPr>
        <w:spacing w:line="288" w:lineRule="auto"/>
        <w:rPr>
          <w:szCs w:val="19"/>
        </w:rPr>
      </w:pPr>
      <w:bookmarkStart w:id="10" w:name="_Hlk205540661"/>
    </w:p>
    <w:p w14:paraId="38C2C6A7" w14:textId="77777777" w:rsidR="00022F84" w:rsidRDefault="00022F84" w:rsidP="000D0CDD">
      <w:pPr>
        <w:spacing w:line="288" w:lineRule="auto"/>
        <w:rPr>
          <w:szCs w:val="19"/>
        </w:rPr>
      </w:pPr>
    </w:p>
    <w:p w14:paraId="234BD1F5" w14:textId="77777777" w:rsidR="00022F84" w:rsidRDefault="00022F84" w:rsidP="000D0CDD">
      <w:pPr>
        <w:spacing w:line="288" w:lineRule="auto"/>
        <w:rPr>
          <w:szCs w:val="19"/>
        </w:rPr>
      </w:pPr>
    </w:p>
    <w:p w14:paraId="2EC25CF3" w14:textId="77777777" w:rsidR="00022F84" w:rsidRDefault="00022F84" w:rsidP="000D0CDD">
      <w:pPr>
        <w:spacing w:line="288" w:lineRule="auto"/>
        <w:rPr>
          <w:szCs w:val="19"/>
        </w:rPr>
      </w:pPr>
    </w:p>
    <w:p w14:paraId="7174B1E9" w14:textId="6E4BD845" w:rsidR="000D0CDD" w:rsidRPr="0093291A" w:rsidRDefault="007735E9" w:rsidP="000D0CDD">
      <w:pPr>
        <w:spacing w:line="288" w:lineRule="auto"/>
        <w:rPr>
          <w:szCs w:val="19"/>
        </w:rPr>
      </w:pPr>
      <w:r w:rsidRPr="00785051">
        <w:rPr>
          <w:noProof/>
          <w:szCs w:val="19"/>
          <w:lang w:eastAsia="pl-PL"/>
        </w:rPr>
        <mc:AlternateContent>
          <mc:Choice Requires="wps">
            <w:drawing>
              <wp:anchor distT="0" distB="0" distL="114300" distR="114300" simplePos="0" relativeHeight="252009472" behindDoc="0" locked="0" layoutInCell="1" allowOverlap="1" wp14:anchorId="72205BDE" wp14:editId="5C6FF59F">
                <wp:simplePos x="0" y="0"/>
                <wp:positionH relativeFrom="column">
                  <wp:posOffset>5363155</wp:posOffset>
                </wp:positionH>
                <wp:positionV relativeFrom="paragraph">
                  <wp:posOffset>5190</wp:posOffset>
                </wp:positionV>
                <wp:extent cx="1623060" cy="1614115"/>
                <wp:effectExtent l="0" t="0" r="0" b="5715"/>
                <wp:wrapNone/>
                <wp:docPr id="2107687552" name="Pole tekstowe 2107687552" descr="Najczęstszą przyczyną przerywania/porzucania formalnego programu edukacyjnego był sam program. Z tego powodu przerwało edukację 27,5% wszystkich osób porzucających dany program edukacji"/>
                <wp:cNvGraphicFramePr/>
                <a:graphic xmlns:a="http://schemas.openxmlformats.org/drawingml/2006/main">
                  <a:graphicData uri="http://schemas.microsoft.com/office/word/2010/wordprocessingShape">
                    <wps:wsp>
                      <wps:cNvSpPr txBox="1"/>
                      <wps:spPr>
                        <a:xfrm>
                          <a:off x="0" y="0"/>
                          <a:ext cx="1623060" cy="1614115"/>
                        </a:xfrm>
                        <a:prstGeom prst="rect">
                          <a:avLst/>
                        </a:prstGeom>
                        <a:noFill/>
                        <a:ln w="6350">
                          <a:noFill/>
                        </a:ln>
                      </wps:spPr>
                      <wps:txbx>
                        <w:txbxContent>
                          <w:p w14:paraId="360DA6B8" w14:textId="0BC1BE79" w:rsidR="00352C44" w:rsidRPr="00A704C1" w:rsidRDefault="00352C44" w:rsidP="00A704C1">
                            <w:pPr>
                              <w:spacing w:after="0"/>
                              <w:rPr>
                                <w:sz w:val="18"/>
                                <w:szCs w:val="18"/>
                              </w:rPr>
                            </w:pPr>
                            <w:r w:rsidRPr="00DA008C">
                              <w:rPr>
                                <w:color w:val="001D77"/>
                                <w:sz w:val="18"/>
                                <w:szCs w:val="18"/>
                              </w:rPr>
                              <w:t>Najczęstszą przyczyną przerywania/porzucania formalnego programu edukacyjnego był sam program.</w:t>
                            </w:r>
                            <w:r>
                              <w:rPr>
                                <w:color w:val="001D77"/>
                                <w:sz w:val="18"/>
                                <w:szCs w:val="18"/>
                              </w:rPr>
                              <w:t xml:space="preserve"> </w:t>
                            </w:r>
                            <w:r w:rsidRPr="00DA008C">
                              <w:rPr>
                                <w:color w:val="001D77"/>
                                <w:sz w:val="18"/>
                                <w:szCs w:val="18"/>
                              </w:rPr>
                              <w:t>Z tego powodu przerwało edukację 27,5% wszystkich osób porzucających dany program edukacji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05BDE" id="Pole tekstowe 2107687552" o:spid="_x0000_s1035" type="#_x0000_t202" alt="Najczęstszą przyczyną przerywania/porzucania formalnego programu edukacyjnego był sam program. Z tego powodu przerwało edukację 27,5% wszystkich osób porzucających dany program edukacji" style="position:absolute;margin-left:422.3pt;margin-top:.4pt;width:127.8pt;height:127.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" filled="f" stroked="f" strokeweight=".5pt">
                <v:textbox>
                  <w:txbxContent>
                    <w:p w14:paraId="360DA6B8" w14:textId="0BC1BE79" w:rsidR="00352C44" w:rsidRPr="00A704C1" w:rsidRDefault="00352C44" w:rsidP="00A704C1">
                      <w:pPr>
                        <w:spacing w:after="0"/>
                        <w:rPr>
                          <w:sz w:val="18"/>
                          <w:szCs w:val="18"/>
                        </w:rPr>
                      </w:pPr>
                      <w:r w:rsidRPr="00DA008C">
                        <w:rPr>
                          <w:color w:val="001D77"/>
                          <w:sz w:val="18"/>
                          <w:szCs w:val="18"/>
                        </w:rPr>
                        <w:t>Najczęstszą przyczyną przerywania/porzucania formalnego programu edukacyjnego był sam program.</w:t>
                      </w:r>
                      <w:r>
                        <w:rPr>
                          <w:color w:val="001D77"/>
                          <w:sz w:val="18"/>
                          <w:szCs w:val="18"/>
                        </w:rPr>
                        <w:t xml:space="preserve"> </w:t>
                      </w:r>
                      <w:r w:rsidRPr="00DA008C">
                        <w:rPr>
                          <w:color w:val="001D77"/>
                          <w:sz w:val="18"/>
                          <w:szCs w:val="18"/>
                        </w:rPr>
                        <w:t>Z tego powodu przerwało edukację 27,5% wszystkich osób porzucających dany program edukacji</w:t>
                      </w:r>
                    </w:p>
                  </w:txbxContent>
                </v:textbox>
              </v:shape>
            </w:pict>
          </mc:Fallback>
        </mc:AlternateContent>
      </w:r>
      <w:r w:rsidR="000D0CDD" w:rsidRPr="0093291A">
        <w:rPr>
          <w:szCs w:val="19"/>
        </w:rPr>
        <w:t xml:space="preserve">Najczęstszą przyczyną przerywania/porzucania programu edukacyjnego był </w:t>
      </w:r>
      <w:r w:rsidR="000D0CDD" w:rsidRPr="0093291A">
        <w:rPr>
          <w:b/>
          <w:szCs w:val="19"/>
        </w:rPr>
        <w:t>sam program edukacyjny</w:t>
      </w:r>
      <w:bookmarkEnd w:id="10"/>
      <w:r w:rsidR="000D0CDD" w:rsidRPr="0093291A">
        <w:rPr>
          <w:szCs w:val="19"/>
        </w:rPr>
        <w:t>, który z różnych względów nie odpowiadał respondentowi.</w:t>
      </w:r>
      <w:r w:rsidR="000D0CDD" w:rsidRPr="0093291A">
        <w:rPr>
          <w:rFonts w:eastAsia="Calibri" w:cs="Arial"/>
          <w:szCs w:val="19"/>
        </w:rPr>
        <w:t xml:space="preserve"> Mogło się zdarzyć, że</w:t>
      </w:r>
      <w:r w:rsidR="000D0CDD" w:rsidRPr="0093291A">
        <w:rPr>
          <w:szCs w:val="19"/>
        </w:rPr>
        <w:t xml:space="preserve"> studia nie odpowiadały zainteresowaniom respondenta lub respondent uznał, że jakość kształcenia była zbyt niska lub że studia nie przynosiły oczekiwanych rezultatów (pod względem treści edukacyjnych lub oczekiwań dotyczących perspektyw na rynku pracy). Tę przyczy</w:t>
      </w:r>
      <w:r w:rsidR="00C81DF2">
        <w:rPr>
          <w:szCs w:val="19"/>
        </w:rPr>
        <w:softHyphen/>
      </w:r>
      <w:r w:rsidR="000D0CDD" w:rsidRPr="0093291A">
        <w:rPr>
          <w:szCs w:val="19"/>
        </w:rPr>
        <w:t>nę wskazywały również osoby, które uważały studia za zbyt trudne. Wliczały się tu także niezaliczone egzaminy. Do tej kategorii klasyfikowały się także osoby, które zdecydowały, że inny kierunek będzie dla nich bardziej odpowiedni i w kolejnym roku go zmieniły. Taką przy</w:t>
      </w:r>
      <w:r w:rsidR="00C81DF2">
        <w:rPr>
          <w:szCs w:val="19"/>
        </w:rPr>
        <w:softHyphen/>
      </w:r>
      <w:r w:rsidR="000D0CDD" w:rsidRPr="0093291A">
        <w:rPr>
          <w:szCs w:val="19"/>
        </w:rPr>
        <w:t>czynę (sam program edukacyjny) wskazało 161 tys. osób, tj. 27,5% wszystkich</w:t>
      </w:r>
      <w:r w:rsidR="00F52681">
        <w:rPr>
          <w:szCs w:val="19"/>
        </w:rPr>
        <w:t xml:space="preserve"> osób</w:t>
      </w:r>
      <w:r w:rsidR="000D0CDD" w:rsidRPr="0093291A">
        <w:rPr>
          <w:szCs w:val="19"/>
        </w:rPr>
        <w:t xml:space="preserve"> (586 tys.) porzucających dany program.</w:t>
      </w:r>
    </w:p>
    <w:p w14:paraId="24DA3D78" w14:textId="3DD2ADA2" w:rsidR="000D0CDD" w:rsidRPr="0093291A" w:rsidRDefault="000D0CDD" w:rsidP="000D0CDD">
      <w:pPr>
        <w:spacing w:line="288" w:lineRule="auto"/>
        <w:rPr>
          <w:szCs w:val="19"/>
        </w:rPr>
      </w:pPr>
      <w:r w:rsidRPr="0093291A">
        <w:rPr>
          <w:szCs w:val="19"/>
        </w:rPr>
        <w:t xml:space="preserve">Kolejną stosunkowo często wskazywaną przyczyną były szeroko rozumiane </w:t>
      </w:r>
      <w:r w:rsidRPr="0093291A">
        <w:rPr>
          <w:b/>
          <w:szCs w:val="19"/>
        </w:rPr>
        <w:t>powody osobiste</w:t>
      </w:r>
      <w:r w:rsidRPr="0093291A">
        <w:rPr>
          <w:szCs w:val="19"/>
        </w:rPr>
        <w:t xml:space="preserve">. Wskazało ją 125 tys. osób, tj. 21,3% porzucających naukę. </w:t>
      </w:r>
      <w:r>
        <w:rPr>
          <w:szCs w:val="19"/>
        </w:rPr>
        <w:t>Zaliczono</w:t>
      </w:r>
      <w:r w:rsidRPr="0093291A">
        <w:rPr>
          <w:szCs w:val="19"/>
        </w:rPr>
        <w:t xml:space="preserve"> tu sytuacje, w których respondent zrezygnował np. z danego programu edukacyjnego z powodu konfliktu z</w:t>
      </w:r>
      <w:r w:rsidR="006C12FA">
        <w:rPr>
          <w:szCs w:val="19"/>
        </w:rPr>
        <w:t> </w:t>
      </w:r>
      <w:r w:rsidRPr="0093291A">
        <w:rPr>
          <w:szCs w:val="19"/>
        </w:rPr>
        <w:t xml:space="preserve">nauczycielami lub z innymi uczniami/studentami. Do tej kategorii </w:t>
      </w:r>
      <w:r w:rsidR="00962444">
        <w:rPr>
          <w:szCs w:val="19"/>
        </w:rPr>
        <w:t xml:space="preserve">włączono </w:t>
      </w:r>
      <w:r w:rsidRPr="0093291A">
        <w:rPr>
          <w:szCs w:val="19"/>
        </w:rPr>
        <w:t>także odpowiedzi takie jak „nie podobało mi się to” czy „brak motywacji”. Kwalifikowano tu również przypadki porzucenia nauki związane ze zmianą miejsca zamieszkania, które nie zostało spowodowane względami rodzinnymi (np. chęć podróżowania, zwiedzania świata, itp.).</w:t>
      </w:r>
    </w:p>
    <w:p w14:paraId="6374E7F4" w14:textId="77777777" w:rsidR="000D0CDD" w:rsidRPr="0093291A" w:rsidRDefault="000D0CDD" w:rsidP="000D0CDD">
      <w:pPr>
        <w:spacing w:line="288" w:lineRule="auto"/>
        <w:rPr>
          <w:rFonts w:eastAsia="Calibri" w:cs="Arial"/>
          <w:szCs w:val="19"/>
        </w:rPr>
      </w:pPr>
      <w:r w:rsidRPr="0093291A">
        <w:rPr>
          <w:szCs w:val="19"/>
        </w:rPr>
        <w:t xml:space="preserve">Część osób (96 tys., tj. 16,4%) przerwała kształcenie, ponieważ </w:t>
      </w:r>
      <w:r w:rsidRPr="0093291A">
        <w:rPr>
          <w:b/>
          <w:szCs w:val="19"/>
        </w:rPr>
        <w:t>preferowała pracę</w:t>
      </w:r>
      <w:r w:rsidRPr="0093291A">
        <w:rPr>
          <w:szCs w:val="19"/>
        </w:rPr>
        <w:t xml:space="preserve">. </w:t>
      </w:r>
      <w:r w:rsidRPr="0093291A">
        <w:rPr>
          <w:rFonts w:eastAsia="Calibri" w:cs="Arial"/>
          <w:szCs w:val="19"/>
        </w:rPr>
        <w:t>Osoby te znalazły/rozpoczęły pracę lub chciały pracować i szukały pracy.</w:t>
      </w:r>
    </w:p>
    <w:p w14:paraId="16F360CC" w14:textId="77777777" w:rsidR="000D0CDD" w:rsidRPr="00BF2B7C" w:rsidRDefault="000D0CDD" w:rsidP="004957D7">
      <w:pPr>
        <w:spacing w:line="288" w:lineRule="auto"/>
        <w:rPr>
          <w:rFonts w:eastAsia="Calibri" w:cs="Arial"/>
          <w:szCs w:val="19"/>
        </w:rPr>
      </w:pPr>
      <w:r w:rsidRPr="0093291A">
        <w:rPr>
          <w:rFonts w:eastAsia="Calibri" w:cs="Arial"/>
          <w:szCs w:val="19"/>
        </w:rPr>
        <w:t xml:space="preserve">Dla 36 tys., </w:t>
      </w:r>
      <w:r w:rsidRPr="00BE406A">
        <w:rPr>
          <w:rFonts w:eastAsia="Calibri" w:cs="Arial"/>
          <w:szCs w:val="19"/>
        </w:rPr>
        <w:t>tj. 6,2% osób</w:t>
      </w:r>
      <w:r w:rsidRPr="0093291A">
        <w:rPr>
          <w:rFonts w:eastAsia="Calibri" w:cs="Arial"/>
          <w:szCs w:val="19"/>
        </w:rPr>
        <w:t xml:space="preserve"> przeszkodą w kontynuowaniu nauki i ukończeniu danego programu okazały się szeroko rozumiane </w:t>
      </w:r>
      <w:r w:rsidRPr="0093291A">
        <w:rPr>
          <w:rFonts w:eastAsia="Calibri" w:cs="Arial"/>
          <w:b/>
          <w:szCs w:val="19"/>
        </w:rPr>
        <w:t>względy finansowe</w:t>
      </w:r>
      <w:r w:rsidRPr="0093291A">
        <w:rPr>
          <w:rFonts w:eastAsia="Calibri" w:cs="Arial"/>
          <w:szCs w:val="19"/>
        </w:rPr>
        <w:t>, tj. opłaty, materiały do nauki i koszty utrzymania. Uwzględniano tu również także ogólny brak środków finansowych.</w:t>
      </w:r>
    </w:p>
    <w:p w14:paraId="11D52DD5" w14:textId="565BFB30" w:rsidR="00766F81" w:rsidRDefault="000D0CDD" w:rsidP="004957D7">
      <w:pPr>
        <w:spacing w:after="240" w:line="288" w:lineRule="auto"/>
        <w:rPr>
          <w:rFonts w:eastAsia="Calibri" w:cs="Arial"/>
          <w:szCs w:val="19"/>
        </w:rPr>
      </w:pPr>
      <w:r w:rsidRPr="00BF2B7C">
        <w:rPr>
          <w:rFonts w:eastAsia="Calibri" w:cs="Arial"/>
          <w:szCs w:val="19"/>
        </w:rPr>
        <w:t xml:space="preserve">Czasem o przerwaniu edukacji decydował </w:t>
      </w:r>
      <w:r w:rsidRPr="00506A30">
        <w:rPr>
          <w:rFonts w:eastAsia="Calibri" w:cs="Arial"/>
          <w:b/>
          <w:szCs w:val="19"/>
        </w:rPr>
        <w:t>stan zdrowia</w:t>
      </w:r>
      <w:r w:rsidRPr="00BF2B7C">
        <w:rPr>
          <w:rFonts w:eastAsia="Calibri" w:cs="Arial"/>
          <w:szCs w:val="19"/>
        </w:rPr>
        <w:t xml:space="preserve"> (fizycznego lub psychicznego) lub </w:t>
      </w:r>
      <w:r w:rsidRPr="00506A30">
        <w:rPr>
          <w:rFonts w:eastAsia="Calibri" w:cs="Arial"/>
          <w:b/>
          <w:szCs w:val="19"/>
        </w:rPr>
        <w:t>konieczność opiek</w:t>
      </w:r>
      <w:r w:rsidR="00670B07">
        <w:rPr>
          <w:rFonts w:eastAsia="Calibri" w:cs="Arial"/>
          <w:b/>
          <w:szCs w:val="19"/>
        </w:rPr>
        <w:t>owania się</w:t>
      </w:r>
      <w:r w:rsidRPr="00506A30">
        <w:rPr>
          <w:rFonts w:eastAsia="Calibri" w:cs="Arial"/>
          <w:b/>
          <w:szCs w:val="19"/>
        </w:rPr>
        <w:t xml:space="preserve"> dziećmi lub innymi członkami rodziny potrzebującymi opieki</w:t>
      </w:r>
      <w:r w:rsidRPr="00BF2B7C">
        <w:rPr>
          <w:rFonts w:eastAsia="Calibri" w:cs="Arial"/>
          <w:szCs w:val="19"/>
        </w:rPr>
        <w:t>.</w:t>
      </w:r>
      <w:r>
        <w:rPr>
          <w:rFonts w:eastAsia="Calibri" w:cs="Arial"/>
          <w:szCs w:val="19"/>
        </w:rPr>
        <w:t xml:space="preserve"> Stan zdrowia wskazało 32 tys., tj. 5,5% osób porzucających dany program edukacyjny, a</w:t>
      </w:r>
      <w:r w:rsidR="006C12FA">
        <w:rPr>
          <w:rFonts w:eastAsia="Calibri" w:cs="Arial"/>
          <w:szCs w:val="19"/>
        </w:rPr>
        <w:t> </w:t>
      </w:r>
      <w:r>
        <w:rPr>
          <w:rFonts w:eastAsia="Calibri" w:cs="Arial"/>
          <w:szCs w:val="19"/>
        </w:rPr>
        <w:t xml:space="preserve">konieczność </w:t>
      </w:r>
      <w:r w:rsidR="00735DC5">
        <w:rPr>
          <w:rFonts w:eastAsia="Calibri" w:cs="Arial"/>
          <w:szCs w:val="19"/>
        </w:rPr>
        <w:t xml:space="preserve">sprawowania </w:t>
      </w:r>
      <w:r>
        <w:rPr>
          <w:rFonts w:eastAsia="Calibri" w:cs="Arial"/>
          <w:szCs w:val="19"/>
        </w:rPr>
        <w:t>opieki – 26 tys., tj. 4,4%.</w:t>
      </w:r>
    </w:p>
    <w:p w14:paraId="1D54DC29" w14:textId="77777777" w:rsidR="00766F81" w:rsidRDefault="00766F81">
      <w:pPr>
        <w:spacing w:before="0" w:after="160" w:line="259" w:lineRule="auto"/>
        <w:rPr>
          <w:rFonts w:eastAsia="Calibri" w:cs="Arial"/>
          <w:szCs w:val="19"/>
        </w:rPr>
      </w:pPr>
      <w:r>
        <w:rPr>
          <w:rFonts w:eastAsia="Calibri" w:cs="Arial"/>
          <w:szCs w:val="19"/>
        </w:rPr>
        <w:br w:type="page"/>
      </w:r>
    </w:p>
    <w:p w14:paraId="3A4BEEF0" w14:textId="04F5B631" w:rsidR="000D0CDD" w:rsidRDefault="000D0CDD" w:rsidP="001446BB">
      <w:pPr>
        <w:spacing w:before="0" w:after="0" w:line="288" w:lineRule="auto"/>
        <w:ind w:left="993" w:hanging="993"/>
        <w:jc w:val="both"/>
        <w:rPr>
          <w:b/>
          <w:szCs w:val="19"/>
        </w:rPr>
      </w:pPr>
      <w:r w:rsidRPr="005F79B7">
        <w:rPr>
          <w:b/>
          <w:szCs w:val="19"/>
        </w:rPr>
        <w:lastRenderedPageBreak/>
        <w:t xml:space="preserve">Wykres </w:t>
      </w:r>
      <w:r>
        <w:rPr>
          <w:b/>
          <w:szCs w:val="19"/>
        </w:rPr>
        <w:t>2</w:t>
      </w:r>
      <w:r w:rsidRPr="005F79B7">
        <w:rPr>
          <w:b/>
          <w:szCs w:val="19"/>
        </w:rPr>
        <w:t>.</w:t>
      </w:r>
      <w:r w:rsidR="001446BB">
        <w:rPr>
          <w:b/>
          <w:szCs w:val="19"/>
        </w:rPr>
        <w:tab/>
      </w:r>
      <w:r w:rsidRPr="00BE406A">
        <w:rPr>
          <w:b/>
          <w:szCs w:val="19"/>
        </w:rPr>
        <w:t>Przyczyny</w:t>
      </w:r>
      <w:r w:rsidRPr="005F79B7">
        <w:rPr>
          <w:b/>
          <w:szCs w:val="19"/>
        </w:rPr>
        <w:t xml:space="preserve"> przerywania formalnego programu edukacyjnego</w:t>
      </w:r>
      <w:r>
        <w:rPr>
          <w:b/>
          <w:szCs w:val="19"/>
        </w:rPr>
        <w:t xml:space="preserve"> przez osoby w wieku 15-34 lata</w:t>
      </w:r>
      <w:r w:rsidRPr="005F79B7">
        <w:rPr>
          <w:b/>
          <w:szCs w:val="19"/>
        </w:rPr>
        <w:t xml:space="preserve"> </w:t>
      </w:r>
    </w:p>
    <w:p w14:paraId="0E1A4DA0" w14:textId="615B19D7" w:rsidR="000D0CDD" w:rsidRDefault="00766F81" w:rsidP="000D0CDD">
      <w:pPr>
        <w:spacing w:before="0" w:line="288" w:lineRule="auto"/>
        <w:jc w:val="center"/>
        <w:rPr>
          <w:b/>
          <w:szCs w:val="19"/>
        </w:rPr>
      </w:pPr>
      <w:r>
        <w:rPr>
          <w:b/>
          <w:noProof/>
          <w:szCs w:val="19"/>
          <w:lang w:eastAsia="pl-PL"/>
        </w:rPr>
        <w:drawing>
          <wp:anchor distT="0" distB="0" distL="114300" distR="114300" simplePos="0" relativeHeight="252064768" behindDoc="0" locked="0" layoutInCell="1" allowOverlap="1" wp14:anchorId="06E9AC71" wp14:editId="39C35283">
            <wp:simplePos x="0" y="0"/>
            <wp:positionH relativeFrom="margin">
              <wp:align>center</wp:align>
            </wp:positionH>
            <wp:positionV relativeFrom="paragraph">
              <wp:posOffset>15240</wp:posOffset>
            </wp:positionV>
            <wp:extent cx="4191000" cy="2881630"/>
            <wp:effectExtent l="0" t="0" r="0" b="0"/>
            <wp:wrapSquare wrapText="bothSides"/>
            <wp:docPr id="19" name="Obraz 19" descr="Wykres przedstawia przyczyny przerywania formalnego programu edukacyjnego przez osoby w wieku 15-34 l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r="8714"/>
                    <a:stretch/>
                  </pic:blipFill>
                  <pic:spPr bwMode="auto">
                    <a:xfrm>
                      <a:off x="0" y="0"/>
                      <a:ext cx="4191000" cy="2881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209DD6" w14:textId="42742400" w:rsidR="000D0CDD" w:rsidRDefault="000D0CDD" w:rsidP="000D0CDD">
      <w:pPr>
        <w:spacing w:before="0" w:line="288" w:lineRule="auto"/>
        <w:jc w:val="center"/>
        <w:rPr>
          <w:b/>
          <w:szCs w:val="19"/>
        </w:rPr>
      </w:pPr>
    </w:p>
    <w:p w14:paraId="5853E2BF" w14:textId="77777777" w:rsidR="00CC5FC6" w:rsidRDefault="00CC5FC6" w:rsidP="000D0CDD">
      <w:pPr>
        <w:spacing w:before="0" w:line="288" w:lineRule="auto"/>
        <w:jc w:val="center"/>
        <w:rPr>
          <w:b/>
          <w:szCs w:val="19"/>
        </w:rPr>
      </w:pPr>
    </w:p>
    <w:p w14:paraId="252EA895" w14:textId="77777777" w:rsidR="00CC5FC6" w:rsidRDefault="00CC5FC6" w:rsidP="000D0CDD">
      <w:pPr>
        <w:spacing w:before="0" w:line="288" w:lineRule="auto"/>
        <w:jc w:val="center"/>
        <w:rPr>
          <w:b/>
          <w:szCs w:val="19"/>
        </w:rPr>
      </w:pPr>
    </w:p>
    <w:p w14:paraId="0A0624E3" w14:textId="77777777" w:rsidR="00CC5FC6" w:rsidRDefault="00CC5FC6" w:rsidP="000D0CDD">
      <w:pPr>
        <w:spacing w:before="0" w:line="288" w:lineRule="auto"/>
        <w:jc w:val="center"/>
        <w:rPr>
          <w:b/>
          <w:szCs w:val="19"/>
        </w:rPr>
      </w:pPr>
    </w:p>
    <w:p w14:paraId="28C1DA41" w14:textId="77777777" w:rsidR="00CC5FC6" w:rsidRDefault="00CC5FC6" w:rsidP="000D0CDD">
      <w:pPr>
        <w:spacing w:before="0" w:line="288" w:lineRule="auto"/>
        <w:jc w:val="center"/>
        <w:rPr>
          <w:b/>
          <w:szCs w:val="19"/>
        </w:rPr>
      </w:pPr>
    </w:p>
    <w:p w14:paraId="2FDEB586" w14:textId="77777777" w:rsidR="00CC5FC6" w:rsidRDefault="00CC5FC6" w:rsidP="000D0CDD">
      <w:pPr>
        <w:spacing w:before="0" w:line="288" w:lineRule="auto"/>
        <w:jc w:val="center"/>
        <w:rPr>
          <w:b/>
          <w:szCs w:val="19"/>
        </w:rPr>
      </w:pPr>
    </w:p>
    <w:p w14:paraId="0DE69B37" w14:textId="77777777" w:rsidR="00CC5FC6" w:rsidRDefault="00CC5FC6" w:rsidP="000D0CDD">
      <w:pPr>
        <w:spacing w:before="0" w:line="288" w:lineRule="auto"/>
        <w:jc w:val="center"/>
        <w:rPr>
          <w:b/>
          <w:szCs w:val="19"/>
        </w:rPr>
      </w:pPr>
    </w:p>
    <w:p w14:paraId="62DD5609" w14:textId="77777777" w:rsidR="00CC5FC6" w:rsidRDefault="00CC5FC6" w:rsidP="000D0CDD">
      <w:pPr>
        <w:spacing w:before="0" w:line="288" w:lineRule="auto"/>
        <w:jc w:val="center"/>
        <w:rPr>
          <w:b/>
          <w:szCs w:val="19"/>
        </w:rPr>
      </w:pPr>
    </w:p>
    <w:p w14:paraId="603A74EE" w14:textId="77777777" w:rsidR="006A34FE" w:rsidRDefault="006A34FE" w:rsidP="006A34FE">
      <w:pPr>
        <w:pStyle w:val="Nagwek1"/>
        <w:spacing w:before="0" w:after="0"/>
        <w:rPr>
          <w:rFonts w:ascii="Fira Sans" w:hAnsi="Fira Sans"/>
          <w:b/>
          <w:szCs w:val="19"/>
        </w:rPr>
      </w:pPr>
    </w:p>
    <w:p w14:paraId="3779B252" w14:textId="77777777" w:rsidR="00766F81" w:rsidRDefault="00766F81" w:rsidP="006A34FE">
      <w:pPr>
        <w:pStyle w:val="Nagwek1"/>
        <w:spacing w:before="0"/>
        <w:rPr>
          <w:rFonts w:ascii="Fira Sans" w:hAnsi="Fira Sans"/>
          <w:b/>
          <w:szCs w:val="19"/>
        </w:rPr>
      </w:pPr>
    </w:p>
    <w:p w14:paraId="64AB9CEF" w14:textId="77777777" w:rsidR="00766F81" w:rsidRDefault="00766F81" w:rsidP="006A34FE">
      <w:pPr>
        <w:pStyle w:val="Nagwek1"/>
        <w:spacing w:before="0"/>
        <w:rPr>
          <w:rFonts w:ascii="Fira Sans" w:hAnsi="Fira Sans"/>
          <w:b/>
          <w:szCs w:val="19"/>
        </w:rPr>
      </w:pPr>
    </w:p>
    <w:p w14:paraId="3DA4AA40" w14:textId="52BAD5DF" w:rsidR="000D0CDD" w:rsidRPr="006120ED" w:rsidRDefault="000D0CDD" w:rsidP="006A34FE">
      <w:pPr>
        <w:pStyle w:val="Nagwek1"/>
        <w:spacing w:before="0"/>
        <w:rPr>
          <w:rFonts w:ascii="Fira Sans" w:hAnsi="Fira Sans"/>
          <w:b/>
          <w:szCs w:val="19"/>
        </w:rPr>
      </w:pPr>
      <w:r w:rsidRPr="006120ED">
        <w:rPr>
          <w:rFonts w:ascii="Fira Sans" w:hAnsi="Fira Sans"/>
          <w:b/>
          <w:szCs w:val="19"/>
        </w:rPr>
        <w:t>Zgodność posiadanego poziomu wykształcenia osób w wieku 15-34 lata z wymaganiami potrzebnymi do wykonywania pracy głównej</w:t>
      </w:r>
    </w:p>
    <w:p w14:paraId="71242048" w14:textId="21C04A63" w:rsidR="000D0CDD" w:rsidRPr="00430A5C" w:rsidRDefault="000D0CDD" w:rsidP="006D64D2">
      <w:pPr>
        <w:spacing w:before="0" w:line="288" w:lineRule="auto"/>
        <w:rPr>
          <w:i/>
          <w:sz w:val="18"/>
          <w:szCs w:val="18"/>
        </w:rPr>
      </w:pPr>
      <w:r w:rsidRPr="00430A5C">
        <w:rPr>
          <w:i/>
          <w:sz w:val="18"/>
          <w:szCs w:val="18"/>
        </w:rPr>
        <w:t>Zgodność tę badano dla osób pracujących oraz niepracujących, które w przeszło</w:t>
      </w:r>
      <w:r w:rsidR="003B02D5" w:rsidRPr="00430A5C">
        <w:rPr>
          <w:i/>
          <w:sz w:val="18"/>
          <w:szCs w:val="18"/>
        </w:rPr>
        <w:softHyphen/>
      </w:r>
      <w:r w:rsidRPr="00430A5C">
        <w:rPr>
          <w:i/>
          <w:sz w:val="18"/>
          <w:szCs w:val="18"/>
        </w:rPr>
        <w:t>ści</w:t>
      </w:r>
      <w:r w:rsidR="00C11EAF">
        <w:rPr>
          <w:i/>
          <w:sz w:val="18"/>
          <w:szCs w:val="18"/>
        </w:rPr>
        <w:t xml:space="preserve"> wykonywały pracę</w:t>
      </w:r>
      <w:r w:rsidRPr="00430A5C">
        <w:rPr>
          <w:i/>
          <w:sz w:val="18"/>
          <w:szCs w:val="18"/>
        </w:rPr>
        <w:t xml:space="preserve">. W przypadku osób pracujących brano pod uwagę </w:t>
      </w:r>
      <w:r w:rsidR="00F7200D" w:rsidRPr="00430A5C">
        <w:rPr>
          <w:i/>
          <w:sz w:val="18"/>
          <w:szCs w:val="18"/>
        </w:rPr>
        <w:t xml:space="preserve">aktualny </w:t>
      </w:r>
      <w:r w:rsidRPr="00430A5C">
        <w:rPr>
          <w:i/>
          <w:sz w:val="18"/>
          <w:szCs w:val="18"/>
        </w:rPr>
        <w:t>poziom wykształcenia,</w:t>
      </w:r>
      <w:r w:rsidR="0085223F" w:rsidRPr="00430A5C">
        <w:rPr>
          <w:i/>
          <w:sz w:val="18"/>
          <w:szCs w:val="18"/>
        </w:rPr>
        <w:t xml:space="preserve"> a</w:t>
      </w:r>
      <w:r w:rsidRPr="00430A5C">
        <w:rPr>
          <w:i/>
          <w:sz w:val="18"/>
          <w:szCs w:val="18"/>
        </w:rPr>
        <w:t xml:space="preserve"> dla osób niepracujących, które pracowały w przeszłości – poziom wykształcenia w okresie ostatnio wykonywanej pracy.</w:t>
      </w:r>
    </w:p>
    <w:p w14:paraId="11F74B7E" w14:textId="77777777" w:rsidR="000D0CDD" w:rsidRDefault="000D0CDD" w:rsidP="000D0CDD">
      <w:pPr>
        <w:spacing w:before="0" w:line="288" w:lineRule="auto"/>
        <w:rPr>
          <w:szCs w:val="19"/>
        </w:rPr>
      </w:pPr>
      <w:r w:rsidRPr="00430A5C">
        <w:rPr>
          <w:i/>
          <w:sz w:val="18"/>
          <w:szCs w:val="18"/>
        </w:rPr>
        <w:t xml:space="preserve">Wymagania związane z obecną/ostatnią główną pracą nie </w:t>
      </w:r>
      <w:r w:rsidR="008E2E0C" w:rsidRPr="00430A5C">
        <w:rPr>
          <w:i/>
          <w:sz w:val="18"/>
          <w:szCs w:val="18"/>
        </w:rPr>
        <w:t>były</w:t>
      </w:r>
      <w:r w:rsidRPr="00430A5C">
        <w:rPr>
          <w:i/>
          <w:sz w:val="18"/>
          <w:szCs w:val="18"/>
        </w:rPr>
        <w:t xml:space="preserve"> rozumiane jako wymagania formalne konieczne do zatrudnienia na danym stanowisku (stawiane w momencie rekrutacji), ale jako wymagania potrzebne do wykonywania danej pracy</w:t>
      </w:r>
      <w:r w:rsidRPr="001F7988">
        <w:rPr>
          <w:szCs w:val="19"/>
        </w:rPr>
        <w:t>.</w:t>
      </w:r>
    </w:p>
    <w:p w14:paraId="5717D273" w14:textId="77777777" w:rsidR="000D0CDD" w:rsidRDefault="007735E9" w:rsidP="000D0CDD">
      <w:pPr>
        <w:spacing w:before="0" w:line="288" w:lineRule="auto"/>
        <w:rPr>
          <w:szCs w:val="19"/>
        </w:rPr>
      </w:pPr>
      <w:r>
        <w:rPr>
          <w:noProof/>
          <w:szCs w:val="19"/>
          <w:lang w:eastAsia="pl-PL"/>
        </w:rPr>
        <mc:AlternateContent>
          <mc:Choice Requires="wps">
            <w:drawing>
              <wp:anchor distT="0" distB="0" distL="114300" distR="114300" simplePos="0" relativeHeight="252001280" behindDoc="0" locked="0" layoutInCell="1" allowOverlap="1" wp14:anchorId="2154B950" wp14:editId="502F32D2">
                <wp:simplePos x="0" y="0"/>
                <wp:positionH relativeFrom="page">
                  <wp:posOffset>5752399</wp:posOffset>
                </wp:positionH>
                <wp:positionV relativeFrom="paragraph">
                  <wp:posOffset>1682</wp:posOffset>
                </wp:positionV>
                <wp:extent cx="1619250" cy="1495425"/>
                <wp:effectExtent l="0" t="0" r="0" b="0"/>
                <wp:wrapNone/>
                <wp:docPr id="55" name="Pole tekstowe 55" descr="Dla 85,4% osób w wieku &#10;15-34 lata pracujących obecnie lub w przeszłości poziom wykształcenia odpowiadał lub był wyższy od wymagań potrzebnych do wykonywania pracy głównej&#10;"/>
                <wp:cNvGraphicFramePr/>
                <a:graphic xmlns:a="http://schemas.openxmlformats.org/drawingml/2006/main">
                  <a:graphicData uri="http://schemas.microsoft.com/office/word/2010/wordprocessingShape">
                    <wps:wsp>
                      <wps:cNvSpPr txBox="1"/>
                      <wps:spPr>
                        <a:xfrm>
                          <a:off x="0" y="0"/>
                          <a:ext cx="1619250" cy="1495425"/>
                        </a:xfrm>
                        <a:prstGeom prst="rect">
                          <a:avLst/>
                        </a:prstGeom>
                        <a:noFill/>
                        <a:ln w="6350">
                          <a:noFill/>
                        </a:ln>
                      </wps:spPr>
                      <wps:txbx>
                        <w:txbxContent>
                          <w:p w14:paraId="540A40F0" w14:textId="77777777" w:rsidR="00352C44" w:rsidRPr="00DA008C" w:rsidRDefault="00352C44" w:rsidP="000D0CDD">
                            <w:pPr>
                              <w:rPr>
                                <w:color w:val="001D77"/>
                                <w:sz w:val="18"/>
                                <w:szCs w:val="18"/>
                              </w:rPr>
                            </w:pPr>
                            <w:r w:rsidRPr="00DA008C">
                              <w:rPr>
                                <w:color w:val="001D77"/>
                                <w:sz w:val="18"/>
                                <w:szCs w:val="18"/>
                              </w:rPr>
                              <w:t xml:space="preserve">Dla 85,4% osób w wieku </w:t>
                            </w:r>
                            <w:r>
                              <w:rPr>
                                <w:color w:val="001D77"/>
                                <w:sz w:val="18"/>
                                <w:szCs w:val="18"/>
                              </w:rPr>
                              <w:br/>
                            </w:r>
                            <w:r w:rsidRPr="00DA008C">
                              <w:rPr>
                                <w:color w:val="001D77"/>
                                <w:sz w:val="18"/>
                                <w:szCs w:val="18"/>
                              </w:rPr>
                              <w:t>15-34 lata pracujących obecnie lub w przeszłości poziom wykształcenia odpowiadał lub był wyższy od wymagań potrzebnych do wykonywania pracy głównej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4B950" id="Pole tekstowe 55" o:spid="_x0000_s1036" type="#_x0000_t202" alt="Dla 85,4% osób w wieku &#10;15-34 lata pracujących obecnie lub w przeszłości poziom wykształcenia odpowiadał lub był wyższy od wymagań potrzebnych do wykonywania pracy głównej&#10;" style="position:absolute;margin-left:452.95pt;margin-top:.15pt;width:127.5pt;height:117.75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" filled="f" stroked="f" strokeweight=".5pt">
                <v:textbox>
                  <w:txbxContent>
                    <w:p w14:paraId="540A40F0" w14:textId="77777777" w:rsidR="00352C44" w:rsidRPr="00DA008C" w:rsidRDefault="00352C44" w:rsidP="000D0CDD">
                      <w:pPr>
                        <w:rPr>
                          <w:color w:val="001D77"/>
                          <w:sz w:val="18"/>
                          <w:szCs w:val="18"/>
                        </w:rPr>
                      </w:pPr>
                      <w:r w:rsidRPr="00DA008C">
                        <w:rPr>
                          <w:color w:val="001D77"/>
                          <w:sz w:val="18"/>
                          <w:szCs w:val="18"/>
                        </w:rPr>
                        <w:t xml:space="preserve">Dla 85,4% osób w wieku </w:t>
                      </w:r>
                      <w:r>
                        <w:rPr>
                          <w:color w:val="001D77"/>
                          <w:sz w:val="18"/>
                          <w:szCs w:val="18"/>
                        </w:rPr>
                        <w:br/>
                      </w:r>
                      <w:r w:rsidRPr="00DA008C">
                        <w:rPr>
                          <w:color w:val="001D77"/>
                          <w:sz w:val="18"/>
                          <w:szCs w:val="18"/>
                        </w:rPr>
                        <w:t>15-34 lata pracujących obecnie lub w przeszłości poziom wykształcenia odpowiadał lub był wyższy od wymagań potrzebnych do wykonywania pracy głównej</w:t>
                      </w:r>
                    </w:p>
                  </w:txbxContent>
                </v:textbox>
                <w10:wrap anchorx="page"/>
              </v:shape>
            </w:pict>
          </mc:Fallback>
        </mc:AlternateContent>
      </w:r>
      <w:r w:rsidR="000D0CDD">
        <w:rPr>
          <w:szCs w:val="19"/>
        </w:rPr>
        <w:t xml:space="preserve">Obie badane grupy liczyły łącznie 5 360 tys. osób, w tym niepracujący </w:t>
      </w:r>
      <w:r w:rsidR="00102485">
        <w:rPr>
          <w:szCs w:val="19"/>
        </w:rPr>
        <w:t>w czasie badania</w:t>
      </w:r>
      <w:r w:rsidR="000D0CDD">
        <w:rPr>
          <w:szCs w:val="19"/>
        </w:rPr>
        <w:t xml:space="preserve">, którzy pracowali w przeszłości stanowili 11,9%. Zdecydowana większość respondentów (69,1%) stwierdziła, że poziom wykształcenia </w:t>
      </w:r>
      <w:r w:rsidR="000D0CDD" w:rsidRPr="007E4F44">
        <w:rPr>
          <w:szCs w:val="19"/>
        </w:rPr>
        <w:t>odpowiadał wymaganiom stanowiska pracy</w:t>
      </w:r>
      <w:r w:rsidR="000D0CDD">
        <w:rPr>
          <w:szCs w:val="19"/>
        </w:rPr>
        <w:t>, przy czym odsetek ten był wyższy dla osób pracujących</w:t>
      </w:r>
      <w:r w:rsidR="003F1EC1">
        <w:rPr>
          <w:szCs w:val="19"/>
        </w:rPr>
        <w:t xml:space="preserve"> w momencie badania</w:t>
      </w:r>
      <w:r w:rsidR="000D0CDD">
        <w:rPr>
          <w:szCs w:val="19"/>
        </w:rPr>
        <w:t xml:space="preserve"> (70,1%). Dla osób niepracujących z historią zawodową wynosił 62,2%. </w:t>
      </w:r>
    </w:p>
    <w:p w14:paraId="47F17007" w14:textId="68F28BA8" w:rsidR="000D0CDD" w:rsidRDefault="00DB679F" w:rsidP="000D0CDD">
      <w:pPr>
        <w:spacing w:before="0" w:line="288" w:lineRule="auto"/>
        <w:rPr>
          <w:szCs w:val="19"/>
        </w:rPr>
      </w:pPr>
      <w:r>
        <w:rPr>
          <w:szCs w:val="19"/>
        </w:rPr>
        <w:t>W opinii</w:t>
      </w:r>
      <w:r w:rsidR="000D0CDD">
        <w:rPr>
          <w:szCs w:val="19"/>
        </w:rPr>
        <w:t xml:space="preserve"> 16,3% osób</w:t>
      </w:r>
      <w:r>
        <w:rPr>
          <w:szCs w:val="19"/>
        </w:rPr>
        <w:t xml:space="preserve"> ich</w:t>
      </w:r>
      <w:r w:rsidR="000D0CDD">
        <w:rPr>
          <w:szCs w:val="19"/>
        </w:rPr>
        <w:t xml:space="preserve"> poziom wykształcenia </w:t>
      </w:r>
      <w:r w:rsidR="000D0CDD" w:rsidRPr="007E4F44">
        <w:rPr>
          <w:szCs w:val="19"/>
        </w:rPr>
        <w:t>był wyższy niż wymagany na stanowisku pracy</w:t>
      </w:r>
      <w:r w:rsidR="000D0CDD">
        <w:rPr>
          <w:szCs w:val="19"/>
        </w:rPr>
        <w:t>. Osoby te nie wykorzystywały w pełni swojego potencjału.</w:t>
      </w:r>
      <w:r w:rsidR="000D0CDD" w:rsidRPr="007E4F44">
        <w:rPr>
          <w:szCs w:val="19"/>
        </w:rPr>
        <w:t xml:space="preserve"> </w:t>
      </w:r>
      <w:r w:rsidR="000D0CDD">
        <w:rPr>
          <w:szCs w:val="19"/>
        </w:rPr>
        <w:t>Natomiast 7,7% osób uważało, że ich poziom wykształcenia był niższy od wymaganego. Dla 6,9% osób nie uzyskano odpowiedzi na to pytanie.</w:t>
      </w:r>
    </w:p>
    <w:p w14:paraId="146385C0" w14:textId="171F9554" w:rsidR="000D0CDD" w:rsidRDefault="000D0CDD" w:rsidP="00FC54A4">
      <w:pPr>
        <w:spacing w:before="0" w:line="288" w:lineRule="auto"/>
        <w:rPr>
          <w:szCs w:val="19"/>
        </w:rPr>
      </w:pPr>
      <w:r>
        <w:rPr>
          <w:szCs w:val="19"/>
        </w:rPr>
        <w:t>Kobiety częściej niż mężczyźni wskazywały, że poziom ich wykształcenia był odpowiedni lub wyższy niż wymagany na stanowisku pracy. Takiej odpowiedzi udzieliło 88,5% kobiet i 82,5% mężczyzn</w:t>
      </w:r>
      <w:r w:rsidR="00C41195">
        <w:rPr>
          <w:szCs w:val="19"/>
        </w:rPr>
        <w:t xml:space="preserve"> (patrz wykres 3)</w:t>
      </w:r>
      <w:r>
        <w:rPr>
          <w:szCs w:val="19"/>
        </w:rPr>
        <w:t xml:space="preserve">. </w:t>
      </w:r>
    </w:p>
    <w:p w14:paraId="31B07B1A" w14:textId="3A3EF0D1" w:rsidR="00766F81" w:rsidRDefault="00766F81" w:rsidP="00FC54A4">
      <w:pPr>
        <w:spacing w:before="0" w:line="288" w:lineRule="auto"/>
        <w:rPr>
          <w:szCs w:val="19"/>
        </w:rPr>
      </w:pPr>
      <w:r>
        <w:rPr>
          <w:szCs w:val="19"/>
        </w:rPr>
        <w:t xml:space="preserve">Zatrudnieni w sektorze publicznym częściej wskazywali, że ich poziom wykształcenia był odpowiedni do wymagań na stanowisku pracy. Twierdziło tak 80,5% osób zatrudnionych w tym sektorze wobec 66,1% zatrudnionych w sektorze prywatnym. Odsetki osób zatrudnionych z wykształceniem przekraczającym wymagany do wykonywania pracy głównej wyniosły w sektorze publicznym i prywatnym odpowiednio 10,3% i 17,7%. W sektorze prywatnym zatem częściej zatrudnione były osoby, które </w:t>
      </w:r>
      <w:r w:rsidR="00012FFA">
        <w:rPr>
          <w:szCs w:val="19"/>
        </w:rPr>
        <w:t xml:space="preserve">według ich opinii </w:t>
      </w:r>
      <w:r>
        <w:rPr>
          <w:szCs w:val="19"/>
        </w:rPr>
        <w:t xml:space="preserve">nie wykorzystywały </w:t>
      </w:r>
      <w:r w:rsidR="00012FFA">
        <w:rPr>
          <w:szCs w:val="19"/>
        </w:rPr>
        <w:t xml:space="preserve">w pełni </w:t>
      </w:r>
      <w:r>
        <w:rPr>
          <w:szCs w:val="19"/>
        </w:rPr>
        <w:t>swojego potencjału w zakresie wykształcenia. Należy zaznaczyć, że w</w:t>
      </w:r>
      <w:r w:rsidR="000E7A73">
        <w:rPr>
          <w:szCs w:val="19"/>
        </w:rPr>
        <w:t> </w:t>
      </w:r>
      <w:r>
        <w:rPr>
          <w:szCs w:val="19"/>
        </w:rPr>
        <w:t xml:space="preserve">sektorze publicznym </w:t>
      </w:r>
      <w:r w:rsidRPr="003121A5">
        <w:rPr>
          <w:szCs w:val="19"/>
        </w:rPr>
        <w:t>zatrudnionych</w:t>
      </w:r>
      <w:r w:rsidRPr="00BF597E">
        <w:rPr>
          <w:b/>
          <w:szCs w:val="19"/>
        </w:rPr>
        <w:t xml:space="preserve"> </w:t>
      </w:r>
      <w:r>
        <w:rPr>
          <w:szCs w:val="19"/>
        </w:rPr>
        <w:t>było 18,6% osób w wieku 15-34 lata pracujących w</w:t>
      </w:r>
      <w:r w:rsidR="000E7A73">
        <w:rPr>
          <w:szCs w:val="19"/>
        </w:rPr>
        <w:t> </w:t>
      </w:r>
      <w:r>
        <w:rPr>
          <w:szCs w:val="19"/>
        </w:rPr>
        <w:t xml:space="preserve">momencie badania lub w przeszłości (tj. 857 tys.), natomiast w sektorze prywatnym – 81,4% </w:t>
      </w:r>
      <w:r>
        <w:rPr>
          <w:szCs w:val="19"/>
        </w:rPr>
        <w:lastRenderedPageBreak/>
        <w:t xml:space="preserve">(3 741 tys.). </w:t>
      </w:r>
      <w:r w:rsidR="00237BAE">
        <w:rPr>
          <w:szCs w:val="19"/>
        </w:rPr>
        <w:t xml:space="preserve">Dla  72,2% osób </w:t>
      </w:r>
      <w:r>
        <w:rPr>
          <w:szCs w:val="19"/>
        </w:rPr>
        <w:t>pracujących na rachunek własny (634 tys.)</w:t>
      </w:r>
      <w:r w:rsidRPr="0058374A">
        <w:rPr>
          <w:szCs w:val="19"/>
        </w:rPr>
        <w:t xml:space="preserve"> </w:t>
      </w:r>
      <w:r w:rsidR="00237BAE">
        <w:rPr>
          <w:szCs w:val="19"/>
        </w:rPr>
        <w:t xml:space="preserve">ich </w:t>
      </w:r>
      <w:r>
        <w:rPr>
          <w:szCs w:val="19"/>
        </w:rPr>
        <w:t xml:space="preserve">poziom wykształcenia był odpowiedni do wymagań </w:t>
      </w:r>
      <w:r w:rsidR="00352C44">
        <w:rPr>
          <w:szCs w:val="19"/>
        </w:rPr>
        <w:t>na stanowisku pracy</w:t>
      </w:r>
      <w:r>
        <w:rPr>
          <w:szCs w:val="19"/>
        </w:rPr>
        <w:t>, a dla 15,3% był wyższy</w:t>
      </w:r>
      <w:r>
        <w:rPr>
          <w:rStyle w:val="Odwoanieprzypisudolnego"/>
          <w:szCs w:val="19"/>
        </w:rPr>
        <w:footnoteReference w:id="8"/>
      </w:r>
      <w:r>
        <w:rPr>
          <w:szCs w:val="19"/>
        </w:rPr>
        <w:t>.</w:t>
      </w:r>
    </w:p>
    <w:p w14:paraId="490EDBFC" w14:textId="48E218A9" w:rsidR="000D0CDD" w:rsidRPr="00E12F40" w:rsidRDefault="0045260C" w:rsidP="00FD56FE">
      <w:pPr>
        <w:pStyle w:val="Lead"/>
        <w:spacing w:before="240"/>
        <w:ind w:left="992" w:hanging="992"/>
      </w:pPr>
      <w:r w:rsidRPr="00D53B61">
        <mc:AlternateContent>
          <mc:Choice Requires="wps">
            <w:drawing>
              <wp:anchor distT="0" distB="0" distL="114300" distR="114300" simplePos="0" relativeHeight="252029952" behindDoc="0" locked="0" layoutInCell="1" allowOverlap="1" wp14:anchorId="571BA3AA" wp14:editId="7D7F23E9">
                <wp:simplePos x="0" y="0"/>
                <wp:positionH relativeFrom="page">
                  <wp:posOffset>5724939</wp:posOffset>
                </wp:positionH>
                <wp:positionV relativeFrom="paragraph">
                  <wp:posOffset>2921856</wp:posOffset>
                </wp:positionV>
                <wp:extent cx="1619250" cy="1598212"/>
                <wp:effectExtent l="0" t="0" r="0" b="2540"/>
                <wp:wrapNone/>
                <wp:docPr id="6" name="Pole tekstowe 6" descr="Specjaliści byli grupą zawodową, dla której odnotowano najwyższy odsetek osób, mających poziom wykształcenia zgodny z wymaganiami potrzebnymi do wykonywania pracy głównej (85,3%)"/>
                <wp:cNvGraphicFramePr/>
                <a:graphic xmlns:a="http://schemas.openxmlformats.org/drawingml/2006/main">
                  <a:graphicData uri="http://schemas.microsoft.com/office/word/2010/wordprocessingShape">
                    <wps:wsp>
                      <wps:cNvSpPr txBox="1"/>
                      <wps:spPr>
                        <a:xfrm>
                          <a:off x="0" y="0"/>
                          <a:ext cx="1619250" cy="1598212"/>
                        </a:xfrm>
                        <a:prstGeom prst="rect">
                          <a:avLst/>
                        </a:prstGeom>
                        <a:noFill/>
                        <a:ln w="6350">
                          <a:noFill/>
                        </a:ln>
                      </wps:spPr>
                      <wps:txbx>
                        <w:txbxContent>
                          <w:p w14:paraId="0BC5210F" w14:textId="77777777" w:rsidR="00352C44" w:rsidRPr="006A3FF9" w:rsidRDefault="00352C44" w:rsidP="0044184D">
                            <w:pPr>
                              <w:rPr>
                                <w:color w:val="001D77"/>
                                <w:sz w:val="18"/>
                                <w:szCs w:val="18"/>
                              </w:rPr>
                            </w:pPr>
                            <w:r w:rsidRPr="006A3FF9">
                              <w:rPr>
                                <w:color w:val="001D77"/>
                                <w:sz w:val="18"/>
                                <w:szCs w:val="18"/>
                              </w:rPr>
                              <w:t>Specjaliści byli grupą zawodową, dla której odnotowano najwyższy odsetek osób, mających poziom wykształcenia zgodny z wymaganiami potrzebnymi do wykonywania pracy głównej (85,3%)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A3AA" id="Pole tekstowe 6" o:spid="_x0000_s1037" type="#_x0000_t202" alt="Specjaliści byli grupą zawodową, dla której odnotowano najwyższy odsetek osób, mających poziom wykształcenia zgodny z wymaganiami potrzebnymi do wykonywania pracy głównej (85,3%)" style="position:absolute;left:0;text-align:left;margin-left:450.8pt;margin-top:230.05pt;width:127.5pt;height:125.8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" filled="f" stroked="f" strokeweight=".5pt">
                <v:textbox>
                  <w:txbxContent>
                    <w:p w14:paraId="0BC5210F" w14:textId="77777777" w:rsidR="00352C44" w:rsidRPr="006A3FF9" w:rsidRDefault="00352C44" w:rsidP="0044184D">
                      <w:pPr>
                        <w:rPr>
                          <w:color w:val="001D77"/>
                          <w:sz w:val="18"/>
                          <w:szCs w:val="18"/>
                        </w:rPr>
                      </w:pPr>
                      <w:r w:rsidRPr="006A3FF9">
                        <w:rPr>
                          <w:color w:val="001D77"/>
                          <w:sz w:val="18"/>
                          <w:szCs w:val="18"/>
                        </w:rPr>
                        <w:t>Specjaliści byli grupą zawodową, dla której odnotowano najwyższy odsetek osób, mających poziom wykształcenia zgodny z wymaganiami potrzebnymi do wykonywania pracy głównej (85,3%)</w:t>
                      </w:r>
                    </w:p>
                  </w:txbxContent>
                </v:textbox>
                <w10:wrap anchorx="page"/>
              </v:shape>
            </w:pict>
          </mc:Fallback>
        </mc:AlternateContent>
      </w:r>
      <w:r w:rsidR="00766F81">
        <w:drawing>
          <wp:anchor distT="0" distB="0" distL="114300" distR="114300" simplePos="0" relativeHeight="252057600" behindDoc="0" locked="0" layoutInCell="1" allowOverlap="1" wp14:anchorId="5D0308EA" wp14:editId="4EABF91D">
            <wp:simplePos x="0" y="0"/>
            <wp:positionH relativeFrom="margin">
              <wp:align>center</wp:align>
            </wp:positionH>
            <wp:positionV relativeFrom="paragraph">
              <wp:posOffset>429895</wp:posOffset>
            </wp:positionV>
            <wp:extent cx="4959350" cy="2581275"/>
            <wp:effectExtent l="0" t="0" r="0" b="9525"/>
            <wp:wrapSquare wrapText="bothSides"/>
            <wp:docPr id="32" name="Obraz 32" descr="Wykres przedstawia zgodność posiadanego poziomu wykształcenia osób w wieku 15-34 lata z wymaganiami potrzebnymi do wykonywania pracy głównej według płci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350" cy="2581275"/>
                    </a:xfrm>
                    <a:prstGeom prst="rect">
                      <a:avLst/>
                    </a:prstGeom>
                    <a:noFill/>
                  </pic:spPr>
                </pic:pic>
              </a:graphicData>
            </a:graphic>
            <wp14:sizeRelH relativeFrom="page">
              <wp14:pctWidth>0</wp14:pctWidth>
            </wp14:sizeRelH>
            <wp14:sizeRelV relativeFrom="page">
              <wp14:pctHeight>0</wp14:pctHeight>
            </wp14:sizeRelV>
          </wp:anchor>
        </w:drawing>
      </w:r>
      <w:r w:rsidR="000D0CDD">
        <w:t>Wykres 3.</w:t>
      </w:r>
      <w:r w:rsidR="00717B4C">
        <w:tab/>
      </w:r>
      <w:r w:rsidR="000D0CDD" w:rsidRPr="00E12F40">
        <w:t xml:space="preserve">Zgodność posiadanego </w:t>
      </w:r>
      <w:r w:rsidR="000D0CDD">
        <w:t xml:space="preserve">poziomu </w:t>
      </w:r>
      <w:r w:rsidR="000D0CDD" w:rsidRPr="00E12F40">
        <w:t xml:space="preserve">wykształcenia </w:t>
      </w:r>
      <w:r w:rsidR="000D0CDD">
        <w:t xml:space="preserve">osób w wieku 15-34 lata </w:t>
      </w:r>
      <w:r w:rsidR="000D0CDD" w:rsidRPr="00E12F40">
        <w:t>z</w:t>
      </w:r>
      <w:r w:rsidR="00717B4C">
        <w:t> </w:t>
      </w:r>
      <w:r w:rsidR="000D0CDD" w:rsidRPr="00E12F40">
        <w:t>wymaganiami potrzebnymi do wykonywania pracy głównej według płci</w:t>
      </w:r>
      <w:r w:rsidR="000D0CDD">
        <w:t xml:space="preserve"> (w %)</w:t>
      </w:r>
    </w:p>
    <w:p w14:paraId="38342E80" w14:textId="71C90C19" w:rsidR="000D0CDD" w:rsidRDefault="000D0CDD" w:rsidP="0045260C">
      <w:pPr>
        <w:spacing w:before="240" w:line="288" w:lineRule="auto"/>
        <w:rPr>
          <w:szCs w:val="19"/>
        </w:rPr>
      </w:pPr>
      <w:r>
        <w:rPr>
          <w:szCs w:val="19"/>
        </w:rPr>
        <w:t xml:space="preserve">Grupą zawodową, wśród której zaobserwowano najwyższy odsetek osób, które miały poziom wykształcenia zgodny z wymaganiami w pracy byli specjaliści. Dla nich ten odsetek wyniósł 85,3%, a 6,6% specjalistów miało poziom wykształcenia wyższy niż wymagany. </w:t>
      </w:r>
    </w:p>
    <w:p w14:paraId="44E8BECA" w14:textId="77777777" w:rsidR="000D0CDD" w:rsidRDefault="000D0CDD" w:rsidP="000D0CDD">
      <w:pPr>
        <w:spacing w:before="0" w:line="288" w:lineRule="auto"/>
        <w:rPr>
          <w:szCs w:val="19"/>
        </w:rPr>
      </w:pPr>
      <w:r>
        <w:rPr>
          <w:szCs w:val="19"/>
        </w:rPr>
        <w:t>Wśród pracowników wykonujących prace proste 52,0% miało wykształcenie odpowiednie, a</w:t>
      </w:r>
      <w:r w:rsidR="004957D7">
        <w:rPr>
          <w:szCs w:val="19"/>
        </w:rPr>
        <w:t> </w:t>
      </w:r>
      <w:r>
        <w:rPr>
          <w:szCs w:val="19"/>
        </w:rPr>
        <w:t>29,9% – wyższe niż wymagane do wykonania pracy.</w:t>
      </w:r>
    </w:p>
    <w:p w14:paraId="2FEC2081" w14:textId="77777777" w:rsidR="000D0CDD" w:rsidRPr="006802D9" w:rsidRDefault="000D0CDD" w:rsidP="000D0CDD">
      <w:pPr>
        <w:pStyle w:val="Tekstkomentarza"/>
        <w:spacing w:after="240" w:line="288" w:lineRule="auto"/>
        <w:rPr>
          <w:sz w:val="19"/>
          <w:szCs w:val="19"/>
        </w:rPr>
      </w:pPr>
      <w:r w:rsidRPr="006802D9">
        <w:rPr>
          <w:sz w:val="19"/>
          <w:szCs w:val="19"/>
        </w:rPr>
        <w:t>Dane o dopasowaniu poziomu wykształcenia do wymagań w pracy dla poszczególnych grup zawodowych i sekcji PKD są dostępne w załączonych tablicach.</w:t>
      </w:r>
    </w:p>
    <w:p w14:paraId="10A7B588" w14:textId="77777777" w:rsidR="000D0CDD" w:rsidRPr="006120ED" w:rsidRDefault="000D0CDD" w:rsidP="00B53631">
      <w:pPr>
        <w:pStyle w:val="Nagwek1"/>
        <w:spacing w:before="240"/>
        <w:rPr>
          <w:rFonts w:ascii="Fira Sans" w:hAnsi="Fira Sans"/>
          <w:b/>
          <w:szCs w:val="19"/>
        </w:rPr>
      </w:pPr>
      <w:r w:rsidRPr="006120ED">
        <w:rPr>
          <w:rFonts w:ascii="Fira Sans" w:hAnsi="Fira Sans"/>
          <w:b/>
          <w:szCs w:val="19"/>
        </w:rPr>
        <w:t>Zgodność dziedziny wykształcenia osób w wieku 15-34 lata z wykształceniem ponadgimnazjalnym z wymaganiami potrzebnymi do wykonywania pracy głównej</w:t>
      </w:r>
    </w:p>
    <w:p w14:paraId="0CEBCC85" w14:textId="01FD0BD5" w:rsidR="003F0355" w:rsidRPr="00430A5C" w:rsidRDefault="003E7E46" w:rsidP="000D0CDD">
      <w:pPr>
        <w:spacing w:before="0" w:line="288" w:lineRule="auto"/>
        <w:rPr>
          <w:i/>
          <w:sz w:val="18"/>
          <w:szCs w:val="18"/>
        </w:rPr>
      </w:pPr>
      <w:r w:rsidRPr="00430A5C">
        <w:rPr>
          <w:i/>
          <w:sz w:val="18"/>
          <w:szCs w:val="18"/>
        </w:rPr>
        <w:t>Porównanie z</w:t>
      </w:r>
      <w:r w:rsidR="000D0CDD" w:rsidRPr="00430A5C">
        <w:rPr>
          <w:i/>
          <w:sz w:val="18"/>
          <w:szCs w:val="18"/>
        </w:rPr>
        <w:t>godnoś</w:t>
      </w:r>
      <w:r w:rsidRPr="00430A5C">
        <w:rPr>
          <w:i/>
          <w:sz w:val="18"/>
          <w:szCs w:val="18"/>
        </w:rPr>
        <w:t>ci</w:t>
      </w:r>
      <w:r w:rsidR="000D0CDD" w:rsidRPr="00430A5C">
        <w:rPr>
          <w:i/>
          <w:sz w:val="18"/>
          <w:szCs w:val="18"/>
        </w:rPr>
        <w:t xml:space="preserve"> </w:t>
      </w:r>
      <w:r w:rsidR="003C6AAE" w:rsidRPr="00430A5C">
        <w:rPr>
          <w:i/>
          <w:sz w:val="18"/>
          <w:szCs w:val="18"/>
        </w:rPr>
        <w:t xml:space="preserve">dziedziny </w:t>
      </w:r>
      <w:r w:rsidR="00521EFD" w:rsidRPr="00430A5C">
        <w:rPr>
          <w:i/>
          <w:sz w:val="18"/>
          <w:szCs w:val="18"/>
        </w:rPr>
        <w:t xml:space="preserve">wykształcenia </w:t>
      </w:r>
      <w:r w:rsidR="003C6AAE" w:rsidRPr="00430A5C">
        <w:rPr>
          <w:i/>
          <w:sz w:val="18"/>
          <w:szCs w:val="18"/>
        </w:rPr>
        <w:t xml:space="preserve">uzyskanego </w:t>
      </w:r>
      <w:r w:rsidR="00521EFD" w:rsidRPr="00430A5C">
        <w:rPr>
          <w:i/>
          <w:sz w:val="18"/>
          <w:szCs w:val="18"/>
        </w:rPr>
        <w:t xml:space="preserve">przez osoby </w:t>
      </w:r>
      <w:r w:rsidRPr="00430A5C">
        <w:rPr>
          <w:i/>
          <w:sz w:val="18"/>
          <w:szCs w:val="18"/>
        </w:rPr>
        <w:t xml:space="preserve">młode </w:t>
      </w:r>
      <w:r w:rsidR="003C6AAE" w:rsidRPr="00430A5C">
        <w:rPr>
          <w:i/>
          <w:sz w:val="18"/>
          <w:szCs w:val="18"/>
        </w:rPr>
        <w:t>z wymaga</w:t>
      </w:r>
      <w:r w:rsidR="0090485F" w:rsidRPr="00430A5C">
        <w:rPr>
          <w:i/>
          <w:sz w:val="18"/>
          <w:szCs w:val="18"/>
        </w:rPr>
        <w:softHyphen/>
      </w:r>
      <w:r w:rsidR="003C6AAE" w:rsidRPr="00430A5C">
        <w:rPr>
          <w:i/>
          <w:sz w:val="18"/>
          <w:szCs w:val="18"/>
        </w:rPr>
        <w:t xml:space="preserve">niami pracy głównej </w:t>
      </w:r>
      <w:r w:rsidRPr="00430A5C">
        <w:rPr>
          <w:i/>
          <w:sz w:val="18"/>
          <w:szCs w:val="18"/>
        </w:rPr>
        <w:t xml:space="preserve">dotyczyło </w:t>
      </w:r>
      <w:r w:rsidR="000D0CDD" w:rsidRPr="00430A5C">
        <w:rPr>
          <w:i/>
          <w:sz w:val="18"/>
          <w:szCs w:val="18"/>
        </w:rPr>
        <w:t xml:space="preserve">osób </w:t>
      </w:r>
      <w:r w:rsidR="00704652" w:rsidRPr="00430A5C">
        <w:rPr>
          <w:i/>
          <w:sz w:val="18"/>
          <w:szCs w:val="18"/>
        </w:rPr>
        <w:t xml:space="preserve">z doświadczeniem zawodowym (tzn. </w:t>
      </w:r>
      <w:r w:rsidR="000D0CDD" w:rsidRPr="00430A5C">
        <w:rPr>
          <w:i/>
          <w:sz w:val="18"/>
          <w:szCs w:val="18"/>
        </w:rPr>
        <w:t xml:space="preserve">pracujących </w:t>
      </w:r>
      <w:r w:rsidR="00DF6E22" w:rsidRPr="00430A5C">
        <w:rPr>
          <w:i/>
          <w:sz w:val="18"/>
          <w:szCs w:val="18"/>
        </w:rPr>
        <w:t xml:space="preserve">w momencie badania </w:t>
      </w:r>
      <w:r w:rsidR="000D0CDD" w:rsidRPr="00430A5C">
        <w:rPr>
          <w:i/>
          <w:sz w:val="18"/>
          <w:szCs w:val="18"/>
        </w:rPr>
        <w:t>lub niepracujących, któ</w:t>
      </w:r>
      <w:r w:rsidR="00352C44">
        <w:rPr>
          <w:i/>
          <w:sz w:val="18"/>
          <w:szCs w:val="18"/>
        </w:rPr>
        <w:t>rzy</w:t>
      </w:r>
      <w:r w:rsidR="000D0CDD" w:rsidRPr="00430A5C">
        <w:rPr>
          <w:i/>
          <w:sz w:val="18"/>
          <w:szCs w:val="18"/>
        </w:rPr>
        <w:t xml:space="preserve"> w przeszłości</w:t>
      </w:r>
      <w:r w:rsidR="00512BFB">
        <w:rPr>
          <w:i/>
          <w:sz w:val="18"/>
          <w:szCs w:val="18"/>
        </w:rPr>
        <w:t xml:space="preserve"> wykonywa</w:t>
      </w:r>
      <w:r w:rsidR="00352C44">
        <w:rPr>
          <w:i/>
          <w:sz w:val="18"/>
          <w:szCs w:val="18"/>
        </w:rPr>
        <w:t>li</w:t>
      </w:r>
      <w:r w:rsidR="00512BFB">
        <w:rPr>
          <w:i/>
          <w:sz w:val="18"/>
          <w:szCs w:val="18"/>
        </w:rPr>
        <w:t xml:space="preserve"> pracę</w:t>
      </w:r>
      <w:r w:rsidR="00704652" w:rsidRPr="00430A5C">
        <w:rPr>
          <w:i/>
          <w:sz w:val="18"/>
          <w:szCs w:val="18"/>
        </w:rPr>
        <w:t>)</w:t>
      </w:r>
      <w:r w:rsidR="000D0CDD" w:rsidRPr="00430A5C">
        <w:rPr>
          <w:i/>
          <w:sz w:val="18"/>
          <w:szCs w:val="18"/>
        </w:rPr>
        <w:t>, ale w tym przypadku</w:t>
      </w:r>
      <w:r w:rsidR="00DF6E22" w:rsidRPr="00430A5C">
        <w:rPr>
          <w:i/>
          <w:sz w:val="18"/>
          <w:szCs w:val="18"/>
        </w:rPr>
        <w:t xml:space="preserve"> </w:t>
      </w:r>
      <w:r w:rsidR="000D0CDD" w:rsidRPr="00430A5C">
        <w:rPr>
          <w:i/>
          <w:sz w:val="18"/>
          <w:szCs w:val="18"/>
        </w:rPr>
        <w:t>badano tylko osoby z</w:t>
      </w:r>
      <w:r w:rsidR="004957D7" w:rsidRPr="00430A5C">
        <w:rPr>
          <w:i/>
          <w:sz w:val="18"/>
          <w:szCs w:val="18"/>
        </w:rPr>
        <w:t> </w:t>
      </w:r>
      <w:r w:rsidR="000D0CDD" w:rsidRPr="00430A5C">
        <w:rPr>
          <w:i/>
          <w:sz w:val="18"/>
          <w:szCs w:val="18"/>
        </w:rPr>
        <w:t>wykształceniem ponadgimnazjalnym.</w:t>
      </w:r>
    </w:p>
    <w:p w14:paraId="4D11C0F0" w14:textId="54E8B0CF" w:rsidR="000D0CDD" w:rsidRDefault="00761B65" w:rsidP="000D0CDD">
      <w:pPr>
        <w:spacing w:before="0" w:line="288" w:lineRule="auto"/>
        <w:rPr>
          <w:szCs w:val="19"/>
        </w:rPr>
      </w:pPr>
      <w:r>
        <w:rPr>
          <w:szCs w:val="19"/>
        </w:rPr>
        <w:t>Analizowana z</w:t>
      </w:r>
      <w:r w:rsidR="000D0CDD">
        <w:rPr>
          <w:szCs w:val="19"/>
        </w:rPr>
        <w:t>biorowość liczyła 5 069 tys. osób – była zatem mniejsza niż grupa, dla której badano zgodność dotyczącą poziomu wykształce</w:t>
      </w:r>
      <w:r w:rsidR="0090485F">
        <w:rPr>
          <w:szCs w:val="19"/>
        </w:rPr>
        <w:softHyphen/>
      </w:r>
      <w:r w:rsidR="000D0CDD">
        <w:rPr>
          <w:szCs w:val="19"/>
        </w:rPr>
        <w:t>nia. Niepracujący, którzy pracowali w</w:t>
      </w:r>
      <w:r w:rsidR="006C12FA">
        <w:rPr>
          <w:szCs w:val="19"/>
        </w:rPr>
        <w:t> </w:t>
      </w:r>
      <w:r w:rsidR="000D0CDD">
        <w:rPr>
          <w:szCs w:val="19"/>
        </w:rPr>
        <w:t>przeszłości stanowili 11,1% ogółu</w:t>
      </w:r>
      <w:r w:rsidR="008E2E0C">
        <w:rPr>
          <w:szCs w:val="19"/>
        </w:rPr>
        <w:t xml:space="preserve"> </w:t>
      </w:r>
      <w:r w:rsidR="00036A0B">
        <w:rPr>
          <w:szCs w:val="19"/>
        </w:rPr>
        <w:t>analizowanej grupy</w:t>
      </w:r>
      <w:r w:rsidR="008E2E0C">
        <w:rPr>
          <w:szCs w:val="19"/>
        </w:rPr>
        <w:t>.</w:t>
      </w:r>
    </w:p>
    <w:p w14:paraId="3D23A0FD" w14:textId="77777777" w:rsidR="000D0CDD" w:rsidRDefault="007735E9" w:rsidP="000D0CDD">
      <w:pPr>
        <w:spacing w:before="0" w:line="288" w:lineRule="auto"/>
        <w:rPr>
          <w:szCs w:val="19"/>
        </w:rPr>
      </w:pPr>
      <w:r w:rsidRPr="00D53B61">
        <w:rPr>
          <w:noProof/>
          <w:szCs w:val="19"/>
          <w:lang w:eastAsia="pl-PL"/>
        </w:rPr>
        <mc:AlternateContent>
          <mc:Choice Requires="wps">
            <w:drawing>
              <wp:anchor distT="0" distB="0" distL="114300" distR="114300" simplePos="0" relativeHeight="252039168" behindDoc="0" locked="0" layoutInCell="1" allowOverlap="1" wp14:anchorId="119CBF0F" wp14:editId="0BA0F701">
                <wp:simplePos x="0" y="0"/>
                <wp:positionH relativeFrom="page">
                  <wp:posOffset>5742874</wp:posOffset>
                </wp:positionH>
                <wp:positionV relativeFrom="paragraph">
                  <wp:posOffset>324023</wp:posOffset>
                </wp:positionV>
                <wp:extent cx="1619250" cy="1282535"/>
                <wp:effectExtent l="0" t="0" r="0" b="0"/>
                <wp:wrapNone/>
                <wp:docPr id="17" name="Pole tekstowe 17" descr="Dla 46,4% osób pracujących w momencie badania lub w przeszłości stopień zgodności dziedziny wykształcenia z wymaganiami w pracy był bardzo duży lub duży"/>
                <wp:cNvGraphicFramePr/>
                <a:graphic xmlns:a="http://schemas.openxmlformats.org/drawingml/2006/main">
                  <a:graphicData uri="http://schemas.microsoft.com/office/word/2010/wordprocessingShape">
                    <wps:wsp>
                      <wps:cNvSpPr txBox="1"/>
                      <wps:spPr>
                        <a:xfrm>
                          <a:off x="0" y="0"/>
                          <a:ext cx="1619250" cy="1282535"/>
                        </a:xfrm>
                        <a:prstGeom prst="rect">
                          <a:avLst/>
                        </a:prstGeom>
                        <a:noFill/>
                        <a:ln w="6350">
                          <a:noFill/>
                        </a:ln>
                      </wps:spPr>
                      <wps:txbx>
                        <w:txbxContent>
                          <w:p w14:paraId="0D802AD8" w14:textId="77777777" w:rsidR="00352C44" w:rsidRPr="003F1EC1" w:rsidRDefault="00352C44" w:rsidP="003F1EC1">
                            <w:pPr>
                              <w:rPr>
                                <w:color w:val="001D77"/>
                                <w:sz w:val="18"/>
                                <w:szCs w:val="18"/>
                              </w:rPr>
                            </w:pPr>
                            <w:r w:rsidRPr="003F1EC1">
                              <w:rPr>
                                <w:color w:val="001D77"/>
                                <w:sz w:val="18"/>
                                <w:szCs w:val="18"/>
                              </w:rPr>
                              <w:t>Dla 46,4% osób pracujących w momencie badania lub w przeszłości stopień zgodności dziedziny wykształ</w:t>
                            </w:r>
                            <w:r w:rsidRPr="003F1EC1">
                              <w:rPr>
                                <w:color w:val="001D77"/>
                                <w:sz w:val="18"/>
                                <w:szCs w:val="18"/>
                              </w:rPr>
                              <w:softHyphen/>
                              <w:t>cenia z wymaganiami w pracy był bardzo duży lub duży</w:t>
                            </w:r>
                          </w:p>
                          <w:p w14:paraId="08F848B5" w14:textId="77777777" w:rsidR="00352C44" w:rsidRPr="006A3FF9" w:rsidRDefault="00352C44" w:rsidP="003F1EC1">
                            <w:pPr>
                              <w:rPr>
                                <w:color w:val="001D77"/>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CBF0F" id="Pole tekstowe 17" o:spid="_x0000_s1038" type="#_x0000_t202" alt="Dla 46,4% osób pracujących w momencie badania lub w przeszłości stopień zgodności dziedziny wykształcenia z wymaganiami w pracy był bardzo duży lub duży" style="position:absolute;margin-left:452.2pt;margin-top:25.5pt;width:127.5pt;height:101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" filled="f" stroked="f" strokeweight=".5pt">
                <v:textbox>
                  <w:txbxContent>
                    <w:p w14:paraId="0D802AD8" w14:textId="77777777" w:rsidR="00352C44" w:rsidRPr="003F1EC1" w:rsidRDefault="00352C44" w:rsidP="003F1EC1">
                      <w:pPr>
                        <w:rPr>
                          <w:color w:val="001D77"/>
                          <w:sz w:val="18"/>
                          <w:szCs w:val="18"/>
                        </w:rPr>
                      </w:pPr>
                      <w:r w:rsidRPr="003F1EC1">
                        <w:rPr>
                          <w:color w:val="001D77"/>
                          <w:sz w:val="18"/>
                          <w:szCs w:val="18"/>
                        </w:rPr>
                        <w:t>Dla 46,4% osób pracujących w momencie badania lub w przeszłości stopień zgodności dziedziny wykształ</w:t>
                      </w:r>
                      <w:r w:rsidRPr="003F1EC1">
                        <w:rPr>
                          <w:color w:val="001D77"/>
                          <w:sz w:val="18"/>
                          <w:szCs w:val="18"/>
                        </w:rPr>
                        <w:softHyphen/>
                        <w:t>cenia z wymaganiami w pracy był bardzo duży lub duży</w:t>
                      </w:r>
                    </w:p>
                    <w:p w14:paraId="08F848B5" w14:textId="77777777" w:rsidR="00352C44" w:rsidRPr="006A3FF9" w:rsidRDefault="00352C44" w:rsidP="003F1EC1">
                      <w:pPr>
                        <w:rPr>
                          <w:color w:val="001D77"/>
                          <w:sz w:val="18"/>
                          <w:szCs w:val="18"/>
                        </w:rPr>
                      </w:pPr>
                    </w:p>
                  </w:txbxContent>
                </v:textbox>
                <w10:wrap anchorx="page"/>
              </v:shape>
            </w:pict>
          </mc:Fallback>
        </mc:AlternateContent>
      </w:r>
      <w:r w:rsidR="000D0CDD" w:rsidRPr="00035CC4">
        <w:rPr>
          <w:szCs w:val="19"/>
        </w:rPr>
        <w:t xml:space="preserve">W przypadku osób pracujących brano pod uwagę obecną dziedzinę wykształcenia, dla osób niepracujących, które pracowały w przeszłości </w:t>
      </w:r>
      <w:r w:rsidR="000D0CDD">
        <w:rPr>
          <w:szCs w:val="19"/>
        </w:rPr>
        <w:t>–</w:t>
      </w:r>
      <w:r w:rsidR="000D0CDD" w:rsidRPr="00035CC4">
        <w:rPr>
          <w:szCs w:val="19"/>
        </w:rPr>
        <w:t xml:space="preserve"> dziedzinę wykształcenia w okresie ostatnio wykonywanej pracy</w:t>
      </w:r>
      <w:r w:rsidR="000D0CDD">
        <w:rPr>
          <w:rStyle w:val="Odwoanieprzypisudolnego"/>
          <w:szCs w:val="19"/>
        </w:rPr>
        <w:footnoteReference w:id="9"/>
      </w:r>
      <w:r w:rsidR="000D0CDD" w:rsidRPr="00035CC4">
        <w:rPr>
          <w:szCs w:val="19"/>
        </w:rPr>
        <w:t>.</w:t>
      </w:r>
    </w:p>
    <w:p w14:paraId="1AE3CFAC" w14:textId="77777777" w:rsidR="00AF0153" w:rsidRDefault="000D0CDD" w:rsidP="000D0CDD">
      <w:pPr>
        <w:spacing w:before="0" w:line="288" w:lineRule="auto"/>
        <w:rPr>
          <w:szCs w:val="19"/>
        </w:rPr>
      </w:pPr>
      <w:r>
        <w:rPr>
          <w:szCs w:val="19"/>
        </w:rPr>
        <w:t xml:space="preserve">Dla 46,4% osób pracujących </w:t>
      </w:r>
      <w:r w:rsidR="006A3FF9">
        <w:rPr>
          <w:szCs w:val="19"/>
        </w:rPr>
        <w:t xml:space="preserve">w momencie badania </w:t>
      </w:r>
      <w:r>
        <w:rPr>
          <w:szCs w:val="19"/>
        </w:rPr>
        <w:t>lub w przeszłości stopień zgodności dziedziny wykształcenia z wymaganiami w pracy był bardzo duży lub duży. Dla 28,5% osób był średni lub mały, natomiast dla 13,2% dziedzina wykształcenia w ogóle nie odpowiadała wymaganiom potrzebnym do wykonywania pracy. Dla 6,2% osób praca nie wymagała konkretnej dziedziny wykształcenia.</w:t>
      </w:r>
    </w:p>
    <w:p w14:paraId="6C7043EC" w14:textId="17898262" w:rsidR="00AF0153" w:rsidRDefault="00D310BE" w:rsidP="0045260C">
      <w:pPr>
        <w:spacing w:before="0" w:line="288" w:lineRule="auto"/>
        <w:rPr>
          <w:szCs w:val="19"/>
        </w:rPr>
      </w:pPr>
      <w:r w:rsidRPr="003B14F2">
        <w:rPr>
          <w:szCs w:val="19"/>
        </w:rPr>
        <w:t xml:space="preserve">Zróżnicowanie </w:t>
      </w:r>
      <w:r>
        <w:rPr>
          <w:szCs w:val="19"/>
        </w:rPr>
        <w:t>stopnia zgodności</w:t>
      </w:r>
      <w:r w:rsidRPr="003B14F2">
        <w:rPr>
          <w:szCs w:val="19"/>
        </w:rPr>
        <w:t xml:space="preserve"> dziedziny wykształcenia z wymaganiami w pracy </w:t>
      </w:r>
      <w:r>
        <w:rPr>
          <w:szCs w:val="19"/>
        </w:rPr>
        <w:t>według płci</w:t>
      </w:r>
      <w:r w:rsidRPr="003B14F2">
        <w:rPr>
          <w:szCs w:val="19"/>
        </w:rPr>
        <w:t xml:space="preserve"> nie </w:t>
      </w:r>
      <w:r>
        <w:rPr>
          <w:szCs w:val="19"/>
        </w:rPr>
        <w:t>było</w:t>
      </w:r>
      <w:r w:rsidRPr="003B14F2">
        <w:rPr>
          <w:szCs w:val="19"/>
        </w:rPr>
        <w:t xml:space="preserve"> znaczne, z wyjątkiem odpowiedzi </w:t>
      </w:r>
      <w:r>
        <w:rPr>
          <w:szCs w:val="19"/>
        </w:rPr>
        <w:t>o</w:t>
      </w:r>
      <w:r w:rsidRPr="003B14F2">
        <w:rPr>
          <w:szCs w:val="19"/>
        </w:rPr>
        <w:t xml:space="preserve"> zgodności w stopniu bardzo dużym i dużym. </w:t>
      </w:r>
      <w:r>
        <w:rPr>
          <w:szCs w:val="19"/>
        </w:rPr>
        <w:lastRenderedPageBreak/>
        <w:t>Ponad ¼ kobiet (25,3%) uważała</w:t>
      </w:r>
      <w:r w:rsidRPr="003B14F2">
        <w:rPr>
          <w:szCs w:val="19"/>
        </w:rPr>
        <w:t xml:space="preserve">, że </w:t>
      </w:r>
      <w:r>
        <w:rPr>
          <w:szCs w:val="19"/>
        </w:rPr>
        <w:t>ten</w:t>
      </w:r>
      <w:r w:rsidRPr="003B14F2">
        <w:rPr>
          <w:szCs w:val="19"/>
        </w:rPr>
        <w:t xml:space="preserve"> stopień dostosowania </w:t>
      </w:r>
      <w:r>
        <w:rPr>
          <w:szCs w:val="19"/>
        </w:rPr>
        <w:t>był</w:t>
      </w:r>
      <w:r w:rsidRPr="003B14F2">
        <w:rPr>
          <w:szCs w:val="19"/>
        </w:rPr>
        <w:t xml:space="preserve"> bardzo duży</w:t>
      </w:r>
      <w:r>
        <w:rPr>
          <w:szCs w:val="19"/>
        </w:rPr>
        <w:t xml:space="preserve">, podczas gdy </w:t>
      </w:r>
      <w:r w:rsidRPr="00CD46F6">
        <w:rPr>
          <w:szCs w:val="19"/>
        </w:rPr>
        <w:t>uważa</w:t>
      </w:r>
      <w:r>
        <w:rPr>
          <w:szCs w:val="19"/>
        </w:rPr>
        <w:t>ło</w:t>
      </w:r>
      <w:r w:rsidRPr="00CD46F6">
        <w:rPr>
          <w:szCs w:val="19"/>
        </w:rPr>
        <w:t xml:space="preserve"> tak o 4,</w:t>
      </w:r>
      <w:r>
        <w:rPr>
          <w:szCs w:val="19"/>
        </w:rPr>
        <w:t>4</w:t>
      </w:r>
      <w:r w:rsidRPr="00CD46F6">
        <w:rPr>
          <w:szCs w:val="19"/>
        </w:rPr>
        <w:t xml:space="preserve"> p</w:t>
      </w:r>
      <w:r>
        <w:rPr>
          <w:szCs w:val="19"/>
        </w:rPr>
        <w:t>. proc. mniej mężczyzn</w:t>
      </w:r>
      <w:r w:rsidRPr="003B14F2">
        <w:rPr>
          <w:szCs w:val="19"/>
        </w:rPr>
        <w:t xml:space="preserve"> </w:t>
      </w:r>
      <w:r>
        <w:rPr>
          <w:szCs w:val="19"/>
        </w:rPr>
        <w:t xml:space="preserve">(20,9%). </w:t>
      </w:r>
      <w:r w:rsidRPr="003B14F2">
        <w:rPr>
          <w:szCs w:val="19"/>
        </w:rPr>
        <w:t xml:space="preserve">Mężczyźni natomiast </w:t>
      </w:r>
      <w:r>
        <w:rPr>
          <w:szCs w:val="19"/>
        </w:rPr>
        <w:t xml:space="preserve">nieco </w:t>
      </w:r>
      <w:r w:rsidRPr="003B14F2">
        <w:rPr>
          <w:szCs w:val="19"/>
        </w:rPr>
        <w:t>częściej niż kobiety uważa</w:t>
      </w:r>
      <w:r>
        <w:rPr>
          <w:szCs w:val="19"/>
        </w:rPr>
        <w:t>li</w:t>
      </w:r>
      <w:r w:rsidRPr="003B14F2">
        <w:rPr>
          <w:szCs w:val="19"/>
        </w:rPr>
        <w:t xml:space="preserve">, że ten stopień </w:t>
      </w:r>
      <w:r>
        <w:rPr>
          <w:szCs w:val="19"/>
        </w:rPr>
        <w:t>był</w:t>
      </w:r>
      <w:r w:rsidRPr="003B14F2">
        <w:rPr>
          <w:szCs w:val="19"/>
        </w:rPr>
        <w:t xml:space="preserve"> duży (odpowiednie odsetki to 24,2% dla mężczyzn i 22,</w:t>
      </w:r>
      <w:r>
        <w:rPr>
          <w:szCs w:val="19"/>
        </w:rPr>
        <w:t>4</w:t>
      </w:r>
      <w:r w:rsidRPr="003B14F2">
        <w:rPr>
          <w:szCs w:val="19"/>
        </w:rPr>
        <w:t>% dla kobiet).</w:t>
      </w:r>
    </w:p>
    <w:p w14:paraId="29EAB803" w14:textId="31BB4C5F" w:rsidR="000D0CDD" w:rsidRDefault="0045260C" w:rsidP="005B2171">
      <w:pPr>
        <w:pStyle w:val="Lead"/>
        <w:spacing w:before="0"/>
        <w:ind w:left="993" w:hanging="993"/>
      </w:pPr>
      <w:r w:rsidRPr="00BE406A">
        <w:rPr>
          <w:sz w:val="16"/>
          <w:szCs w:val="16"/>
        </w:rPr>
        <w:drawing>
          <wp:anchor distT="0" distB="0" distL="114300" distR="114300" simplePos="0" relativeHeight="252051456" behindDoc="0" locked="0" layoutInCell="1" allowOverlap="1" wp14:anchorId="00773D6F" wp14:editId="2F7AD5D5">
            <wp:simplePos x="0" y="0"/>
            <wp:positionH relativeFrom="margin">
              <wp:align>left</wp:align>
            </wp:positionH>
            <wp:positionV relativeFrom="paragraph">
              <wp:posOffset>339752</wp:posOffset>
            </wp:positionV>
            <wp:extent cx="5100955" cy="2743200"/>
            <wp:effectExtent l="0" t="0" r="4445" b="0"/>
            <wp:wrapSquare wrapText="bothSides"/>
            <wp:docPr id="24" name="Obraz 24" descr="Wykres przedstawia zgodność dziedziny wykształcenia osób w wieku 15-34 lata z wymaganiami potrzebnymi do wykonywania pracy głównej według płci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2748" cy="2749326"/>
                    </a:xfrm>
                    <a:prstGeom prst="rect">
                      <a:avLst/>
                    </a:prstGeom>
                    <a:noFill/>
                  </pic:spPr>
                </pic:pic>
              </a:graphicData>
            </a:graphic>
            <wp14:sizeRelH relativeFrom="page">
              <wp14:pctWidth>0</wp14:pctWidth>
            </wp14:sizeRelH>
            <wp14:sizeRelV relativeFrom="page">
              <wp14:pctHeight>0</wp14:pctHeight>
            </wp14:sizeRelV>
          </wp:anchor>
        </w:drawing>
      </w:r>
      <w:r w:rsidR="000D0CDD" w:rsidRPr="00BE406A">
        <w:t>Wykres 4.</w:t>
      </w:r>
      <w:r w:rsidR="000D0CDD">
        <w:t xml:space="preserve"> </w:t>
      </w:r>
      <w:r w:rsidR="005B2171">
        <w:tab/>
      </w:r>
      <w:r w:rsidR="000D0CDD" w:rsidRPr="00E12F40">
        <w:t xml:space="preserve">Zgodność </w:t>
      </w:r>
      <w:r w:rsidR="000D0CDD">
        <w:t xml:space="preserve">dziedziny wykształcenia osób w wieku 15-34 lata </w:t>
      </w:r>
      <w:r w:rsidR="000D0CDD" w:rsidRPr="00E12F40">
        <w:t>z wymaganiami potrzebnymi do wykonywania pracy głównej według płci</w:t>
      </w:r>
      <w:r w:rsidR="000D0CDD">
        <w:t xml:space="preserve"> (w %)</w:t>
      </w:r>
    </w:p>
    <w:p w14:paraId="2CA2078F" w14:textId="115BADDD" w:rsidR="000D0CDD" w:rsidRPr="0098463B" w:rsidRDefault="000D0CDD" w:rsidP="000D0CDD">
      <w:pPr>
        <w:spacing w:before="0" w:after="240" w:line="288" w:lineRule="auto"/>
        <w:ind w:left="567" w:hanging="567"/>
        <w:rPr>
          <w:sz w:val="16"/>
          <w:szCs w:val="16"/>
        </w:rPr>
      </w:pPr>
      <w:r w:rsidRPr="0098463B">
        <w:rPr>
          <w:sz w:val="16"/>
          <w:szCs w:val="16"/>
        </w:rPr>
        <w:t xml:space="preserve">Uwaga. Na wykresie nie uwzględniono pozycji „najwyższy poziom formalnego wykształcenia w czasie ostatnio wykonywanej pracy nie miał określonego kierunku ani dziedziny” dla osób pracujących w przeszłości. </w:t>
      </w:r>
      <w:r>
        <w:rPr>
          <w:sz w:val="16"/>
          <w:szCs w:val="16"/>
        </w:rPr>
        <w:t>Konkretna wartość nie może być pokazana ze względu na wysoki losowy błąd próby.</w:t>
      </w:r>
      <w:r w:rsidRPr="0098463B">
        <w:rPr>
          <w:sz w:val="16"/>
          <w:szCs w:val="16"/>
        </w:rPr>
        <w:t xml:space="preserve">                       </w:t>
      </w:r>
    </w:p>
    <w:p w14:paraId="5F08C2D4" w14:textId="7EBCBD7C" w:rsidR="000D0CDD" w:rsidRDefault="00841503" w:rsidP="000D0CDD">
      <w:pPr>
        <w:spacing w:before="0" w:line="288" w:lineRule="auto"/>
        <w:rPr>
          <w:szCs w:val="19"/>
        </w:rPr>
      </w:pPr>
      <w:r w:rsidRPr="00D53B61">
        <w:rPr>
          <w:noProof/>
          <w:szCs w:val="19"/>
          <w:lang w:eastAsia="pl-PL"/>
        </w:rPr>
        <mc:AlternateContent>
          <mc:Choice Requires="wps">
            <w:drawing>
              <wp:anchor distT="0" distB="0" distL="114300" distR="114300" simplePos="0" relativeHeight="252063744" behindDoc="0" locked="0" layoutInCell="1" allowOverlap="1" wp14:anchorId="424334B6" wp14:editId="69D8D352">
                <wp:simplePos x="0" y="0"/>
                <wp:positionH relativeFrom="page">
                  <wp:posOffset>5754271</wp:posOffset>
                </wp:positionH>
                <wp:positionV relativeFrom="paragraph">
                  <wp:posOffset>4857</wp:posOffset>
                </wp:positionV>
                <wp:extent cx="1619250" cy="1573481"/>
                <wp:effectExtent l="0" t="0" r="0" b="0"/>
                <wp:wrapNone/>
                <wp:docPr id="27" name="Pole tekstowe 27" descr="Dla 80,1% osób, które zdobyły wykształcenia w dziedzinie zdrowia i opieki społecznej, zaobserwowano zgodność dziedziny wykształcenia z wymaganiami w pracy w stopniu bardzo dużym lub dużym"/>
                <wp:cNvGraphicFramePr/>
                <a:graphic xmlns:a="http://schemas.openxmlformats.org/drawingml/2006/main">
                  <a:graphicData uri="http://schemas.microsoft.com/office/word/2010/wordprocessingShape">
                    <wps:wsp>
                      <wps:cNvSpPr txBox="1"/>
                      <wps:spPr>
                        <a:xfrm>
                          <a:off x="0" y="0"/>
                          <a:ext cx="1619250" cy="1573481"/>
                        </a:xfrm>
                        <a:prstGeom prst="rect">
                          <a:avLst/>
                        </a:prstGeom>
                        <a:noFill/>
                        <a:ln w="6350">
                          <a:noFill/>
                        </a:ln>
                      </wps:spPr>
                      <wps:txbx>
                        <w:txbxContent>
                          <w:p w14:paraId="75141447" w14:textId="36EC8930" w:rsidR="00352C44" w:rsidRPr="00FC0B9D" w:rsidRDefault="00352C44" w:rsidP="00D310BE">
                            <w:pPr>
                              <w:rPr>
                                <w:color w:val="001D77"/>
                                <w:sz w:val="18"/>
                                <w:szCs w:val="18"/>
                              </w:rPr>
                            </w:pPr>
                            <w:r w:rsidRPr="00FC0B9D">
                              <w:rPr>
                                <w:color w:val="001D77"/>
                                <w:sz w:val="18"/>
                                <w:szCs w:val="18"/>
                              </w:rPr>
                              <w:t>Dla 80,1% osób, które zdobyły wykształcenia w</w:t>
                            </w:r>
                            <w:r>
                              <w:rPr>
                                <w:color w:val="001D77"/>
                                <w:sz w:val="18"/>
                                <w:szCs w:val="18"/>
                              </w:rPr>
                              <w:t> </w:t>
                            </w:r>
                            <w:r w:rsidRPr="00FC0B9D">
                              <w:rPr>
                                <w:color w:val="001D77"/>
                                <w:sz w:val="18"/>
                                <w:szCs w:val="18"/>
                              </w:rPr>
                              <w:t>dziedzinie zdrowia i</w:t>
                            </w:r>
                            <w:r>
                              <w:rPr>
                                <w:color w:val="001D77"/>
                                <w:sz w:val="18"/>
                                <w:szCs w:val="18"/>
                              </w:rPr>
                              <w:t> </w:t>
                            </w:r>
                            <w:r w:rsidRPr="00FC0B9D">
                              <w:rPr>
                                <w:color w:val="001D77"/>
                                <w:sz w:val="18"/>
                                <w:szCs w:val="18"/>
                              </w:rPr>
                              <w:t>opieki społecznej, zaobserwo</w:t>
                            </w:r>
                            <w:r>
                              <w:rPr>
                                <w:color w:val="001D77"/>
                                <w:sz w:val="18"/>
                                <w:szCs w:val="18"/>
                              </w:rPr>
                              <w:softHyphen/>
                            </w:r>
                            <w:r w:rsidRPr="00FC0B9D">
                              <w:rPr>
                                <w:color w:val="001D77"/>
                                <w:sz w:val="18"/>
                                <w:szCs w:val="18"/>
                              </w:rPr>
                              <w:t>wano zgodność dziedziny wykształcenia z</w:t>
                            </w:r>
                            <w:r>
                              <w:rPr>
                                <w:color w:val="001D77"/>
                                <w:sz w:val="18"/>
                                <w:szCs w:val="18"/>
                              </w:rPr>
                              <w:t> </w:t>
                            </w:r>
                            <w:r w:rsidRPr="00FC0B9D">
                              <w:rPr>
                                <w:color w:val="001D77"/>
                                <w:sz w:val="18"/>
                                <w:szCs w:val="18"/>
                              </w:rPr>
                              <w:t>wymaganiami w pracy w stopniu bardzo dużym lub dużym</w:t>
                            </w:r>
                          </w:p>
                          <w:p w14:paraId="1E5AF0EA" w14:textId="77777777" w:rsidR="00352C44" w:rsidRPr="006A3FF9" w:rsidRDefault="00352C44" w:rsidP="00D310BE">
                            <w:pPr>
                              <w:rPr>
                                <w:color w:val="001D77"/>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334B6" id="Pole tekstowe 27" o:spid="_x0000_s1039" type="#_x0000_t202" alt="Dla 80,1% osób, które zdobyły wykształcenia w dziedzinie zdrowia i opieki społecznej, zaobserwowano zgodność dziedziny wykształcenia z wymaganiami w pracy w stopniu bardzo dużym lub dużym" style="position:absolute;margin-left:453.1pt;margin-top:.4pt;width:127.5pt;height:123.9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" filled="f" stroked="f" strokeweight=".5pt">
                <v:textbox>
                  <w:txbxContent>
                    <w:p w14:paraId="75141447" w14:textId="36EC8930" w:rsidR="00352C44" w:rsidRPr="00FC0B9D" w:rsidRDefault="00352C44" w:rsidP="00D310BE">
                      <w:pPr>
                        <w:rPr>
                          <w:color w:val="001D77"/>
                          <w:sz w:val="18"/>
                          <w:szCs w:val="18"/>
                        </w:rPr>
                      </w:pPr>
                      <w:r w:rsidRPr="00FC0B9D">
                        <w:rPr>
                          <w:color w:val="001D77"/>
                          <w:sz w:val="18"/>
                          <w:szCs w:val="18"/>
                        </w:rPr>
                        <w:t>Dla 80,1% osób, które zdobyły wykształcenia w</w:t>
                      </w:r>
                      <w:r>
                        <w:rPr>
                          <w:color w:val="001D77"/>
                          <w:sz w:val="18"/>
                          <w:szCs w:val="18"/>
                        </w:rPr>
                        <w:t> </w:t>
                      </w:r>
                      <w:r w:rsidRPr="00FC0B9D">
                        <w:rPr>
                          <w:color w:val="001D77"/>
                          <w:sz w:val="18"/>
                          <w:szCs w:val="18"/>
                        </w:rPr>
                        <w:t>dziedzinie zdrowia i</w:t>
                      </w:r>
                      <w:r>
                        <w:rPr>
                          <w:color w:val="001D77"/>
                          <w:sz w:val="18"/>
                          <w:szCs w:val="18"/>
                        </w:rPr>
                        <w:t> </w:t>
                      </w:r>
                      <w:r w:rsidRPr="00FC0B9D">
                        <w:rPr>
                          <w:color w:val="001D77"/>
                          <w:sz w:val="18"/>
                          <w:szCs w:val="18"/>
                        </w:rPr>
                        <w:t>opieki społecznej, zaobserwo</w:t>
                      </w:r>
                      <w:r>
                        <w:rPr>
                          <w:color w:val="001D77"/>
                          <w:sz w:val="18"/>
                          <w:szCs w:val="18"/>
                        </w:rPr>
                        <w:softHyphen/>
                      </w:r>
                      <w:r w:rsidRPr="00FC0B9D">
                        <w:rPr>
                          <w:color w:val="001D77"/>
                          <w:sz w:val="18"/>
                          <w:szCs w:val="18"/>
                        </w:rPr>
                        <w:t>wano zgodność dziedziny wykształcenia z</w:t>
                      </w:r>
                      <w:r>
                        <w:rPr>
                          <w:color w:val="001D77"/>
                          <w:sz w:val="18"/>
                          <w:szCs w:val="18"/>
                        </w:rPr>
                        <w:t> </w:t>
                      </w:r>
                      <w:r w:rsidRPr="00FC0B9D">
                        <w:rPr>
                          <w:color w:val="001D77"/>
                          <w:sz w:val="18"/>
                          <w:szCs w:val="18"/>
                        </w:rPr>
                        <w:t>wymaganiami w pracy w stopniu bardzo dużym lub dużym</w:t>
                      </w:r>
                    </w:p>
                    <w:p w14:paraId="1E5AF0EA" w14:textId="77777777" w:rsidR="00352C44" w:rsidRPr="006A3FF9" w:rsidRDefault="00352C44" w:rsidP="00D310BE">
                      <w:pPr>
                        <w:rPr>
                          <w:color w:val="001D77"/>
                          <w:sz w:val="18"/>
                          <w:szCs w:val="18"/>
                        </w:rPr>
                      </w:pPr>
                    </w:p>
                  </w:txbxContent>
                </v:textbox>
                <w10:wrap anchorx="page"/>
              </v:shape>
            </w:pict>
          </mc:Fallback>
        </mc:AlternateContent>
      </w:r>
      <w:r w:rsidR="000D0CDD">
        <w:rPr>
          <w:szCs w:val="19"/>
        </w:rPr>
        <w:t xml:space="preserve">Dla osób pracujących </w:t>
      </w:r>
      <w:r w:rsidR="00507F7C">
        <w:rPr>
          <w:szCs w:val="19"/>
        </w:rPr>
        <w:t>w momencie przeprowadzania badania</w:t>
      </w:r>
      <w:r w:rsidR="000D0CDD">
        <w:rPr>
          <w:szCs w:val="19"/>
        </w:rPr>
        <w:t xml:space="preserve">, dla których znana </w:t>
      </w:r>
      <w:r w:rsidR="00507F7C">
        <w:rPr>
          <w:szCs w:val="19"/>
        </w:rPr>
        <w:t xml:space="preserve">była </w:t>
      </w:r>
      <w:r w:rsidR="000D0CDD">
        <w:rPr>
          <w:szCs w:val="19"/>
        </w:rPr>
        <w:t xml:space="preserve">dziedzina </w:t>
      </w:r>
      <w:r w:rsidR="00507F7C">
        <w:rPr>
          <w:szCs w:val="19"/>
        </w:rPr>
        <w:t xml:space="preserve">posiadanego </w:t>
      </w:r>
      <w:r w:rsidR="000D0CDD">
        <w:rPr>
          <w:szCs w:val="19"/>
        </w:rPr>
        <w:t>wykształcenia (4</w:t>
      </w:r>
      <w:r w:rsidR="004957D7">
        <w:rPr>
          <w:szCs w:val="19"/>
        </w:rPr>
        <w:t> </w:t>
      </w:r>
      <w:r w:rsidR="000D0CDD">
        <w:rPr>
          <w:szCs w:val="19"/>
        </w:rPr>
        <w:t>506</w:t>
      </w:r>
      <w:r w:rsidR="004957D7">
        <w:rPr>
          <w:szCs w:val="19"/>
        </w:rPr>
        <w:t> </w:t>
      </w:r>
      <w:r w:rsidR="000D0CDD">
        <w:rPr>
          <w:szCs w:val="19"/>
        </w:rPr>
        <w:t>tys.) można prześledzić, która dziedzina jest najbar</w:t>
      </w:r>
      <w:r w:rsidR="00FC0DFE">
        <w:rPr>
          <w:szCs w:val="19"/>
        </w:rPr>
        <w:softHyphen/>
      </w:r>
      <w:r w:rsidR="000D0CDD">
        <w:rPr>
          <w:szCs w:val="19"/>
        </w:rPr>
        <w:t>dziej zgodna z wymaganiami potrzebnymi do wykonywanej pracy. Dla 80,1% osób, które zdobyły wykształcenia w dziedzinie zdrowia i opieki społecznej, zaobserwowano zgodność w</w:t>
      </w:r>
      <w:r w:rsidR="00FC0DFE">
        <w:rPr>
          <w:szCs w:val="19"/>
        </w:rPr>
        <w:t> </w:t>
      </w:r>
      <w:r w:rsidR="000D0CDD">
        <w:rPr>
          <w:szCs w:val="19"/>
        </w:rPr>
        <w:t>stopniu bardzo dużym lub dużym. Dla 12,7% osób odnotowano zgodność w</w:t>
      </w:r>
      <w:r w:rsidR="006C12FA">
        <w:rPr>
          <w:szCs w:val="19"/>
        </w:rPr>
        <w:t> </w:t>
      </w:r>
      <w:r w:rsidR="000D0CDD">
        <w:rPr>
          <w:szCs w:val="19"/>
        </w:rPr>
        <w:t>stopniu małym lub dziedzina ta w ogóle nie odpowiadała wymaganiom w pracy. Ta druga grupa, której dziedzina wykształcenia w ogóle nie odpowiadała wykonywanej pracy stanowiła 8,8% osób. Należy zaznaczyć, że żadna osoba z tej grupy nie pracowała w sekcji</w:t>
      </w:r>
      <w:r w:rsidR="000D0CDD" w:rsidRPr="001C5B65">
        <w:t xml:space="preserve"> </w:t>
      </w:r>
      <w:r w:rsidR="000D0CDD">
        <w:t>„</w:t>
      </w:r>
      <w:r w:rsidR="000D0CDD">
        <w:rPr>
          <w:szCs w:val="19"/>
        </w:rPr>
        <w:t>o</w:t>
      </w:r>
      <w:r w:rsidR="000D0CDD" w:rsidRPr="001C5B65">
        <w:rPr>
          <w:szCs w:val="19"/>
        </w:rPr>
        <w:t>pieka zdrowotna i</w:t>
      </w:r>
      <w:r w:rsidR="003804A3">
        <w:rPr>
          <w:szCs w:val="19"/>
        </w:rPr>
        <w:t> </w:t>
      </w:r>
      <w:r w:rsidR="000D0CDD" w:rsidRPr="001C5B65">
        <w:rPr>
          <w:szCs w:val="19"/>
        </w:rPr>
        <w:t>pomoc społeczna</w:t>
      </w:r>
      <w:r w:rsidR="000D0CDD">
        <w:rPr>
          <w:szCs w:val="19"/>
        </w:rPr>
        <w:t>”</w:t>
      </w:r>
      <w:r w:rsidR="000D0CDD" w:rsidRPr="001C5B65">
        <w:rPr>
          <w:szCs w:val="19"/>
        </w:rPr>
        <w:t xml:space="preserve">. </w:t>
      </w:r>
      <w:r w:rsidR="000D0CDD">
        <w:rPr>
          <w:szCs w:val="19"/>
        </w:rPr>
        <w:t xml:space="preserve">  </w:t>
      </w:r>
    </w:p>
    <w:p w14:paraId="6E271C99" w14:textId="77777777" w:rsidR="000D0CDD" w:rsidRDefault="000D0CDD" w:rsidP="000D0CDD">
      <w:pPr>
        <w:spacing w:before="0" w:line="288" w:lineRule="auto"/>
        <w:rPr>
          <w:szCs w:val="19"/>
        </w:rPr>
      </w:pPr>
      <w:r>
        <w:rPr>
          <w:szCs w:val="19"/>
        </w:rPr>
        <w:t>Stopień zgodności bardzo duży lub duży odnotowano dla 61,9% osób</w:t>
      </w:r>
      <w:r w:rsidR="00FB5AC7">
        <w:rPr>
          <w:szCs w:val="19"/>
        </w:rPr>
        <w:t xml:space="preserve"> z wykształceniem w</w:t>
      </w:r>
      <w:r w:rsidR="00A526E6">
        <w:rPr>
          <w:szCs w:val="19"/>
        </w:rPr>
        <w:t> </w:t>
      </w:r>
      <w:r>
        <w:rPr>
          <w:szCs w:val="19"/>
        </w:rPr>
        <w:t>dziedzin</w:t>
      </w:r>
      <w:r w:rsidR="00FB5AC7">
        <w:rPr>
          <w:szCs w:val="19"/>
        </w:rPr>
        <w:t>ie</w:t>
      </w:r>
      <w:r>
        <w:rPr>
          <w:szCs w:val="19"/>
        </w:rPr>
        <w:t xml:space="preserve"> „k</w:t>
      </w:r>
      <w:r w:rsidRPr="00562986">
        <w:rPr>
          <w:szCs w:val="19"/>
        </w:rPr>
        <w:t>ształcenie nauczycieli, pedagogika</w:t>
      </w:r>
      <w:r>
        <w:rPr>
          <w:szCs w:val="19"/>
        </w:rPr>
        <w:t>”, natomiast dla 15,5% dziedzina ta odpowia</w:t>
      </w:r>
      <w:r w:rsidR="00FC0DFE">
        <w:rPr>
          <w:szCs w:val="19"/>
        </w:rPr>
        <w:softHyphen/>
      </w:r>
      <w:r>
        <w:rPr>
          <w:szCs w:val="19"/>
        </w:rPr>
        <w:t xml:space="preserve">dała wymaganiom w pracy w stopniu małym lub w ogóle nie odpowiadała. </w:t>
      </w:r>
    </w:p>
    <w:p w14:paraId="6D8114C3" w14:textId="5F4A2AEB" w:rsidR="000D0CDD" w:rsidRDefault="000D0CDD" w:rsidP="000D0CDD">
      <w:pPr>
        <w:spacing w:before="0" w:line="288" w:lineRule="auto"/>
        <w:rPr>
          <w:szCs w:val="19"/>
        </w:rPr>
      </w:pPr>
      <w:r>
        <w:rPr>
          <w:szCs w:val="19"/>
        </w:rPr>
        <w:t xml:space="preserve">Najliczniejszą grupą były osoby </w:t>
      </w:r>
      <w:r w:rsidR="00FB5AC7">
        <w:rPr>
          <w:szCs w:val="19"/>
        </w:rPr>
        <w:t xml:space="preserve">wykształcone w </w:t>
      </w:r>
      <w:r>
        <w:rPr>
          <w:szCs w:val="19"/>
        </w:rPr>
        <w:t>dziedzin</w:t>
      </w:r>
      <w:r w:rsidR="00FB5AC7">
        <w:rPr>
          <w:szCs w:val="19"/>
        </w:rPr>
        <w:t>ie</w:t>
      </w:r>
      <w:r>
        <w:rPr>
          <w:szCs w:val="19"/>
        </w:rPr>
        <w:t xml:space="preserve"> „t</w:t>
      </w:r>
      <w:r w:rsidRPr="009B45D5">
        <w:rPr>
          <w:szCs w:val="19"/>
        </w:rPr>
        <w:t>echnika, przemysł, budownictwo</w:t>
      </w:r>
      <w:r>
        <w:rPr>
          <w:szCs w:val="19"/>
        </w:rPr>
        <w:t>”. Ponad połowa z nich (50,3%) określiła stopień dopasowania tej dziedziny do wykonywanej pracy jako duży lub bardzo duży, natomiast 21,6% jako mały lub dziedzina w</w:t>
      </w:r>
      <w:r w:rsidR="004957D7">
        <w:rPr>
          <w:szCs w:val="19"/>
        </w:rPr>
        <w:t> </w:t>
      </w:r>
      <w:r>
        <w:rPr>
          <w:szCs w:val="19"/>
        </w:rPr>
        <w:t>ogóle nie</w:t>
      </w:r>
      <w:r w:rsidR="00A526E6">
        <w:rPr>
          <w:szCs w:val="19"/>
        </w:rPr>
        <w:t> </w:t>
      </w:r>
      <w:r>
        <w:rPr>
          <w:szCs w:val="19"/>
        </w:rPr>
        <w:t>odpowiadała</w:t>
      </w:r>
      <w:r w:rsidR="00FB5AC7">
        <w:rPr>
          <w:szCs w:val="19"/>
        </w:rPr>
        <w:t xml:space="preserve"> potrzebom wykonywanej pracy głównej</w:t>
      </w:r>
      <w:r>
        <w:rPr>
          <w:szCs w:val="19"/>
        </w:rPr>
        <w:t>.</w:t>
      </w:r>
    </w:p>
    <w:p w14:paraId="0C066E5C" w14:textId="3E6AD473" w:rsidR="000D0CDD" w:rsidRDefault="000D0CDD" w:rsidP="00DF6E22">
      <w:pPr>
        <w:spacing w:before="0" w:line="288" w:lineRule="auto"/>
        <w:rPr>
          <w:szCs w:val="19"/>
        </w:rPr>
      </w:pPr>
      <w:r>
        <w:rPr>
          <w:szCs w:val="19"/>
        </w:rPr>
        <w:t>Największy odsetek dopasowania dziedziny wykształcenia (w stopniu bardzo dużym lub dużym) do wykonywanej pracy odnotowano dla specjalistów (74,8%). Dopasowanie w</w:t>
      </w:r>
      <w:r w:rsidR="004957D7">
        <w:rPr>
          <w:szCs w:val="19"/>
        </w:rPr>
        <w:t> </w:t>
      </w:r>
      <w:r>
        <w:rPr>
          <w:szCs w:val="19"/>
        </w:rPr>
        <w:t>stopniu małym lub dziedzina wykształcenia w ogóle nie odpowiadała wykonywanej pracy, wystąpiło dla 9,8% osób z tej grupy zawodowej. Najniższy odsetek dopasowania zauważono w grupie pracowników wykonujących prace proste – na stopień bardzo duży lub duży wskazało 18,0%, stopień mały i w ogóle nie odpowiadający – 31,4%, natomiast 24,1% osób odpowiedziało, że</w:t>
      </w:r>
      <w:r w:rsidRPr="003505AF">
        <w:t xml:space="preserve"> </w:t>
      </w:r>
      <w:r w:rsidRPr="003505AF">
        <w:rPr>
          <w:szCs w:val="19"/>
        </w:rPr>
        <w:t>praca nie wymagała konkretnej dziedziny wykształcenia</w:t>
      </w:r>
      <w:r>
        <w:rPr>
          <w:szCs w:val="19"/>
        </w:rPr>
        <w:t xml:space="preserve">. </w:t>
      </w:r>
    </w:p>
    <w:p w14:paraId="6DC47A17" w14:textId="77777777" w:rsidR="009A7993" w:rsidRDefault="009A7993" w:rsidP="002E65A8">
      <w:pPr>
        <w:pStyle w:val="Tekstkomentarza"/>
        <w:spacing w:line="288" w:lineRule="auto"/>
      </w:pPr>
      <w:r>
        <w:rPr>
          <w:sz w:val="19"/>
          <w:szCs w:val="19"/>
        </w:rPr>
        <w:t>Szczegółowe</w:t>
      </w:r>
      <w:r w:rsidRPr="00F77F07">
        <w:rPr>
          <w:sz w:val="19"/>
          <w:szCs w:val="19"/>
        </w:rPr>
        <w:t xml:space="preserve"> dane </w:t>
      </w:r>
      <w:r>
        <w:rPr>
          <w:sz w:val="19"/>
          <w:szCs w:val="19"/>
        </w:rPr>
        <w:t xml:space="preserve">dotyczące </w:t>
      </w:r>
      <w:r w:rsidRPr="00F77F07">
        <w:rPr>
          <w:sz w:val="19"/>
          <w:szCs w:val="19"/>
        </w:rPr>
        <w:t xml:space="preserve"> dopasowani</w:t>
      </w:r>
      <w:r>
        <w:rPr>
          <w:sz w:val="19"/>
          <w:szCs w:val="19"/>
        </w:rPr>
        <w:t>a</w:t>
      </w:r>
      <w:r w:rsidRPr="00F77F07">
        <w:rPr>
          <w:sz w:val="19"/>
          <w:szCs w:val="19"/>
        </w:rPr>
        <w:t xml:space="preserve"> dziedziny</w:t>
      </w:r>
      <w:r w:rsidRPr="00EE16C5">
        <w:t xml:space="preserve"> </w:t>
      </w:r>
      <w:r w:rsidRPr="00EE16C5">
        <w:rPr>
          <w:sz w:val="19"/>
          <w:szCs w:val="19"/>
        </w:rPr>
        <w:t>wykształcenia</w:t>
      </w:r>
      <w:r w:rsidRPr="00F77F07">
        <w:rPr>
          <w:sz w:val="19"/>
          <w:szCs w:val="19"/>
        </w:rPr>
        <w:t xml:space="preserve"> dla pracujących (</w:t>
      </w:r>
      <w:r w:rsidR="00AA469E">
        <w:rPr>
          <w:sz w:val="19"/>
          <w:szCs w:val="19"/>
        </w:rPr>
        <w:t>w</w:t>
      </w:r>
      <w:r w:rsidR="0053188D">
        <w:rPr>
          <w:sz w:val="19"/>
          <w:szCs w:val="19"/>
        </w:rPr>
        <w:t> </w:t>
      </w:r>
      <w:r w:rsidR="00AA469E">
        <w:rPr>
          <w:sz w:val="19"/>
          <w:szCs w:val="19"/>
        </w:rPr>
        <w:t>czasie badania</w:t>
      </w:r>
      <w:r w:rsidR="00AA469E" w:rsidRPr="00F77F07">
        <w:rPr>
          <w:sz w:val="19"/>
          <w:szCs w:val="19"/>
        </w:rPr>
        <w:t xml:space="preserve"> </w:t>
      </w:r>
      <w:r w:rsidRPr="00F77F07">
        <w:rPr>
          <w:sz w:val="19"/>
          <w:szCs w:val="19"/>
        </w:rPr>
        <w:t>i w przeszłości) według sektora zatrudnienia, grup zawodowych i sekcji PKD</w:t>
      </w:r>
      <w:r>
        <w:rPr>
          <w:sz w:val="19"/>
          <w:szCs w:val="19"/>
        </w:rPr>
        <w:t xml:space="preserve"> s</w:t>
      </w:r>
      <w:r w:rsidRPr="00F77F07">
        <w:rPr>
          <w:sz w:val="19"/>
          <w:szCs w:val="19"/>
        </w:rPr>
        <w:t>ą dostępne w</w:t>
      </w:r>
      <w:r>
        <w:rPr>
          <w:sz w:val="19"/>
          <w:szCs w:val="19"/>
        </w:rPr>
        <w:t> </w:t>
      </w:r>
      <w:r w:rsidRPr="00F77F07">
        <w:rPr>
          <w:sz w:val="19"/>
          <w:szCs w:val="19"/>
        </w:rPr>
        <w:t>załączonych tablicach.</w:t>
      </w:r>
    </w:p>
    <w:p w14:paraId="258CA6D0" w14:textId="77777777" w:rsidR="00EA00D4" w:rsidRDefault="00EA00D4" w:rsidP="006120ED">
      <w:pPr>
        <w:pStyle w:val="Nagwek1"/>
        <w:spacing w:before="240"/>
        <w:rPr>
          <w:rFonts w:ascii="Fira Sans" w:hAnsi="Fira Sans"/>
          <w:b/>
          <w:szCs w:val="19"/>
        </w:rPr>
      </w:pPr>
      <w:r>
        <w:rPr>
          <w:rFonts w:ascii="Fira Sans" w:hAnsi="Fira Sans"/>
          <w:b/>
          <w:szCs w:val="19"/>
        </w:rPr>
        <w:br w:type="page"/>
      </w:r>
    </w:p>
    <w:p w14:paraId="1FE8471E" w14:textId="77777777" w:rsidR="000D0CDD" w:rsidRDefault="000D0CDD" w:rsidP="006120ED">
      <w:pPr>
        <w:pStyle w:val="Nagwek1"/>
        <w:spacing w:before="240"/>
        <w:rPr>
          <w:rFonts w:ascii="Fira Sans" w:hAnsi="Fira Sans"/>
          <w:b/>
          <w:szCs w:val="19"/>
        </w:rPr>
      </w:pPr>
      <w:r w:rsidRPr="006120ED">
        <w:rPr>
          <w:rFonts w:ascii="Fira Sans" w:hAnsi="Fira Sans"/>
          <w:b/>
          <w:szCs w:val="19"/>
        </w:rPr>
        <w:lastRenderedPageBreak/>
        <w:t>Zgodność umiejętności osób w wieku 15-34 lata z wymaganiami potrzebnymi do wykonywania pracy głównej</w:t>
      </w:r>
    </w:p>
    <w:p w14:paraId="2CFCFD4D" w14:textId="77777777" w:rsidR="000D0CDD" w:rsidRPr="00430A5C" w:rsidRDefault="000D0CDD" w:rsidP="000D0CDD">
      <w:pPr>
        <w:spacing w:before="0" w:line="288" w:lineRule="auto"/>
        <w:rPr>
          <w:i/>
          <w:sz w:val="18"/>
          <w:szCs w:val="18"/>
        </w:rPr>
      </w:pPr>
      <w:r w:rsidRPr="00430A5C">
        <w:rPr>
          <w:i/>
          <w:sz w:val="18"/>
          <w:szCs w:val="18"/>
        </w:rPr>
        <w:t xml:space="preserve">Przez </w:t>
      </w:r>
      <w:r w:rsidR="00075E93" w:rsidRPr="00430A5C">
        <w:rPr>
          <w:i/>
          <w:sz w:val="18"/>
          <w:szCs w:val="18"/>
        </w:rPr>
        <w:t>„</w:t>
      </w:r>
      <w:r w:rsidR="008E2E0C" w:rsidRPr="00430A5C">
        <w:rPr>
          <w:i/>
          <w:sz w:val="18"/>
          <w:szCs w:val="18"/>
        </w:rPr>
        <w:t>u</w:t>
      </w:r>
      <w:r w:rsidRPr="00430A5C">
        <w:rPr>
          <w:i/>
          <w:sz w:val="18"/>
          <w:szCs w:val="18"/>
        </w:rPr>
        <w:t>miejętności" rozumiano w badaniu całą wiedzę, zdolności, kompetencje i</w:t>
      </w:r>
      <w:r w:rsidR="005B2171" w:rsidRPr="00430A5C">
        <w:rPr>
          <w:i/>
          <w:sz w:val="18"/>
          <w:szCs w:val="18"/>
        </w:rPr>
        <w:t> </w:t>
      </w:r>
      <w:r w:rsidRPr="00430A5C">
        <w:rPr>
          <w:i/>
          <w:sz w:val="18"/>
          <w:szCs w:val="18"/>
        </w:rPr>
        <w:t>doświad</w:t>
      </w:r>
      <w:r w:rsidR="00AA488D" w:rsidRPr="00430A5C">
        <w:rPr>
          <w:i/>
          <w:sz w:val="18"/>
          <w:szCs w:val="18"/>
        </w:rPr>
        <w:softHyphen/>
      </w:r>
      <w:r w:rsidRPr="00430A5C">
        <w:rPr>
          <w:i/>
          <w:sz w:val="18"/>
          <w:szCs w:val="18"/>
        </w:rPr>
        <w:t>cze</w:t>
      </w:r>
      <w:r w:rsidR="00AA488D" w:rsidRPr="00430A5C">
        <w:rPr>
          <w:i/>
          <w:sz w:val="18"/>
          <w:szCs w:val="18"/>
        </w:rPr>
        <w:softHyphen/>
      </w:r>
      <w:r w:rsidRPr="00430A5C">
        <w:rPr>
          <w:i/>
          <w:sz w:val="18"/>
          <w:szCs w:val="18"/>
        </w:rPr>
        <w:t>nie zdobyte w ramach całej edukacji, szkoleń, staży i pracy.</w:t>
      </w:r>
    </w:p>
    <w:p w14:paraId="008E3DAE" w14:textId="5EE7531E" w:rsidR="000D0CDD" w:rsidRPr="00430A5C" w:rsidRDefault="00FC0B9D" w:rsidP="000D0CDD">
      <w:pPr>
        <w:spacing w:before="0" w:line="288" w:lineRule="auto"/>
        <w:rPr>
          <w:sz w:val="18"/>
          <w:szCs w:val="18"/>
        </w:rPr>
      </w:pPr>
      <w:r w:rsidRPr="00430A5C">
        <w:rPr>
          <w:i/>
          <w:noProof/>
          <w:sz w:val="18"/>
          <w:szCs w:val="18"/>
          <w:lang w:eastAsia="pl-PL"/>
        </w:rPr>
        <mc:AlternateContent>
          <mc:Choice Requires="wps">
            <w:drawing>
              <wp:anchor distT="0" distB="0" distL="114300" distR="114300" simplePos="0" relativeHeight="252017664" behindDoc="0" locked="0" layoutInCell="1" allowOverlap="1" wp14:anchorId="2BA0662C" wp14:editId="4D628C2E">
                <wp:simplePos x="0" y="0"/>
                <wp:positionH relativeFrom="page">
                  <wp:posOffset>5741604</wp:posOffset>
                </wp:positionH>
                <wp:positionV relativeFrom="paragraph">
                  <wp:posOffset>609592</wp:posOffset>
                </wp:positionV>
                <wp:extent cx="1455420" cy="1493520"/>
                <wp:effectExtent l="0" t="0" r="0" b="0"/>
                <wp:wrapNone/>
                <wp:docPr id="2107687564" name="Pole tekstowe 2107687564" descr="Dla 83,7% osób w wieku &#10;15-34 lata pracujących w momencie badania lub w przeszłości umiejętności  odpowiadały lub były wyższe od wymaganych do wykonywania pracy&#10;"/>
                <wp:cNvGraphicFramePr/>
                <a:graphic xmlns:a="http://schemas.openxmlformats.org/drawingml/2006/main">
                  <a:graphicData uri="http://schemas.microsoft.com/office/word/2010/wordprocessingShape">
                    <wps:wsp>
                      <wps:cNvSpPr txBox="1"/>
                      <wps:spPr>
                        <a:xfrm>
                          <a:off x="0" y="0"/>
                          <a:ext cx="1455420" cy="1493520"/>
                        </a:xfrm>
                        <a:prstGeom prst="rect">
                          <a:avLst/>
                        </a:prstGeom>
                        <a:noFill/>
                        <a:ln w="6350">
                          <a:noFill/>
                        </a:ln>
                      </wps:spPr>
                      <wps:txbx>
                        <w:txbxContent>
                          <w:p w14:paraId="0366177F" w14:textId="77777777" w:rsidR="00352C44" w:rsidRPr="00DA008C" w:rsidRDefault="00352C44" w:rsidP="00215C14">
                            <w:pPr>
                              <w:rPr>
                                <w:color w:val="001D77"/>
                                <w:sz w:val="18"/>
                                <w:szCs w:val="18"/>
                              </w:rPr>
                            </w:pPr>
                            <w:r w:rsidRPr="00215C14">
                              <w:rPr>
                                <w:color w:val="001D77"/>
                                <w:sz w:val="18"/>
                                <w:szCs w:val="18"/>
                              </w:rPr>
                              <w:t xml:space="preserve">Dla 83,7% osób w wieku </w:t>
                            </w:r>
                            <w:r>
                              <w:rPr>
                                <w:color w:val="001D77"/>
                                <w:sz w:val="18"/>
                                <w:szCs w:val="18"/>
                              </w:rPr>
                              <w:br/>
                            </w:r>
                            <w:r w:rsidRPr="00215C14">
                              <w:rPr>
                                <w:color w:val="001D77"/>
                                <w:sz w:val="18"/>
                                <w:szCs w:val="18"/>
                              </w:rPr>
                              <w:t xml:space="preserve">15-34 lata pracujących </w:t>
                            </w:r>
                            <w:r>
                              <w:rPr>
                                <w:color w:val="001D77"/>
                                <w:sz w:val="18"/>
                                <w:szCs w:val="18"/>
                              </w:rPr>
                              <w:t>w momencie badania</w:t>
                            </w:r>
                            <w:r w:rsidRPr="00215C14">
                              <w:rPr>
                                <w:color w:val="001D77"/>
                                <w:sz w:val="18"/>
                                <w:szCs w:val="18"/>
                              </w:rPr>
                              <w:t xml:space="preserve"> lub w przeszłości umiejętności  odpowiadały lub były wyższe od wymaganych do wykonywania pracy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662C" id="Pole tekstowe 2107687564" o:spid="_x0000_s1040" type="#_x0000_t202" alt="Dla 83,7% osób w wieku &#10;15-34 lata pracujących w momencie badania lub w przeszłości umiejętności  odpowiadały lub były wyższe od wymaganych do wykonywania pracy&#10;" style="position:absolute;margin-left:452.1pt;margin-top:48pt;width:114.6pt;height:117.6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" filled="f" stroked="f" strokeweight=".5pt">
                <v:textbox>
                  <w:txbxContent>
                    <w:p w14:paraId="0366177F" w14:textId="77777777" w:rsidR="00352C44" w:rsidRPr="00DA008C" w:rsidRDefault="00352C44" w:rsidP="00215C14">
                      <w:pPr>
                        <w:rPr>
                          <w:color w:val="001D77"/>
                          <w:sz w:val="18"/>
                          <w:szCs w:val="18"/>
                        </w:rPr>
                      </w:pPr>
                      <w:r w:rsidRPr="00215C14">
                        <w:rPr>
                          <w:color w:val="001D77"/>
                          <w:sz w:val="18"/>
                          <w:szCs w:val="18"/>
                        </w:rPr>
                        <w:t xml:space="preserve">Dla 83,7% osób w wieku </w:t>
                      </w:r>
                      <w:r>
                        <w:rPr>
                          <w:color w:val="001D77"/>
                          <w:sz w:val="18"/>
                          <w:szCs w:val="18"/>
                        </w:rPr>
                        <w:br/>
                      </w:r>
                      <w:r w:rsidRPr="00215C14">
                        <w:rPr>
                          <w:color w:val="001D77"/>
                          <w:sz w:val="18"/>
                          <w:szCs w:val="18"/>
                        </w:rPr>
                        <w:t xml:space="preserve">15-34 lata pracujących </w:t>
                      </w:r>
                      <w:r>
                        <w:rPr>
                          <w:color w:val="001D77"/>
                          <w:sz w:val="18"/>
                          <w:szCs w:val="18"/>
                        </w:rPr>
                        <w:t>w momencie badania</w:t>
                      </w:r>
                      <w:r w:rsidRPr="00215C14">
                        <w:rPr>
                          <w:color w:val="001D77"/>
                          <w:sz w:val="18"/>
                          <w:szCs w:val="18"/>
                        </w:rPr>
                        <w:t xml:space="preserve"> lub w przeszłości umiejętności  odpowiadały lub były wyższe od wymaganych do wykonywania pracy</w:t>
                      </w:r>
                    </w:p>
                  </w:txbxContent>
                </v:textbox>
                <w10:wrap anchorx="page"/>
              </v:shape>
            </w:pict>
          </mc:Fallback>
        </mc:AlternateContent>
      </w:r>
      <w:r w:rsidR="000D0CDD" w:rsidRPr="00430A5C">
        <w:rPr>
          <w:i/>
          <w:sz w:val="18"/>
          <w:szCs w:val="18"/>
        </w:rPr>
        <w:t xml:space="preserve">W przypadku osób pracujących uzyskane dane odnoszą się do pracy wykonywanej </w:t>
      </w:r>
      <w:r w:rsidR="00AA488D" w:rsidRPr="00430A5C">
        <w:rPr>
          <w:i/>
          <w:sz w:val="18"/>
          <w:szCs w:val="18"/>
        </w:rPr>
        <w:t>w momen</w:t>
      </w:r>
      <w:r w:rsidR="00BA45BB" w:rsidRPr="00430A5C">
        <w:rPr>
          <w:i/>
          <w:sz w:val="18"/>
          <w:szCs w:val="18"/>
        </w:rPr>
        <w:softHyphen/>
      </w:r>
      <w:r w:rsidR="00AA488D" w:rsidRPr="00430A5C">
        <w:rPr>
          <w:i/>
          <w:sz w:val="18"/>
          <w:szCs w:val="18"/>
        </w:rPr>
        <w:t xml:space="preserve">cie przeprowadzania badania modułowego </w:t>
      </w:r>
      <w:r w:rsidR="000D0CDD" w:rsidRPr="00430A5C">
        <w:rPr>
          <w:i/>
          <w:sz w:val="18"/>
          <w:szCs w:val="18"/>
        </w:rPr>
        <w:t>i</w:t>
      </w:r>
      <w:r w:rsidR="005C3AED" w:rsidRPr="00430A5C">
        <w:rPr>
          <w:i/>
          <w:sz w:val="18"/>
          <w:szCs w:val="18"/>
        </w:rPr>
        <w:t> </w:t>
      </w:r>
      <w:r w:rsidR="000D0CDD" w:rsidRPr="00430A5C">
        <w:rPr>
          <w:i/>
          <w:sz w:val="18"/>
          <w:szCs w:val="18"/>
        </w:rPr>
        <w:t>posiadanych umiejętności, w przypadku osób niepracujących, które pracowały w</w:t>
      </w:r>
      <w:r w:rsidR="005C3AED" w:rsidRPr="00430A5C">
        <w:rPr>
          <w:i/>
          <w:sz w:val="18"/>
          <w:szCs w:val="18"/>
        </w:rPr>
        <w:t> </w:t>
      </w:r>
      <w:r w:rsidR="000D0CDD" w:rsidRPr="00430A5C">
        <w:rPr>
          <w:i/>
          <w:sz w:val="18"/>
          <w:szCs w:val="18"/>
        </w:rPr>
        <w:t>przeszłości – odnoszą się do pracy ostatnio wykonywanej i</w:t>
      </w:r>
      <w:r w:rsidR="006C12FA">
        <w:rPr>
          <w:i/>
          <w:sz w:val="18"/>
          <w:szCs w:val="18"/>
        </w:rPr>
        <w:t> </w:t>
      </w:r>
      <w:r w:rsidR="000D0CDD" w:rsidRPr="00430A5C">
        <w:rPr>
          <w:i/>
          <w:sz w:val="18"/>
          <w:szCs w:val="18"/>
        </w:rPr>
        <w:t>umiejętności posiadanych w</w:t>
      </w:r>
      <w:r w:rsidR="005C3AED" w:rsidRPr="00430A5C">
        <w:rPr>
          <w:i/>
          <w:sz w:val="18"/>
          <w:szCs w:val="18"/>
        </w:rPr>
        <w:t> </w:t>
      </w:r>
      <w:r w:rsidR="000D0CDD" w:rsidRPr="00430A5C">
        <w:rPr>
          <w:i/>
          <w:sz w:val="18"/>
          <w:szCs w:val="18"/>
        </w:rPr>
        <w:t>tamtym czasie</w:t>
      </w:r>
      <w:r w:rsidR="000D0CDD" w:rsidRPr="00430A5C">
        <w:rPr>
          <w:sz w:val="18"/>
          <w:szCs w:val="18"/>
        </w:rPr>
        <w:t>.</w:t>
      </w:r>
    </w:p>
    <w:p w14:paraId="6BE0F35B" w14:textId="6B6C7C37" w:rsidR="000D0CDD" w:rsidRDefault="000D0CDD" w:rsidP="000D0CDD">
      <w:pPr>
        <w:spacing w:before="0" w:line="288" w:lineRule="auto"/>
        <w:rPr>
          <w:szCs w:val="19"/>
        </w:rPr>
      </w:pPr>
      <w:r>
        <w:rPr>
          <w:szCs w:val="19"/>
        </w:rPr>
        <w:t xml:space="preserve">Dla zdecydowanej większości pracujących </w:t>
      </w:r>
      <w:r w:rsidR="00AA488D">
        <w:rPr>
          <w:szCs w:val="19"/>
        </w:rPr>
        <w:t xml:space="preserve">w momencie badania </w:t>
      </w:r>
      <w:r>
        <w:rPr>
          <w:szCs w:val="19"/>
        </w:rPr>
        <w:t>lub w przeszłości, posiadane umiejętności odpowiadały wymaganiom na stanowisku pracy – odsetek osób, które to potwierdziły wyniósł 70,2% (dla mężczyzn 69,5%, dla kobiet 71</w:t>
      </w:r>
      <w:r w:rsidR="008E2E0C">
        <w:rPr>
          <w:szCs w:val="19"/>
        </w:rPr>
        <w:t>,0</w:t>
      </w:r>
      <w:r>
        <w:rPr>
          <w:szCs w:val="19"/>
        </w:rPr>
        <w:t>%). Wyższy odsetek niż dla ogółu odnotowano dla pracujących na rachunek własny (74,0%).</w:t>
      </w:r>
    </w:p>
    <w:p w14:paraId="2FE4DE46" w14:textId="77777777" w:rsidR="000D0CDD" w:rsidRDefault="000D0CDD" w:rsidP="000D0CDD">
      <w:pPr>
        <w:spacing w:before="0" w:line="288" w:lineRule="auto"/>
        <w:rPr>
          <w:szCs w:val="19"/>
        </w:rPr>
      </w:pPr>
      <w:r>
        <w:rPr>
          <w:szCs w:val="19"/>
        </w:rPr>
        <w:t>Część osób (13,5%) dysponowała większymi umiejętnościami niż wymagała tego wykonywana praca, a 8,2% uważało, że ich umiejętności są niższe niż wymagane. Ten ostatni wskaźnik był nieco wyższy dla pracujących w przeszłości (9,7%).</w:t>
      </w:r>
    </w:p>
    <w:p w14:paraId="7A2FFE51" w14:textId="3BE62D69" w:rsidR="00871B7E" w:rsidRPr="005A613A" w:rsidRDefault="000D0CDD" w:rsidP="005A613A">
      <w:pPr>
        <w:spacing w:before="0" w:after="240" w:line="288" w:lineRule="auto"/>
        <w:rPr>
          <w:szCs w:val="19"/>
        </w:rPr>
      </w:pPr>
      <w:r>
        <w:rPr>
          <w:szCs w:val="19"/>
        </w:rPr>
        <w:t>Wśród pracujących w sektorze publicznym zaobserwowano wyższy odsetek osób posiadających umiejętności odpowiadające wymaganiom stanowiska pracy niż wśród pracujących w</w:t>
      </w:r>
      <w:r w:rsidR="0053188D">
        <w:rPr>
          <w:szCs w:val="19"/>
        </w:rPr>
        <w:t> </w:t>
      </w:r>
      <w:r>
        <w:rPr>
          <w:szCs w:val="19"/>
        </w:rPr>
        <w:t>sektorze prywatnym (odpowiednie odsetki to 80,2% i 68,2%), natomiast odsetek osób mających większe umiejętności od wymaganych był w sektorze publicznym niższy niż w</w:t>
      </w:r>
      <w:r w:rsidR="0053188D">
        <w:rPr>
          <w:szCs w:val="19"/>
        </w:rPr>
        <w:t> </w:t>
      </w:r>
      <w:r>
        <w:rPr>
          <w:szCs w:val="19"/>
        </w:rPr>
        <w:t>prywatnym i wynosił odpowiednio 9,5% i 14,3%. Niższe umiejętności niż wymagane w pracy miało 5,1% pracujących w sektorze publicznym i 8,8% w sektorze prywatnym</w:t>
      </w:r>
      <w:r>
        <w:rPr>
          <w:rStyle w:val="Odwoanieprzypisudolnego"/>
          <w:szCs w:val="19"/>
        </w:rPr>
        <w:footnoteReference w:id="10"/>
      </w:r>
      <w:r>
        <w:rPr>
          <w:szCs w:val="19"/>
        </w:rPr>
        <w:t>.</w:t>
      </w:r>
    </w:p>
    <w:p w14:paraId="1E3C4FEE" w14:textId="77777777" w:rsidR="000D0CDD" w:rsidRDefault="005A613A" w:rsidP="005B2171">
      <w:pPr>
        <w:pStyle w:val="Lead"/>
        <w:spacing w:before="0"/>
        <w:ind w:left="993" w:hanging="993"/>
      </w:pPr>
      <w:r>
        <w:drawing>
          <wp:anchor distT="0" distB="0" distL="114300" distR="114300" simplePos="0" relativeHeight="252052480" behindDoc="0" locked="0" layoutInCell="1" allowOverlap="1" wp14:anchorId="2FBEBDBE" wp14:editId="67AE9FB0">
            <wp:simplePos x="0" y="0"/>
            <wp:positionH relativeFrom="margin">
              <wp:align>left</wp:align>
            </wp:positionH>
            <wp:positionV relativeFrom="paragraph">
              <wp:posOffset>342596</wp:posOffset>
            </wp:positionV>
            <wp:extent cx="5092065" cy="2289810"/>
            <wp:effectExtent l="0" t="0" r="0" b="0"/>
            <wp:wrapSquare wrapText="bothSides"/>
            <wp:docPr id="25" name="Obraz 25" descr="Wykres przedstawia zgodność posiadanych umiejętności osób w wieku 15-34 lata z wymaganiami potrzebnymi do wykonywania pracy głównej według płci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4139" cy="2295247"/>
                    </a:xfrm>
                    <a:prstGeom prst="rect">
                      <a:avLst/>
                    </a:prstGeom>
                    <a:noFill/>
                  </pic:spPr>
                </pic:pic>
              </a:graphicData>
            </a:graphic>
            <wp14:sizeRelH relativeFrom="page">
              <wp14:pctWidth>0</wp14:pctWidth>
            </wp14:sizeRelH>
            <wp14:sizeRelV relativeFrom="page">
              <wp14:pctHeight>0</wp14:pctHeight>
            </wp14:sizeRelV>
          </wp:anchor>
        </w:drawing>
      </w:r>
      <w:r w:rsidR="000D0CDD">
        <w:t>Wykres 5.</w:t>
      </w:r>
      <w:r w:rsidR="005B2171">
        <w:tab/>
      </w:r>
      <w:r w:rsidR="000D0CDD" w:rsidRPr="00ED2FD7">
        <w:t>Zgodność posiadanych umiejętności osób w wieku 15-34 lata z wymaganiami potrzebnymi do wykonywania pracy głównej według płci (w %)</w:t>
      </w:r>
    </w:p>
    <w:p w14:paraId="0AD32386" w14:textId="3584CD5B" w:rsidR="000D0CDD" w:rsidRDefault="008E27FE" w:rsidP="0045260C">
      <w:pPr>
        <w:spacing w:before="240" w:line="288" w:lineRule="auto"/>
        <w:rPr>
          <w:szCs w:val="19"/>
        </w:rPr>
      </w:pPr>
      <w:r w:rsidRPr="0080251F">
        <w:rPr>
          <w:noProof/>
          <w:szCs w:val="19"/>
          <w:lang w:eastAsia="pl-PL"/>
        </w:rPr>
        <mc:AlternateContent>
          <mc:Choice Requires="wps">
            <w:drawing>
              <wp:anchor distT="0" distB="0" distL="114300" distR="114300" simplePos="0" relativeHeight="252035072" behindDoc="0" locked="0" layoutInCell="1" allowOverlap="1" wp14:anchorId="6D1DF9A7" wp14:editId="42CF9B6A">
                <wp:simplePos x="0" y="0"/>
                <wp:positionH relativeFrom="page">
                  <wp:posOffset>5785844</wp:posOffset>
                </wp:positionH>
                <wp:positionV relativeFrom="paragraph">
                  <wp:posOffset>2340859</wp:posOffset>
                </wp:positionV>
                <wp:extent cx="1455420" cy="1706880"/>
                <wp:effectExtent l="0" t="0" r="0" b="7620"/>
                <wp:wrapNone/>
                <wp:docPr id="18" name="Pole tekstowe 18" descr="Wśród pracowników wykonujących prace proste odsetek osób mających umiejętności  wyższe od wymaganych do wykonywania pracy wynosił 25,5% – i był najwyższy spośród wszystkich grup zawodowych "/>
                <wp:cNvGraphicFramePr/>
                <a:graphic xmlns:a="http://schemas.openxmlformats.org/drawingml/2006/main">
                  <a:graphicData uri="http://schemas.microsoft.com/office/word/2010/wordprocessingShape">
                    <wps:wsp>
                      <wps:cNvSpPr txBox="1"/>
                      <wps:spPr>
                        <a:xfrm>
                          <a:off x="0" y="0"/>
                          <a:ext cx="1455420" cy="1706880"/>
                        </a:xfrm>
                        <a:prstGeom prst="rect">
                          <a:avLst/>
                        </a:prstGeom>
                        <a:noFill/>
                        <a:ln w="6350">
                          <a:noFill/>
                        </a:ln>
                      </wps:spPr>
                      <wps:txbx>
                        <w:txbxContent>
                          <w:p w14:paraId="5D00C8AF" w14:textId="77777777" w:rsidR="00352C44" w:rsidRPr="00FC0B9D" w:rsidRDefault="00352C44" w:rsidP="0080251F">
                            <w:pPr>
                              <w:rPr>
                                <w:color w:val="001D77"/>
                                <w:sz w:val="18"/>
                                <w:szCs w:val="18"/>
                              </w:rPr>
                            </w:pPr>
                            <w:r w:rsidRPr="00FC0B9D">
                              <w:rPr>
                                <w:color w:val="001D77"/>
                                <w:sz w:val="18"/>
                                <w:szCs w:val="18"/>
                              </w:rPr>
                              <w:t xml:space="preserve">Wśród pracowników wykonujących prace proste odsetek osób mających umiejętności  wyższe od wymaganych do wykonywania pracy wynosił 25,5% – </w:t>
                            </w:r>
                            <w:r>
                              <w:rPr>
                                <w:color w:val="001D77"/>
                                <w:sz w:val="18"/>
                                <w:szCs w:val="18"/>
                              </w:rPr>
                              <w:t xml:space="preserve">i </w:t>
                            </w:r>
                            <w:r w:rsidRPr="00FC0B9D">
                              <w:rPr>
                                <w:color w:val="001D77"/>
                                <w:sz w:val="18"/>
                                <w:szCs w:val="18"/>
                              </w:rPr>
                              <w:t xml:space="preserve">był najwyższy spośród wszystkich grup zawodowych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DF9A7" id="Pole tekstowe 18" o:spid="_x0000_s1041" type="#_x0000_t202" alt="Wśród pracowników wykonujących prace proste odsetek osób mających umiejętności  wyższe od wymaganych do wykonywania pracy wynosił 25,5% – i był najwyższy spośród wszystkich grup zawodowych " style="position:absolute;margin-left:455.6pt;margin-top:184.3pt;width:114.6pt;height:134.4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" filled="f" stroked="f" strokeweight=".5pt">
                <v:textbox>
                  <w:txbxContent>
                    <w:p w14:paraId="5D00C8AF" w14:textId="77777777" w:rsidR="00352C44" w:rsidRPr="00FC0B9D" w:rsidRDefault="00352C44" w:rsidP="0080251F">
                      <w:pPr>
                        <w:rPr>
                          <w:color w:val="001D77"/>
                          <w:sz w:val="18"/>
                          <w:szCs w:val="18"/>
                        </w:rPr>
                      </w:pPr>
                      <w:r w:rsidRPr="00FC0B9D">
                        <w:rPr>
                          <w:color w:val="001D77"/>
                          <w:sz w:val="18"/>
                          <w:szCs w:val="18"/>
                        </w:rPr>
                        <w:t xml:space="preserve">Wśród pracowników wykonujących prace proste odsetek osób mających umiejętności  wyższe od wymaganych do wykonywania pracy wynosił 25,5% – </w:t>
                      </w:r>
                      <w:r>
                        <w:rPr>
                          <w:color w:val="001D77"/>
                          <w:sz w:val="18"/>
                          <w:szCs w:val="18"/>
                        </w:rPr>
                        <w:t xml:space="preserve">i </w:t>
                      </w:r>
                      <w:r w:rsidRPr="00FC0B9D">
                        <w:rPr>
                          <w:color w:val="001D77"/>
                          <w:sz w:val="18"/>
                          <w:szCs w:val="18"/>
                        </w:rPr>
                        <w:t xml:space="preserve">był najwyższy spośród wszystkich grup zawodowych </w:t>
                      </w:r>
                    </w:p>
                  </w:txbxContent>
                </v:textbox>
                <w10:wrap anchorx="page"/>
              </v:shape>
            </w:pict>
          </mc:Fallback>
        </mc:AlternateContent>
      </w:r>
      <w:r w:rsidR="000D0CDD">
        <w:rPr>
          <w:szCs w:val="19"/>
        </w:rPr>
        <w:t>Analizując grupy zawodowe zaobserwowano, że najwyższy odsetek osób, których umiejętności odpowiadały wymaganiom stawianym w pracy wystąpił wśród specjalistów (86,3%), na drugim miejscu uplasowali się technicy i inny średni personel (77,5%). Dla części z</w:t>
      </w:r>
      <w:r w:rsidR="00E253FB">
        <w:rPr>
          <w:szCs w:val="19"/>
        </w:rPr>
        <w:t> </w:t>
      </w:r>
      <w:r w:rsidR="000D0CDD">
        <w:rPr>
          <w:szCs w:val="19"/>
        </w:rPr>
        <w:t>tych grup umiejętności były wyższe od wymaganych (odpowiednio dla 5,8% specjalistów i</w:t>
      </w:r>
      <w:r w:rsidR="00E253FB">
        <w:rPr>
          <w:szCs w:val="19"/>
        </w:rPr>
        <w:t> </w:t>
      </w:r>
      <w:r w:rsidR="000D0CDD">
        <w:rPr>
          <w:szCs w:val="19"/>
        </w:rPr>
        <w:t xml:space="preserve">9,8% techników i innego średniego personelu). </w:t>
      </w:r>
    </w:p>
    <w:p w14:paraId="610678C9" w14:textId="2702F856" w:rsidR="000D0CDD" w:rsidRPr="00215C14" w:rsidRDefault="000D0CDD" w:rsidP="000D0CDD">
      <w:pPr>
        <w:spacing w:before="0" w:line="288" w:lineRule="auto"/>
        <w:rPr>
          <w:szCs w:val="19"/>
        </w:rPr>
      </w:pPr>
      <w:r>
        <w:rPr>
          <w:szCs w:val="19"/>
        </w:rPr>
        <w:t xml:space="preserve">Wśród pracowników wykonujących prace proste odsetek osób mających umiejętności odpowiadające wymaganiom w pracy był najniższy i wyniósł 51,7%, natomiast aż 25,5% osób miało umiejętności wyższe niż wymagane i jednocześnie odsetek ten był najwyższy spośród wszystkich grup zawodowych. </w:t>
      </w:r>
      <w:r w:rsidRPr="00642916">
        <w:rPr>
          <w:szCs w:val="19"/>
        </w:rPr>
        <w:t>W tej grupie pracowników wystąpiło zatem największe niedopasowa</w:t>
      </w:r>
      <w:r w:rsidR="00221D5D">
        <w:rPr>
          <w:szCs w:val="19"/>
        </w:rPr>
        <w:softHyphen/>
      </w:r>
      <w:r w:rsidRPr="00642916">
        <w:rPr>
          <w:szCs w:val="19"/>
        </w:rPr>
        <w:t xml:space="preserve">nie umiejętności do wymagań w </w:t>
      </w:r>
      <w:r w:rsidRPr="00215C14">
        <w:rPr>
          <w:szCs w:val="19"/>
        </w:rPr>
        <w:t>pracy.</w:t>
      </w:r>
    </w:p>
    <w:p w14:paraId="50549E32" w14:textId="7CC1F42C" w:rsidR="000D0CDD" w:rsidRDefault="000D0CDD" w:rsidP="000D0CDD">
      <w:pPr>
        <w:spacing w:before="0" w:line="288" w:lineRule="auto"/>
        <w:rPr>
          <w:szCs w:val="19"/>
        </w:rPr>
      </w:pPr>
      <w:r>
        <w:rPr>
          <w:szCs w:val="19"/>
        </w:rPr>
        <w:lastRenderedPageBreak/>
        <w:t xml:space="preserve">Biorąc pod uwagę sekcje PKD widoczne jest, że największy odsetek </w:t>
      </w:r>
      <w:bookmarkStart w:id="11" w:name="_Hlk205500314"/>
      <w:r>
        <w:rPr>
          <w:szCs w:val="19"/>
        </w:rPr>
        <w:t>osób z umiejętnościami odpowiadającymi wymaganiom potrzebnym do wykonywania prac</w:t>
      </w:r>
      <w:bookmarkEnd w:id="11"/>
      <w:r>
        <w:rPr>
          <w:szCs w:val="19"/>
        </w:rPr>
        <w:t>y wystąpił w sekcji opieka zdrowotna i </w:t>
      </w:r>
      <w:r w:rsidR="00E108B7">
        <w:rPr>
          <w:szCs w:val="19"/>
        </w:rPr>
        <w:t>pomoc</w:t>
      </w:r>
      <w:r>
        <w:rPr>
          <w:szCs w:val="19"/>
        </w:rPr>
        <w:t xml:space="preserve"> społeczna (85,0%), a następnie w sekcji d</w:t>
      </w:r>
      <w:r w:rsidRPr="002517D0">
        <w:rPr>
          <w:szCs w:val="19"/>
        </w:rPr>
        <w:t>ziałalność finansowa i</w:t>
      </w:r>
      <w:r w:rsidR="00E253FB">
        <w:rPr>
          <w:szCs w:val="19"/>
        </w:rPr>
        <w:t> </w:t>
      </w:r>
      <w:r w:rsidRPr="002517D0">
        <w:rPr>
          <w:szCs w:val="19"/>
        </w:rPr>
        <w:t xml:space="preserve">ubezpieczenia </w:t>
      </w:r>
      <w:r>
        <w:rPr>
          <w:szCs w:val="19"/>
        </w:rPr>
        <w:t>(83,5%)</w:t>
      </w:r>
      <w:r w:rsidRPr="002517D0">
        <w:rPr>
          <w:szCs w:val="19"/>
        </w:rPr>
        <w:t xml:space="preserve"> </w:t>
      </w:r>
      <w:r>
        <w:rPr>
          <w:szCs w:val="19"/>
        </w:rPr>
        <w:t xml:space="preserve">oraz edukacja (83,3%). </w:t>
      </w:r>
    </w:p>
    <w:p w14:paraId="5945C293" w14:textId="37C14135" w:rsidR="000D0CDD" w:rsidRDefault="000D0CDD" w:rsidP="000D0CDD">
      <w:pPr>
        <w:spacing w:before="0" w:line="288" w:lineRule="auto"/>
        <w:rPr>
          <w:szCs w:val="19"/>
        </w:rPr>
      </w:pPr>
      <w:r>
        <w:rPr>
          <w:szCs w:val="19"/>
        </w:rPr>
        <w:t>Najmniejszy odsetek osób z umiejętnościami odpowiadającymi wymaganiom w pracy wystąpił w sekcji d</w:t>
      </w:r>
      <w:r w:rsidRPr="002517D0">
        <w:rPr>
          <w:szCs w:val="19"/>
        </w:rPr>
        <w:t>ziałalność związana z kulturą, rozrywką i rekreacją</w:t>
      </w:r>
      <w:r>
        <w:rPr>
          <w:szCs w:val="19"/>
        </w:rPr>
        <w:t xml:space="preserve"> (56,5%), ale w tej sekcji 19,4% osób miało umiejętności wyższe niż wymagane, natomiast </w:t>
      </w:r>
      <w:r w:rsidR="008E27FE">
        <w:rPr>
          <w:szCs w:val="19"/>
        </w:rPr>
        <w:t>niższe od wymaganych były wskazywane bardzo rzadko.</w:t>
      </w:r>
      <w:r>
        <w:rPr>
          <w:szCs w:val="19"/>
        </w:rPr>
        <w:t xml:space="preserve"> </w:t>
      </w:r>
    </w:p>
    <w:p w14:paraId="64465625" w14:textId="0BEF6699" w:rsidR="00717B4C" w:rsidRDefault="000D0CDD" w:rsidP="000D0CDD">
      <w:pPr>
        <w:spacing w:before="0" w:after="240" w:line="288" w:lineRule="auto"/>
        <w:rPr>
          <w:szCs w:val="19"/>
        </w:rPr>
      </w:pPr>
      <w:r>
        <w:rPr>
          <w:szCs w:val="19"/>
        </w:rPr>
        <w:t>Taki sam odsetek osób mających umiejętności wyższe niż wymagane (19,4%) odnotowano w sekcji r</w:t>
      </w:r>
      <w:r w:rsidRPr="00397091">
        <w:rPr>
          <w:szCs w:val="19"/>
        </w:rPr>
        <w:t>olnictwo, leśnictwo, łowiectwo i rybactwo</w:t>
      </w:r>
      <w:r>
        <w:rPr>
          <w:szCs w:val="19"/>
        </w:rPr>
        <w:t>, natomiast najwyższy taki odsetek wystąpił w sekcji transport, gospodarka magazynowa – 19,7%.</w:t>
      </w:r>
    </w:p>
    <w:p w14:paraId="7963B3FC" w14:textId="77777777" w:rsidR="000D0CDD" w:rsidRPr="005E4714" w:rsidRDefault="00AF1784" w:rsidP="005E4714">
      <w:pPr>
        <w:spacing w:before="0" w:after="160" w:line="259" w:lineRule="auto"/>
        <w:rPr>
          <w:b/>
          <w:szCs w:val="19"/>
        </w:rPr>
      </w:pPr>
      <w:r w:rsidRPr="005E4714">
        <w:rPr>
          <w:noProof/>
          <w:color w:val="001D77"/>
          <w:szCs w:val="19"/>
          <w:lang w:eastAsia="pl-PL"/>
        </w:rPr>
        <mc:AlternateContent>
          <mc:Choice Requires="wps">
            <w:drawing>
              <wp:anchor distT="0" distB="0" distL="114300" distR="114300" simplePos="0" relativeHeight="252019712" behindDoc="0" locked="0" layoutInCell="1" allowOverlap="1" wp14:anchorId="2EDBA762" wp14:editId="467DCDB0">
                <wp:simplePos x="0" y="0"/>
                <wp:positionH relativeFrom="page">
                  <wp:posOffset>5722620</wp:posOffset>
                </wp:positionH>
                <wp:positionV relativeFrom="paragraph">
                  <wp:posOffset>200660</wp:posOffset>
                </wp:positionV>
                <wp:extent cx="1619250" cy="1524000"/>
                <wp:effectExtent l="0" t="0" r="0" b="0"/>
                <wp:wrapNone/>
                <wp:docPr id="2107687565" name="Pole tekstowe 2107687565" descr="Tylko 19,3% osób w wieku do 34 lat legitymujących się wykształceniem wyższym uzyskało wykształcenie zawodowe na niższym poziomie edukacji"/>
                <wp:cNvGraphicFramePr/>
                <a:graphic xmlns:a="http://schemas.openxmlformats.org/drawingml/2006/main">
                  <a:graphicData uri="http://schemas.microsoft.com/office/word/2010/wordprocessingShape">
                    <wps:wsp>
                      <wps:cNvSpPr txBox="1"/>
                      <wps:spPr>
                        <a:xfrm>
                          <a:off x="0" y="0"/>
                          <a:ext cx="1619250" cy="1524000"/>
                        </a:xfrm>
                        <a:prstGeom prst="rect">
                          <a:avLst/>
                        </a:prstGeom>
                        <a:noFill/>
                        <a:ln w="6350">
                          <a:noFill/>
                        </a:ln>
                      </wps:spPr>
                      <wps:txbx>
                        <w:txbxContent>
                          <w:p w14:paraId="15F2A85B" w14:textId="77777777" w:rsidR="00352C44" w:rsidRPr="00EB39F3" w:rsidRDefault="00352C44" w:rsidP="00691B40">
                            <w:pPr>
                              <w:rPr>
                                <w:color w:val="002060"/>
                                <w:sz w:val="18"/>
                                <w:szCs w:val="18"/>
                              </w:rPr>
                            </w:pPr>
                            <w:r w:rsidRPr="005E4714">
                              <w:rPr>
                                <w:color w:val="002060"/>
                                <w:sz w:val="18"/>
                                <w:szCs w:val="18"/>
                              </w:rPr>
                              <w:t>Tylko 19,</w:t>
                            </w:r>
                            <w:r w:rsidRPr="00EB39F3">
                              <w:rPr>
                                <w:color w:val="002060"/>
                                <w:sz w:val="18"/>
                                <w:szCs w:val="18"/>
                              </w:rPr>
                              <w:t>3% osób w wieku do 34 lat legitymujących się</w:t>
                            </w:r>
                            <w:r>
                              <w:rPr>
                                <w:color w:val="002060"/>
                                <w:sz w:val="18"/>
                                <w:szCs w:val="18"/>
                              </w:rPr>
                              <w:t xml:space="preserve"> </w:t>
                            </w:r>
                            <w:r w:rsidRPr="00EB39F3">
                              <w:rPr>
                                <w:color w:val="002060"/>
                                <w:sz w:val="18"/>
                                <w:szCs w:val="18"/>
                              </w:rPr>
                              <w:t xml:space="preserve">wykształceniem wyższym </w:t>
                            </w:r>
                            <w:r w:rsidRPr="005E4714">
                              <w:rPr>
                                <w:color w:val="002060"/>
                                <w:sz w:val="18"/>
                                <w:szCs w:val="18"/>
                              </w:rPr>
                              <w:t>uzyskało</w:t>
                            </w:r>
                            <w:r w:rsidRPr="00EB39F3">
                              <w:rPr>
                                <w:color w:val="002060"/>
                                <w:sz w:val="18"/>
                                <w:szCs w:val="18"/>
                              </w:rPr>
                              <w:t xml:space="preserve"> wykształcenie zawodowe </w:t>
                            </w:r>
                            <w:r w:rsidRPr="009C5A62">
                              <w:rPr>
                                <w:color w:val="002060"/>
                                <w:sz w:val="18"/>
                                <w:szCs w:val="18"/>
                              </w:rPr>
                              <w:t>na niższym</w:t>
                            </w:r>
                            <w:r w:rsidRPr="00EB39F3">
                              <w:rPr>
                                <w:color w:val="002060"/>
                                <w:sz w:val="18"/>
                                <w:szCs w:val="18"/>
                              </w:rPr>
                              <w:t xml:space="preserve"> poziomie edukacji</w:t>
                            </w:r>
                          </w:p>
                          <w:p w14:paraId="1931697B" w14:textId="77777777" w:rsidR="00352C44" w:rsidRPr="00DA008C" w:rsidRDefault="00352C44" w:rsidP="00691B40">
                            <w:pPr>
                              <w:rPr>
                                <w:color w:val="001D77"/>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A762" id="Pole tekstowe 2107687565" o:spid="_x0000_s1042" type="#_x0000_t202" alt="Tylko 19,3% osób w wieku do 34 lat legitymujących się wykształceniem wyższym uzyskało wykształcenie zawodowe na niższym poziomie edukacji" style="position:absolute;margin-left:450.6pt;margin-top:15.8pt;width:127.5pt;height:120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" filled="f" stroked="f" strokeweight=".5pt">
                <v:textbox>
                  <w:txbxContent>
                    <w:p w14:paraId="15F2A85B" w14:textId="77777777" w:rsidR="00352C44" w:rsidRPr="00EB39F3" w:rsidRDefault="00352C44" w:rsidP="00691B40">
                      <w:pPr>
                        <w:rPr>
                          <w:color w:val="002060"/>
                          <w:sz w:val="18"/>
                          <w:szCs w:val="18"/>
                        </w:rPr>
                      </w:pPr>
                      <w:r w:rsidRPr="005E4714">
                        <w:rPr>
                          <w:color w:val="002060"/>
                          <w:sz w:val="18"/>
                          <w:szCs w:val="18"/>
                        </w:rPr>
                        <w:t>Tylko 19,</w:t>
                      </w:r>
                      <w:r w:rsidRPr="00EB39F3">
                        <w:rPr>
                          <w:color w:val="002060"/>
                          <w:sz w:val="18"/>
                          <w:szCs w:val="18"/>
                        </w:rPr>
                        <w:t>3% osób w wieku do 34 lat legitymujących się</w:t>
                      </w:r>
                      <w:r>
                        <w:rPr>
                          <w:color w:val="002060"/>
                          <w:sz w:val="18"/>
                          <w:szCs w:val="18"/>
                        </w:rPr>
                        <w:t xml:space="preserve"> </w:t>
                      </w:r>
                      <w:r w:rsidRPr="00EB39F3">
                        <w:rPr>
                          <w:color w:val="002060"/>
                          <w:sz w:val="18"/>
                          <w:szCs w:val="18"/>
                        </w:rPr>
                        <w:t xml:space="preserve">wykształceniem wyższym </w:t>
                      </w:r>
                      <w:r w:rsidRPr="005E4714">
                        <w:rPr>
                          <w:color w:val="002060"/>
                          <w:sz w:val="18"/>
                          <w:szCs w:val="18"/>
                        </w:rPr>
                        <w:t>uzyskało</w:t>
                      </w:r>
                      <w:r w:rsidRPr="00EB39F3">
                        <w:rPr>
                          <w:color w:val="002060"/>
                          <w:sz w:val="18"/>
                          <w:szCs w:val="18"/>
                        </w:rPr>
                        <w:t xml:space="preserve"> wykształcenie zawodowe </w:t>
                      </w:r>
                      <w:r w:rsidRPr="009C5A62">
                        <w:rPr>
                          <w:color w:val="002060"/>
                          <w:sz w:val="18"/>
                          <w:szCs w:val="18"/>
                        </w:rPr>
                        <w:t>na niższym</w:t>
                      </w:r>
                      <w:r w:rsidRPr="00EB39F3">
                        <w:rPr>
                          <w:color w:val="002060"/>
                          <w:sz w:val="18"/>
                          <w:szCs w:val="18"/>
                        </w:rPr>
                        <w:t xml:space="preserve"> poziomie edukacji</w:t>
                      </w:r>
                    </w:p>
                    <w:p w14:paraId="1931697B" w14:textId="77777777" w:rsidR="00352C44" w:rsidRPr="00DA008C" w:rsidRDefault="00352C44" w:rsidP="00691B40">
                      <w:pPr>
                        <w:rPr>
                          <w:color w:val="001D77"/>
                          <w:sz w:val="18"/>
                          <w:szCs w:val="18"/>
                        </w:rPr>
                      </w:pPr>
                    </w:p>
                  </w:txbxContent>
                </v:textbox>
                <w10:wrap anchorx="page"/>
              </v:shape>
            </w:pict>
          </mc:Fallback>
        </mc:AlternateContent>
      </w:r>
      <w:r w:rsidR="000D0CDD" w:rsidRPr="005E4714">
        <w:rPr>
          <w:b/>
          <w:color w:val="001D77"/>
          <w:szCs w:val="19"/>
        </w:rPr>
        <w:t xml:space="preserve">Osoby </w:t>
      </w:r>
      <w:r w:rsidR="002F3365" w:rsidRPr="005E4714">
        <w:rPr>
          <w:b/>
          <w:color w:val="001D77"/>
          <w:szCs w:val="19"/>
        </w:rPr>
        <w:t>młode</w:t>
      </w:r>
      <w:r w:rsidR="000D0CDD" w:rsidRPr="005E4714">
        <w:rPr>
          <w:b/>
          <w:color w:val="001D77"/>
          <w:szCs w:val="19"/>
        </w:rPr>
        <w:t xml:space="preserve"> z wykształceniem wyższym</w:t>
      </w:r>
      <w:r w:rsidR="000D0CDD" w:rsidRPr="005E4714">
        <w:rPr>
          <w:b/>
          <w:color w:val="001D77"/>
          <w:szCs w:val="19"/>
          <w:vertAlign w:val="superscript"/>
        </w:rPr>
        <w:footnoteReference w:id="11"/>
      </w:r>
      <w:r w:rsidR="000D0CDD" w:rsidRPr="005E4714">
        <w:rPr>
          <w:b/>
          <w:color w:val="001D77"/>
          <w:szCs w:val="19"/>
        </w:rPr>
        <w:t xml:space="preserve"> według faktu uzyskania wykształcenia zawodowego na niższym poziomie edukacji</w:t>
      </w:r>
      <w:r w:rsidR="000D0CDD" w:rsidRPr="005E4714">
        <w:rPr>
          <w:b/>
          <w:color w:val="001D77"/>
          <w:szCs w:val="19"/>
          <w:vertAlign w:val="superscript"/>
        </w:rPr>
        <w:footnoteReference w:id="12"/>
      </w:r>
    </w:p>
    <w:p w14:paraId="00FCD5FE" w14:textId="77777777" w:rsidR="000D0CDD" w:rsidRDefault="00B10CEA" w:rsidP="000D0CDD">
      <w:pPr>
        <w:spacing w:before="0" w:after="240" w:line="288" w:lineRule="auto"/>
        <w:rPr>
          <w:szCs w:val="19"/>
        </w:rPr>
      </w:pPr>
      <w:r>
        <w:rPr>
          <w:szCs w:val="19"/>
        </w:rPr>
        <w:t>W 2024 r. p</w:t>
      </w:r>
      <w:r w:rsidR="00953777">
        <w:rPr>
          <w:szCs w:val="19"/>
        </w:rPr>
        <w:t>opulacj</w:t>
      </w:r>
      <w:r w:rsidR="002E65A8">
        <w:rPr>
          <w:szCs w:val="19"/>
        </w:rPr>
        <w:t>a</w:t>
      </w:r>
      <w:r w:rsidR="00953777">
        <w:rPr>
          <w:szCs w:val="19"/>
        </w:rPr>
        <w:t xml:space="preserve"> </w:t>
      </w:r>
      <w:r w:rsidR="000D0CDD">
        <w:rPr>
          <w:szCs w:val="19"/>
        </w:rPr>
        <w:t>osób</w:t>
      </w:r>
      <w:r w:rsidR="000D0CDD" w:rsidRPr="00F74E97">
        <w:rPr>
          <w:szCs w:val="19"/>
        </w:rPr>
        <w:t xml:space="preserve"> w wieku </w:t>
      </w:r>
      <w:r w:rsidR="00953777">
        <w:rPr>
          <w:szCs w:val="19"/>
        </w:rPr>
        <w:t xml:space="preserve">do </w:t>
      </w:r>
      <w:r w:rsidR="000D0CDD" w:rsidRPr="00F74E97">
        <w:rPr>
          <w:szCs w:val="19"/>
        </w:rPr>
        <w:t>34 lat</w:t>
      </w:r>
      <w:r w:rsidR="00953777">
        <w:rPr>
          <w:szCs w:val="19"/>
        </w:rPr>
        <w:t xml:space="preserve"> z wykształceniem wyższym wynosiła </w:t>
      </w:r>
      <w:r w:rsidR="000D0CDD">
        <w:rPr>
          <w:szCs w:val="19"/>
        </w:rPr>
        <w:t>2 202 tys.</w:t>
      </w:r>
      <w:r w:rsidR="00953777">
        <w:rPr>
          <w:szCs w:val="19"/>
        </w:rPr>
        <w:t xml:space="preserve"> </w:t>
      </w:r>
      <w:r w:rsidR="000D0CDD">
        <w:rPr>
          <w:szCs w:val="19"/>
        </w:rPr>
        <w:t xml:space="preserve"> </w:t>
      </w:r>
      <w:r w:rsidR="00E56F2C">
        <w:rPr>
          <w:szCs w:val="19"/>
        </w:rPr>
        <w:t>(</w:t>
      </w:r>
      <w:r w:rsidR="000D0CDD">
        <w:rPr>
          <w:szCs w:val="19"/>
        </w:rPr>
        <w:t>kobiety stanowiły większość</w:t>
      </w:r>
      <w:r w:rsidR="00F81F36">
        <w:rPr>
          <w:szCs w:val="19"/>
        </w:rPr>
        <w:t>:</w:t>
      </w:r>
      <w:r w:rsidR="0031100B" w:rsidRPr="0031100B">
        <w:rPr>
          <w:szCs w:val="19"/>
        </w:rPr>
        <w:t xml:space="preserve"> </w:t>
      </w:r>
      <w:r w:rsidR="0031100B">
        <w:rPr>
          <w:szCs w:val="19"/>
        </w:rPr>
        <w:t>1 313 tys.</w:t>
      </w:r>
      <w:r w:rsidR="00D76E8C">
        <w:rPr>
          <w:szCs w:val="19"/>
        </w:rPr>
        <w:t>, tj.</w:t>
      </w:r>
      <w:r w:rsidR="00E56F2C">
        <w:rPr>
          <w:szCs w:val="19"/>
        </w:rPr>
        <w:t xml:space="preserve"> </w:t>
      </w:r>
      <w:r w:rsidR="000D0CDD">
        <w:rPr>
          <w:szCs w:val="19"/>
        </w:rPr>
        <w:t xml:space="preserve">59,6%). </w:t>
      </w:r>
      <w:r w:rsidR="002F3365">
        <w:rPr>
          <w:szCs w:val="19"/>
        </w:rPr>
        <w:t xml:space="preserve">Spośród </w:t>
      </w:r>
      <w:r w:rsidR="002E65A8">
        <w:rPr>
          <w:szCs w:val="19"/>
        </w:rPr>
        <w:t xml:space="preserve">tej grupy </w:t>
      </w:r>
      <w:r w:rsidR="00F13216">
        <w:rPr>
          <w:szCs w:val="19"/>
        </w:rPr>
        <w:t xml:space="preserve">jedynie </w:t>
      </w:r>
      <w:r w:rsidR="000D0CDD">
        <w:rPr>
          <w:szCs w:val="19"/>
        </w:rPr>
        <w:t xml:space="preserve">19,3% osób </w:t>
      </w:r>
      <w:r w:rsidR="002E65A8">
        <w:rPr>
          <w:szCs w:val="19"/>
        </w:rPr>
        <w:t xml:space="preserve">zadeklarowało, że </w:t>
      </w:r>
      <w:r w:rsidR="00F81F36">
        <w:rPr>
          <w:szCs w:val="19"/>
        </w:rPr>
        <w:t>na niższym poziomie edukacji</w:t>
      </w:r>
      <w:r w:rsidR="00F81F36" w:rsidDel="007716C2">
        <w:rPr>
          <w:szCs w:val="19"/>
        </w:rPr>
        <w:t xml:space="preserve"> </w:t>
      </w:r>
      <w:r w:rsidR="00266F13">
        <w:rPr>
          <w:szCs w:val="19"/>
        </w:rPr>
        <w:t xml:space="preserve">uzyskało </w:t>
      </w:r>
      <w:r w:rsidR="002E65A8">
        <w:rPr>
          <w:szCs w:val="19"/>
        </w:rPr>
        <w:t>wykształcenie zawodowe</w:t>
      </w:r>
      <w:r w:rsidR="00850F22">
        <w:rPr>
          <w:rStyle w:val="Odwoanieprzypisudolnego"/>
          <w:szCs w:val="19"/>
        </w:rPr>
        <w:footnoteReference w:id="13"/>
      </w:r>
      <w:r w:rsidR="007716C2">
        <w:rPr>
          <w:szCs w:val="19"/>
        </w:rPr>
        <w:t xml:space="preserve">, </w:t>
      </w:r>
      <w:r w:rsidR="006C1681">
        <w:rPr>
          <w:szCs w:val="19"/>
        </w:rPr>
        <w:t>natomiast 77,</w:t>
      </w:r>
      <w:r w:rsidR="003B3C65">
        <w:rPr>
          <w:szCs w:val="19"/>
        </w:rPr>
        <w:t>0</w:t>
      </w:r>
      <w:r w:rsidR="006C1681">
        <w:rPr>
          <w:szCs w:val="19"/>
        </w:rPr>
        <w:t>%, czyli z</w:t>
      </w:r>
      <w:r w:rsidR="000D0CDD">
        <w:rPr>
          <w:szCs w:val="19"/>
        </w:rPr>
        <w:t>decydowan</w:t>
      </w:r>
      <w:r w:rsidR="007716C2">
        <w:rPr>
          <w:szCs w:val="19"/>
        </w:rPr>
        <w:t>a</w:t>
      </w:r>
      <w:r w:rsidR="000D0CDD">
        <w:rPr>
          <w:szCs w:val="19"/>
        </w:rPr>
        <w:t xml:space="preserve"> większoś</w:t>
      </w:r>
      <w:r w:rsidR="007716C2">
        <w:rPr>
          <w:szCs w:val="19"/>
        </w:rPr>
        <w:t>ć tej grupy</w:t>
      </w:r>
      <w:r w:rsidR="00F41F46">
        <w:rPr>
          <w:szCs w:val="19"/>
        </w:rPr>
        <w:t>,</w:t>
      </w:r>
      <w:r w:rsidR="004B3189">
        <w:rPr>
          <w:szCs w:val="19"/>
        </w:rPr>
        <w:t xml:space="preserve"> </w:t>
      </w:r>
      <w:r w:rsidR="007716C2" w:rsidRPr="007716C2">
        <w:rPr>
          <w:szCs w:val="19"/>
        </w:rPr>
        <w:t xml:space="preserve">na niższym poziomie edukacji </w:t>
      </w:r>
      <w:r w:rsidR="007716C2">
        <w:rPr>
          <w:szCs w:val="19"/>
        </w:rPr>
        <w:t>uzyskała</w:t>
      </w:r>
      <w:r w:rsidR="00266F13">
        <w:rPr>
          <w:szCs w:val="19"/>
        </w:rPr>
        <w:t xml:space="preserve"> </w:t>
      </w:r>
      <w:r w:rsidR="000D0CDD">
        <w:rPr>
          <w:szCs w:val="19"/>
        </w:rPr>
        <w:t>wykształceni</w:t>
      </w:r>
      <w:r w:rsidR="006C1681">
        <w:rPr>
          <w:szCs w:val="19"/>
        </w:rPr>
        <w:t>e</w:t>
      </w:r>
      <w:r w:rsidR="000D0CDD">
        <w:rPr>
          <w:szCs w:val="19"/>
        </w:rPr>
        <w:t xml:space="preserve"> średnie ogólnokształcące. </w:t>
      </w:r>
    </w:p>
    <w:p w14:paraId="7EAA2618" w14:textId="091C75BA" w:rsidR="000D0CDD" w:rsidRDefault="006A6F49" w:rsidP="00FD56FE">
      <w:pPr>
        <w:spacing w:before="0"/>
        <w:ind w:left="992" w:hanging="992"/>
        <w:rPr>
          <w:b/>
        </w:rPr>
      </w:pPr>
      <w:bookmarkStart w:id="12" w:name="_Hlk204080984"/>
      <w:r>
        <w:rPr>
          <w:noProof/>
          <w:szCs w:val="19"/>
          <w:lang w:eastAsia="pl-PL"/>
        </w:rPr>
        <w:drawing>
          <wp:anchor distT="0" distB="0" distL="114300" distR="114300" simplePos="0" relativeHeight="252055552" behindDoc="0" locked="0" layoutInCell="1" allowOverlap="1" wp14:anchorId="13CBF78D" wp14:editId="33795510">
            <wp:simplePos x="0" y="0"/>
            <wp:positionH relativeFrom="margin">
              <wp:align>left</wp:align>
            </wp:positionH>
            <wp:positionV relativeFrom="paragraph">
              <wp:posOffset>321917</wp:posOffset>
            </wp:positionV>
            <wp:extent cx="5067300" cy="2480310"/>
            <wp:effectExtent l="0" t="0" r="0" b="0"/>
            <wp:wrapSquare wrapText="bothSides"/>
            <wp:docPr id="30" name="Obraz 30" descr="Wykres przedstawia osoby w wieku do 34 lat z wykształceniem wyższym według faktu uzyskania wykształcenia zawodowego na niższym poziomie edukacji oraz płci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2480310"/>
                    </a:xfrm>
                    <a:prstGeom prst="rect">
                      <a:avLst/>
                    </a:prstGeom>
                    <a:noFill/>
                  </pic:spPr>
                </pic:pic>
              </a:graphicData>
            </a:graphic>
            <wp14:sizeRelH relativeFrom="page">
              <wp14:pctWidth>0</wp14:pctWidth>
            </wp14:sizeRelH>
            <wp14:sizeRelV relativeFrom="page">
              <wp14:pctHeight>0</wp14:pctHeight>
            </wp14:sizeRelV>
          </wp:anchor>
        </w:drawing>
      </w:r>
      <w:r w:rsidR="000D0CDD" w:rsidRPr="00470081">
        <w:rPr>
          <w:b/>
        </w:rPr>
        <w:t xml:space="preserve">Wykres </w:t>
      </w:r>
      <w:r w:rsidR="000D0CDD">
        <w:rPr>
          <w:b/>
        </w:rPr>
        <w:t>6</w:t>
      </w:r>
      <w:r w:rsidR="000D0CDD" w:rsidRPr="00470081">
        <w:rPr>
          <w:b/>
        </w:rPr>
        <w:t>.</w:t>
      </w:r>
      <w:bookmarkStart w:id="13" w:name="_Hlk204087190"/>
      <w:r w:rsidR="005B2171">
        <w:rPr>
          <w:b/>
        </w:rPr>
        <w:tab/>
      </w:r>
      <w:r w:rsidR="000D0CDD" w:rsidRPr="00470081">
        <w:rPr>
          <w:b/>
        </w:rPr>
        <w:t xml:space="preserve">Osoby w wieku </w:t>
      </w:r>
      <w:r w:rsidR="00AE5129">
        <w:rPr>
          <w:b/>
        </w:rPr>
        <w:t xml:space="preserve">do </w:t>
      </w:r>
      <w:r w:rsidR="0053188D">
        <w:rPr>
          <w:b/>
        </w:rPr>
        <w:t xml:space="preserve">34 </w:t>
      </w:r>
      <w:r w:rsidR="000D0CDD" w:rsidRPr="00470081">
        <w:rPr>
          <w:b/>
        </w:rPr>
        <w:t>lat z wykształceniem wyższym według faktu uzyskania wykształcenia zawodowego na niższym poziomie</w:t>
      </w:r>
      <w:r w:rsidR="000D0CDD">
        <w:rPr>
          <w:b/>
        </w:rPr>
        <w:t xml:space="preserve"> edukacji </w:t>
      </w:r>
      <w:r w:rsidR="000D0CDD" w:rsidRPr="00470081">
        <w:rPr>
          <w:b/>
        </w:rPr>
        <w:t>oraz płci (w %)</w:t>
      </w:r>
    </w:p>
    <w:bookmarkEnd w:id="12"/>
    <w:bookmarkEnd w:id="13"/>
    <w:p w14:paraId="60846918" w14:textId="0907B9B7" w:rsidR="000D0CDD" w:rsidRPr="00215C14" w:rsidRDefault="000D0CDD" w:rsidP="00215C14">
      <w:pPr>
        <w:spacing w:before="0" w:line="288" w:lineRule="auto"/>
        <w:rPr>
          <w:b/>
        </w:rPr>
      </w:pPr>
      <w:r>
        <w:rPr>
          <w:szCs w:val="19"/>
        </w:rPr>
        <w:t xml:space="preserve">Mężczyźni częściej niż kobiety uzyskiwali wykształcenie zawodowe na niższym poziomie edukacji </w:t>
      </w:r>
      <w:r w:rsidR="000C3716">
        <w:rPr>
          <w:szCs w:val="19"/>
        </w:rPr>
        <w:t>(</w:t>
      </w:r>
      <w:r>
        <w:rPr>
          <w:szCs w:val="19"/>
        </w:rPr>
        <w:t>26,2%</w:t>
      </w:r>
      <w:r w:rsidR="000C3716">
        <w:rPr>
          <w:szCs w:val="19"/>
        </w:rPr>
        <w:t xml:space="preserve"> wobec </w:t>
      </w:r>
      <w:r w:rsidR="00BE166B" w:rsidRPr="00BE166B">
        <w:rPr>
          <w:szCs w:val="19"/>
        </w:rPr>
        <w:t>14,6</w:t>
      </w:r>
      <w:r w:rsidR="000C3716" w:rsidRPr="00BE166B">
        <w:rPr>
          <w:szCs w:val="19"/>
        </w:rPr>
        <w:t>%)</w:t>
      </w:r>
      <w:r w:rsidRPr="00BE166B">
        <w:rPr>
          <w:szCs w:val="19"/>
        </w:rPr>
        <w:t>.</w:t>
      </w:r>
      <w:r>
        <w:rPr>
          <w:szCs w:val="19"/>
        </w:rPr>
        <w:t xml:space="preserve"> Ścieżka edukacyjna kobiet wiodła częściej przez liceum ogólnokształcące. Ukończyło je 81,</w:t>
      </w:r>
      <w:r w:rsidR="00E108B7">
        <w:rPr>
          <w:szCs w:val="19"/>
        </w:rPr>
        <w:t>1</w:t>
      </w:r>
      <w:r>
        <w:rPr>
          <w:szCs w:val="19"/>
        </w:rPr>
        <w:t xml:space="preserve">% kobiet z wykształceniem wyższym, podczas gdy odsetek ten dla mężczyzn był o </w:t>
      </w:r>
      <w:r w:rsidR="00BE406A">
        <w:rPr>
          <w:szCs w:val="19"/>
        </w:rPr>
        <w:t>10,1</w:t>
      </w:r>
      <w:r>
        <w:rPr>
          <w:szCs w:val="19"/>
        </w:rPr>
        <w:t xml:space="preserve"> p. proc. niższy.</w:t>
      </w:r>
    </w:p>
    <w:p w14:paraId="52C0A532" w14:textId="77777777" w:rsidR="000D0CDD" w:rsidRPr="00E253FB" w:rsidRDefault="000D0CDD" w:rsidP="00E253FB">
      <w:pPr>
        <w:spacing w:before="0" w:after="240" w:line="288" w:lineRule="auto"/>
        <w:rPr>
          <w:szCs w:val="19"/>
        </w:rPr>
      </w:pPr>
      <w:r>
        <w:rPr>
          <w:szCs w:val="19"/>
        </w:rPr>
        <w:t xml:space="preserve">Osoby mające stopień licencjata lub inżyniera częściej kończyły szkołę zawodową na niższym poziomie niż te, które uzyskały tytuł doktora, magistra, lekarza lub równoważny </w:t>
      </w:r>
      <w:r w:rsidR="00032A27">
        <w:rPr>
          <w:szCs w:val="19"/>
        </w:rPr>
        <w:t xml:space="preserve">– </w:t>
      </w:r>
      <w:r>
        <w:rPr>
          <w:szCs w:val="19"/>
        </w:rPr>
        <w:t>odpowiednie odsetki to: 25,2% i</w:t>
      </w:r>
      <w:r w:rsidR="00E253FB">
        <w:rPr>
          <w:szCs w:val="19"/>
        </w:rPr>
        <w:t> </w:t>
      </w:r>
      <w:r>
        <w:rPr>
          <w:szCs w:val="19"/>
        </w:rPr>
        <w:t xml:space="preserve">15,9%. </w:t>
      </w:r>
    </w:p>
    <w:p w14:paraId="43B06741" w14:textId="3E125B52" w:rsidR="000D0CDD" w:rsidRDefault="00717B4C" w:rsidP="006A6F49">
      <w:pPr>
        <w:spacing w:before="0"/>
        <w:ind w:left="992" w:hanging="992"/>
        <w:rPr>
          <w:b/>
        </w:rPr>
      </w:pPr>
      <w:r>
        <w:br w:type="page"/>
      </w:r>
      <w:bookmarkStart w:id="14" w:name="_Hlk207283594"/>
      <w:r w:rsidR="000D0CDD" w:rsidRPr="006A6F49">
        <w:rPr>
          <w:b/>
        </w:rPr>
        <w:lastRenderedPageBreak/>
        <w:t xml:space="preserve">Wykres </w:t>
      </w:r>
      <w:r w:rsidR="00215C14" w:rsidRPr="006A6F49">
        <w:rPr>
          <w:b/>
        </w:rPr>
        <w:t>7</w:t>
      </w:r>
      <w:r w:rsidR="000D0CDD" w:rsidRPr="006A6F49">
        <w:rPr>
          <w:b/>
        </w:rPr>
        <w:t>.</w:t>
      </w:r>
      <w:r w:rsidR="005B2171" w:rsidRPr="006A6F49">
        <w:rPr>
          <w:b/>
        </w:rPr>
        <w:tab/>
      </w:r>
      <w:r w:rsidR="000D0CDD" w:rsidRPr="006A6F49">
        <w:rPr>
          <w:b/>
        </w:rPr>
        <w:t xml:space="preserve">Osoby w wieku </w:t>
      </w:r>
      <w:r w:rsidR="001D78E6" w:rsidRPr="006A6F49">
        <w:rPr>
          <w:b/>
        </w:rPr>
        <w:t xml:space="preserve">do </w:t>
      </w:r>
      <w:r w:rsidR="000D0CDD" w:rsidRPr="006A6F49">
        <w:rPr>
          <w:b/>
        </w:rPr>
        <w:t xml:space="preserve">34 lat z wykształceniem wyższym według poziomu wykształcenia oraz faktu uzyskania wykształcenia zawodowego na niższym </w:t>
      </w:r>
      <w:bookmarkEnd w:id="14"/>
      <w:r w:rsidR="006A6F49">
        <w:rPr>
          <w:noProof/>
          <w:lang w:eastAsia="pl-PL"/>
        </w:rPr>
        <w:drawing>
          <wp:anchor distT="0" distB="0" distL="114300" distR="114300" simplePos="0" relativeHeight="252065792" behindDoc="0" locked="0" layoutInCell="1" allowOverlap="1" wp14:anchorId="5FBF337A" wp14:editId="2D422C00">
            <wp:simplePos x="0" y="0"/>
            <wp:positionH relativeFrom="margin">
              <wp:align>left</wp:align>
            </wp:positionH>
            <wp:positionV relativeFrom="paragraph">
              <wp:posOffset>492954</wp:posOffset>
            </wp:positionV>
            <wp:extent cx="5184140" cy="2255520"/>
            <wp:effectExtent l="0" t="0" r="0" b="0"/>
            <wp:wrapSquare wrapText="bothSides"/>
            <wp:docPr id="28" name="Obraz 28" descr="Wykres przedstawia osoby w wieku do 34 lat z wykształceniem wyższym według poziomu wykształcenia oraz faktu uzyskania wykształcenia zawodowego na niższym poziomie edukacji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4140" cy="2255520"/>
                    </a:xfrm>
                    <a:prstGeom prst="rect">
                      <a:avLst/>
                    </a:prstGeom>
                    <a:noFill/>
                  </pic:spPr>
                </pic:pic>
              </a:graphicData>
            </a:graphic>
            <wp14:sizeRelH relativeFrom="page">
              <wp14:pctWidth>0</wp14:pctWidth>
            </wp14:sizeRelH>
            <wp14:sizeRelV relativeFrom="page">
              <wp14:pctHeight>0</wp14:pctHeight>
            </wp14:sizeRelV>
          </wp:anchor>
        </w:drawing>
      </w:r>
      <w:r w:rsidR="000D0CDD" w:rsidRPr="006A6F49">
        <w:rPr>
          <w:b/>
        </w:rPr>
        <w:t>poziomie edukacji (w %)</w:t>
      </w:r>
    </w:p>
    <w:p w14:paraId="6175EE4B" w14:textId="2F9DAA20" w:rsidR="000D0CDD" w:rsidRPr="000D0CDD" w:rsidRDefault="00032A27" w:rsidP="002B5FC5">
      <w:pPr>
        <w:spacing w:before="240" w:after="240" w:line="288" w:lineRule="auto"/>
        <w:rPr>
          <w:szCs w:val="19"/>
        </w:rPr>
      </w:pPr>
      <w:r>
        <w:rPr>
          <w:noProof/>
          <w:szCs w:val="19"/>
          <w:lang w:eastAsia="pl-PL"/>
        </w:rPr>
        <mc:AlternateContent>
          <mc:Choice Requires="wps">
            <w:drawing>
              <wp:anchor distT="0" distB="0" distL="114300" distR="114300" simplePos="0" relativeHeight="252021760" behindDoc="0" locked="0" layoutInCell="1" allowOverlap="1" wp14:anchorId="73BDC762" wp14:editId="75047EC0">
                <wp:simplePos x="0" y="0"/>
                <wp:positionH relativeFrom="page">
                  <wp:posOffset>5748379</wp:posOffset>
                </wp:positionH>
                <wp:positionV relativeFrom="paragraph">
                  <wp:posOffset>2360958</wp:posOffset>
                </wp:positionV>
                <wp:extent cx="1619250" cy="857250"/>
                <wp:effectExtent l="0" t="0" r="0" b="0"/>
                <wp:wrapNone/>
                <wp:docPr id="2107687566" name="Pole tekstowe 2107687566" descr="Spośród osób młodych z wykształceniem wyższym 91,8% to osoby aktywne zawodowo"/>
                <wp:cNvGraphicFramePr/>
                <a:graphic xmlns:a="http://schemas.openxmlformats.org/drawingml/2006/main">
                  <a:graphicData uri="http://schemas.microsoft.com/office/word/2010/wordprocessingShape">
                    <wps:wsp>
                      <wps:cNvSpPr txBox="1"/>
                      <wps:spPr>
                        <a:xfrm>
                          <a:off x="0" y="0"/>
                          <a:ext cx="1619250" cy="857250"/>
                        </a:xfrm>
                        <a:prstGeom prst="rect">
                          <a:avLst/>
                        </a:prstGeom>
                        <a:noFill/>
                        <a:ln w="6350">
                          <a:noFill/>
                        </a:ln>
                      </wps:spPr>
                      <wps:txbx>
                        <w:txbxContent>
                          <w:p w14:paraId="2D34C7C7" w14:textId="77777777" w:rsidR="00352C44" w:rsidRPr="003A75D3" w:rsidRDefault="00352C44" w:rsidP="00691B40">
                            <w:pPr>
                              <w:rPr>
                                <w:color w:val="001D77"/>
                                <w:sz w:val="18"/>
                                <w:szCs w:val="18"/>
                              </w:rPr>
                            </w:pPr>
                            <w:r w:rsidRPr="00691B40">
                              <w:rPr>
                                <w:color w:val="001D77"/>
                                <w:sz w:val="18"/>
                                <w:szCs w:val="18"/>
                              </w:rPr>
                              <w:t xml:space="preserve">Spośród osób </w:t>
                            </w:r>
                            <w:r w:rsidRPr="00430A5C">
                              <w:rPr>
                                <w:color w:val="001D77"/>
                                <w:sz w:val="18"/>
                                <w:szCs w:val="18"/>
                              </w:rPr>
                              <w:t>młodych</w:t>
                            </w:r>
                            <w:r>
                              <w:rPr>
                                <w:color w:val="001D77"/>
                                <w:sz w:val="18"/>
                                <w:szCs w:val="18"/>
                              </w:rPr>
                              <w:t xml:space="preserve"> </w:t>
                            </w:r>
                            <w:r w:rsidRPr="00691B40">
                              <w:rPr>
                                <w:color w:val="001D77"/>
                                <w:sz w:val="18"/>
                                <w:szCs w:val="18"/>
                              </w:rPr>
                              <w:t>z</w:t>
                            </w:r>
                            <w:r>
                              <w:rPr>
                                <w:color w:val="001D77"/>
                                <w:sz w:val="18"/>
                                <w:szCs w:val="18"/>
                              </w:rPr>
                              <w:t> </w:t>
                            </w:r>
                            <w:r w:rsidRPr="00691B40">
                              <w:rPr>
                                <w:color w:val="001D77"/>
                                <w:sz w:val="18"/>
                                <w:szCs w:val="18"/>
                              </w:rPr>
                              <w:t>wykształceniem wyższym 91,8% to osoby aktywne zawodowo</w:t>
                            </w:r>
                          </w:p>
                          <w:p w14:paraId="5CE0D650" w14:textId="77777777" w:rsidR="00352C44" w:rsidRPr="00DA008C" w:rsidRDefault="00352C44" w:rsidP="00691B40">
                            <w:pPr>
                              <w:rPr>
                                <w:color w:val="001D77"/>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C762" id="Pole tekstowe 2107687566" o:spid="_x0000_s1043" type="#_x0000_t202" alt="Spośród osób młodych z wykształceniem wyższym 91,8% to osoby aktywne zawodowo" style="position:absolute;margin-left:452.65pt;margin-top:185.9pt;width:127.5pt;height:67.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" filled="f" stroked="f" strokeweight=".5pt">
                <v:textbox>
                  <w:txbxContent>
                    <w:p w14:paraId="2D34C7C7" w14:textId="77777777" w:rsidR="00352C44" w:rsidRPr="003A75D3" w:rsidRDefault="00352C44" w:rsidP="00691B40">
                      <w:pPr>
                        <w:rPr>
                          <w:color w:val="001D77"/>
                          <w:sz w:val="18"/>
                          <w:szCs w:val="18"/>
                        </w:rPr>
                      </w:pPr>
                      <w:r w:rsidRPr="00691B40">
                        <w:rPr>
                          <w:color w:val="001D77"/>
                          <w:sz w:val="18"/>
                          <w:szCs w:val="18"/>
                        </w:rPr>
                        <w:t xml:space="preserve">Spośród osób </w:t>
                      </w:r>
                      <w:r w:rsidRPr="00430A5C">
                        <w:rPr>
                          <w:color w:val="001D77"/>
                          <w:sz w:val="18"/>
                          <w:szCs w:val="18"/>
                        </w:rPr>
                        <w:t>młodych</w:t>
                      </w:r>
                      <w:r>
                        <w:rPr>
                          <w:color w:val="001D77"/>
                          <w:sz w:val="18"/>
                          <w:szCs w:val="18"/>
                        </w:rPr>
                        <w:t xml:space="preserve"> </w:t>
                      </w:r>
                      <w:r w:rsidRPr="00691B40">
                        <w:rPr>
                          <w:color w:val="001D77"/>
                          <w:sz w:val="18"/>
                          <w:szCs w:val="18"/>
                        </w:rPr>
                        <w:t>z</w:t>
                      </w:r>
                      <w:r>
                        <w:rPr>
                          <w:color w:val="001D77"/>
                          <w:sz w:val="18"/>
                          <w:szCs w:val="18"/>
                        </w:rPr>
                        <w:t> </w:t>
                      </w:r>
                      <w:r w:rsidRPr="00691B40">
                        <w:rPr>
                          <w:color w:val="001D77"/>
                          <w:sz w:val="18"/>
                          <w:szCs w:val="18"/>
                        </w:rPr>
                        <w:t>wykształceniem wyższym 91,8% to osoby aktywne zawodowo</w:t>
                      </w:r>
                    </w:p>
                    <w:p w14:paraId="5CE0D650" w14:textId="77777777" w:rsidR="00352C44" w:rsidRPr="00DA008C" w:rsidRDefault="00352C44" w:rsidP="00691B40">
                      <w:pPr>
                        <w:rPr>
                          <w:color w:val="001D77"/>
                          <w:sz w:val="18"/>
                          <w:szCs w:val="18"/>
                        </w:rPr>
                      </w:pPr>
                    </w:p>
                  </w:txbxContent>
                </v:textbox>
                <w10:wrap anchorx="page"/>
              </v:shape>
            </w:pict>
          </mc:Fallback>
        </mc:AlternateContent>
      </w:r>
      <w:r w:rsidR="000D0CDD">
        <w:rPr>
          <w:szCs w:val="19"/>
        </w:rPr>
        <w:t>Spośród osób z wykształceniem wyższym 91,8% było w czasie badania aktywnymi zawodowo. Odsetek ten różnił się w zależności od płci (95,</w:t>
      </w:r>
      <w:r w:rsidR="00E0178C">
        <w:rPr>
          <w:szCs w:val="19"/>
        </w:rPr>
        <w:t>1</w:t>
      </w:r>
      <w:r w:rsidR="000D0CDD">
        <w:rPr>
          <w:szCs w:val="19"/>
        </w:rPr>
        <w:t xml:space="preserve">% mężczyzn i 89,6% kobiet). Kobiety </w:t>
      </w:r>
      <w:r w:rsidR="000D0CDD" w:rsidRPr="00803545">
        <w:rPr>
          <w:color w:val="000000" w:themeColor="text1"/>
          <w:szCs w:val="19"/>
        </w:rPr>
        <w:t>stanowiły przewagę zarówno wśród aktywnych zawodowo (58,2%), jak i biernych zawodowo (</w:t>
      </w:r>
      <w:r w:rsidR="002220E4">
        <w:rPr>
          <w:color w:val="000000" w:themeColor="text1"/>
          <w:szCs w:val="19"/>
        </w:rPr>
        <w:t>75,7</w:t>
      </w:r>
      <w:r w:rsidR="000D0CDD" w:rsidRPr="00803545">
        <w:rPr>
          <w:color w:val="000000" w:themeColor="text1"/>
          <w:szCs w:val="19"/>
        </w:rPr>
        <w:t xml:space="preserve">%). Odsetek mężczyzn wśród biernych zawodowo </w:t>
      </w:r>
      <w:r w:rsidR="000D0CDD">
        <w:rPr>
          <w:color w:val="000000" w:themeColor="text1"/>
          <w:szCs w:val="19"/>
        </w:rPr>
        <w:t>(</w:t>
      </w:r>
      <w:r w:rsidR="00C614D1">
        <w:rPr>
          <w:color w:val="000000" w:themeColor="text1"/>
          <w:szCs w:val="19"/>
        </w:rPr>
        <w:t>24,</w:t>
      </w:r>
      <w:r w:rsidR="002220E4">
        <w:rPr>
          <w:color w:val="000000" w:themeColor="text1"/>
          <w:szCs w:val="19"/>
        </w:rPr>
        <w:t>3</w:t>
      </w:r>
      <w:r w:rsidR="000D0CDD">
        <w:rPr>
          <w:color w:val="000000" w:themeColor="text1"/>
          <w:szCs w:val="19"/>
        </w:rPr>
        <w:t xml:space="preserve">%) </w:t>
      </w:r>
      <w:r w:rsidR="000D0CDD" w:rsidRPr="00803545">
        <w:rPr>
          <w:color w:val="000000" w:themeColor="text1"/>
          <w:szCs w:val="19"/>
        </w:rPr>
        <w:t xml:space="preserve">był zatem znacznie </w:t>
      </w:r>
      <w:r w:rsidR="000D0CDD">
        <w:rPr>
          <w:color w:val="000000" w:themeColor="text1"/>
          <w:szCs w:val="19"/>
        </w:rPr>
        <w:t>niższy</w:t>
      </w:r>
      <w:r w:rsidR="000D0CDD" w:rsidRPr="00803545">
        <w:rPr>
          <w:color w:val="000000" w:themeColor="text1"/>
          <w:szCs w:val="19"/>
        </w:rPr>
        <w:t xml:space="preserve"> niż odsetek mężczyzn w ogólnej liczbie osób z</w:t>
      </w:r>
      <w:r w:rsidR="000D0CDD">
        <w:rPr>
          <w:color w:val="000000" w:themeColor="text1"/>
          <w:szCs w:val="19"/>
        </w:rPr>
        <w:t> </w:t>
      </w:r>
      <w:r w:rsidR="000D0CDD" w:rsidRPr="00803545">
        <w:rPr>
          <w:color w:val="000000" w:themeColor="text1"/>
          <w:szCs w:val="19"/>
        </w:rPr>
        <w:t>wykształceniem wyższym</w:t>
      </w:r>
      <w:r w:rsidR="000D0CDD">
        <w:rPr>
          <w:color w:val="000000" w:themeColor="text1"/>
          <w:szCs w:val="19"/>
        </w:rPr>
        <w:t xml:space="preserve"> (40,4%)</w:t>
      </w:r>
      <w:r w:rsidR="000D0CDD" w:rsidRPr="00803545">
        <w:rPr>
          <w:color w:val="000000" w:themeColor="text1"/>
          <w:szCs w:val="19"/>
        </w:rPr>
        <w:t xml:space="preserve">, natomiast </w:t>
      </w:r>
      <w:r w:rsidR="000D0CDD">
        <w:rPr>
          <w:szCs w:val="19"/>
        </w:rPr>
        <w:t xml:space="preserve">dla kobiet analogiczny odsetek był znacznie wyższy. </w:t>
      </w:r>
      <w:bookmarkStart w:id="15" w:name="_Hlk207123409"/>
      <w:r w:rsidR="000D0CDD">
        <w:rPr>
          <w:szCs w:val="19"/>
        </w:rPr>
        <w:t xml:space="preserve">Było to spowodowane m.in. tym, że dla 47,8% kobiet biernych zawodowo z wykształceniem wyższym przyczyną bierności były </w:t>
      </w:r>
      <w:r w:rsidR="000D0CDD" w:rsidRPr="00296C4B">
        <w:rPr>
          <w:szCs w:val="19"/>
        </w:rPr>
        <w:t>obowiązki rodzinne i związane z prowadzeniem dom</w:t>
      </w:r>
      <w:r w:rsidR="0041784E">
        <w:rPr>
          <w:szCs w:val="19"/>
        </w:rPr>
        <w:t>u.</w:t>
      </w:r>
    </w:p>
    <w:bookmarkEnd w:id="15"/>
    <w:p w14:paraId="0443B09B" w14:textId="77777777" w:rsidR="00AE14FB" w:rsidRPr="00A70D1B" w:rsidRDefault="00AE14FB" w:rsidP="00BD5A8F">
      <w:pPr>
        <w:pStyle w:val="Nagwek1"/>
        <w:spacing w:before="120"/>
        <w:rPr>
          <w:rFonts w:ascii="Fira Sans" w:hAnsi="Fira Sans"/>
          <w:b/>
          <w:szCs w:val="19"/>
        </w:rPr>
      </w:pPr>
      <w:r w:rsidRPr="00A70D1B">
        <w:rPr>
          <w:rFonts w:ascii="Fira Sans" w:hAnsi="Fira Sans"/>
          <w:b/>
          <w:szCs w:val="19"/>
        </w:rPr>
        <w:t>Uwagi metodologiczne</w:t>
      </w:r>
    </w:p>
    <w:p w14:paraId="33DAD95D" w14:textId="4E625808" w:rsidR="00BD5A8F" w:rsidRPr="004D4FE8" w:rsidRDefault="00BD5A8F" w:rsidP="002B5FC5">
      <w:pPr>
        <w:spacing w:after="0" w:line="260" w:lineRule="exact"/>
        <w:rPr>
          <w:szCs w:val="19"/>
        </w:rPr>
      </w:pPr>
      <w:r w:rsidRPr="00B227DB">
        <w:rPr>
          <w:szCs w:val="19"/>
        </w:rPr>
        <w:t xml:space="preserve">Badanie modułowe </w:t>
      </w:r>
      <w:r w:rsidRPr="00B227DB">
        <w:rPr>
          <w:b/>
          <w:szCs w:val="19"/>
        </w:rPr>
        <w:t>„Osoby młode na rynku pracy”</w:t>
      </w:r>
      <w:r w:rsidRPr="00B227DB">
        <w:rPr>
          <w:szCs w:val="19"/>
        </w:rPr>
        <w:t xml:space="preserve"> jest jednym z sześciu regularnych europejskich badań modułowych </w:t>
      </w:r>
      <w:r w:rsidR="009D471B" w:rsidRPr="00B227DB">
        <w:rPr>
          <w:szCs w:val="19"/>
        </w:rPr>
        <w:t xml:space="preserve">(EU </w:t>
      </w:r>
      <w:r w:rsidRPr="00B227DB">
        <w:rPr>
          <w:szCs w:val="19"/>
        </w:rPr>
        <w:t>LFS</w:t>
      </w:r>
      <w:r w:rsidR="009D471B" w:rsidRPr="00B227DB">
        <w:rPr>
          <w:szCs w:val="19"/>
        </w:rPr>
        <w:t>)</w:t>
      </w:r>
      <w:r w:rsidRPr="00B227DB">
        <w:rPr>
          <w:szCs w:val="19"/>
        </w:rPr>
        <w:t xml:space="preserve">, </w:t>
      </w:r>
      <w:bookmarkStart w:id="16" w:name="_GoBack"/>
      <w:bookmarkEnd w:id="16"/>
      <w:r w:rsidRPr="00B227DB">
        <w:rPr>
          <w:szCs w:val="19"/>
        </w:rPr>
        <w:t>które począwszy od 2021 r. są realizowane dokładnie co 8 lat każdy</w:t>
      </w:r>
      <w:r w:rsidRPr="00B227DB">
        <w:rPr>
          <w:szCs w:val="19"/>
          <w:vertAlign w:val="superscript"/>
        </w:rPr>
        <w:footnoteReference w:id="14"/>
      </w:r>
      <w:r w:rsidRPr="00B227DB">
        <w:rPr>
          <w:szCs w:val="19"/>
        </w:rPr>
        <w:t>.</w:t>
      </w:r>
      <w:r w:rsidRPr="004D4FE8">
        <w:rPr>
          <w:szCs w:val="19"/>
        </w:rPr>
        <w:t xml:space="preserve"> Było ono </w:t>
      </w:r>
      <w:r w:rsidR="00B227DB">
        <w:rPr>
          <w:szCs w:val="19"/>
        </w:rPr>
        <w:t xml:space="preserve">po raz pierwszy </w:t>
      </w:r>
      <w:r w:rsidRPr="004D4FE8">
        <w:rPr>
          <w:szCs w:val="19"/>
        </w:rPr>
        <w:t>przeprowadzone na części próby BAEL przez wszystkie kwartały 2024 r. i dotyczyło osób w wieku 15-34 lata. Badaniem objęto następujące zagadnienia:</w:t>
      </w:r>
    </w:p>
    <w:p w14:paraId="6DD1A152" w14:textId="77777777" w:rsidR="00BD5A8F" w:rsidRPr="004D4FE8" w:rsidRDefault="00BD5A8F" w:rsidP="002B5FC5">
      <w:pPr>
        <w:numPr>
          <w:ilvl w:val="0"/>
          <w:numId w:val="15"/>
        </w:numPr>
        <w:spacing w:before="0" w:after="0" w:line="260" w:lineRule="exact"/>
        <w:ind w:left="425" w:hanging="357"/>
        <w:contextualSpacing/>
        <w:rPr>
          <w:szCs w:val="19"/>
        </w:rPr>
      </w:pPr>
      <w:r w:rsidRPr="004D4FE8">
        <w:rPr>
          <w:szCs w:val="19"/>
        </w:rPr>
        <w:t xml:space="preserve">przerywanie </w:t>
      </w:r>
      <w:r w:rsidRPr="004D4FE8">
        <w:rPr>
          <w:rFonts w:eastAsia="Times New Roman" w:cs="Times New Roman"/>
          <w:szCs w:val="19"/>
          <w:lang w:eastAsia="pl-PL"/>
        </w:rPr>
        <w:t xml:space="preserve">formalnego programu edukacji (fakt przerwania, liczbę przerwań </w:t>
      </w:r>
      <w:r>
        <w:rPr>
          <w:rFonts w:eastAsia="Times New Roman" w:cs="Times New Roman"/>
          <w:szCs w:val="19"/>
          <w:lang w:eastAsia="pl-PL"/>
        </w:rPr>
        <w:t xml:space="preserve">– </w:t>
      </w:r>
      <w:r w:rsidRPr="004D4FE8">
        <w:rPr>
          <w:rFonts w:eastAsia="Times New Roman" w:cs="Times New Roman"/>
          <w:szCs w:val="19"/>
          <w:lang w:eastAsia="pl-PL"/>
        </w:rPr>
        <w:t>jeśli wystąpiły),</w:t>
      </w:r>
    </w:p>
    <w:p w14:paraId="1E26AD25" w14:textId="77777777" w:rsidR="00BD5A8F" w:rsidRPr="004D4FE8" w:rsidRDefault="00BD5A8F" w:rsidP="002B5FC5">
      <w:pPr>
        <w:numPr>
          <w:ilvl w:val="0"/>
          <w:numId w:val="15"/>
        </w:numPr>
        <w:spacing w:after="0" w:line="260" w:lineRule="exact"/>
        <w:ind w:left="426"/>
        <w:contextualSpacing/>
        <w:rPr>
          <w:szCs w:val="19"/>
        </w:rPr>
      </w:pPr>
      <w:r w:rsidRPr="004D4FE8">
        <w:rPr>
          <w:szCs w:val="19"/>
        </w:rPr>
        <w:t>poziom edukacji, na którym został przerwany</w:t>
      </w:r>
      <w:r w:rsidRPr="004D4FE8">
        <w:rPr>
          <w:rFonts w:eastAsia="Times New Roman" w:cs="Times New Roman"/>
          <w:szCs w:val="19"/>
          <w:lang w:eastAsia="pl-PL"/>
        </w:rPr>
        <w:t xml:space="preserve"> formaln</w:t>
      </w:r>
      <w:r>
        <w:rPr>
          <w:rFonts w:eastAsia="Times New Roman" w:cs="Times New Roman"/>
          <w:szCs w:val="19"/>
          <w:lang w:eastAsia="pl-PL"/>
        </w:rPr>
        <w:t>y</w:t>
      </w:r>
      <w:r w:rsidRPr="004D4FE8">
        <w:rPr>
          <w:rFonts w:eastAsia="Times New Roman" w:cs="Times New Roman"/>
          <w:szCs w:val="19"/>
          <w:lang w:eastAsia="pl-PL"/>
        </w:rPr>
        <w:t xml:space="preserve"> program edukacji,</w:t>
      </w:r>
    </w:p>
    <w:p w14:paraId="4CCD1CB6" w14:textId="77777777" w:rsidR="00BD5A8F" w:rsidRPr="004D4FE8" w:rsidRDefault="00BD5A8F" w:rsidP="002B5FC5">
      <w:pPr>
        <w:numPr>
          <w:ilvl w:val="0"/>
          <w:numId w:val="15"/>
        </w:numPr>
        <w:spacing w:after="0" w:line="260" w:lineRule="exact"/>
        <w:ind w:left="426"/>
        <w:contextualSpacing/>
        <w:rPr>
          <w:szCs w:val="19"/>
        </w:rPr>
      </w:pPr>
      <w:r w:rsidRPr="004D4FE8">
        <w:rPr>
          <w:szCs w:val="19"/>
        </w:rPr>
        <w:t xml:space="preserve">główny powód </w:t>
      </w:r>
      <w:r w:rsidRPr="004D4FE8">
        <w:rPr>
          <w:rFonts w:eastAsia="Times New Roman" w:cs="Times New Roman"/>
          <w:szCs w:val="19"/>
          <w:lang w:eastAsia="pl-PL"/>
        </w:rPr>
        <w:t>porzucenia/przerwania danego programu,</w:t>
      </w:r>
    </w:p>
    <w:p w14:paraId="73D35BC3" w14:textId="77777777" w:rsidR="00BD5A8F" w:rsidRPr="004D4FE8" w:rsidRDefault="00BD5A8F" w:rsidP="002B5FC5">
      <w:pPr>
        <w:numPr>
          <w:ilvl w:val="0"/>
          <w:numId w:val="15"/>
        </w:numPr>
        <w:spacing w:after="0" w:line="260" w:lineRule="exact"/>
        <w:ind w:left="426"/>
        <w:contextualSpacing/>
        <w:rPr>
          <w:szCs w:val="19"/>
        </w:rPr>
      </w:pPr>
      <w:bookmarkStart w:id="17" w:name="_Hlk204245267"/>
      <w:r w:rsidRPr="004D4FE8">
        <w:rPr>
          <w:rFonts w:eastAsia="Times New Roman" w:cs="Times New Roman"/>
          <w:szCs w:val="19"/>
          <w:lang w:eastAsia="pl-PL"/>
        </w:rPr>
        <w:t>ocena dopasowania posiadanego poziomu wykształcenia, dziedziny wykształcenia i</w:t>
      </w:r>
      <w:r>
        <w:rPr>
          <w:rFonts w:eastAsia="Times New Roman" w:cs="Times New Roman"/>
          <w:szCs w:val="19"/>
          <w:lang w:eastAsia="pl-PL"/>
        </w:rPr>
        <w:t> </w:t>
      </w:r>
      <w:r w:rsidRPr="004D4FE8">
        <w:rPr>
          <w:rFonts w:eastAsia="Times New Roman" w:cs="Times New Roman"/>
          <w:szCs w:val="19"/>
          <w:lang w:eastAsia="pl-PL"/>
        </w:rPr>
        <w:t>umiejętności do wykonywanej pracy,</w:t>
      </w:r>
    </w:p>
    <w:bookmarkEnd w:id="17"/>
    <w:p w14:paraId="0E744C64" w14:textId="77777777" w:rsidR="00BD5A8F" w:rsidRPr="004D4FE8" w:rsidRDefault="00BD5A8F" w:rsidP="002B5FC5">
      <w:pPr>
        <w:numPr>
          <w:ilvl w:val="0"/>
          <w:numId w:val="15"/>
        </w:numPr>
        <w:spacing w:after="0" w:line="260" w:lineRule="exact"/>
        <w:ind w:left="426"/>
        <w:contextualSpacing/>
        <w:rPr>
          <w:szCs w:val="19"/>
        </w:rPr>
      </w:pPr>
      <w:r w:rsidRPr="004D4FE8">
        <w:rPr>
          <w:szCs w:val="19"/>
        </w:rPr>
        <w:t xml:space="preserve">ścieżka edukacji osób </w:t>
      </w:r>
      <w:bookmarkStart w:id="18" w:name="_Hlk204250758"/>
      <w:r w:rsidRPr="004D4FE8">
        <w:rPr>
          <w:szCs w:val="19"/>
        </w:rPr>
        <w:t>z wyższym wykształceniem lub średnim po kolegium lub kształceniu specjalistycznym na wyższej uczelni zawodowej zakończon</w:t>
      </w:r>
      <w:r>
        <w:rPr>
          <w:szCs w:val="19"/>
        </w:rPr>
        <w:t>ym</w:t>
      </w:r>
      <w:r w:rsidRPr="004D4FE8">
        <w:rPr>
          <w:szCs w:val="19"/>
        </w:rPr>
        <w:t xml:space="preserve"> otrzymaniem świadectwa dyplomowanego specjalisty/specjalisty technologa –</w:t>
      </w:r>
      <w:r w:rsidRPr="004D4FE8">
        <w:rPr>
          <w:rFonts w:eastAsia="Times New Roman" w:cs="Times New Roman"/>
          <w:szCs w:val="19"/>
          <w:lang w:eastAsia="pl-PL"/>
        </w:rPr>
        <w:t xml:space="preserve"> </w:t>
      </w:r>
      <w:r>
        <w:rPr>
          <w:rFonts w:eastAsia="Times New Roman" w:cs="Times New Roman"/>
          <w:szCs w:val="19"/>
          <w:lang w:eastAsia="pl-PL"/>
        </w:rPr>
        <w:t xml:space="preserve">badano </w:t>
      </w:r>
      <w:r w:rsidRPr="004D4FE8">
        <w:rPr>
          <w:rFonts w:eastAsia="Times New Roman" w:cs="Times New Roman"/>
          <w:szCs w:val="19"/>
          <w:lang w:eastAsia="pl-PL"/>
        </w:rPr>
        <w:t xml:space="preserve">czy </w:t>
      </w:r>
      <w:r w:rsidR="000C3716" w:rsidRPr="004D4FE8">
        <w:rPr>
          <w:rFonts w:eastAsia="Times New Roman" w:cs="Times New Roman"/>
          <w:szCs w:val="19"/>
          <w:lang w:eastAsia="pl-PL"/>
        </w:rPr>
        <w:t>na niższym poziomie</w:t>
      </w:r>
      <w:r w:rsidR="000C3716">
        <w:rPr>
          <w:rFonts w:eastAsia="Times New Roman" w:cs="Times New Roman"/>
          <w:szCs w:val="19"/>
          <w:lang w:eastAsia="pl-PL"/>
        </w:rPr>
        <w:t xml:space="preserve"> edukacji</w:t>
      </w:r>
      <w:r w:rsidR="000C3716" w:rsidRPr="004D4FE8">
        <w:rPr>
          <w:rFonts w:eastAsia="Times New Roman" w:cs="Times New Roman"/>
          <w:szCs w:val="19"/>
          <w:lang w:eastAsia="pl-PL"/>
        </w:rPr>
        <w:t xml:space="preserve"> </w:t>
      </w:r>
      <w:r w:rsidRPr="004D4FE8">
        <w:rPr>
          <w:rFonts w:eastAsia="Times New Roman" w:cs="Times New Roman"/>
          <w:szCs w:val="19"/>
          <w:lang w:eastAsia="pl-PL"/>
        </w:rPr>
        <w:t>osoby te uzyskały wykształcenie zawodowe</w:t>
      </w:r>
      <w:r w:rsidR="000C3716">
        <w:rPr>
          <w:rFonts w:eastAsia="Times New Roman" w:cs="Times New Roman"/>
          <w:szCs w:val="19"/>
          <w:lang w:eastAsia="pl-PL"/>
        </w:rPr>
        <w:t>,</w:t>
      </w:r>
      <w:r w:rsidRPr="004D4FE8">
        <w:rPr>
          <w:rFonts w:eastAsia="Times New Roman" w:cs="Times New Roman"/>
          <w:szCs w:val="19"/>
          <w:lang w:eastAsia="pl-PL"/>
        </w:rPr>
        <w:t xml:space="preserve"> </w:t>
      </w:r>
      <w:r w:rsidR="000C3716" w:rsidRPr="004D4FE8">
        <w:rPr>
          <w:rFonts w:eastAsia="Times New Roman" w:cs="Times New Roman"/>
          <w:szCs w:val="19"/>
          <w:lang w:eastAsia="pl-PL"/>
        </w:rPr>
        <w:t>czy ogólnokształcące</w:t>
      </w:r>
      <w:r w:rsidRPr="004D4FE8">
        <w:rPr>
          <w:rFonts w:eastAsia="Times New Roman" w:cs="Times New Roman"/>
          <w:szCs w:val="19"/>
          <w:lang w:eastAsia="pl-PL"/>
        </w:rPr>
        <w:t>.</w:t>
      </w:r>
    </w:p>
    <w:bookmarkEnd w:id="18"/>
    <w:p w14:paraId="1EA3583F" w14:textId="77777777" w:rsidR="00BD5A8F" w:rsidRPr="004D4FE8" w:rsidRDefault="00BD5A8F" w:rsidP="002B5FC5">
      <w:pPr>
        <w:spacing w:before="60" w:after="60" w:line="260" w:lineRule="exact"/>
        <w:rPr>
          <w:szCs w:val="19"/>
        </w:rPr>
      </w:pPr>
      <w:r w:rsidRPr="004D4FE8">
        <w:rPr>
          <w:b/>
          <w:szCs w:val="19"/>
        </w:rPr>
        <w:t>Przerwanie edukacji formalnej</w:t>
      </w:r>
      <w:r w:rsidRPr="004D4FE8">
        <w:rPr>
          <w:szCs w:val="19"/>
        </w:rPr>
        <w:t xml:space="preserve"> definiowano w badaniu jako opuszczenie edukacji formalnej bez uzyskania certyfikatu/świadectwa/dyplomu ukończenia danego typu szkoły/kierunku kształcenia.</w:t>
      </w:r>
    </w:p>
    <w:p w14:paraId="7B7D1A09" w14:textId="77777777" w:rsidR="00BD5A8F" w:rsidRDefault="00BD5A8F" w:rsidP="002B5FC5">
      <w:pPr>
        <w:spacing w:before="60" w:after="60" w:line="260" w:lineRule="exact"/>
        <w:ind w:right="709"/>
        <w:rPr>
          <w:rFonts w:eastAsia="Calibri" w:cs="Arial"/>
          <w:szCs w:val="19"/>
        </w:rPr>
      </w:pPr>
      <w:r w:rsidRPr="00BD5A8F">
        <w:rPr>
          <w:rFonts w:eastAsia="Calibri" w:cs="Arial"/>
          <w:szCs w:val="19"/>
        </w:rPr>
        <w:t>Uwzględniano wszystkie rozpoczęte a nieukończone (porzucone) formalne programy edukacji, brano zatem pod uwagę wszystkie typy szkół na wszystkich poziomach edukacji, w których kiedykolwiek respondent rozpoczął naukę, ale których nie udało się ukończyć.</w:t>
      </w:r>
    </w:p>
    <w:p w14:paraId="095CD178" w14:textId="77777777" w:rsidR="00BD5A8F" w:rsidRPr="004D4FE8" w:rsidRDefault="00BD5A8F" w:rsidP="002B5FC5">
      <w:pPr>
        <w:spacing w:before="60" w:after="60" w:line="260" w:lineRule="exact"/>
        <w:ind w:right="709"/>
        <w:rPr>
          <w:rFonts w:eastAsia="Calibri" w:cs="Arial"/>
          <w:szCs w:val="19"/>
        </w:rPr>
      </w:pPr>
      <w:r w:rsidRPr="004D4FE8">
        <w:rPr>
          <w:rFonts w:eastAsia="Calibri" w:cs="Arial"/>
          <w:szCs w:val="19"/>
        </w:rPr>
        <w:t>Zmian</w:t>
      </w:r>
      <w:r>
        <w:rPr>
          <w:rFonts w:eastAsia="Calibri" w:cs="Arial"/>
          <w:szCs w:val="19"/>
        </w:rPr>
        <w:t>a</w:t>
      </w:r>
      <w:r w:rsidRPr="004D4FE8">
        <w:rPr>
          <w:rFonts w:eastAsia="Calibri" w:cs="Arial"/>
          <w:szCs w:val="19"/>
        </w:rPr>
        <w:t xml:space="preserve"> szkoły/uczelni, bez zmiany kierunku (dziedziny) kształcenia nie była traktowana jako przerwanie nauki w danej szkole/na danym poziomie edukacji. Jeżeli dana osoba zmieniła szkołę, ale kontynuowała ten sam program nauczania lub </w:t>
      </w:r>
      <w:r w:rsidRPr="004D4FE8">
        <w:rPr>
          <w:rFonts w:eastAsia="Calibri" w:cs="Arial"/>
          <w:szCs w:val="19"/>
        </w:rPr>
        <w:lastRenderedPageBreak/>
        <w:t>zmieniała uczelnię bez zmiany kierunku studiów, nie było to uważane za przerwanie formalnego programu edukacji.</w:t>
      </w:r>
    </w:p>
    <w:p w14:paraId="48DCA85C" w14:textId="77777777" w:rsidR="00BD5A8F" w:rsidRPr="004D4FE8" w:rsidRDefault="00BD5A8F" w:rsidP="002B5FC5">
      <w:pPr>
        <w:spacing w:before="60" w:after="60" w:line="260" w:lineRule="exact"/>
        <w:ind w:right="709"/>
        <w:rPr>
          <w:rFonts w:eastAsia="Calibri" w:cs="Arial"/>
          <w:szCs w:val="19"/>
        </w:rPr>
      </w:pPr>
      <w:r w:rsidRPr="004D4FE8">
        <w:rPr>
          <w:rFonts w:eastAsia="Calibri" w:cs="Arial"/>
          <w:szCs w:val="19"/>
        </w:rPr>
        <w:t xml:space="preserve">Zmiana kierunku studiów była traktowana jako porzucenie formalnej edukacji na danym kierunku, czyli przerwanie danego programu nauki. </w:t>
      </w:r>
    </w:p>
    <w:p w14:paraId="54339B00"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Jeśli w kształceniu na aktualnym poziomie edukacji respondent był w trakcie przerwy niewynikającej z</w:t>
      </w:r>
      <w:r>
        <w:rPr>
          <w:rFonts w:eastAsia="Calibri" w:cs="Arial"/>
          <w:szCs w:val="19"/>
        </w:rPr>
        <w:t> </w:t>
      </w:r>
      <w:r w:rsidRPr="004D4FE8">
        <w:rPr>
          <w:rFonts w:eastAsia="Calibri" w:cs="Arial"/>
          <w:szCs w:val="19"/>
        </w:rPr>
        <w:t>okresu wakacyjnego (np. był na urlopie dziekańskim), traktowano to jako przerwanie (nawet jeśli respondent miał zamiar wznowić przerwany program edukacyjny). Dotyczyło to tylko sytuacji w czasie badania – tzn. jeśli osoba w przeszłości skorzystała z</w:t>
      </w:r>
      <w:r w:rsidR="00FD56FE">
        <w:rPr>
          <w:rFonts w:eastAsia="Calibri" w:cs="Arial"/>
          <w:szCs w:val="19"/>
        </w:rPr>
        <w:t> </w:t>
      </w:r>
      <w:r w:rsidRPr="004D4FE8">
        <w:rPr>
          <w:rFonts w:eastAsia="Calibri" w:cs="Arial"/>
          <w:szCs w:val="19"/>
        </w:rPr>
        <w:t>urlopu dziekańskiego bądź innego rodzaju przerwy w nauce, a następnie po jej zakończeniu kontynuowała rozpoczęte kształcenie i je ukończyła (uzyskała certyfikat/świadectwo/dyplom ukończenia), to nie było to traktowane jako przerwani</w:t>
      </w:r>
      <w:r>
        <w:rPr>
          <w:rFonts w:eastAsia="Calibri" w:cs="Arial"/>
          <w:szCs w:val="19"/>
        </w:rPr>
        <w:t>e</w:t>
      </w:r>
      <w:r w:rsidRPr="004D4FE8">
        <w:rPr>
          <w:rFonts w:eastAsia="Calibri" w:cs="Arial"/>
          <w:szCs w:val="19"/>
        </w:rPr>
        <w:t xml:space="preserve"> nauki.</w:t>
      </w:r>
    </w:p>
    <w:p w14:paraId="5ACE3713" w14:textId="77777777" w:rsidR="00BD5A8F" w:rsidRPr="004D4FE8" w:rsidRDefault="00BD5A8F" w:rsidP="002B5FC5">
      <w:pPr>
        <w:spacing w:before="60" w:after="60" w:line="260" w:lineRule="exact"/>
        <w:rPr>
          <w:rFonts w:ascii="Cambria" w:eastAsia="Calibri" w:hAnsi="Cambria" w:cs="Arial"/>
        </w:rPr>
      </w:pPr>
      <w:r w:rsidRPr="004D4FE8">
        <w:rPr>
          <w:rFonts w:eastAsia="Calibri" w:cs="Arial"/>
          <w:szCs w:val="19"/>
        </w:rPr>
        <w:t>Ponieważ pytano o program edukacji, to w przypadku jeśli dana osoba porzucała/przerywała ten sam program kilka razy i nie ukończyła go, przyj</w:t>
      </w:r>
      <w:r>
        <w:rPr>
          <w:rFonts w:eastAsia="Calibri" w:cs="Arial"/>
          <w:szCs w:val="19"/>
        </w:rPr>
        <w:t>mowano</w:t>
      </w:r>
      <w:r w:rsidRPr="004D4FE8">
        <w:rPr>
          <w:rFonts w:eastAsia="Calibri" w:cs="Arial"/>
          <w:szCs w:val="19"/>
        </w:rPr>
        <w:t>, że porzuciła tylko jeden program.</w:t>
      </w:r>
    </w:p>
    <w:p w14:paraId="3423B935" w14:textId="77777777" w:rsidR="00BD5A8F" w:rsidRPr="004D4FE8" w:rsidRDefault="00BD5A8F" w:rsidP="002B5FC5">
      <w:pPr>
        <w:spacing w:before="60" w:after="60" w:line="260" w:lineRule="exact"/>
        <w:rPr>
          <w:szCs w:val="19"/>
        </w:rPr>
      </w:pPr>
      <w:r w:rsidRPr="004D4FE8">
        <w:rPr>
          <w:b/>
          <w:szCs w:val="19"/>
        </w:rPr>
        <w:t>Poziom edukacji, na którym został przerwany</w:t>
      </w:r>
      <w:r w:rsidRPr="004D4FE8">
        <w:rPr>
          <w:rFonts w:eastAsia="Times New Roman" w:cs="Times New Roman"/>
          <w:b/>
          <w:szCs w:val="19"/>
          <w:lang w:eastAsia="pl-PL"/>
        </w:rPr>
        <w:t xml:space="preserve"> formalny program edukacji </w:t>
      </w:r>
      <w:r w:rsidRPr="004D4FE8">
        <w:rPr>
          <w:rFonts w:eastAsia="Times New Roman" w:cs="Times New Roman"/>
          <w:szCs w:val="19"/>
          <w:lang w:eastAsia="pl-PL"/>
        </w:rPr>
        <w:t xml:space="preserve">był to rozpoczęty, a nie ukończony poziom edukacji. </w:t>
      </w:r>
      <w:r w:rsidRPr="004D4FE8">
        <w:rPr>
          <w:szCs w:val="19"/>
        </w:rPr>
        <w:t>W przypadku kilkukrotnego przerwania programów edukacji uwzględniany był</w:t>
      </w:r>
      <w:r w:rsidRPr="004D4FE8">
        <w:rPr>
          <w:b/>
          <w:szCs w:val="19"/>
        </w:rPr>
        <w:t xml:space="preserve"> </w:t>
      </w:r>
      <w:r w:rsidRPr="004D4FE8">
        <w:rPr>
          <w:szCs w:val="19"/>
        </w:rPr>
        <w:t>najwyższy poziom edukacji, k</w:t>
      </w:r>
      <w:r w:rsidRPr="004D4FE8">
        <w:rPr>
          <w:color w:val="000000" w:themeColor="text1"/>
          <w:szCs w:val="19"/>
        </w:rPr>
        <w:t>tóry</w:t>
      </w:r>
      <w:r w:rsidRPr="004D4FE8">
        <w:rPr>
          <w:szCs w:val="19"/>
        </w:rPr>
        <w:t xml:space="preserve"> został przerwany.</w:t>
      </w:r>
    </w:p>
    <w:p w14:paraId="5984EFE8" w14:textId="77777777" w:rsidR="00BD5A8F" w:rsidRPr="004D4FE8" w:rsidRDefault="00BD5A8F" w:rsidP="002B5FC5">
      <w:pPr>
        <w:tabs>
          <w:tab w:val="left" w:pos="317"/>
          <w:tab w:val="right" w:leader="dot" w:pos="3577"/>
        </w:tabs>
        <w:spacing w:before="60" w:after="60" w:line="260" w:lineRule="exact"/>
        <w:rPr>
          <w:rFonts w:cs="Arial"/>
          <w:szCs w:val="19"/>
        </w:rPr>
      </w:pPr>
      <w:r w:rsidRPr="004D4FE8">
        <w:rPr>
          <w:rFonts w:eastAsia="Calibri" w:cs="Arial"/>
          <w:b/>
          <w:szCs w:val="19"/>
        </w:rPr>
        <w:t xml:space="preserve">Główny powód przerwania edukacji formalnej </w:t>
      </w:r>
      <w:r w:rsidRPr="004D4FE8">
        <w:rPr>
          <w:rFonts w:eastAsia="Calibri" w:cs="Arial"/>
          <w:szCs w:val="19"/>
        </w:rPr>
        <w:t xml:space="preserve">odnosił się do wskazanego wcześniej przerwanego poziomu edukacji. </w:t>
      </w:r>
    </w:p>
    <w:p w14:paraId="5BF48653" w14:textId="77777777" w:rsidR="00BD5A8F" w:rsidRPr="004D4FE8" w:rsidRDefault="00BD5A8F" w:rsidP="002B5FC5">
      <w:pPr>
        <w:spacing w:before="60" w:after="60" w:line="260" w:lineRule="exact"/>
        <w:jc w:val="both"/>
        <w:rPr>
          <w:rFonts w:eastAsia="Calibri" w:cs="Arial"/>
          <w:szCs w:val="19"/>
        </w:rPr>
      </w:pPr>
      <w:r w:rsidRPr="004D4FE8">
        <w:rPr>
          <w:rFonts w:eastAsia="Calibri" w:cs="Arial"/>
          <w:szCs w:val="19"/>
        </w:rPr>
        <w:t xml:space="preserve">Jeśli dana osoba przerwała </w:t>
      </w:r>
      <w:r w:rsidRPr="004D4FE8">
        <w:rPr>
          <w:rFonts w:eastAsia="Calibri" w:cs="Arial"/>
          <w:b/>
          <w:szCs w:val="19"/>
        </w:rPr>
        <w:t>kilka programów kształcenia formalnego na tym samym poziomie edukacji</w:t>
      </w:r>
      <w:r w:rsidRPr="004D4FE8">
        <w:rPr>
          <w:rFonts w:eastAsia="Calibri" w:cs="Arial"/>
          <w:szCs w:val="19"/>
        </w:rPr>
        <w:t xml:space="preserve">, informację o głównej przyczynie należało odnieść do programu, który został porzucony jako </w:t>
      </w:r>
      <w:r w:rsidRPr="004D4FE8">
        <w:rPr>
          <w:rFonts w:eastAsia="Calibri" w:cs="Arial"/>
          <w:b/>
          <w:szCs w:val="19"/>
        </w:rPr>
        <w:t>ostatni</w:t>
      </w:r>
      <w:r w:rsidRPr="004D4FE8">
        <w:rPr>
          <w:rFonts w:eastAsia="Calibri" w:cs="Arial"/>
          <w:szCs w:val="19"/>
        </w:rPr>
        <w:t>.</w:t>
      </w:r>
    </w:p>
    <w:p w14:paraId="4ED1FF55" w14:textId="77777777" w:rsidR="00BD5A8F" w:rsidRPr="004D4FE8" w:rsidRDefault="00BD5A8F" w:rsidP="002B5FC5">
      <w:pPr>
        <w:numPr>
          <w:ilvl w:val="0"/>
          <w:numId w:val="16"/>
        </w:numPr>
        <w:spacing w:before="0" w:after="0" w:line="260" w:lineRule="exact"/>
        <w:ind w:left="425" w:hanging="357"/>
        <w:jc w:val="both"/>
        <w:rPr>
          <w:rFonts w:eastAsia="Calibri" w:cs="Arial"/>
          <w:szCs w:val="19"/>
        </w:rPr>
      </w:pPr>
      <w:r w:rsidRPr="004D4FE8">
        <w:rPr>
          <w:rFonts w:eastAsia="Calibri" w:cs="Arial"/>
          <w:b/>
          <w:szCs w:val="19"/>
        </w:rPr>
        <w:t>Względy finansowe</w:t>
      </w:r>
      <w:r w:rsidRPr="004D4FE8">
        <w:rPr>
          <w:rFonts w:eastAsia="Calibri" w:cs="Arial"/>
          <w:szCs w:val="19"/>
        </w:rPr>
        <w:t xml:space="preserve"> rozumiane były szeroko – obejmowały opłaty, materiały do nauki i koszty utrzymania. Uwzględniano także ogólny brak środków finansowych.</w:t>
      </w:r>
    </w:p>
    <w:p w14:paraId="693D5045" w14:textId="77777777" w:rsidR="00BD5A8F" w:rsidRPr="004D4FE8" w:rsidRDefault="00BD5A8F" w:rsidP="002B5FC5">
      <w:pPr>
        <w:numPr>
          <w:ilvl w:val="0"/>
          <w:numId w:val="16"/>
        </w:numPr>
        <w:spacing w:before="0" w:after="0" w:line="260" w:lineRule="exact"/>
        <w:ind w:left="425" w:hanging="357"/>
        <w:rPr>
          <w:rFonts w:eastAsia="Calibri" w:cs="Arial"/>
          <w:szCs w:val="19"/>
        </w:rPr>
      </w:pPr>
      <w:r w:rsidRPr="004D4FE8">
        <w:rPr>
          <w:rFonts w:eastAsia="Calibri" w:cs="Arial"/>
          <w:b/>
          <w:szCs w:val="19"/>
        </w:rPr>
        <w:t>Preferowanie pracy</w:t>
      </w:r>
      <w:r w:rsidRPr="004D4FE8">
        <w:rPr>
          <w:rFonts w:eastAsia="Calibri" w:cs="Arial"/>
          <w:szCs w:val="19"/>
        </w:rPr>
        <w:t xml:space="preserve"> obejmowało sytuacje, w których respondent nie ukończył formalnego wykształcenia, ponieważ znalazł/rozpoczął pracę lub chciał pracować i</w:t>
      </w:r>
      <w:r>
        <w:rPr>
          <w:rFonts w:eastAsia="Calibri" w:cs="Arial"/>
          <w:szCs w:val="19"/>
        </w:rPr>
        <w:t> </w:t>
      </w:r>
      <w:r w:rsidRPr="004D4FE8">
        <w:rPr>
          <w:rFonts w:eastAsia="Calibri" w:cs="Arial"/>
          <w:szCs w:val="19"/>
        </w:rPr>
        <w:t>szukał pracy.</w:t>
      </w:r>
    </w:p>
    <w:p w14:paraId="703D5296" w14:textId="77777777" w:rsidR="00BD5A8F" w:rsidRPr="004D4FE8" w:rsidRDefault="00BD5A8F" w:rsidP="002B5FC5">
      <w:pPr>
        <w:numPr>
          <w:ilvl w:val="0"/>
          <w:numId w:val="16"/>
        </w:numPr>
        <w:spacing w:before="0" w:after="0" w:line="260" w:lineRule="exact"/>
        <w:ind w:left="425" w:hanging="357"/>
        <w:rPr>
          <w:rFonts w:eastAsia="Calibri" w:cs="Arial"/>
          <w:szCs w:val="19"/>
        </w:rPr>
      </w:pPr>
      <w:r w:rsidRPr="004D4FE8">
        <w:rPr>
          <w:rFonts w:eastAsia="Calibri" w:cs="Arial"/>
          <w:b/>
          <w:szCs w:val="19"/>
        </w:rPr>
        <w:t xml:space="preserve">Sam program edukacyjny </w:t>
      </w:r>
      <w:r w:rsidRPr="004D4FE8">
        <w:rPr>
          <w:rFonts w:eastAsia="Calibri" w:cs="Arial"/>
          <w:szCs w:val="19"/>
        </w:rPr>
        <w:t>– taki powód</w:t>
      </w:r>
      <w:r w:rsidRPr="004D4FE8">
        <w:rPr>
          <w:rFonts w:eastAsia="Calibri" w:cs="Arial"/>
          <w:b/>
          <w:szCs w:val="19"/>
        </w:rPr>
        <w:t xml:space="preserve"> </w:t>
      </w:r>
      <w:r w:rsidRPr="004D4FE8">
        <w:rPr>
          <w:rFonts w:eastAsia="Calibri" w:cs="Arial"/>
          <w:szCs w:val="19"/>
        </w:rPr>
        <w:t>odnosił się do sytuacji, w których studia nie odpowiadały zainteresowaniom respondenta lub gdy respondent uznał, że jakość kształcenia była zbyt niska lub że studia nie przyniosły oczekiwanych rezultatów (pod względem treści edukacyjnych lub oczekiwań dotyczących perspektyw na rynku pracy). Obejmował również przypadki, w których respondent uważał studia za zbyt trudne. Wliczały się tu także niezaliczone egzaminy. Ten powód wskazywały również osoby, które zdecydowały, że inny kierunek będzie dla nich bardziej odpowiedni i w kolejnym roku zmieniły go na inny.</w:t>
      </w:r>
    </w:p>
    <w:p w14:paraId="7B96376E" w14:textId="77777777" w:rsidR="00BD5A8F" w:rsidRPr="004D4FE8" w:rsidRDefault="00BD5A8F" w:rsidP="002B5FC5">
      <w:pPr>
        <w:numPr>
          <w:ilvl w:val="0"/>
          <w:numId w:val="16"/>
        </w:numPr>
        <w:spacing w:before="0" w:after="0" w:line="260" w:lineRule="exact"/>
        <w:ind w:left="425" w:hanging="357"/>
        <w:rPr>
          <w:rFonts w:eastAsia="Calibri" w:cs="Arial"/>
          <w:szCs w:val="19"/>
        </w:rPr>
      </w:pPr>
      <w:r w:rsidRPr="004D4FE8">
        <w:rPr>
          <w:rFonts w:eastAsia="Calibri" w:cs="Arial"/>
          <w:b/>
          <w:szCs w:val="19"/>
        </w:rPr>
        <w:t xml:space="preserve">Stan zdrowia </w:t>
      </w:r>
      <w:r w:rsidRPr="004D4FE8">
        <w:rPr>
          <w:rFonts w:eastAsia="Calibri" w:cs="Arial"/>
          <w:szCs w:val="19"/>
        </w:rPr>
        <w:t>dotyczył zarówno zdrowia fizycznego, jak i psychicznego.</w:t>
      </w:r>
    </w:p>
    <w:p w14:paraId="4CD96960" w14:textId="77777777" w:rsidR="00BD5A8F" w:rsidRPr="004D4FE8" w:rsidRDefault="00BD5A8F" w:rsidP="002B5FC5">
      <w:pPr>
        <w:numPr>
          <w:ilvl w:val="0"/>
          <w:numId w:val="16"/>
        </w:numPr>
        <w:spacing w:before="0" w:after="0" w:line="260" w:lineRule="exact"/>
        <w:ind w:left="425" w:hanging="357"/>
        <w:rPr>
          <w:rFonts w:eastAsia="Calibri" w:cs="Arial"/>
          <w:szCs w:val="19"/>
        </w:rPr>
      </w:pPr>
      <w:r w:rsidRPr="004D4FE8">
        <w:rPr>
          <w:rFonts w:eastAsia="Calibri" w:cs="Arial"/>
          <w:b/>
          <w:szCs w:val="19"/>
        </w:rPr>
        <w:t>Sytuacja rodzinna</w:t>
      </w:r>
      <w:r w:rsidRPr="004D4FE8">
        <w:rPr>
          <w:rFonts w:eastAsia="Calibri" w:cs="Arial"/>
          <w:szCs w:val="19"/>
        </w:rPr>
        <w:t xml:space="preserve"> – ten powód mógł odnosić się do przypadków, gdy np. rodzice respondenta nie zaakceptowali wybranego przez niego kierunku studiów i chcieli, aby </w:t>
      </w:r>
      <w:r>
        <w:rPr>
          <w:rFonts w:eastAsia="Calibri" w:cs="Arial"/>
          <w:szCs w:val="19"/>
        </w:rPr>
        <w:t>go zmienił</w:t>
      </w:r>
      <w:r w:rsidRPr="004D4FE8">
        <w:rPr>
          <w:rFonts w:eastAsia="Calibri" w:cs="Arial"/>
          <w:szCs w:val="19"/>
        </w:rPr>
        <w:t xml:space="preserve"> lub gdy np. respondent porzucił naukę, bo zmienił miejsce zamieszkania z</w:t>
      </w:r>
      <w:r w:rsidR="00FD56FE">
        <w:rPr>
          <w:rFonts w:eastAsia="Calibri" w:cs="Arial"/>
          <w:szCs w:val="19"/>
        </w:rPr>
        <w:t> </w:t>
      </w:r>
      <w:r w:rsidRPr="004D4FE8">
        <w:rPr>
          <w:rFonts w:eastAsia="Calibri" w:cs="Arial"/>
          <w:szCs w:val="19"/>
        </w:rPr>
        <w:t>powodów rodzinnych (np. zawarł związek małżeński z osobą z innego miasta i przeprowadził się tam, aby zamieszkać razem – w</w:t>
      </w:r>
      <w:r>
        <w:rPr>
          <w:rFonts w:eastAsia="Calibri" w:cs="Arial"/>
          <w:szCs w:val="19"/>
        </w:rPr>
        <w:t> </w:t>
      </w:r>
      <w:r w:rsidRPr="004D4FE8">
        <w:rPr>
          <w:rFonts w:eastAsia="Calibri" w:cs="Arial"/>
          <w:szCs w:val="19"/>
        </w:rPr>
        <w:t xml:space="preserve">nowej miejscowości zamieszkania nie było uczelni, na której mógłby kontynuować naukę). </w:t>
      </w:r>
    </w:p>
    <w:p w14:paraId="4BAC6FCD" w14:textId="790EB9E7" w:rsidR="00BD5A8F" w:rsidRPr="004D4FE8" w:rsidRDefault="00BD5A8F" w:rsidP="002B5FC5">
      <w:pPr>
        <w:numPr>
          <w:ilvl w:val="0"/>
          <w:numId w:val="16"/>
        </w:numPr>
        <w:spacing w:before="0" w:after="0" w:line="260" w:lineRule="exact"/>
        <w:ind w:left="425" w:hanging="357"/>
        <w:rPr>
          <w:rFonts w:eastAsia="Calibri" w:cs="Arial"/>
          <w:szCs w:val="19"/>
        </w:rPr>
      </w:pPr>
      <w:r w:rsidRPr="004D4FE8">
        <w:rPr>
          <w:rFonts w:eastAsia="Calibri" w:cs="Arial"/>
          <w:b/>
          <w:szCs w:val="19"/>
        </w:rPr>
        <w:t>Powody osobiste</w:t>
      </w:r>
      <w:r w:rsidRPr="004D4FE8">
        <w:rPr>
          <w:rFonts w:eastAsia="Calibri" w:cs="Arial"/>
          <w:szCs w:val="19"/>
        </w:rPr>
        <w:t xml:space="preserve"> odnosiły się do przypadków, w których respondent zrezygnował np.</w:t>
      </w:r>
      <w:r w:rsidR="006C12FA">
        <w:rPr>
          <w:rFonts w:eastAsia="Calibri" w:cs="Arial"/>
          <w:szCs w:val="19"/>
        </w:rPr>
        <w:t> </w:t>
      </w:r>
      <w:r w:rsidRPr="004D4FE8">
        <w:rPr>
          <w:rFonts w:eastAsia="Calibri" w:cs="Arial"/>
          <w:szCs w:val="19"/>
        </w:rPr>
        <w:t>z</w:t>
      </w:r>
      <w:r w:rsidR="00AF6717">
        <w:rPr>
          <w:rFonts w:eastAsia="Calibri" w:cs="Arial"/>
          <w:szCs w:val="19"/>
        </w:rPr>
        <w:t> </w:t>
      </w:r>
      <w:r w:rsidRPr="004D4FE8">
        <w:rPr>
          <w:rFonts w:eastAsia="Calibri" w:cs="Arial"/>
          <w:szCs w:val="19"/>
        </w:rPr>
        <w:t xml:space="preserve">danego programu edukacyjnego z powodu konfliktu z nauczycielami lub z innymi uczniami/studentami. Do tej kategorii można było zaliczyć także odpowiedzi takie jak „nie podobało mi się to” </w:t>
      </w:r>
      <w:r>
        <w:rPr>
          <w:rFonts w:eastAsia="Calibri" w:cs="Arial"/>
          <w:szCs w:val="19"/>
        </w:rPr>
        <w:t>lub</w:t>
      </w:r>
      <w:r w:rsidRPr="004D4FE8">
        <w:rPr>
          <w:rFonts w:eastAsia="Calibri" w:cs="Arial"/>
          <w:szCs w:val="19"/>
        </w:rPr>
        <w:t xml:space="preserve"> „brak motywacji”. Można tu też było zakwalifikować porzucenie nauki związane ze zmianą miejsca zamieszkania, które nie zostało spowodowane względami rodzinnymi (np. chęć podróżowania, zwiedzania świata, itp.)</w:t>
      </w:r>
    </w:p>
    <w:p w14:paraId="3149E2D7"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Informacj</w:t>
      </w:r>
      <w:r>
        <w:rPr>
          <w:rFonts w:eastAsia="Calibri" w:cs="Arial"/>
          <w:szCs w:val="19"/>
        </w:rPr>
        <w:t>e</w:t>
      </w:r>
      <w:r w:rsidRPr="004D4FE8">
        <w:rPr>
          <w:rFonts w:eastAsia="Calibri" w:cs="Arial"/>
          <w:szCs w:val="19"/>
        </w:rPr>
        <w:t xml:space="preserve"> o </w:t>
      </w:r>
      <w:r w:rsidRPr="004D4FE8">
        <w:rPr>
          <w:rFonts w:eastAsia="Calibri" w:cs="Arial"/>
          <w:b/>
          <w:szCs w:val="19"/>
        </w:rPr>
        <w:t>dopasowaniu posiadanego poziomu wykształcenia, dziedziny wykształcenia i</w:t>
      </w:r>
      <w:r w:rsidR="002B5FC5">
        <w:rPr>
          <w:rFonts w:eastAsia="Calibri" w:cs="Arial"/>
          <w:b/>
          <w:szCs w:val="19"/>
        </w:rPr>
        <w:t> </w:t>
      </w:r>
      <w:r w:rsidRPr="004D4FE8">
        <w:rPr>
          <w:rFonts w:eastAsia="Calibri" w:cs="Arial"/>
          <w:b/>
          <w:szCs w:val="19"/>
        </w:rPr>
        <w:t>umiejętności do wykonywanej przez</w:t>
      </w:r>
      <w:r>
        <w:rPr>
          <w:rFonts w:eastAsia="Calibri" w:cs="Arial"/>
          <w:b/>
          <w:szCs w:val="19"/>
        </w:rPr>
        <w:t xml:space="preserve"> respondenta</w:t>
      </w:r>
      <w:r w:rsidRPr="004D4FE8">
        <w:rPr>
          <w:rFonts w:eastAsia="Calibri" w:cs="Arial"/>
          <w:b/>
          <w:szCs w:val="19"/>
        </w:rPr>
        <w:t xml:space="preserve"> pracy</w:t>
      </w:r>
      <w:r w:rsidRPr="004D4FE8">
        <w:rPr>
          <w:rFonts w:eastAsia="Calibri" w:cs="Arial"/>
          <w:szCs w:val="19"/>
        </w:rPr>
        <w:t xml:space="preserve"> dotyczyły osób pracujących oraz osób niepracujących, któr</w:t>
      </w:r>
      <w:r>
        <w:rPr>
          <w:rFonts w:eastAsia="Calibri" w:cs="Arial"/>
          <w:szCs w:val="19"/>
        </w:rPr>
        <w:t>e</w:t>
      </w:r>
      <w:r w:rsidRPr="004D4FE8">
        <w:rPr>
          <w:rFonts w:eastAsia="Calibri" w:cs="Arial"/>
          <w:szCs w:val="19"/>
        </w:rPr>
        <w:t xml:space="preserve"> pracowa</w:t>
      </w:r>
      <w:r>
        <w:rPr>
          <w:rFonts w:eastAsia="Calibri" w:cs="Arial"/>
          <w:szCs w:val="19"/>
        </w:rPr>
        <w:t>ły</w:t>
      </w:r>
      <w:r w:rsidRPr="004D4FE8">
        <w:rPr>
          <w:rFonts w:eastAsia="Calibri" w:cs="Arial"/>
          <w:szCs w:val="19"/>
        </w:rPr>
        <w:t xml:space="preserve"> w</w:t>
      </w:r>
      <w:r>
        <w:rPr>
          <w:rFonts w:eastAsia="Calibri" w:cs="Arial"/>
          <w:szCs w:val="19"/>
        </w:rPr>
        <w:t> </w:t>
      </w:r>
      <w:r w:rsidRPr="004D4FE8">
        <w:rPr>
          <w:rFonts w:eastAsia="Calibri" w:cs="Arial"/>
          <w:szCs w:val="19"/>
        </w:rPr>
        <w:t>przeszłości.</w:t>
      </w:r>
    </w:p>
    <w:p w14:paraId="7A902400"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W przypadku osób pracujących – odnoszono się do pracy wykonywanej</w:t>
      </w:r>
      <w:r w:rsidR="00FC0B9D">
        <w:rPr>
          <w:rFonts w:eastAsia="Calibri" w:cs="Arial"/>
          <w:szCs w:val="19"/>
        </w:rPr>
        <w:t xml:space="preserve"> w momencie badania</w:t>
      </w:r>
      <w:r w:rsidRPr="004D4FE8">
        <w:rPr>
          <w:rFonts w:eastAsia="Calibri" w:cs="Arial"/>
          <w:szCs w:val="19"/>
        </w:rPr>
        <w:t xml:space="preserve">, biorąc pod uwagę </w:t>
      </w:r>
      <w:r w:rsidRPr="008E2E0C">
        <w:rPr>
          <w:rFonts w:eastAsia="Calibri" w:cs="Arial"/>
          <w:szCs w:val="19"/>
        </w:rPr>
        <w:t>obecny</w:t>
      </w:r>
      <w:r w:rsidRPr="004D4FE8">
        <w:rPr>
          <w:rFonts w:eastAsia="Calibri" w:cs="Arial"/>
          <w:szCs w:val="19"/>
        </w:rPr>
        <w:t xml:space="preserve"> poziom i dziedzinę wykształcenia </w:t>
      </w:r>
      <w:r w:rsidR="004E03F4">
        <w:rPr>
          <w:rFonts w:eastAsia="Calibri" w:cs="Arial"/>
          <w:szCs w:val="19"/>
        </w:rPr>
        <w:t>oraz</w:t>
      </w:r>
      <w:r w:rsidRPr="004D4FE8">
        <w:rPr>
          <w:rFonts w:eastAsia="Calibri" w:cs="Arial"/>
          <w:szCs w:val="19"/>
        </w:rPr>
        <w:t xml:space="preserve"> obecne umiejętności.  </w:t>
      </w:r>
    </w:p>
    <w:p w14:paraId="06C2024C"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lastRenderedPageBreak/>
        <w:t xml:space="preserve">W przypadku osób niepracujących, mających przeszłość zawodową – </w:t>
      </w:r>
      <w:r>
        <w:rPr>
          <w:rFonts w:eastAsia="Calibri" w:cs="Arial"/>
          <w:szCs w:val="19"/>
        </w:rPr>
        <w:t>odnoszono</w:t>
      </w:r>
      <w:r w:rsidRPr="004D4FE8">
        <w:rPr>
          <w:rFonts w:eastAsia="Calibri" w:cs="Arial"/>
          <w:szCs w:val="19"/>
        </w:rPr>
        <w:t xml:space="preserve"> się do pracy ostatnio wykonywanej, biorąc pod uwagę najwyższy poziom wykształcenia i dziedzinę z nim związaną oraz umiejętności posiadane w tamtym czasie. </w:t>
      </w:r>
    </w:p>
    <w:p w14:paraId="5BDEDF78"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Wymagania związane z obecną/ostatnią główną pracą dotyczące poziomu i dziedziny wykształcenia oraz umiejętności nie były rozumiane jako wymagania formalne konieczne do zatrudnienia na danym stanowisku (stawiane w momencie rekrutacji), ale jako wymagania potrzebne do wykonywania danej pracy.</w:t>
      </w:r>
    </w:p>
    <w:p w14:paraId="102FF1D6"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Dziedzina kształcenia dla osób z wykształceniem średnim ogólnokształcącym to „programy ogólne".</w:t>
      </w:r>
    </w:p>
    <w:p w14:paraId="1A5D6028" w14:textId="77777777" w:rsidR="00BD5A8F" w:rsidRPr="004D4FE8" w:rsidRDefault="00BD5A8F" w:rsidP="002B5FC5">
      <w:pPr>
        <w:spacing w:before="60" w:after="60" w:line="260" w:lineRule="exact"/>
        <w:rPr>
          <w:rFonts w:eastAsia="Calibri" w:cs="Arial"/>
          <w:szCs w:val="19"/>
        </w:rPr>
      </w:pPr>
      <w:r w:rsidRPr="004D4FE8">
        <w:rPr>
          <w:rFonts w:eastAsia="Calibri" w:cs="Arial"/>
          <w:b/>
          <w:szCs w:val="19"/>
        </w:rPr>
        <w:t>Umiejętności</w:t>
      </w:r>
      <w:r w:rsidRPr="004D4FE8">
        <w:rPr>
          <w:rFonts w:eastAsia="Calibri" w:cs="Arial"/>
          <w:szCs w:val="19"/>
        </w:rPr>
        <w:t xml:space="preserve"> definiowano jako </w:t>
      </w:r>
      <w:r w:rsidRPr="005E4714">
        <w:rPr>
          <w:rFonts w:eastAsia="Calibri" w:cs="Arial"/>
          <w:szCs w:val="19"/>
          <w:u w:val="single"/>
        </w:rPr>
        <w:t>całą</w:t>
      </w:r>
      <w:r w:rsidRPr="004D4FE8">
        <w:rPr>
          <w:rFonts w:eastAsia="Calibri" w:cs="Arial"/>
          <w:szCs w:val="19"/>
        </w:rPr>
        <w:t xml:space="preserve"> wiedzę, zdolności, kompetencje i doświadczenie, które dana osoba zdobyła w ramach swojej edukacji, szkoleń, staży i pracy. Dopasowanie lub jego brak było określane w oparciu o </w:t>
      </w:r>
      <w:r w:rsidRPr="005E4714">
        <w:rPr>
          <w:rFonts w:eastAsia="Calibri" w:cs="Arial"/>
          <w:szCs w:val="19"/>
        </w:rPr>
        <w:t>całą</w:t>
      </w:r>
      <w:r w:rsidRPr="004D4FE8">
        <w:rPr>
          <w:rFonts w:eastAsia="Calibri" w:cs="Arial"/>
          <w:szCs w:val="19"/>
        </w:rPr>
        <w:t xml:space="preserve"> wiedzę, umiejętności, kompetencje i doświadczenie wymagane na </w:t>
      </w:r>
      <w:r>
        <w:rPr>
          <w:rFonts w:eastAsia="Calibri" w:cs="Arial"/>
          <w:szCs w:val="19"/>
        </w:rPr>
        <w:t>stanowisku w </w:t>
      </w:r>
      <w:r w:rsidRPr="008E2E0C">
        <w:rPr>
          <w:rFonts w:eastAsia="Calibri" w:cs="Arial"/>
          <w:szCs w:val="19"/>
        </w:rPr>
        <w:t>obecnym</w:t>
      </w:r>
      <w:r w:rsidRPr="004D4FE8">
        <w:rPr>
          <w:rFonts w:eastAsia="Calibri" w:cs="Arial"/>
          <w:szCs w:val="19"/>
        </w:rPr>
        <w:t xml:space="preserve">/ostatnim głównym </w:t>
      </w:r>
      <w:r>
        <w:rPr>
          <w:rFonts w:eastAsia="Calibri" w:cs="Arial"/>
          <w:szCs w:val="19"/>
        </w:rPr>
        <w:t>miejscu pracy</w:t>
      </w:r>
      <w:r w:rsidRPr="004D4FE8">
        <w:rPr>
          <w:rFonts w:eastAsia="Calibri" w:cs="Arial"/>
          <w:szCs w:val="19"/>
        </w:rPr>
        <w:t>.</w:t>
      </w:r>
    </w:p>
    <w:p w14:paraId="0B3EA7F7"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 xml:space="preserve">Do umiejętności zaliczały się </w:t>
      </w:r>
      <w:r w:rsidRPr="004D4FE8">
        <w:rPr>
          <w:rFonts w:eastAsia="Calibri" w:cs="Arial"/>
          <w:b/>
          <w:szCs w:val="19"/>
        </w:rPr>
        <w:t>zarówno umiejętności „twarde”</w:t>
      </w:r>
      <w:r w:rsidRPr="004D4FE8">
        <w:rPr>
          <w:rFonts w:eastAsia="Calibri" w:cs="Arial"/>
          <w:szCs w:val="19"/>
        </w:rPr>
        <w:t xml:space="preserve">, (np. kompetencje specjalistyczne, wiedza merytoryczna z określonej dziedziny), a także wszelkie umiejętności praktyczne, które można ocenić, zweryfikować (np. znajomość języka obcego, itp.), </w:t>
      </w:r>
      <w:r w:rsidRPr="004D4FE8">
        <w:rPr>
          <w:rFonts w:eastAsia="Calibri" w:cs="Arial"/>
          <w:b/>
          <w:szCs w:val="19"/>
        </w:rPr>
        <w:t xml:space="preserve">jak i umiejętności tzw. „miękkie” </w:t>
      </w:r>
      <w:r w:rsidRPr="004D4FE8">
        <w:rPr>
          <w:rFonts w:eastAsia="Calibri" w:cs="Arial"/>
          <w:szCs w:val="19"/>
        </w:rPr>
        <w:t>(np. umiejętności organizacyjne, analitycznego myślenia, zdolności interpersonalne, umiejętność pracy w zespole, itp.).</w:t>
      </w:r>
    </w:p>
    <w:p w14:paraId="7DBE6281" w14:textId="77777777" w:rsidR="00BD5A8F" w:rsidRPr="004D4FE8" w:rsidRDefault="00BD5A8F" w:rsidP="002B5FC5">
      <w:pPr>
        <w:spacing w:before="60" w:after="60" w:line="260" w:lineRule="exact"/>
        <w:rPr>
          <w:rFonts w:eastAsia="Calibri" w:cs="Arial"/>
          <w:szCs w:val="19"/>
        </w:rPr>
      </w:pPr>
      <w:r w:rsidRPr="004D4FE8">
        <w:rPr>
          <w:rFonts w:eastAsia="Calibri" w:cs="Arial"/>
          <w:b/>
          <w:szCs w:val="19"/>
        </w:rPr>
        <w:t>Ścieżkę edukacji</w:t>
      </w:r>
      <w:r w:rsidRPr="004D4FE8">
        <w:rPr>
          <w:rFonts w:eastAsia="Calibri" w:cs="Arial"/>
          <w:szCs w:val="19"/>
        </w:rPr>
        <w:t xml:space="preserve"> badano dla osób </w:t>
      </w:r>
      <w:r w:rsidRPr="004D4FE8">
        <w:rPr>
          <w:szCs w:val="19"/>
        </w:rPr>
        <w:t>z wykształceniem wyższym lub średnim po kolegium (nauczycielskim, języków obcych lub pracowników służb społecznych) lub kształceniu specjalistycznym na wyższej uczelni zawodowej zakończon</w:t>
      </w:r>
      <w:r>
        <w:rPr>
          <w:szCs w:val="19"/>
        </w:rPr>
        <w:t>ym</w:t>
      </w:r>
      <w:r w:rsidRPr="004D4FE8">
        <w:rPr>
          <w:szCs w:val="19"/>
        </w:rPr>
        <w:t xml:space="preserve"> otrzymaniem świadectwa dyplomowanego specjalisty/specjalisty technologa</w:t>
      </w:r>
      <w:r>
        <w:rPr>
          <w:szCs w:val="19"/>
        </w:rPr>
        <w:t>.</w:t>
      </w:r>
      <w:r w:rsidRPr="004D4FE8">
        <w:rPr>
          <w:szCs w:val="19"/>
        </w:rPr>
        <w:t xml:space="preserve"> </w:t>
      </w:r>
    </w:p>
    <w:p w14:paraId="0BD5DC69"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 xml:space="preserve">Pozyskiwano informację czy osoby te </w:t>
      </w:r>
      <w:r w:rsidRPr="004D4FE8">
        <w:rPr>
          <w:rFonts w:eastAsia="Times New Roman" w:cs="Times New Roman"/>
          <w:szCs w:val="19"/>
          <w:lang w:eastAsia="pl-PL"/>
        </w:rPr>
        <w:t xml:space="preserve">uzyskały wykształcenie zawodowe na niższym poziomie, </w:t>
      </w:r>
      <w:r w:rsidRPr="004D4FE8">
        <w:rPr>
          <w:rFonts w:eastAsia="Calibri" w:cs="Arial"/>
          <w:szCs w:val="19"/>
        </w:rPr>
        <w:t>tzn. czy ukończyły szkołę: policealną lub pomaturalną, liceum zawodowe, technikum, szkołę branżową I</w:t>
      </w:r>
      <w:r>
        <w:rPr>
          <w:rFonts w:eastAsia="Calibri" w:cs="Arial"/>
          <w:szCs w:val="19"/>
        </w:rPr>
        <w:t> </w:t>
      </w:r>
      <w:r w:rsidRPr="004D4FE8">
        <w:rPr>
          <w:rFonts w:eastAsia="Calibri" w:cs="Arial"/>
          <w:szCs w:val="19"/>
        </w:rPr>
        <w:t xml:space="preserve">lub II stopnia lub zasadniczą szkołę zawodową, czy też </w:t>
      </w:r>
      <w:r w:rsidR="008E27FE">
        <w:rPr>
          <w:rFonts w:eastAsia="Calibri" w:cs="Arial"/>
          <w:szCs w:val="19"/>
        </w:rPr>
        <w:t xml:space="preserve">na niższym poziomie edukacji </w:t>
      </w:r>
      <w:r w:rsidRPr="004D4FE8">
        <w:rPr>
          <w:rFonts w:eastAsia="Calibri" w:cs="Arial"/>
          <w:szCs w:val="19"/>
        </w:rPr>
        <w:t>ukończyły tylko liceum ogólnokształcące – nie ukończyły żadnej szkoły dającej zawód.</w:t>
      </w:r>
    </w:p>
    <w:p w14:paraId="26757134"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Pytanie dotyczyło wyłącznie „kwalifikacji formalnych”, tj. kwalifikacji oficjalnie uzna</w:t>
      </w:r>
      <w:r>
        <w:rPr>
          <w:rFonts w:eastAsia="Calibri" w:cs="Arial"/>
          <w:szCs w:val="19"/>
        </w:rPr>
        <w:t>wa</w:t>
      </w:r>
      <w:r w:rsidRPr="004D4FE8">
        <w:rPr>
          <w:rFonts w:eastAsia="Calibri" w:cs="Arial"/>
          <w:szCs w:val="19"/>
        </w:rPr>
        <w:t>nych przez odpowiednie krajowe władze oświatowe</w:t>
      </w:r>
      <w:r>
        <w:rPr>
          <w:rFonts w:eastAsia="Calibri" w:cs="Arial"/>
          <w:szCs w:val="19"/>
        </w:rPr>
        <w:t>.</w:t>
      </w:r>
      <w:r w:rsidRPr="004D4FE8">
        <w:rPr>
          <w:rFonts w:eastAsia="Calibri" w:cs="Arial"/>
          <w:szCs w:val="19"/>
        </w:rPr>
        <w:t xml:space="preserve"> </w:t>
      </w:r>
    </w:p>
    <w:p w14:paraId="02848F31" w14:textId="77777777" w:rsidR="00BD5A8F" w:rsidRPr="004D4FE8" w:rsidRDefault="00BD5A8F" w:rsidP="002B5FC5">
      <w:pPr>
        <w:spacing w:before="60" w:after="60" w:line="260" w:lineRule="exact"/>
        <w:rPr>
          <w:rFonts w:eastAsia="Calibri" w:cs="Arial"/>
          <w:szCs w:val="19"/>
        </w:rPr>
      </w:pPr>
      <w:r w:rsidRPr="004D4FE8">
        <w:rPr>
          <w:rFonts w:eastAsia="Calibri" w:cs="Arial"/>
          <w:szCs w:val="19"/>
        </w:rPr>
        <w:t>Kwalifikacje uzyskane za granicą należało sklasyfikować odpowiednio tak, jak w kraju, w</w:t>
      </w:r>
      <w:r>
        <w:rPr>
          <w:rFonts w:eastAsia="Calibri" w:cs="Arial"/>
          <w:szCs w:val="19"/>
        </w:rPr>
        <w:t> </w:t>
      </w:r>
      <w:r w:rsidRPr="004D4FE8">
        <w:rPr>
          <w:rFonts w:eastAsia="Calibri" w:cs="Arial"/>
          <w:szCs w:val="19"/>
        </w:rPr>
        <w:t>którym je uzyskano – niezależnie od tego czy zostały one uznane w Polsce. Jeśli zatem osoba ukończyła jakąś szkołę zawodową (uzyskała odpowiednie kwalifikacje zawodowe) za granicą, to nawet gdy te kwalifikacje nie zostały uznane w Polsce, należało je uwzględnić.</w:t>
      </w:r>
    </w:p>
    <w:p w14:paraId="3276003A" w14:textId="77777777" w:rsidR="00BD5A8F" w:rsidRPr="004D4FE8" w:rsidRDefault="00BD5A8F" w:rsidP="002B5FC5">
      <w:pPr>
        <w:tabs>
          <w:tab w:val="left" w:pos="317"/>
          <w:tab w:val="right" w:leader="dot" w:pos="3577"/>
        </w:tabs>
        <w:spacing w:before="60" w:after="60" w:line="260" w:lineRule="exact"/>
        <w:rPr>
          <w:rFonts w:cs="Arial"/>
          <w:szCs w:val="19"/>
        </w:rPr>
      </w:pPr>
      <w:r w:rsidRPr="004D4FE8">
        <w:rPr>
          <w:rFonts w:cs="Arial"/>
          <w:szCs w:val="19"/>
        </w:rPr>
        <w:t>Podstawą wszystkich uzyskanych danych w badaniu były deklaracje respondentów. W przypadku nieobecności podczas wywiadu osoby, której dotyczyło badanie, w całym badaniu (podstawowym i</w:t>
      </w:r>
      <w:r>
        <w:rPr>
          <w:rFonts w:cs="Arial"/>
          <w:szCs w:val="19"/>
        </w:rPr>
        <w:t> </w:t>
      </w:r>
      <w:r w:rsidRPr="004D4FE8">
        <w:rPr>
          <w:rFonts w:cs="Arial"/>
          <w:szCs w:val="19"/>
        </w:rPr>
        <w:t>modułowym) dopuszczone zostały odpowiedzi w zastępstwie (przez inną osobę z gospodarstwa domowego znającą sytuację badanej osoby). Dodatkowo w pytaniach modułowych dopuszczono pozycyjne braki odpowiedzi (wyłącznie w przypadku odpowiedzi w zastępstwie), stąd zaistniał niewielki odsetek odpowiedzi nieustalonych na poszczególne pytania. W wyniku tego podawane w tekście odsetki nie zawsze sumują się na 100%.</w:t>
      </w:r>
    </w:p>
    <w:p w14:paraId="73F3781A" w14:textId="77777777" w:rsidR="00BD5A8F" w:rsidRPr="004D4FE8" w:rsidRDefault="00BD5A8F" w:rsidP="002B5FC5">
      <w:pPr>
        <w:spacing w:before="60" w:after="60" w:line="260" w:lineRule="exact"/>
        <w:rPr>
          <w:rFonts w:ascii="Times New Roman" w:hAnsi="Times New Roman" w:cs="Times New Roman"/>
          <w:szCs w:val="19"/>
          <w:lang w:eastAsia="pl-PL"/>
        </w:rPr>
      </w:pPr>
      <w:r w:rsidRPr="004D4FE8">
        <w:rPr>
          <w:rFonts w:cs="Arial"/>
          <w:szCs w:val="19"/>
        </w:rPr>
        <w:t>W niektórych tablicach sumy składników mogą być różne od wielkości podanych w pozycjach „Ogółem”, wynika to z zaokrągleń dokonywanych przy uogólnianiu wyników badania.</w:t>
      </w:r>
      <w:r w:rsidRPr="004D4FE8">
        <w:rPr>
          <w:rFonts w:ascii="Times New Roman" w:hAnsi="Times New Roman" w:cs="Times New Roman"/>
          <w:szCs w:val="19"/>
          <w:lang w:eastAsia="pl-PL"/>
        </w:rPr>
        <w:t xml:space="preserve"> </w:t>
      </w:r>
    </w:p>
    <w:p w14:paraId="5E5375C7" w14:textId="77777777" w:rsidR="00B861BA" w:rsidRDefault="00B861BA" w:rsidP="002B5FC5">
      <w:pPr>
        <w:spacing w:before="0" w:after="0" w:line="260" w:lineRule="exact"/>
        <w:rPr>
          <w:szCs w:val="19"/>
        </w:rPr>
      </w:pPr>
    </w:p>
    <w:p w14:paraId="42DA48B5" w14:textId="4E9462BE" w:rsidR="002B5FC5" w:rsidRDefault="002B5FC5" w:rsidP="002B5FC5">
      <w:pPr>
        <w:spacing w:before="0" w:after="0" w:line="260" w:lineRule="exact"/>
        <w:rPr>
          <w:szCs w:val="19"/>
        </w:rPr>
      </w:pPr>
    </w:p>
    <w:p w14:paraId="2D9CFA0D" w14:textId="7A319531" w:rsidR="002220E4" w:rsidRDefault="002220E4" w:rsidP="002B5FC5">
      <w:pPr>
        <w:spacing w:before="0" w:after="0" w:line="260" w:lineRule="exact"/>
        <w:rPr>
          <w:szCs w:val="19"/>
        </w:rPr>
      </w:pPr>
    </w:p>
    <w:p w14:paraId="5B357C26" w14:textId="2DE8A7AE" w:rsidR="002220E4" w:rsidRDefault="002220E4" w:rsidP="002B5FC5">
      <w:pPr>
        <w:spacing w:before="0" w:after="0" w:line="260" w:lineRule="exact"/>
        <w:rPr>
          <w:szCs w:val="19"/>
        </w:rPr>
      </w:pPr>
    </w:p>
    <w:p w14:paraId="51758AF0" w14:textId="255FF307" w:rsidR="002220E4" w:rsidRDefault="002220E4" w:rsidP="002B5FC5">
      <w:pPr>
        <w:spacing w:before="0" w:after="0" w:line="260" w:lineRule="exact"/>
        <w:rPr>
          <w:szCs w:val="19"/>
        </w:rPr>
      </w:pPr>
    </w:p>
    <w:p w14:paraId="6CFB2536" w14:textId="79CF885E" w:rsidR="002220E4" w:rsidRDefault="002220E4" w:rsidP="002B5FC5">
      <w:pPr>
        <w:spacing w:before="0" w:after="0" w:line="260" w:lineRule="exact"/>
        <w:rPr>
          <w:szCs w:val="19"/>
        </w:rPr>
      </w:pPr>
    </w:p>
    <w:p w14:paraId="29AF72D0" w14:textId="77777777" w:rsidR="002220E4" w:rsidRDefault="002220E4" w:rsidP="002B5FC5">
      <w:pPr>
        <w:spacing w:before="0" w:after="0" w:line="260" w:lineRule="exact"/>
        <w:rPr>
          <w:szCs w:val="19"/>
        </w:rPr>
      </w:pPr>
    </w:p>
    <w:p w14:paraId="4B24136E" w14:textId="77777777" w:rsidR="00BF6E67" w:rsidRPr="00B861BA" w:rsidRDefault="00B861BA" w:rsidP="00B861BA">
      <w:pPr>
        <w:spacing w:before="0" w:after="0"/>
        <w:rPr>
          <w:szCs w:val="19"/>
        </w:rPr>
      </w:pPr>
      <w:r w:rsidRPr="001C0F27">
        <w:rPr>
          <w:szCs w:val="19"/>
        </w:rPr>
        <w:t>W przypadku cytowania danych Głównego Urzędu Statystycznego prosimy o zamieszczenie informacji: „Źródło danych GUS”, a w przypadku publikowania obliczeń dokonanych na danych opublikowanych przez GUS prosimy o zamieszczenie informacji: „Opracowanie własne na podstawie danych GUS”</w:t>
      </w:r>
    </w:p>
    <w:p w14:paraId="420A4E55" w14:textId="77777777" w:rsidR="00BF6E67" w:rsidRPr="00A70D1B" w:rsidRDefault="00BF6E67" w:rsidP="008B0DE7">
      <w:pPr>
        <w:spacing w:before="0" w:after="0"/>
        <w:rPr>
          <w:szCs w:val="19"/>
        </w:rPr>
        <w:sectPr w:rsidR="00BF6E67" w:rsidRPr="00A70D1B" w:rsidSect="003B18B6">
          <w:headerReference w:type="default" r:id="rId17"/>
          <w:footerReference w:type="default" r:id="rId18"/>
          <w:headerReference w:type="first" r:id="rId19"/>
          <w:footerReference w:type="first" r:id="rId20"/>
          <w:pgSz w:w="11906" w:h="16838"/>
          <w:pgMar w:top="720" w:right="3119" w:bottom="720" w:left="720" w:header="284" w:footer="283" w:gutter="0"/>
          <w:cols w:space="708"/>
          <w:titlePg/>
          <w:docGrid w:linePitch="360"/>
        </w:sectPr>
      </w:pPr>
    </w:p>
    <w:tbl>
      <w:tblPr>
        <w:tblStyle w:val="Tabela-Siatka"/>
        <w:tblpPr w:leftFromText="141" w:rightFromText="141" w:vertAnchor="page" w:horzAnchor="margin" w:tblpY="976"/>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F65D6" w:rsidRPr="00A70D1B" w14:paraId="00BCD839" w14:textId="77777777" w:rsidTr="00DF65D6">
        <w:trPr>
          <w:trHeight w:val="1626"/>
        </w:trPr>
        <w:tc>
          <w:tcPr>
            <w:tcW w:w="4926" w:type="dxa"/>
          </w:tcPr>
          <w:p w14:paraId="206BF7E2" w14:textId="77777777" w:rsidR="00DF65D6" w:rsidRPr="00A70D1B" w:rsidRDefault="00DF65D6" w:rsidP="00DF65D6">
            <w:pPr>
              <w:spacing w:before="0" w:after="0" w:line="276" w:lineRule="auto"/>
              <w:rPr>
                <w:rFonts w:cs="Arial"/>
                <w:sz w:val="20"/>
              </w:rPr>
            </w:pPr>
            <w:r w:rsidRPr="00A70D1B">
              <w:rPr>
                <w:rFonts w:cs="Arial"/>
                <w:sz w:val="20"/>
              </w:rPr>
              <w:lastRenderedPageBreak/>
              <w:t>Opracowanie merytoryczne:</w:t>
            </w:r>
          </w:p>
          <w:p w14:paraId="69116D3E" w14:textId="77777777" w:rsidR="00DF65D6" w:rsidRPr="00A70D1B" w:rsidRDefault="00DF65D6" w:rsidP="00DF65D6">
            <w:pPr>
              <w:spacing w:before="0" w:line="276" w:lineRule="auto"/>
              <w:rPr>
                <w:rFonts w:cs="Arial"/>
                <w:b/>
                <w:color w:val="000000" w:themeColor="text1"/>
                <w:sz w:val="20"/>
              </w:rPr>
            </w:pPr>
            <w:r w:rsidRPr="00A70D1B">
              <w:rPr>
                <w:rFonts w:cs="Arial"/>
                <w:b/>
                <w:color w:val="000000" w:themeColor="text1"/>
                <w:sz w:val="20"/>
              </w:rPr>
              <w:t>Departament Badań Społecznych i Rynku Pracy</w:t>
            </w:r>
          </w:p>
          <w:p w14:paraId="5C98E30D" w14:textId="77777777" w:rsidR="00DF65D6" w:rsidRPr="00A70D1B" w:rsidRDefault="00DF65D6" w:rsidP="00DF65D6">
            <w:pPr>
              <w:spacing w:before="0" w:after="0" w:line="276" w:lineRule="auto"/>
              <w:rPr>
                <w:b/>
                <w:lang w:val="fi-FI"/>
              </w:rPr>
            </w:pPr>
            <w:r w:rsidRPr="00A70D1B">
              <w:rPr>
                <w:b/>
                <w:lang w:val="fi-FI"/>
              </w:rPr>
              <w:t xml:space="preserve">Dyrektor dr </w:t>
            </w:r>
            <w:r w:rsidR="00CB168C">
              <w:rPr>
                <w:b/>
                <w:lang w:val="fi-FI"/>
              </w:rPr>
              <w:t xml:space="preserve">inż. </w:t>
            </w:r>
            <w:r w:rsidR="00B861BA">
              <w:rPr>
                <w:b/>
                <w:lang w:val="fi-FI"/>
              </w:rPr>
              <w:t>Agnieszka Zgierska</w:t>
            </w:r>
          </w:p>
          <w:p w14:paraId="704B4967" w14:textId="77777777" w:rsidR="00DF65D6" w:rsidRPr="00A70D1B" w:rsidRDefault="00DF65D6" w:rsidP="00DF65D6">
            <w:pPr>
              <w:pStyle w:val="Nagwek3"/>
              <w:spacing w:before="0" w:after="120" w:line="240" w:lineRule="auto"/>
              <w:outlineLvl w:val="2"/>
              <w:rPr>
                <w:rFonts w:ascii="Fira Sans" w:hAnsi="Fira Sans" w:cs="Arial"/>
                <w:color w:val="000000" w:themeColor="text1"/>
                <w:sz w:val="20"/>
                <w:lang w:val="fi-FI"/>
              </w:rPr>
            </w:pPr>
            <w:r w:rsidRPr="00A70D1B">
              <w:rPr>
                <w:rFonts w:ascii="Fira Sans" w:hAnsi="Fira Sans" w:cs="Arial"/>
                <w:color w:val="000000" w:themeColor="text1"/>
                <w:sz w:val="20"/>
                <w:lang w:val="fi-FI"/>
              </w:rPr>
              <w:t>Tel.: 22 </w:t>
            </w:r>
            <w:r w:rsidR="00B861BA">
              <w:rPr>
                <w:rFonts w:ascii="Fira Sans" w:hAnsi="Fira Sans" w:cs="Arial"/>
                <w:color w:val="000000" w:themeColor="text1"/>
                <w:sz w:val="20"/>
                <w:lang w:val="fi-FI"/>
              </w:rPr>
              <w:t>608</w:t>
            </w:r>
            <w:r w:rsidRPr="00A70D1B">
              <w:rPr>
                <w:rFonts w:ascii="Fira Sans" w:hAnsi="Fira Sans" w:cs="Arial"/>
                <w:color w:val="000000" w:themeColor="text1"/>
                <w:sz w:val="20"/>
                <w:lang w:val="fi-FI"/>
              </w:rPr>
              <w:t xml:space="preserve"> </w:t>
            </w:r>
            <w:r w:rsidR="00B861BA">
              <w:rPr>
                <w:rFonts w:ascii="Fira Sans" w:hAnsi="Fira Sans" w:cs="Arial"/>
                <w:color w:val="000000" w:themeColor="text1"/>
                <w:sz w:val="20"/>
                <w:lang w:val="fi-FI"/>
              </w:rPr>
              <w:t>30</w:t>
            </w:r>
            <w:r w:rsidRPr="00A70D1B">
              <w:rPr>
                <w:rFonts w:ascii="Fira Sans" w:hAnsi="Fira Sans" w:cs="Arial"/>
                <w:color w:val="000000" w:themeColor="text1"/>
                <w:sz w:val="20"/>
                <w:lang w:val="fi-FI"/>
              </w:rPr>
              <w:t xml:space="preserve"> </w:t>
            </w:r>
            <w:r w:rsidR="00B861BA">
              <w:rPr>
                <w:rFonts w:ascii="Fira Sans" w:hAnsi="Fira Sans" w:cs="Arial"/>
                <w:color w:val="000000" w:themeColor="text1"/>
                <w:sz w:val="20"/>
                <w:lang w:val="fi-FI"/>
              </w:rPr>
              <w:t>15</w:t>
            </w:r>
          </w:p>
        </w:tc>
        <w:tc>
          <w:tcPr>
            <w:tcW w:w="4927" w:type="dxa"/>
          </w:tcPr>
          <w:p w14:paraId="134BF2E6" w14:textId="77777777" w:rsidR="00DF65D6" w:rsidRPr="00A70D1B" w:rsidRDefault="00DF65D6" w:rsidP="00DF65D6">
            <w:pPr>
              <w:spacing w:before="0" w:line="276" w:lineRule="auto"/>
              <w:rPr>
                <w:rFonts w:cs="Arial"/>
                <w:b/>
                <w:sz w:val="20"/>
              </w:rPr>
            </w:pPr>
            <w:r w:rsidRPr="00A70D1B">
              <w:rPr>
                <w:rFonts w:cs="Arial"/>
                <w:sz w:val="20"/>
              </w:rPr>
              <w:t>Rozpowszechnianie:</w:t>
            </w:r>
            <w:r w:rsidRPr="00A70D1B">
              <w:rPr>
                <w:rFonts w:cs="Arial"/>
                <w:sz w:val="20"/>
              </w:rPr>
              <w:br/>
            </w:r>
            <w:r w:rsidRPr="00A70D1B">
              <w:rPr>
                <w:rFonts w:cs="Arial"/>
                <w:b/>
                <w:sz w:val="20"/>
              </w:rPr>
              <w:t>Wydział Współpracy z Mediami</w:t>
            </w:r>
          </w:p>
          <w:p w14:paraId="63B22C68" w14:textId="77777777" w:rsidR="00DF65D6" w:rsidRPr="00A70D1B" w:rsidRDefault="00DF65D6" w:rsidP="00DF65D6">
            <w:r w:rsidRPr="00A70D1B">
              <w:t>Tel. komórkowy: +48 695 255 032</w:t>
            </w:r>
          </w:p>
          <w:p w14:paraId="455E7D3A" w14:textId="77777777" w:rsidR="00DF65D6" w:rsidRPr="00A70D1B" w:rsidRDefault="00DF65D6" w:rsidP="00DF65D6">
            <w:r w:rsidRPr="00A70D1B">
              <w:t>Tel. stacjonarne: +48 22 608 38 04, +48 22 449 41 45, +48 22 608 30 09</w:t>
            </w:r>
          </w:p>
          <w:p w14:paraId="54F7060B" w14:textId="77777777" w:rsidR="00DF65D6" w:rsidRPr="00A70D1B" w:rsidRDefault="00DF65D6" w:rsidP="00DF65D6">
            <w:r w:rsidRPr="00A70D1B">
              <w:rPr>
                <w:b/>
                <w:sz w:val="20"/>
              </w:rPr>
              <w:t>e-mail:</w:t>
            </w:r>
            <w:r w:rsidRPr="00A70D1B">
              <w:rPr>
                <w:sz w:val="20"/>
              </w:rPr>
              <w:t xml:space="preserve"> </w:t>
            </w:r>
            <w:hyperlink r:id="rId21" w:history="1">
              <w:r w:rsidRPr="00A70D1B">
                <w:rPr>
                  <w:rStyle w:val="Hipercze"/>
                  <w:rFonts w:eastAsiaTheme="majorEastAsia" w:cs="Arial"/>
                  <w:b/>
                  <w:color w:val="auto"/>
                  <w:sz w:val="20"/>
                  <w:szCs w:val="20"/>
                </w:rPr>
                <w:t>obslugaprasowa@stat.gov.pl</w:t>
              </w:r>
            </w:hyperlink>
          </w:p>
          <w:p w14:paraId="23AFA406" w14:textId="77777777" w:rsidR="00DF65D6" w:rsidRPr="00A70D1B" w:rsidRDefault="00DF65D6" w:rsidP="00DF65D6">
            <w:pPr>
              <w:spacing w:before="0" w:line="276" w:lineRule="auto"/>
              <w:rPr>
                <w:rFonts w:cs="Arial"/>
                <w:sz w:val="20"/>
                <w:lang w:val="fi-FI"/>
              </w:rPr>
            </w:pPr>
          </w:p>
          <w:p w14:paraId="24342D5C" w14:textId="77777777" w:rsidR="00DF65D6" w:rsidRPr="00A70D1B" w:rsidRDefault="00DF65D6" w:rsidP="00DF65D6">
            <w:pPr>
              <w:rPr>
                <w:sz w:val="18"/>
              </w:rPr>
            </w:pPr>
          </w:p>
        </w:tc>
      </w:tr>
      <w:tr w:rsidR="00DF65D6" w:rsidRPr="00A70D1B" w14:paraId="5BC8DAD7" w14:textId="77777777" w:rsidTr="00DF65D6">
        <w:trPr>
          <w:trHeight w:val="418"/>
        </w:trPr>
        <w:tc>
          <w:tcPr>
            <w:tcW w:w="4926" w:type="dxa"/>
            <w:vMerge w:val="restart"/>
          </w:tcPr>
          <w:p w14:paraId="67BFC637" w14:textId="77777777" w:rsidR="00DF65D6" w:rsidRPr="00A70D1B" w:rsidRDefault="00DF65D6" w:rsidP="00DF65D6">
            <w:pPr>
              <w:rPr>
                <w:sz w:val="18"/>
              </w:rPr>
            </w:pPr>
          </w:p>
        </w:tc>
        <w:tc>
          <w:tcPr>
            <w:tcW w:w="4927" w:type="dxa"/>
            <w:vAlign w:val="center"/>
          </w:tcPr>
          <w:p w14:paraId="43241F12" w14:textId="77777777" w:rsidR="00DF65D6" w:rsidRPr="00A70D1B" w:rsidRDefault="00DF65D6" w:rsidP="00DF65D6">
            <w:pPr>
              <w:ind w:firstLine="680"/>
              <w:rPr>
                <w:sz w:val="18"/>
              </w:rPr>
            </w:pPr>
            <w:r w:rsidRPr="00A70D1B">
              <w:rPr>
                <w:noProof/>
                <w:sz w:val="20"/>
                <w:lang w:eastAsia="pl-PL"/>
              </w:rPr>
              <w:drawing>
                <wp:anchor distT="0" distB="0" distL="114300" distR="114300" simplePos="0" relativeHeight="251927552" behindDoc="0" locked="0" layoutInCell="1" allowOverlap="1" wp14:anchorId="0517E2E6" wp14:editId="006850F3">
                  <wp:simplePos x="0" y="0"/>
                  <wp:positionH relativeFrom="column">
                    <wp:posOffset>78740</wp:posOffset>
                  </wp:positionH>
                  <wp:positionV relativeFrom="paragraph">
                    <wp:posOffset>21590</wp:posOffset>
                  </wp:positionV>
                  <wp:extent cx="251460" cy="251460"/>
                  <wp:effectExtent l="0" t="0" r="0" b="0"/>
                  <wp:wrapNone/>
                  <wp:docPr id="21" name="Obraz 21" descr="Ikonka strony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A70D1B">
              <w:rPr>
                <w:sz w:val="20"/>
              </w:rPr>
              <w:t>www.stat.gov.pl</w:t>
            </w:r>
            <w:r w:rsidRPr="00A70D1B">
              <w:rPr>
                <w:sz w:val="18"/>
              </w:rPr>
              <w:t xml:space="preserve">      </w:t>
            </w:r>
          </w:p>
        </w:tc>
      </w:tr>
      <w:tr w:rsidR="00DF65D6" w:rsidRPr="00A70D1B" w14:paraId="74ABFF84" w14:textId="77777777" w:rsidTr="00DF65D6">
        <w:trPr>
          <w:trHeight w:val="418"/>
        </w:trPr>
        <w:tc>
          <w:tcPr>
            <w:tcW w:w="4926" w:type="dxa"/>
            <w:vMerge/>
          </w:tcPr>
          <w:p w14:paraId="43805A20" w14:textId="77777777" w:rsidR="00DF65D6" w:rsidRPr="00A70D1B" w:rsidRDefault="00DF65D6" w:rsidP="00DF65D6">
            <w:pPr>
              <w:rPr>
                <w:b/>
                <w:sz w:val="20"/>
              </w:rPr>
            </w:pPr>
          </w:p>
        </w:tc>
        <w:tc>
          <w:tcPr>
            <w:tcW w:w="4927" w:type="dxa"/>
            <w:vAlign w:val="center"/>
          </w:tcPr>
          <w:p w14:paraId="2E0E464F" w14:textId="77777777" w:rsidR="00DF65D6" w:rsidRPr="00A70D1B" w:rsidRDefault="00DF65D6" w:rsidP="00DF65D6">
            <w:pPr>
              <w:ind w:firstLine="680"/>
              <w:rPr>
                <w:sz w:val="18"/>
              </w:rPr>
            </w:pPr>
            <w:r w:rsidRPr="00A70D1B">
              <w:rPr>
                <w:noProof/>
                <w:sz w:val="20"/>
                <w:lang w:eastAsia="pl-PL"/>
              </w:rPr>
              <w:drawing>
                <wp:anchor distT="0" distB="0" distL="114300" distR="114300" simplePos="0" relativeHeight="251932672" behindDoc="0" locked="0" layoutInCell="1" allowOverlap="1" wp14:anchorId="3CF62104" wp14:editId="495D6CC6">
                  <wp:simplePos x="0" y="0"/>
                  <wp:positionH relativeFrom="column">
                    <wp:posOffset>81280</wp:posOffset>
                  </wp:positionH>
                  <wp:positionV relativeFrom="paragraph">
                    <wp:posOffset>23495</wp:posOffset>
                  </wp:positionV>
                  <wp:extent cx="251460" cy="25146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A70D1B">
              <w:rPr>
                <w:sz w:val="20"/>
              </w:rPr>
              <w:t>@GUS_STAT</w:t>
            </w:r>
            <w:r w:rsidRPr="00A70D1B">
              <w:rPr>
                <w:noProof/>
                <w:sz w:val="20"/>
                <w:lang w:eastAsia="pl-PL"/>
              </w:rPr>
              <w:t xml:space="preserve"> </w:t>
            </w:r>
          </w:p>
        </w:tc>
      </w:tr>
      <w:tr w:rsidR="00DF65D6" w:rsidRPr="00A70D1B" w14:paraId="63B9F059" w14:textId="77777777" w:rsidTr="00DF65D6">
        <w:trPr>
          <w:trHeight w:val="476"/>
        </w:trPr>
        <w:tc>
          <w:tcPr>
            <w:tcW w:w="4926" w:type="dxa"/>
            <w:vMerge/>
          </w:tcPr>
          <w:p w14:paraId="05765B59" w14:textId="77777777" w:rsidR="00DF65D6" w:rsidRPr="00A70D1B" w:rsidRDefault="00DF65D6" w:rsidP="00DF65D6">
            <w:pPr>
              <w:rPr>
                <w:b/>
                <w:sz w:val="20"/>
              </w:rPr>
            </w:pPr>
          </w:p>
        </w:tc>
        <w:tc>
          <w:tcPr>
            <w:tcW w:w="4927" w:type="dxa"/>
          </w:tcPr>
          <w:p w14:paraId="289B2A7E" w14:textId="77777777" w:rsidR="00DF65D6" w:rsidRPr="00A70D1B" w:rsidRDefault="00DF65D6" w:rsidP="00DF65D6">
            <w:pPr>
              <w:ind w:firstLine="680"/>
              <w:rPr>
                <w:sz w:val="18"/>
              </w:rPr>
            </w:pPr>
            <w:r w:rsidRPr="00A70D1B">
              <w:rPr>
                <w:noProof/>
                <w:sz w:val="20"/>
                <w:lang w:eastAsia="pl-PL"/>
              </w:rPr>
              <w:drawing>
                <wp:anchor distT="0" distB="0" distL="114300" distR="114300" simplePos="0" relativeHeight="251928576" behindDoc="0" locked="0" layoutInCell="1" allowOverlap="1" wp14:anchorId="2022B362" wp14:editId="6E488D11">
                  <wp:simplePos x="0" y="0"/>
                  <wp:positionH relativeFrom="column">
                    <wp:posOffset>80645</wp:posOffset>
                  </wp:positionH>
                  <wp:positionV relativeFrom="paragraph">
                    <wp:posOffset>13970</wp:posOffset>
                  </wp:positionV>
                  <wp:extent cx="251460" cy="251460"/>
                  <wp:effectExtent l="0" t="0" r="0" b="0"/>
                  <wp:wrapNone/>
                  <wp:docPr id="23" name="Obraz 23" descr="Ikonka facebo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Pr="00A70D1B">
              <w:rPr>
                <w:sz w:val="20"/>
              </w:rPr>
              <w:t>@</w:t>
            </w:r>
            <w:proofErr w:type="spellStart"/>
            <w:r w:rsidRPr="00A70D1B">
              <w:rPr>
                <w:sz w:val="20"/>
              </w:rPr>
              <w:t>GlownyUrzadStatystyczny</w:t>
            </w:r>
            <w:proofErr w:type="spellEnd"/>
            <w:r w:rsidRPr="00A70D1B">
              <w:rPr>
                <w:noProof/>
                <w:sz w:val="20"/>
                <w:lang w:eastAsia="pl-PL"/>
              </w:rPr>
              <w:t xml:space="preserve"> </w:t>
            </w:r>
          </w:p>
        </w:tc>
      </w:tr>
      <w:tr w:rsidR="00DF65D6" w:rsidRPr="00A70D1B" w14:paraId="339563C7" w14:textId="77777777" w:rsidTr="00DF65D6">
        <w:trPr>
          <w:trHeight w:val="426"/>
        </w:trPr>
        <w:tc>
          <w:tcPr>
            <w:tcW w:w="4926" w:type="dxa"/>
          </w:tcPr>
          <w:p w14:paraId="6F467898" w14:textId="77777777" w:rsidR="00DF65D6" w:rsidRPr="00A70D1B" w:rsidRDefault="00DF65D6" w:rsidP="00DF65D6">
            <w:pPr>
              <w:rPr>
                <w:b/>
                <w:sz w:val="20"/>
              </w:rPr>
            </w:pPr>
          </w:p>
        </w:tc>
        <w:tc>
          <w:tcPr>
            <w:tcW w:w="4927" w:type="dxa"/>
          </w:tcPr>
          <w:p w14:paraId="7D8D5F7E" w14:textId="77777777" w:rsidR="00DF65D6" w:rsidRPr="00A70D1B" w:rsidRDefault="00DF65D6" w:rsidP="00DF65D6">
            <w:pPr>
              <w:ind w:firstLine="680"/>
              <w:rPr>
                <w:noProof/>
                <w:sz w:val="20"/>
                <w:lang w:eastAsia="pl-PL"/>
              </w:rPr>
            </w:pPr>
            <w:r w:rsidRPr="00A70D1B">
              <w:rPr>
                <w:noProof/>
                <w:sz w:val="20"/>
                <w:lang w:eastAsia="pl-PL"/>
              </w:rPr>
              <w:drawing>
                <wp:anchor distT="0" distB="0" distL="114300" distR="114300" simplePos="0" relativeHeight="251929600" behindDoc="0" locked="0" layoutInCell="1" allowOverlap="1" wp14:anchorId="7058B68A" wp14:editId="165FC598">
                  <wp:simplePos x="0" y="0"/>
                  <wp:positionH relativeFrom="column">
                    <wp:posOffset>82550</wp:posOffset>
                  </wp:positionH>
                  <wp:positionV relativeFrom="paragraph">
                    <wp:posOffset>12700</wp:posOffset>
                  </wp:positionV>
                  <wp:extent cx="251460" cy="251460"/>
                  <wp:effectExtent l="0" t="0" r="0" b="0"/>
                  <wp:wrapNone/>
                  <wp:docPr id="5" name="Obraz 5" descr="Ikonka inst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70D1B">
              <w:rPr>
                <w:sz w:val="20"/>
              </w:rPr>
              <w:t>gus_stat</w:t>
            </w:r>
            <w:proofErr w:type="spellEnd"/>
          </w:p>
        </w:tc>
      </w:tr>
      <w:tr w:rsidR="00DF65D6" w:rsidRPr="00A70D1B" w14:paraId="3A8AEB21" w14:textId="77777777" w:rsidTr="00DF65D6">
        <w:trPr>
          <w:trHeight w:val="504"/>
        </w:trPr>
        <w:tc>
          <w:tcPr>
            <w:tcW w:w="4926" w:type="dxa"/>
          </w:tcPr>
          <w:p w14:paraId="05219EA4" w14:textId="77777777" w:rsidR="00DF65D6" w:rsidRPr="00A70D1B" w:rsidRDefault="00DF65D6" w:rsidP="00DF65D6">
            <w:pPr>
              <w:rPr>
                <w:b/>
                <w:sz w:val="20"/>
              </w:rPr>
            </w:pPr>
          </w:p>
        </w:tc>
        <w:tc>
          <w:tcPr>
            <w:tcW w:w="4927" w:type="dxa"/>
          </w:tcPr>
          <w:p w14:paraId="75CFA8C8" w14:textId="77777777" w:rsidR="00DF65D6" w:rsidRPr="00A70D1B" w:rsidRDefault="00DF65D6" w:rsidP="00DF65D6">
            <w:pPr>
              <w:ind w:firstLine="680"/>
              <w:rPr>
                <w:noProof/>
                <w:sz w:val="20"/>
                <w:lang w:eastAsia="pl-PL"/>
              </w:rPr>
            </w:pPr>
            <w:r w:rsidRPr="00A70D1B">
              <w:rPr>
                <w:noProof/>
                <w:sz w:val="20"/>
                <w:lang w:eastAsia="pl-PL"/>
              </w:rPr>
              <w:drawing>
                <wp:anchor distT="0" distB="0" distL="114300" distR="114300" simplePos="0" relativeHeight="251930624" behindDoc="0" locked="0" layoutInCell="1" allowOverlap="1" wp14:anchorId="732C1CA0" wp14:editId="7E53201B">
                  <wp:simplePos x="0" y="0"/>
                  <wp:positionH relativeFrom="column">
                    <wp:posOffset>82550</wp:posOffset>
                  </wp:positionH>
                  <wp:positionV relativeFrom="paragraph">
                    <wp:posOffset>13970</wp:posOffset>
                  </wp:positionV>
                  <wp:extent cx="251460" cy="251460"/>
                  <wp:effectExtent l="0" t="0" r="0" b="0"/>
                  <wp:wrapNone/>
                  <wp:docPr id="11" name="Obraz 11" descr="Ikonka Yout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70D1B">
              <w:rPr>
                <w:sz w:val="20"/>
              </w:rPr>
              <w:t>glownyurzadstatystycznygus</w:t>
            </w:r>
            <w:proofErr w:type="spellEnd"/>
          </w:p>
        </w:tc>
      </w:tr>
      <w:tr w:rsidR="00DF65D6" w:rsidRPr="00A70D1B" w14:paraId="4AB7AEFC" w14:textId="77777777" w:rsidTr="006B2EAF">
        <w:trPr>
          <w:trHeight w:val="772"/>
        </w:trPr>
        <w:tc>
          <w:tcPr>
            <w:tcW w:w="4926" w:type="dxa"/>
          </w:tcPr>
          <w:p w14:paraId="7E6B2F2B" w14:textId="77777777" w:rsidR="00DF65D6" w:rsidRPr="00A70D1B" w:rsidRDefault="00DF65D6" w:rsidP="00DF65D6">
            <w:pPr>
              <w:rPr>
                <w:b/>
                <w:sz w:val="20"/>
              </w:rPr>
            </w:pPr>
          </w:p>
        </w:tc>
        <w:tc>
          <w:tcPr>
            <w:tcW w:w="4927" w:type="dxa"/>
          </w:tcPr>
          <w:p w14:paraId="70FD912F" w14:textId="77777777" w:rsidR="00DF65D6" w:rsidRPr="00A70D1B" w:rsidRDefault="00DF65D6" w:rsidP="00DF65D6">
            <w:pPr>
              <w:ind w:firstLine="680"/>
              <w:rPr>
                <w:noProof/>
                <w:sz w:val="20"/>
                <w:lang w:eastAsia="pl-PL"/>
              </w:rPr>
            </w:pPr>
            <w:r w:rsidRPr="00A70D1B">
              <w:rPr>
                <w:noProof/>
                <w:sz w:val="20"/>
                <w:lang w:eastAsia="pl-PL"/>
              </w:rPr>
              <w:t>glownyurzadstatystyczny</w:t>
            </w:r>
            <w:r w:rsidRPr="00A70D1B">
              <w:rPr>
                <w:noProof/>
                <w:sz w:val="20"/>
                <w:lang w:eastAsia="pl-PL"/>
              </w:rPr>
              <w:drawing>
                <wp:anchor distT="0" distB="0" distL="114300" distR="114300" simplePos="0" relativeHeight="251931648" behindDoc="0" locked="0" layoutInCell="1" allowOverlap="1" wp14:anchorId="5603A0EC" wp14:editId="644153FA">
                  <wp:simplePos x="0" y="0"/>
                  <wp:positionH relativeFrom="column">
                    <wp:posOffset>82550</wp:posOffset>
                  </wp:positionH>
                  <wp:positionV relativeFrom="paragraph">
                    <wp:posOffset>15240</wp:posOffset>
                  </wp:positionV>
                  <wp:extent cx="251460" cy="251460"/>
                  <wp:effectExtent l="0" t="0" r="0" b="0"/>
                  <wp:wrapNone/>
                  <wp:docPr id="14" name="Obraz 14" descr="Ikonka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p>
        </w:tc>
      </w:tr>
      <w:tr w:rsidR="00DF65D6" w:rsidRPr="00A70D1B" w14:paraId="150B9C03" w14:textId="77777777" w:rsidTr="00DF65D6">
        <w:trPr>
          <w:trHeight w:val="4114"/>
        </w:trPr>
        <w:tc>
          <w:tcPr>
            <w:tcW w:w="9853" w:type="dxa"/>
            <w:gridSpan w:val="2"/>
            <w:shd w:val="clear" w:color="auto" w:fill="D9D9D9" w:themeFill="background1" w:themeFillShade="D9"/>
          </w:tcPr>
          <w:p w14:paraId="03C0DD95" w14:textId="77777777" w:rsidR="00DF65D6" w:rsidRPr="00A70D1B" w:rsidRDefault="00DF65D6" w:rsidP="00DF65D6">
            <w:pPr>
              <w:shd w:val="clear" w:color="auto" w:fill="D9D9D9" w:themeFill="background1" w:themeFillShade="D9"/>
              <w:rPr>
                <w:b/>
              </w:rPr>
            </w:pPr>
            <w:r w:rsidRPr="00A70D1B">
              <w:rPr>
                <w:b/>
              </w:rPr>
              <w:t>Powiązane opracowania</w:t>
            </w:r>
          </w:p>
          <w:p w14:paraId="19013D0D" w14:textId="77777777" w:rsidR="00DF65D6" w:rsidRPr="00A70D1B" w:rsidRDefault="00DF65D6" w:rsidP="00DF65D6">
            <w:pPr>
              <w:rPr>
                <w:rStyle w:val="Hipercze"/>
              </w:rPr>
            </w:pPr>
            <w:r w:rsidRPr="00A70D1B">
              <w:rPr>
                <w:rFonts w:cs="Times New Roman"/>
              </w:rPr>
              <w:fldChar w:fldCharType="begin"/>
            </w:r>
            <w:r w:rsidRPr="00A70D1B">
              <w:rPr>
                <w:rFonts w:cs="Times New Roman"/>
              </w:rPr>
              <w:instrText>HYPERLINK "https://stat.gov.pl/obszary-tematyczne/rynek-pracy/zasady-metodyczne-rocznik-pracy/zeszyt-metodologiczny-badanie-aktywnosci-ekonomicznej-ludnosci,3,2.html" \o "Link do opracowania pt. Zeszyt metodologiczny Badanie Aktywności Ekonomicznej Ludności (metodologia obowiązująca do 2020 r. włącznie)"</w:instrText>
            </w:r>
            <w:r w:rsidRPr="00A70D1B">
              <w:rPr>
                <w:rFonts w:cs="Times New Roman"/>
              </w:rPr>
              <w:fldChar w:fldCharType="separate"/>
            </w:r>
            <w:r w:rsidRPr="00A70D1B">
              <w:rPr>
                <w:rStyle w:val="Hipercze"/>
              </w:rPr>
              <w:t>Zeszyt metodologiczny. Badanie Aktywności Ekonomicznej Ludności</w:t>
            </w:r>
          </w:p>
          <w:p w14:paraId="5F8FDDBC" w14:textId="3CEC5C78" w:rsidR="00DF65D6" w:rsidRPr="00A70D1B" w:rsidRDefault="00DF65D6" w:rsidP="00DF65D6">
            <w:pPr>
              <w:rPr>
                <w:rStyle w:val="Hipercze"/>
              </w:rPr>
            </w:pPr>
            <w:r w:rsidRPr="00A70D1B">
              <w:rPr>
                <w:rFonts w:cs="Times New Roman"/>
              </w:rPr>
              <w:fldChar w:fldCharType="end"/>
            </w:r>
            <w:r w:rsidRPr="00A70D1B">
              <w:rPr>
                <w:rFonts w:cs="Times New Roman"/>
              </w:rPr>
              <w:fldChar w:fldCharType="begin"/>
            </w:r>
            <w:r w:rsidR="006C12FA">
              <w:rPr>
                <w:rFonts w:cs="Times New Roman"/>
              </w:rPr>
              <w:instrText>HYPERLINK "https://stat.gov.pl/obszary-tematyczne/rynek-pracy/pracujacy-bezrobotni-bierni-zawodowo-wg-bael/aktywnosc-ekonomiczna-ludnosci-polski-1-kwartal-2025-r-,4,58.html" \o "Link do publikacji BAEL"</w:instrText>
            </w:r>
            <w:r w:rsidRPr="00A70D1B">
              <w:rPr>
                <w:rFonts w:cs="Times New Roman"/>
              </w:rPr>
              <w:fldChar w:fldCharType="separate"/>
            </w:r>
            <w:r w:rsidRPr="00A70D1B">
              <w:rPr>
                <w:rStyle w:val="Hipercze"/>
              </w:rPr>
              <w:t>Aktywność ekonomiczna ludności Polski</w:t>
            </w:r>
          </w:p>
          <w:p w14:paraId="2D3A501D" w14:textId="77777777" w:rsidR="00DF65D6" w:rsidRPr="00A70D1B" w:rsidRDefault="00DF65D6" w:rsidP="00DF65D6">
            <w:pPr>
              <w:rPr>
                <w:rFonts w:cs="Times New Roman"/>
              </w:rPr>
            </w:pPr>
            <w:r w:rsidRPr="00A70D1B">
              <w:rPr>
                <w:rFonts w:cs="Times New Roman"/>
              </w:rPr>
              <w:fldChar w:fldCharType="end"/>
            </w:r>
            <w:hyperlink r:id="rId28" w:history="1">
              <w:r w:rsidRPr="00A70D1B">
                <w:rPr>
                  <w:rStyle w:val="Hipercze"/>
                </w:rPr>
                <w:t>Inne opracowania zawierające wyniki BAEL i modułów BAEL stat.gov.pl → Obszary tematyczne → Rynek pracy</w:t>
              </w:r>
            </w:hyperlink>
          </w:p>
          <w:p w14:paraId="312021B5" w14:textId="77777777" w:rsidR="00DF65D6" w:rsidRPr="00A70D1B" w:rsidRDefault="00DF65D6" w:rsidP="00DF65D6">
            <w:pPr>
              <w:shd w:val="clear" w:color="auto" w:fill="D9D9D9" w:themeFill="background1" w:themeFillShade="D9"/>
              <w:spacing w:before="360"/>
              <w:rPr>
                <w:b/>
                <w:color w:val="000000" w:themeColor="text1"/>
                <w:szCs w:val="24"/>
              </w:rPr>
            </w:pPr>
            <w:r w:rsidRPr="00A70D1B">
              <w:rPr>
                <w:b/>
                <w:color w:val="000000" w:themeColor="text1"/>
                <w:szCs w:val="24"/>
              </w:rPr>
              <w:t>Temat dostępny w bazach danych</w:t>
            </w:r>
          </w:p>
          <w:p w14:paraId="38B9E6EF" w14:textId="77777777" w:rsidR="00DF65D6" w:rsidRPr="00A70D1B" w:rsidRDefault="002025FF" w:rsidP="00DF65D6">
            <w:hyperlink r:id="rId29" w:anchor="/" w:history="1">
              <w:r w:rsidR="00DF65D6" w:rsidRPr="00A70D1B">
                <w:rPr>
                  <w:rStyle w:val="Hipercze"/>
                </w:rPr>
                <w:t>Strateg → Obszary tematyczne → Rynek pracy</w:t>
              </w:r>
            </w:hyperlink>
          </w:p>
          <w:p w14:paraId="4EDD31EB" w14:textId="77777777" w:rsidR="00DF65D6" w:rsidRPr="00A70D1B" w:rsidRDefault="002025FF" w:rsidP="00DF65D6">
            <w:hyperlink r:id="rId30" w:history="1">
              <w:r w:rsidR="00DF65D6" w:rsidRPr="00A70D1B">
                <w:rPr>
                  <w:rStyle w:val="Hipercze"/>
                </w:rPr>
                <w:t>Bank Danych Lokalnych → Rynek pracy</w:t>
              </w:r>
            </w:hyperlink>
          </w:p>
          <w:p w14:paraId="16D0EF12" w14:textId="77777777" w:rsidR="00DF65D6" w:rsidRPr="00A70D1B" w:rsidRDefault="00DF65D6" w:rsidP="00DF65D6">
            <w:pPr>
              <w:shd w:val="clear" w:color="auto" w:fill="D9D9D9" w:themeFill="background1" w:themeFillShade="D9"/>
              <w:spacing w:before="360"/>
              <w:rPr>
                <w:b/>
                <w:color w:val="000000" w:themeColor="text1"/>
                <w:szCs w:val="24"/>
              </w:rPr>
            </w:pPr>
            <w:r w:rsidRPr="00A70D1B">
              <w:rPr>
                <w:b/>
                <w:color w:val="000000" w:themeColor="text1"/>
                <w:szCs w:val="24"/>
              </w:rPr>
              <w:t>Ważniejsze pojęcia dostępne w słowniku</w:t>
            </w:r>
          </w:p>
          <w:p w14:paraId="68705230" w14:textId="77777777" w:rsidR="00DF65D6" w:rsidRPr="00A70D1B" w:rsidRDefault="00DF65D6" w:rsidP="00DF65D6">
            <w:pPr>
              <w:rPr>
                <w:rStyle w:val="Hipercze"/>
              </w:rPr>
            </w:pPr>
            <w:r w:rsidRPr="00A70D1B">
              <w:rPr>
                <w:rStyle w:val="Hipercze"/>
              </w:rPr>
              <w:fldChar w:fldCharType="begin"/>
            </w:r>
            <w:r w:rsidRPr="00A70D1B">
              <w:rPr>
                <w:rStyle w:val="Hipercze"/>
              </w:rPr>
              <w:instrText xml:space="preserve"> HYPERLINK "https://stat.gov.pl/metainformacje/slownik-pojec/pojecia-stosowane-w-statystyce-publicznej/4562,pojecie.html" \o "Link do słownika pojęć" </w:instrText>
            </w:r>
            <w:r w:rsidRPr="00A70D1B">
              <w:rPr>
                <w:rStyle w:val="Hipercze"/>
              </w:rPr>
              <w:fldChar w:fldCharType="separate"/>
            </w:r>
            <w:r w:rsidRPr="00A70D1B">
              <w:rPr>
                <w:rStyle w:val="Hipercze"/>
              </w:rPr>
              <w:t>Aktywność ekonomiczna według BAEL</w:t>
            </w:r>
          </w:p>
          <w:p w14:paraId="380DF4AC" w14:textId="77777777" w:rsidR="00DF65D6" w:rsidRPr="00A70D1B" w:rsidRDefault="00DF65D6" w:rsidP="00DF65D6">
            <w:pPr>
              <w:rPr>
                <w:rStyle w:val="Hipercze"/>
              </w:rPr>
            </w:pPr>
            <w:r w:rsidRPr="00A70D1B">
              <w:rPr>
                <w:rStyle w:val="Hipercze"/>
              </w:rPr>
              <w:fldChar w:fldCharType="end"/>
            </w:r>
            <w:r w:rsidRPr="00A70D1B">
              <w:rPr>
                <w:rStyle w:val="Hipercze"/>
              </w:rPr>
              <w:fldChar w:fldCharType="begin"/>
            </w:r>
            <w:r w:rsidRPr="00A70D1B">
              <w:rPr>
                <w:rStyle w:val="Hipercze"/>
              </w:rPr>
              <w:instrText>HYPERLINK "https://stat.gov.pl/metainformacje/slownik-pojec/pojecia-stosowane-w-statystyce-publicznej/4565,pojecie.html" \o "Link do słownika pojęć"</w:instrText>
            </w:r>
            <w:r w:rsidRPr="00A70D1B">
              <w:rPr>
                <w:rStyle w:val="Hipercze"/>
              </w:rPr>
              <w:fldChar w:fldCharType="separate"/>
            </w:r>
            <w:r w:rsidRPr="00A70D1B">
              <w:rPr>
                <w:rStyle w:val="Hipercze"/>
              </w:rPr>
              <w:t>Ludność aktywna zawodowo według BAEL</w:t>
            </w:r>
          </w:p>
          <w:p w14:paraId="0A704048" w14:textId="77777777" w:rsidR="00DF65D6" w:rsidRPr="00A70D1B" w:rsidRDefault="00DF65D6" w:rsidP="00DF65D6">
            <w:pPr>
              <w:rPr>
                <w:rStyle w:val="Hipercze"/>
              </w:rPr>
            </w:pPr>
            <w:r w:rsidRPr="00A70D1B">
              <w:rPr>
                <w:rStyle w:val="Hipercze"/>
              </w:rPr>
              <w:fldChar w:fldCharType="end"/>
            </w:r>
            <w:hyperlink r:id="rId31" w:tooltip="Link do słownika pojęć" w:history="1">
              <w:r w:rsidRPr="00A70D1B">
                <w:rPr>
                  <w:rStyle w:val="Hipercze"/>
                </w:rPr>
                <w:t>Pracujący według BAEL</w:t>
              </w:r>
            </w:hyperlink>
            <w:r w:rsidRPr="00A70D1B">
              <w:rPr>
                <w:rStyle w:val="Hipercze"/>
              </w:rPr>
              <w:t xml:space="preserve"> </w:t>
            </w:r>
          </w:p>
          <w:p w14:paraId="0F5EBCD0" w14:textId="77777777" w:rsidR="00DF65D6" w:rsidRPr="00A70D1B" w:rsidRDefault="002025FF" w:rsidP="00DF65D6">
            <w:pPr>
              <w:rPr>
                <w:rStyle w:val="Hipercze"/>
              </w:rPr>
            </w:pPr>
            <w:hyperlink r:id="rId32" w:tooltip="Link do słownika pojęć" w:history="1">
              <w:r w:rsidR="00DF65D6" w:rsidRPr="00A70D1B">
                <w:rPr>
                  <w:rStyle w:val="Hipercze"/>
                </w:rPr>
                <w:t>Bezrobotni według BAEL</w:t>
              </w:r>
            </w:hyperlink>
          </w:p>
          <w:p w14:paraId="407E22F2" w14:textId="77777777" w:rsidR="00DF65D6" w:rsidRPr="00A70D1B" w:rsidRDefault="002025FF" w:rsidP="00DF65D6">
            <w:pPr>
              <w:rPr>
                <w:rStyle w:val="Hipercze"/>
              </w:rPr>
            </w:pPr>
            <w:hyperlink r:id="rId33" w:tooltip="Link do słownika pojęć" w:history="1">
              <w:r w:rsidR="00DF65D6" w:rsidRPr="00A70D1B">
                <w:rPr>
                  <w:rStyle w:val="Hipercze"/>
                </w:rPr>
                <w:t>Ludność bierna zawodowo według BAEL</w:t>
              </w:r>
            </w:hyperlink>
          </w:p>
          <w:p w14:paraId="420F7E46" w14:textId="77777777" w:rsidR="00DF65D6" w:rsidRPr="00A70D1B" w:rsidRDefault="002025FF" w:rsidP="00DF65D6">
            <w:pPr>
              <w:rPr>
                <w:rFonts w:cs="Times New Roman"/>
              </w:rPr>
            </w:pPr>
            <w:hyperlink r:id="rId34" w:tooltip="Link do słownika pojęć" w:history="1">
              <w:r w:rsidR="00DF65D6" w:rsidRPr="00A70D1B">
                <w:rPr>
                  <w:rStyle w:val="Hipercze"/>
                </w:rPr>
                <w:t>Współczynnik aktywności zawodowej ludności według BAEL</w:t>
              </w:r>
            </w:hyperlink>
          </w:p>
          <w:p w14:paraId="676C0D88" w14:textId="77777777" w:rsidR="00DF65D6" w:rsidRPr="00A70D1B" w:rsidRDefault="002025FF" w:rsidP="00DF65D6">
            <w:pPr>
              <w:rPr>
                <w:rStyle w:val="Hipercze"/>
              </w:rPr>
            </w:pPr>
            <w:hyperlink r:id="rId35" w:tooltip="Link do słownika pojęć" w:history="1">
              <w:r w:rsidR="00DF65D6" w:rsidRPr="00A70D1B">
                <w:rPr>
                  <w:rStyle w:val="Hipercze"/>
                </w:rPr>
                <w:t>Wskaźnik zatrudnienia według BAEL</w:t>
              </w:r>
            </w:hyperlink>
          </w:p>
          <w:p w14:paraId="37500CE6" w14:textId="77777777" w:rsidR="00DF65D6" w:rsidRPr="00A70D1B" w:rsidRDefault="002025FF" w:rsidP="00DF65D6">
            <w:pPr>
              <w:rPr>
                <w:rFonts w:cs="Times New Roman"/>
                <w:color w:val="0000FF"/>
                <w:u w:val="single"/>
              </w:rPr>
            </w:pPr>
            <w:hyperlink r:id="rId36" w:tooltip="Linik do słownika pojęć" w:history="1">
              <w:r w:rsidR="00DF65D6" w:rsidRPr="00A70D1B">
                <w:rPr>
                  <w:rStyle w:val="Hipercze"/>
                </w:rPr>
                <w:t>Stopa bezrobocia według BAEL</w:t>
              </w:r>
            </w:hyperlink>
          </w:p>
        </w:tc>
      </w:tr>
    </w:tbl>
    <w:tbl>
      <w:tblPr>
        <w:tblStyle w:val="Tabela-Siatka11"/>
        <w:tblW w:w="9851" w:type="dxa"/>
        <w:tblBorders>
          <w:left w:val="none" w:sz="0" w:space="0" w:color="auto"/>
          <w:right w:val="none" w:sz="0" w:space="0" w:color="auto"/>
        </w:tblBorders>
        <w:tblLook w:val="04A0" w:firstRow="1" w:lastRow="0" w:firstColumn="1" w:lastColumn="0" w:noHBand="0" w:noVBand="1"/>
      </w:tblPr>
      <w:tblGrid>
        <w:gridCol w:w="9851"/>
      </w:tblGrid>
      <w:tr w:rsidR="000F2CA6" w:rsidRPr="000F2CA6" w14:paraId="3DC16F1B" w14:textId="77777777" w:rsidTr="00B07D3F">
        <w:trPr>
          <w:trHeight w:val="739"/>
        </w:trPr>
        <w:tc>
          <w:tcPr>
            <w:tcW w:w="9851" w:type="dxa"/>
          </w:tcPr>
          <w:p w14:paraId="796CEB5D" w14:textId="77777777" w:rsidR="000F2CA6" w:rsidRPr="00A70D1B" w:rsidRDefault="000F2CA6" w:rsidP="000F2CA6">
            <w:pPr>
              <w:spacing w:before="240" w:after="0" w:line="240" w:lineRule="auto"/>
              <w:jc w:val="center"/>
              <w:rPr>
                <w:sz w:val="21"/>
                <w:szCs w:val="21"/>
              </w:rPr>
            </w:pPr>
            <w:bookmarkStart w:id="19" w:name="_Hlk143371215"/>
            <w:r w:rsidRPr="00A70D1B">
              <w:rPr>
                <w:rFonts w:ascii="Consolas" w:hAnsi="Consolas"/>
                <w:b/>
                <w:noProof/>
                <w:color w:val="231F20"/>
                <w:szCs w:val="21"/>
                <w:lang w:eastAsia="pl-PL"/>
              </w:rPr>
              <w:drawing>
                <wp:anchor distT="0" distB="0" distL="114300" distR="114300" simplePos="0" relativeHeight="251950080" behindDoc="0" locked="0" layoutInCell="1" allowOverlap="1" wp14:anchorId="393F7A48" wp14:editId="5342FB8A">
                  <wp:simplePos x="0" y="0"/>
                  <wp:positionH relativeFrom="column">
                    <wp:align>center</wp:align>
                  </wp:positionH>
                  <wp:positionV relativeFrom="paragraph">
                    <wp:posOffset>3810</wp:posOffset>
                  </wp:positionV>
                  <wp:extent cx="921600" cy="608400"/>
                  <wp:effectExtent l="0" t="0" r="0" b="1270"/>
                  <wp:wrapNone/>
                  <wp:docPr id="2107687572" name="Obraz 210768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flipV="1">
                            <a:off x="0" y="0"/>
                            <a:ext cx="921600" cy="60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E4B8A" w14:textId="77777777" w:rsidR="000F2CA6" w:rsidRPr="00A70D1B" w:rsidRDefault="000F2CA6" w:rsidP="000F2CA6">
            <w:pPr>
              <w:spacing w:before="240" w:after="0" w:line="240" w:lineRule="auto"/>
              <w:jc w:val="center"/>
              <w:rPr>
                <w:sz w:val="21"/>
                <w:szCs w:val="21"/>
              </w:rPr>
            </w:pPr>
          </w:p>
          <w:p w14:paraId="07F4D79C" w14:textId="77777777" w:rsidR="000F2CA6" w:rsidRPr="00A70D1B" w:rsidRDefault="000F2CA6" w:rsidP="000F2CA6">
            <w:pPr>
              <w:spacing w:before="0" w:after="0" w:line="240" w:lineRule="auto"/>
              <w:jc w:val="center"/>
              <w:rPr>
                <w:b/>
                <w:bCs/>
                <w:noProof/>
                <w:color w:val="231F20"/>
                <w:szCs w:val="21"/>
                <w:lang w:eastAsia="pl-PL"/>
              </w:rPr>
            </w:pPr>
            <w:r w:rsidRPr="00A70D1B">
              <w:rPr>
                <w:b/>
                <w:bCs/>
                <w:noProof/>
                <w:color w:val="231F20"/>
                <w:szCs w:val="21"/>
                <w:lang w:eastAsia="pl-PL"/>
              </w:rPr>
              <w:t>UNIA EUROPEJSKA</w:t>
            </w:r>
          </w:p>
          <w:p w14:paraId="5700336B" w14:textId="6FE7538B" w:rsidR="000F2CA6" w:rsidRPr="000F2CA6" w:rsidRDefault="000F2CA6" w:rsidP="004E36A8">
            <w:pPr>
              <w:spacing w:after="0" w:line="240" w:lineRule="auto"/>
              <w:jc w:val="center"/>
              <w:rPr>
                <w:sz w:val="21"/>
                <w:szCs w:val="21"/>
              </w:rPr>
            </w:pPr>
            <w:r w:rsidRPr="00A70D1B">
              <w:rPr>
                <w:sz w:val="21"/>
                <w:szCs w:val="21"/>
              </w:rPr>
              <w:t>Inf</w:t>
            </w:r>
            <w:r w:rsidR="004E36A8">
              <w:rPr>
                <w:sz w:val="21"/>
                <w:szCs w:val="21"/>
              </w:rPr>
              <w:t>ormacja zawiera wyniki badania „</w:t>
            </w:r>
            <w:r w:rsidR="00AB7219" w:rsidRPr="00AB7219">
              <w:rPr>
                <w:sz w:val="21"/>
                <w:szCs w:val="21"/>
              </w:rPr>
              <w:t>Osoby młode na rynku pracy”</w:t>
            </w:r>
            <w:r w:rsidR="006A6F49" w:rsidRPr="006A6F49">
              <w:rPr>
                <w:sz w:val="21"/>
                <w:szCs w:val="21"/>
              </w:rPr>
              <w:t xml:space="preserve"> </w:t>
            </w:r>
            <w:r w:rsidRPr="00A70D1B">
              <w:rPr>
                <w:sz w:val="21"/>
                <w:szCs w:val="21"/>
              </w:rPr>
              <w:t>współfinansowanego ze środków Unii Europejskiej</w:t>
            </w:r>
          </w:p>
        </w:tc>
      </w:tr>
      <w:bookmarkEnd w:id="19"/>
    </w:tbl>
    <w:p w14:paraId="40D0337A" w14:textId="174A133A" w:rsidR="00D44F2E" w:rsidRPr="00D44F2E" w:rsidRDefault="00D44F2E" w:rsidP="00B07D3F">
      <w:pPr>
        <w:spacing w:before="0" w:after="0"/>
        <w:rPr>
          <w:sz w:val="18"/>
        </w:rPr>
      </w:pPr>
    </w:p>
    <w:sectPr w:rsidR="00D44F2E" w:rsidRPr="00D44F2E" w:rsidSect="00DF65D6">
      <w:headerReference w:type="default" r:id="rId38"/>
      <w:footerReference w:type="default" r:id="rId39"/>
      <w:pgSz w:w="11906" w:h="16838"/>
      <w:pgMar w:top="720" w:right="3119" w:bottom="720" w:left="851"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14BC" w14:textId="77777777" w:rsidR="002025FF" w:rsidRDefault="002025FF" w:rsidP="000662E2">
      <w:pPr>
        <w:spacing w:after="0" w:line="240" w:lineRule="auto"/>
      </w:pPr>
      <w:r>
        <w:separator/>
      </w:r>
    </w:p>
  </w:endnote>
  <w:endnote w:type="continuationSeparator" w:id="0">
    <w:p w14:paraId="693B2821" w14:textId="77777777" w:rsidR="002025FF" w:rsidRDefault="002025FF"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EE"/>
    <w:family w:val="swiss"/>
    <w:pitch w:val="variable"/>
    <w:sig w:usb0="600002FF" w:usb1="02000001" w:usb2="00000000" w:usb3="00000000" w:csb0="0000019F" w:csb1="00000000"/>
  </w:font>
  <w:font w:name="Fira Sans Light">
    <w:panose1 w:val="020B04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Extra Condensed SemiB">
    <w:panose1 w:val="020B0603050000020004"/>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Extra Condensed">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575277"/>
      <w:docPartObj>
        <w:docPartGallery w:val="Page Numbers (Bottom of Page)"/>
        <w:docPartUnique/>
      </w:docPartObj>
    </w:sdtPr>
    <w:sdtEndPr/>
    <w:sdtContent>
      <w:p w14:paraId="1D4C27CF" w14:textId="77777777" w:rsidR="00352C44" w:rsidRDefault="00352C44" w:rsidP="003B18B6">
        <w:pPr>
          <w:pStyle w:val="Stopka"/>
          <w:jc w:val="center"/>
        </w:pPr>
        <w:r>
          <w:fldChar w:fldCharType="begin"/>
        </w:r>
        <w:r>
          <w:instrText>PAGE   \* MERGEFORMAT</w:instrText>
        </w:r>
        <w:r>
          <w:fldChar w:fldCharType="separate"/>
        </w:r>
        <w:r w:rsidR="004D0010">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36088"/>
      <w:docPartObj>
        <w:docPartGallery w:val="Page Numbers (Bottom of Page)"/>
        <w:docPartUnique/>
      </w:docPartObj>
    </w:sdtPr>
    <w:sdtEndPr/>
    <w:sdtContent>
      <w:p w14:paraId="7AD7E84A" w14:textId="77777777" w:rsidR="00352C44" w:rsidRDefault="00352C44" w:rsidP="003B18B6">
        <w:pPr>
          <w:pStyle w:val="Stopka"/>
          <w:jc w:val="center"/>
        </w:pPr>
        <w:r>
          <w:fldChar w:fldCharType="begin"/>
        </w:r>
        <w:r>
          <w:instrText>PAGE   \* MERGEFORMAT</w:instrText>
        </w:r>
        <w:r>
          <w:fldChar w:fldCharType="separate"/>
        </w:r>
        <w:r w:rsidR="004D001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636839"/>
      <w:docPartObj>
        <w:docPartGallery w:val="Page Numbers (Bottom of Page)"/>
        <w:docPartUnique/>
      </w:docPartObj>
    </w:sdtPr>
    <w:sdtEndPr/>
    <w:sdtContent>
      <w:p w14:paraId="44D48D24" w14:textId="77777777" w:rsidR="00352C44" w:rsidRDefault="00352C44" w:rsidP="00E524F8">
        <w:pPr>
          <w:pStyle w:val="Stopka"/>
          <w:tabs>
            <w:tab w:val="clear" w:pos="9072"/>
            <w:tab w:val="right" w:pos="8080"/>
          </w:tabs>
          <w:ind w:right="-13"/>
          <w:jc w:val="center"/>
        </w:pPr>
        <w:r>
          <w:fldChar w:fldCharType="begin"/>
        </w:r>
        <w:r>
          <w:instrText>PAGE   \* MERGEFORMAT</w:instrText>
        </w:r>
        <w:r>
          <w:fldChar w:fldCharType="separate"/>
        </w:r>
        <w:r w:rsidR="004D0010">
          <w:rPr>
            <w:noProof/>
          </w:rPr>
          <w:t>14</w:t>
        </w:r>
        <w:r>
          <w:fldChar w:fldCharType="end"/>
        </w:r>
      </w:p>
    </w:sdtContent>
  </w:sdt>
  <w:p w14:paraId="29376D81" w14:textId="77777777" w:rsidR="00352C44" w:rsidRDefault="00352C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B6FC" w14:textId="77777777" w:rsidR="002025FF" w:rsidRDefault="002025FF" w:rsidP="000662E2">
      <w:pPr>
        <w:spacing w:after="0" w:line="240" w:lineRule="auto"/>
      </w:pPr>
      <w:r>
        <w:separator/>
      </w:r>
    </w:p>
  </w:footnote>
  <w:footnote w:type="continuationSeparator" w:id="0">
    <w:p w14:paraId="3BD9505C" w14:textId="77777777" w:rsidR="002025FF" w:rsidRDefault="002025FF" w:rsidP="000662E2">
      <w:pPr>
        <w:spacing w:after="0" w:line="240" w:lineRule="auto"/>
      </w:pPr>
      <w:r>
        <w:continuationSeparator/>
      </w:r>
    </w:p>
  </w:footnote>
  <w:footnote w:id="1">
    <w:p w14:paraId="7B385EE7" w14:textId="1C0A85F1" w:rsidR="00352C44" w:rsidRPr="00F5712C" w:rsidRDefault="00352C44" w:rsidP="008B70E9">
      <w:pPr>
        <w:pStyle w:val="Tekstprzypisudolnego"/>
        <w:spacing w:before="0"/>
        <w:ind w:left="113" w:hanging="113"/>
        <w:rPr>
          <w:rStyle w:val="Hipercze"/>
          <w:rFonts w:cstheme="minorBidi"/>
          <w:color w:val="auto"/>
          <w:sz w:val="16"/>
          <w:szCs w:val="16"/>
          <w:u w:val="none"/>
        </w:rPr>
      </w:pPr>
      <w:r w:rsidRPr="00F5712C">
        <w:rPr>
          <w:rStyle w:val="Odwoanieprzypisudolnego"/>
          <w:sz w:val="16"/>
          <w:szCs w:val="16"/>
        </w:rPr>
        <w:footnoteRef/>
      </w:r>
      <w:r w:rsidRPr="00F5712C">
        <w:rPr>
          <w:sz w:val="16"/>
          <w:szCs w:val="16"/>
        </w:rPr>
        <w:t xml:space="preserve"> Na potrzeby badania modułowego oraz prezentowanych tu wyników przyjęto, że jako „osoby młode” określa się osoby w wieku 15-34 lata. Podstawowy zakres BAEL umożliwia co kwartał szeroką charakterystykę osób na rynku pracy, w tym także osób młodych. W niniejszym opra</w:t>
      </w:r>
      <w:r w:rsidRPr="00F5712C">
        <w:rPr>
          <w:sz w:val="16"/>
          <w:szCs w:val="16"/>
        </w:rPr>
        <w:softHyphen/>
        <w:t>co</w:t>
      </w:r>
      <w:r w:rsidRPr="00F5712C">
        <w:rPr>
          <w:sz w:val="16"/>
          <w:szCs w:val="16"/>
        </w:rPr>
        <w:softHyphen/>
        <w:t>waniu, ze względu na syntetyczny charakter serii „Informacje sygnalne”, skupiono się przede wszyst</w:t>
      </w:r>
      <w:r w:rsidRPr="00F5712C">
        <w:rPr>
          <w:sz w:val="16"/>
          <w:szCs w:val="16"/>
        </w:rPr>
        <w:softHyphen/>
        <w:t>kim na zaprezentowaniu wyników z modułu BAEL dedykowanego osobom młodym, poszerzającego zakres informacji o tej grupie osób względem dostępnego w badaniu zasadniczym. Więcej o BAEL i dołączonym do niego badaniu modułowym zamieszczono w</w:t>
      </w:r>
      <w:r>
        <w:rPr>
          <w:sz w:val="16"/>
          <w:szCs w:val="16"/>
        </w:rPr>
        <w:t> </w:t>
      </w:r>
      <w:r w:rsidRPr="00F5712C">
        <w:rPr>
          <w:sz w:val="16"/>
          <w:szCs w:val="16"/>
        </w:rPr>
        <w:t>uwagach metodologicznych na końcu niniejszego opracowania</w:t>
      </w:r>
      <w:r w:rsidRPr="00F5712C">
        <w:rPr>
          <w:rStyle w:val="Hipercze"/>
          <w:rFonts w:cstheme="minorBidi"/>
          <w:color w:val="auto"/>
          <w:sz w:val="16"/>
          <w:szCs w:val="16"/>
          <w:u w:val="none"/>
        </w:rPr>
        <w:t xml:space="preserve">. </w:t>
      </w:r>
    </w:p>
  </w:footnote>
  <w:footnote w:id="2">
    <w:p w14:paraId="3C9DB476" w14:textId="1F11135E" w:rsidR="00352C44" w:rsidRPr="00F5712C" w:rsidRDefault="00352C44" w:rsidP="0058196A">
      <w:pPr>
        <w:spacing w:before="60" w:after="0" w:line="240" w:lineRule="auto"/>
        <w:ind w:left="142" w:hanging="142"/>
        <w:rPr>
          <w:sz w:val="16"/>
          <w:szCs w:val="16"/>
        </w:rPr>
      </w:pPr>
      <w:r w:rsidRPr="00F5712C">
        <w:rPr>
          <w:rStyle w:val="Odwoanieprzypisudolnego"/>
          <w:sz w:val="16"/>
          <w:szCs w:val="16"/>
        </w:rPr>
        <w:footnoteRef/>
      </w:r>
      <w:r w:rsidRPr="00F5712C">
        <w:rPr>
          <w:sz w:val="16"/>
          <w:szCs w:val="16"/>
        </w:rPr>
        <w:t xml:space="preserve"> Przytaczane w analizie dane (odsetki) nie zawsze sumują się na 100%, głównie z uwagi na to, że część respondentów nie potrafiło udzielić odpowiedzi (przede wszystkim w sytuacji gdy osoby odpowiadały w</w:t>
      </w:r>
      <w:r>
        <w:rPr>
          <w:sz w:val="16"/>
          <w:szCs w:val="16"/>
        </w:rPr>
        <w:t> </w:t>
      </w:r>
      <w:r w:rsidRPr="00F5712C">
        <w:rPr>
          <w:sz w:val="16"/>
          <w:szCs w:val="16"/>
        </w:rPr>
        <w:t>imieniu innego członka gospodarstwa domowego, ale nie miały pełnej wiedzy nt. przebiegu ścieżki edukacji tej osoby).</w:t>
      </w:r>
    </w:p>
  </w:footnote>
  <w:footnote w:id="3">
    <w:p w14:paraId="0920E61E" w14:textId="22B1435A" w:rsidR="00352C44" w:rsidRPr="0058196A" w:rsidRDefault="00352C44" w:rsidP="0058196A">
      <w:pPr>
        <w:pStyle w:val="Tekstprzypisudolnego"/>
        <w:rPr>
          <w:sz w:val="18"/>
          <w:szCs w:val="18"/>
        </w:rPr>
      </w:pPr>
      <w:r w:rsidRPr="0058196A">
        <w:rPr>
          <w:rStyle w:val="Odwoanieprzypisudolnego"/>
          <w:sz w:val="18"/>
          <w:szCs w:val="18"/>
        </w:rPr>
        <w:footnoteRef/>
      </w:r>
      <w:r w:rsidRPr="0058196A">
        <w:rPr>
          <w:sz w:val="18"/>
          <w:szCs w:val="18"/>
        </w:rPr>
        <w:t xml:space="preserve"> </w:t>
      </w:r>
      <w:r>
        <w:rPr>
          <w:sz w:val="18"/>
          <w:szCs w:val="18"/>
        </w:rPr>
        <w:t>D</w:t>
      </w:r>
      <w:r w:rsidRPr="0058196A">
        <w:rPr>
          <w:sz w:val="18"/>
          <w:szCs w:val="18"/>
        </w:rPr>
        <w:t>la porównania: odsetek bezrobotnych w populacji osób w wieku 15-89 lat wyniósł 41,5%</w:t>
      </w:r>
      <w:r>
        <w:rPr>
          <w:sz w:val="18"/>
          <w:szCs w:val="18"/>
        </w:rPr>
        <w:t>.</w:t>
      </w:r>
    </w:p>
  </w:footnote>
  <w:footnote w:id="4">
    <w:p w14:paraId="4E28B8CE" w14:textId="729A2F47" w:rsidR="00352C44" w:rsidRPr="0058196A" w:rsidRDefault="00352C44" w:rsidP="0058196A">
      <w:pPr>
        <w:pStyle w:val="Tekstprzypisudolnego"/>
        <w:rPr>
          <w:sz w:val="18"/>
          <w:szCs w:val="18"/>
        </w:rPr>
      </w:pPr>
      <w:r w:rsidRPr="0058196A">
        <w:rPr>
          <w:rStyle w:val="Odwoanieprzypisudolnego"/>
          <w:sz w:val="18"/>
          <w:szCs w:val="18"/>
        </w:rPr>
        <w:footnoteRef/>
      </w:r>
      <w:r w:rsidRPr="0058196A">
        <w:rPr>
          <w:sz w:val="18"/>
          <w:szCs w:val="18"/>
        </w:rPr>
        <w:t xml:space="preserve"> </w:t>
      </w:r>
      <w:r>
        <w:rPr>
          <w:sz w:val="18"/>
          <w:szCs w:val="18"/>
        </w:rPr>
        <w:t>O</w:t>
      </w:r>
      <w:r w:rsidRPr="0058196A">
        <w:rPr>
          <w:sz w:val="18"/>
          <w:szCs w:val="18"/>
        </w:rPr>
        <w:t>dsetek ten jest różnicą pomiędzy wartością 100%, a wartością współczynnika aktywności zawodowej, pokazanego w tablicy 1.</w:t>
      </w:r>
    </w:p>
  </w:footnote>
  <w:footnote w:id="5">
    <w:p w14:paraId="0B46A19D" w14:textId="77777777" w:rsidR="00352C44" w:rsidRPr="008B70E9" w:rsidRDefault="00352C44" w:rsidP="00252FFA">
      <w:pPr>
        <w:pStyle w:val="Tekstprzypisudolnego"/>
        <w:rPr>
          <w:sz w:val="18"/>
          <w:szCs w:val="18"/>
        </w:rPr>
      </w:pPr>
      <w:r w:rsidRPr="008B70E9">
        <w:rPr>
          <w:rStyle w:val="Odwoanieprzypisudolnego"/>
          <w:sz w:val="18"/>
          <w:szCs w:val="18"/>
        </w:rPr>
        <w:footnoteRef/>
      </w:r>
      <w:r w:rsidRPr="008B70E9">
        <w:rPr>
          <w:sz w:val="18"/>
          <w:szCs w:val="18"/>
        </w:rPr>
        <w:t xml:space="preserve"> Wskaźnik Osoby młode niepracujące, nieuczące się i niedokształcające się (NEET) obliczany jest jako udział osób w wieku 15-34 lata bezrobotnych lub biernych zawodowo, które nie kontynuują nauki w systemie edukacji formalnej i nie dokształcają się/</w:t>
      </w:r>
      <w:r>
        <w:rPr>
          <w:sz w:val="18"/>
          <w:szCs w:val="18"/>
        </w:rPr>
        <w:t xml:space="preserve">nie </w:t>
      </w:r>
      <w:r w:rsidRPr="008B70E9">
        <w:rPr>
          <w:sz w:val="18"/>
          <w:szCs w:val="18"/>
        </w:rPr>
        <w:t xml:space="preserve">szkolą się w systemie edukacji </w:t>
      </w:r>
      <w:proofErr w:type="spellStart"/>
      <w:r w:rsidRPr="008B70E9">
        <w:rPr>
          <w:sz w:val="18"/>
          <w:szCs w:val="18"/>
        </w:rPr>
        <w:t>pozaformalnej</w:t>
      </w:r>
      <w:proofErr w:type="spellEnd"/>
      <w:r w:rsidRPr="008B70E9">
        <w:rPr>
          <w:sz w:val="18"/>
          <w:szCs w:val="18"/>
        </w:rPr>
        <w:t xml:space="preserve"> (wciągu 4 tygodni przed badaniem) w ludności ogółem w tej samej grupie wieku.</w:t>
      </w:r>
    </w:p>
  </w:footnote>
  <w:footnote w:id="6">
    <w:p w14:paraId="2FB2B14B" w14:textId="4FEC0621" w:rsidR="00352C44" w:rsidRPr="008B70E9" w:rsidRDefault="00352C44" w:rsidP="00430A5C">
      <w:pPr>
        <w:spacing w:before="60" w:after="0" w:line="240" w:lineRule="auto"/>
        <w:ind w:left="113" w:hanging="113"/>
        <w:rPr>
          <w:sz w:val="18"/>
          <w:szCs w:val="18"/>
        </w:rPr>
      </w:pPr>
      <w:r w:rsidRPr="008B70E9">
        <w:rPr>
          <w:rStyle w:val="Odwoanieprzypisudolnego"/>
          <w:sz w:val="18"/>
          <w:szCs w:val="18"/>
        </w:rPr>
        <w:footnoteRef/>
      </w:r>
      <w:r w:rsidRPr="008B70E9">
        <w:rPr>
          <w:sz w:val="18"/>
          <w:szCs w:val="18"/>
        </w:rPr>
        <w:t xml:space="preserve"> Więcej informacji dotyczących metodologii badania z zakresu przerwania formalnego programu edukacji zawarto w uwagach metodologicznych</w:t>
      </w:r>
      <w:r>
        <w:rPr>
          <w:sz w:val="18"/>
          <w:szCs w:val="18"/>
        </w:rPr>
        <w:t xml:space="preserve"> umieszczonych na końcu opracowania</w:t>
      </w:r>
      <w:r w:rsidRPr="008B70E9">
        <w:rPr>
          <w:sz w:val="18"/>
          <w:szCs w:val="18"/>
        </w:rPr>
        <w:t>.</w:t>
      </w:r>
    </w:p>
  </w:footnote>
  <w:footnote w:id="7">
    <w:p w14:paraId="754858FE" w14:textId="77777777" w:rsidR="00352C44" w:rsidRPr="008B70E9" w:rsidRDefault="00352C44" w:rsidP="00430A5C">
      <w:pPr>
        <w:spacing w:before="60" w:after="0" w:line="240" w:lineRule="auto"/>
        <w:ind w:left="113" w:hanging="113"/>
        <w:rPr>
          <w:sz w:val="18"/>
          <w:szCs w:val="18"/>
        </w:rPr>
      </w:pPr>
      <w:r w:rsidRPr="008B70E9">
        <w:rPr>
          <w:rStyle w:val="Odwoanieprzypisudolnego"/>
          <w:sz w:val="18"/>
          <w:szCs w:val="18"/>
        </w:rPr>
        <w:footnoteRef/>
      </w:r>
      <w:r w:rsidRPr="008B70E9">
        <w:rPr>
          <w:sz w:val="18"/>
          <w:szCs w:val="18"/>
        </w:rPr>
        <w:t xml:space="preserve"> Jeśli osoba przerywała naukę kilkakrotnie, wskazywano typ szkoły dającej najwyższy poziom wykształcenia.</w:t>
      </w:r>
    </w:p>
  </w:footnote>
  <w:footnote w:id="8">
    <w:p w14:paraId="7EFB02CB" w14:textId="77777777" w:rsidR="00352C44" w:rsidRPr="008B70E9" w:rsidRDefault="00352C44" w:rsidP="00766F81">
      <w:pPr>
        <w:pStyle w:val="Tekstprzypisudolnego"/>
        <w:spacing w:before="60"/>
        <w:ind w:left="113" w:hanging="113"/>
        <w:rPr>
          <w:sz w:val="18"/>
          <w:szCs w:val="18"/>
        </w:rPr>
      </w:pPr>
      <w:r w:rsidRPr="008B70E9">
        <w:rPr>
          <w:rStyle w:val="Odwoanieprzypisudolnego"/>
          <w:sz w:val="18"/>
          <w:szCs w:val="18"/>
        </w:rPr>
        <w:footnoteRef/>
      </w:r>
      <w:r w:rsidRPr="008B70E9">
        <w:rPr>
          <w:sz w:val="18"/>
          <w:szCs w:val="18"/>
        </w:rPr>
        <w:t xml:space="preserve"> Dane nie obejmują osób niepracujących z przeszłością zawodową, które zakończyły pracę w 2016 r. lub wcześniej. Dla tych osób w badaniu głównym nie zbierano danych o sektorze zatrudnienia, grupie zawodowej i sekcji PKD.</w:t>
      </w:r>
    </w:p>
  </w:footnote>
  <w:footnote w:id="9">
    <w:p w14:paraId="3744287B" w14:textId="757B95F6" w:rsidR="00352C44" w:rsidRPr="008B70E9" w:rsidRDefault="00352C44" w:rsidP="00430A5C">
      <w:pPr>
        <w:pStyle w:val="Tekstprzypisudolnego"/>
        <w:spacing w:before="60"/>
        <w:ind w:left="113" w:hanging="113"/>
        <w:rPr>
          <w:sz w:val="18"/>
          <w:szCs w:val="18"/>
        </w:rPr>
      </w:pPr>
      <w:r w:rsidRPr="008B70E9">
        <w:rPr>
          <w:rStyle w:val="Odwoanieprzypisudolnego"/>
          <w:sz w:val="18"/>
          <w:szCs w:val="18"/>
        </w:rPr>
        <w:footnoteRef/>
      </w:r>
      <w:r w:rsidRPr="008B70E9">
        <w:rPr>
          <w:sz w:val="18"/>
          <w:szCs w:val="18"/>
        </w:rPr>
        <w:t xml:space="preserve"> W analizie nie uwzględniono osób, dla których nie ustalono dziedziny wykształcenia w głównym badaniu BAEL.</w:t>
      </w:r>
    </w:p>
  </w:footnote>
  <w:footnote w:id="10">
    <w:p w14:paraId="4CD1C1D6" w14:textId="77777777" w:rsidR="00352C44" w:rsidRPr="008B70E9" w:rsidRDefault="00352C44" w:rsidP="008B70E9">
      <w:pPr>
        <w:pStyle w:val="Tekstprzypisudolnego"/>
        <w:ind w:left="113" w:hanging="113"/>
        <w:rPr>
          <w:sz w:val="18"/>
          <w:szCs w:val="18"/>
        </w:rPr>
      </w:pPr>
      <w:r w:rsidRPr="008B70E9">
        <w:rPr>
          <w:rStyle w:val="Odwoanieprzypisudolnego"/>
          <w:sz w:val="18"/>
          <w:szCs w:val="18"/>
        </w:rPr>
        <w:footnoteRef/>
      </w:r>
      <w:r w:rsidRPr="008B70E9">
        <w:rPr>
          <w:sz w:val="18"/>
          <w:szCs w:val="18"/>
        </w:rPr>
        <w:t xml:space="preserve"> Dane nie obejmują osób niepracujących z przeszłością zawodową, które zakończyły pracę w 2016 r. lub wcześniej. Dla tych osób w badaniu głównym nie zbierano danych o sektorze zatrudnienia, grupie zawodowej i sekcji PKD.</w:t>
      </w:r>
    </w:p>
  </w:footnote>
  <w:footnote w:id="11">
    <w:p w14:paraId="26060FB4" w14:textId="77777777" w:rsidR="00352C44" w:rsidRPr="008B70E9" w:rsidRDefault="00352C44" w:rsidP="004E5D0A">
      <w:pPr>
        <w:pStyle w:val="Tekstprzypisudolnego"/>
        <w:spacing w:before="0"/>
        <w:ind w:left="113" w:hanging="113"/>
        <w:rPr>
          <w:sz w:val="18"/>
          <w:szCs w:val="18"/>
        </w:rPr>
      </w:pPr>
      <w:r w:rsidRPr="008B70E9">
        <w:rPr>
          <w:rStyle w:val="Odwoanieprzypisudolnego"/>
          <w:sz w:val="18"/>
          <w:szCs w:val="18"/>
        </w:rPr>
        <w:footnoteRef/>
      </w:r>
      <w:r w:rsidRPr="008B70E9">
        <w:rPr>
          <w:sz w:val="18"/>
          <w:szCs w:val="18"/>
        </w:rPr>
        <w:t xml:space="preserve"> Posiadające wykształcenie wyższe ze stopniem doktora, tytułem magistra, lekarza lub równoważnym oraz tytułem licencjata lub inżyniera.</w:t>
      </w:r>
    </w:p>
  </w:footnote>
  <w:footnote w:id="12">
    <w:p w14:paraId="51952184" w14:textId="77777777" w:rsidR="00352C44" w:rsidRPr="008B70E9" w:rsidRDefault="00352C44" w:rsidP="004E5D0A">
      <w:pPr>
        <w:pStyle w:val="Tekstprzypisudolnego"/>
        <w:spacing w:before="40"/>
        <w:ind w:left="113" w:hanging="113"/>
        <w:rPr>
          <w:sz w:val="18"/>
          <w:szCs w:val="18"/>
        </w:rPr>
      </w:pPr>
      <w:r w:rsidRPr="008B70E9">
        <w:rPr>
          <w:rStyle w:val="Odwoanieprzypisudolnego"/>
          <w:sz w:val="18"/>
          <w:szCs w:val="18"/>
        </w:rPr>
        <w:footnoteRef/>
      </w:r>
      <w:r w:rsidRPr="008B70E9">
        <w:rPr>
          <w:sz w:val="18"/>
          <w:szCs w:val="18"/>
        </w:rPr>
        <w:t xml:space="preserve"> O fakt uzyskania wykształcenia zawodowego na niższym poziomie edukacji pytano również osoby ze średnim wykształceniem po kolegium (nauczycielskim, języków obcych lub pracowników służb spo</w:t>
      </w:r>
      <w:r w:rsidRPr="008B70E9">
        <w:rPr>
          <w:sz w:val="18"/>
          <w:szCs w:val="18"/>
        </w:rPr>
        <w:softHyphen/>
        <w:t>łecznych) lub kształceniu specjalistycznym na wyższej uczelni zawodowej zakończonym otrzymaniem świadectwa dyplomowanego specjalisty/specjalisty technologa. Jednakże ze względu na fakt, że osoby te stanowiły nieliczną grupę, analizę ograniczono tylko do osób z wykształceniem wyższym.</w:t>
      </w:r>
    </w:p>
  </w:footnote>
  <w:footnote w:id="13">
    <w:p w14:paraId="61339679" w14:textId="77777777" w:rsidR="00352C44" w:rsidRPr="008B70E9" w:rsidRDefault="00352C44" w:rsidP="00850F22">
      <w:pPr>
        <w:pStyle w:val="Tekstprzypisudolnego"/>
        <w:spacing w:before="40"/>
        <w:ind w:left="113" w:hanging="113"/>
        <w:rPr>
          <w:sz w:val="18"/>
          <w:szCs w:val="18"/>
        </w:rPr>
      </w:pPr>
      <w:r w:rsidRPr="008B70E9">
        <w:rPr>
          <w:rStyle w:val="Odwoanieprzypisudolnego"/>
          <w:sz w:val="18"/>
          <w:szCs w:val="18"/>
        </w:rPr>
        <w:footnoteRef/>
      </w:r>
      <w:r w:rsidRPr="008B70E9">
        <w:rPr>
          <w:sz w:val="18"/>
          <w:szCs w:val="18"/>
        </w:rPr>
        <w:t xml:space="preserve"> Odsetki nie sumują się na 100% ze względu na część odpowiedzi nieustalonych.</w:t>
      </w:r>
    </w:p>
  </w:footnote>
  <w:footnote w:id="14">
    <w:p w14:paraId="01103A55" w14:textId="77777777" w:rsidR="00352C44" w:rsidRDefault="00352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4D6D" w14:textId="77777777" w:rsidR="00352C44" w:rsidRDefault="00352C44">
    <w:pPr>
      <w:pStyle w:val="Nagwek"/>
    </w:pPr>
    <w:r>
      <w:rPr>
        <w:noProof/>
        <w:lang w:eastAsia="pl-PL"/>
      </w:rPr>
      <mc:AlternateContent>
        <mc:Choice Requires="wps">
          <w:drawing>
            <wp:anchor distT="0" distB="0" distL="114300" distR="114300" simplePos="0" relativeHeight="251673600" behindDoc="1" locked="0" layoutInCell="1" allowOverlap="1" wp14:anchorId="0A339F02" wp14:editId="7967D242">
              <wp:simplePos x="0" y="0"/>
              <wp:positionH relativeFrom="column">
                <wp:posOffset>5222240</wp:posOffset>
              </wp:positionH>
              <wp:positionV relativeFrom="paragraph">
                <wp:posOffset>-4100195</wp:posOffset>
              </wp:positionV>
              <wp:extent cx="1871980" cy="22905085"/>
              <wp:effectExtent l="0" t="0" r="0" b="0"/>
              <wp:wrapTight wrapText="bothSides">
                <wp:wrapPolygon edited="0">
                  <wp:start x="0" y="0"/>
                  <wp:lineTo x="0" y="21575"/>
                  <wp:lineTo x="21322" y="21575"/>
                  <wp:lineTo x="21322" y="0"/>
                  <wp:lineTo x="0" y="0"/>
                </wp:wrapPolygon>
              </wp:wrapTight>
              <wp:docPr id="12" name="Prostokąt 12"/>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D4904" id="Prostokąt 12" o:spid="_x0000_s1026" style="position:absolute;margin-left:411.2pt;margin-top:-322.85pt;width:147.4pt;height:180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USnQIAAIo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" fillcolor="#f2f2f2" stroked="f" strokeweight="1pt">
              <w10:wrap type="tight"/>
            </v:rect>
          </w:pict>
        </mc:Fallback>
      </mc:AlternateContent>
    </w:r>
  </w:p>
  <w:p w14:paraId="62953AF1" w14:textId="77777777" w:rsidR="00352C44" w:rsidRDefault="00352C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2E47" w14:textId="77777777" w:rsidR="00352C44" w:rsidRDefault="00352C44">
    <w:pPr>
      <w:pStyle w:val="Nagwek"/>
      <w:rPr>
        <w:noProof/>
        <w:lang w:eastAsia="pl-PL"/>
      </w:rPr>
    </w:pPr>
    <w:r>
      <w:rPr>
        <w:noProof/>
        <w:shd w:val="clear" w:color="auto" w:fill="FFFFFF"/>
        <w:lang w:eastAsia="pl-PL"/>
      </w:rPr>
      <w:drawing>
        <wp:anchor distT="0" distB="0" distL="114300" distR="114300" simplePos="0" relativeHeight="251671552" behindDoc="0" locked="0" layoutInCell="1" allowOverlap="1" wp14:anchorId="1EFA3992" wp14:editId="007F58CE">
          <wp:simplePos x="0" y="0"/>
          <wp:positionH relativeFrom="column">
            <wp:posOffset>13335</wp:posOffset>
          </wp:positionH>
          <wp:positionV relativeFrom="paragraph">
            <wp:posOffset>153670</wp:posOffset>
          </wp:positionV>
          <wp:extent cx="1125855" cy="431800"/>
          <wp:effectExtent l="0" t="0" r="0" b="6350"/>
          <wp:wrapSquare wrapText="bothSides"/>
          <wp:docPr id="29" name="Obraz 29" descr="Logo Głównego Urzędu Statysty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NSP_color.jpg"/>
                  <pic:cNvPicPr/>
                </pic:nvPicPr>
                <pic:blipFill rotWithShape="1">
                  <a:blip r:embed="rId1" cstate="print">
                    <a:extLst>
                      <a:ext uri="{28A0092B-C50C-407E-A947-70E740481C1C}">
                        <a14:useLocalDpi xmlns:a14="http://schemas.microsoft.com/office/drawing/2010/main" val="0"/>
                      </a:ext>
                    </a:extLst>
                  </a:blip>
                  <a:srcRect l="4276" t="19342" r="59741" b="19726"/>
                  <a:stretch/>
                </pic:blipFill>
                <pic:spPr bwMode="auto">
                  <a:xfrm>
                    <a:off x="0" y="0"/>
                    <a:ext cx="1125855"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37172">
      <w:rPr>
        <w:noProof/>
        <w:lang w:eastAsia="pl-PL"/>
      </w:rPr>
      <mc:AlternateContent>
        <mc:Choice Requires="wps">
          <w:drawing>
            <wp:anchor distT="0" distB="0" distL="114300" distR="114300" simplePos="0" relativeHeight="251668480" behindDoc="0" locked="0" layoutInCell="1" allowOverlap="1" wp14:anchorId="307E843E" wp14:editId="00A41B37">
              <wp:simplePos x="0" y="0"/>
              <wp:positionH relativeFrom="column">
                <wp:posOffset>5036820</wp:posOffset>
              </wp:positionH>
              <wp:positionV relativeFrom="paragraph">
                <wp:posOffset>198755</wp:posOffset>
              </wp:positionV>
              <wp:extent cx="2060575" cy="357505"/>
              <wp:effectExtent l="0" t="0" r="0" b="4445"/>
              <wp:wrapNone/>
              <wp:docPr id="9" name="Schemat blokowy: opóźnienie 6" descr="Napis &quot;Informacja sygnalna&quot;"/>
              <wp:cNvGraphicFramePr/>
              <a:graphic xmlns:a="http://schemas.openxmlformats.org/drawingml/2006/main">
                <a:graphicData uri="http://schemas.microsoft.com/office/word/2010/wordprocessingShape">
                  <wps:wsp>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96675" w14:textId="77777777" w:rsidR="00352C44" w:rsidRPr="003C6C8D" w:rsidRDefault="00352C44" w:rsidP="005D2F6B">
                          <w:pPr>
                            <w:spacing w:before="0" w:after="0" w:line="240" w:lineRule="auto"/>
                            <w:ind w:left="227"/>
                            <w:jc w:val="center"/>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843E" id="Schemat blokowy: opóźnienie 6" o:spid="_x0000_s1044" alt="Napis &quot;Informacja sygnalna&quot;" style="position:absolute;margin-left:396.6pt;margin-top:15.65pt;width:162.25pt;height:28.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14:paraId="0C196675" w14:textId="77777777" w:rsidR="00352C44" w:rsidRPr="003C6C8D" w:rsidRDefault="00352C44" w:rsidP="005D2F6B">
                    <w:pPr>
                      <w:spacing w:before="0" w:after="0" w:line="240" w:lineRule="auto"/>
                      <w:ind w:left="227"/>
                      <w:jc w:val="center"/>
                      <w:rPr>
                        <w:rFonts w:ascii="Fira Sans SemiBold" w:hAnsi="Fira Sans SemiBold"/>
                      </w:rPr>
                    </w:pPr>
                    <w:r>
                      <w:rPr>
                        <w:rFonts w:ascii="Fira Sans SemiBold" w:hAnsi="Fira Sans SemiBold"/>
                      </w:rPr>
                      <w:t>INFORMACJE SYGNALNE</w:t>
                    </w:r>
                  </w:p>
                </w:txbxContent>
              </v:textbox>
            </v:shape>
          </w:pict>
        </mc:Fallback>
      </mc:AlternateContent>
    </w:r>
    <w:r>
      <w:rPr>
        <w:noProof/>
        <w:lang w:eastAsia="pl-PL"/>
      </w:rPr>
      <mc:AlternateContent>
        <mc:Choice Requires="wps">
          <w:drawing>
            <wp:anchor distT="0" distB="0" distL="114300" distR="114300" simplePos="0" relativeHeight="251666432" behindDoc="1" locked="0" layoutInCell="1" allowOverlap="1" wp14:anchorId="32B4C00C" wp14:editId="5B384AE3">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10" name="Prostokąt 10"/>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7391" id="Prostokąt 10" o:spid="_x0000_s1026" style="position:absolute;margin-left:410.95pt;margin-top:40.3pt;width:147.4pt;height:180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6EnQIAAIo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" fillcolor="#f2f2f2" stroked="f" strokeweight="1pt">
              <w10:wrap type="tight"/>
            </v:rect>
          </w:pict>
        </mc:Fallback>
      </mc:AlternateContent>
    </w:r>
    <w:r>
      <w:rPr>
        <w:noProof/>
        <w:lang w:eastAsia="pl-PL"/>
      </w:rPr>
      <w:t xml:space="preserve"> </w:t>
    </w:r>
    <w:r w:rsidRPr="00540C5C">
      <w:rPr>
        <w:noProof/>
      </w:rPr>
      <w:t xml:space="preserve"> </w:t>
    </w:r>
  </w:p>
  <w:p w14:paraId="71EF3295" w14:textId="77777777" w:rsidR="00352C44" w:rsidRDefault="00352C44">
    <w:pPr>
      <w:pStyle w:val="Nagwek"/>
      <w:rPr>
        <w:noProof/>
        <w:lang w:eastAsia="pl-PL"/>
      </w:rPr>
    </w:pPr>
  </w:p>
  <w:p w14:paraId="00746157" w14:textId="77777777" w:rsidR="00352C44" w:rsidRDefault="00352C44">
    <w:pPr>
      <w:pStyle w:val="Nagwek"/>
      <w:rPr>
        <w:noProof/>
        <w:lang w:eastAsia="pl-PL"/>
      </w:rPr>
    </w:pPr>
  </w:p>
  <w:p w14:paraId="0BC6E69A" w14:textId="77777777" w:rsidR="00352C44" w:rsidRDefault="00352C44">
    <w:pPr>
      <w:pStyle w:val="Nagwek"/>
      <w:rPr>
        <w:noProof/>
        <w:lang w:eastAsia="pl-PL"/>
      </w:rPr>
    </w:pPr>
    <w:r w:rsidRPr="00F37172">
      <w:rPr>
        <w:noProof/>
        <w:lang w:eastAsia="pl-PL"/>
      </w:rPr>
      <mc:AlternateContent>
        <mc:Choice Requires="wps">
          <w:drawing>
            <wp:anchor distT="45720" distB="45720" distL="114300" distR="114300" simplePos="0" relativeHeight="251669504" behindDoc="0" locked="0" layoutInCell="1" allowOverlap="1" wp14:anchorId="199DCED8" wp14:editId="79C6DE9D">
              <wp:simplePos x="0" y="0"/>
              <wp:positionH relativeFrom="column">
                <wp:posOffset>5287976</wp:posOffset>
              </wp:positionH>
              <wp:positionV relativeFrom="paragraph">
                <wp:posOffset>266065</wp:posOffset>
              </wp:positionV>
              <wp:extent cx="1432293" cy="336589"/>
              <wp:effectExtent l="0" t="0" r="0" b="6350"/>
              <wp:wrapNone/>
              <wp:docPr id="8" name="Pole tekstowe 2" descr="Data publikacji informacji sygnalnej: 02.09.2025 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293" cy="336589"/>
                      </a:xfrm>
                      <a:prstGeom prst="rect">
                        <a:avLst/>
                      </a:prstGeom>
                      <a:noFill/>
                      <a:ln w="9525">
                        <a:noFill/>
                        <a:miter lim="800000"/>
                        <a:headEnd/>
                        <a:tailEnd/>
                      </a:ln>
                    </wps:spPr>
                    <wps:txbx>
                      <w:txbxContent>
                        <w:p w14:paraId="4B433E76" w14:textId="77777777" w:rsidR="00352C44" w:rsidRPr="00A01B40" w:rsidRDefault="00352C44" w:rsidP="00F049AB">
                          <w:pPr>
                            <w:pStyle w:val="Datainformacjisygnalnej"/>
                          </w:pPr>
                          <w:r w:rsidRPr="005B2171">
                            <w:t>02.09.2025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DCED8" id="_x0000_t202" coordsize="21600,21600" o:spt="202" path="m,l,21600r21600,l21600,xe">
              <v:stroke joinstyle="miter"/>
              <v:path gradientshapeok="t" o:connecttype="rect"/>
            </v:shapetype>
            <v:shape id="_x0000_s1045" type="#_x0000_t202" alt="Data publikacji informacji sygnalnej: 02.09.2025 r." style="position:absolute;margin-left:416.4pt;margin-top:20.95pt;width:112.8pt;height: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" filled="f" stroked="f">
              <v:textbox>
                <w:txbxContent>
                  <w:p w14:paraId="4B433E76" w14:textId="77777777" w:rsidR="00352C44" w:rsidRPr="00A01B40" w:rsidRDefault="00352C44" w:rsidP="00F049AB">
                    <w:pPr>
                      <w:pStyle w:val="Datainformacjisygnalnej"/>
                    </w:pPr>
                    <w:r w:rsidRPr="005B2171">
                      <w:t>02.09.2025 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1F0D" w14:textId="77777777" w:rsidR="00352C44" w:rsidRDefault="00352C44">
    <w:pPr>
      <w:pStyle w:val="Nagwek"/>
    </w:pPr>
  </w:p>
  <w:p w14:paraId="1D083ED8" w14:textId="77777777" w:rsidR="00352C44" w:rsidRDefault="00352C44">
    <w:pPr>
      <w:pStyle w:val="Nagwek"/>
    </w:pPr>
  </w:p>
  <w:p w14:paraId="605FA787" w14:textId="77777777" w:rsidR="00352C44" w:rsidRDefault="00352C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95pt;height:124.85pt;visibility:visible;mso-wrap-style:square" o:bullet="t">
        <v:imagedata r:id="rId1" o:title=""/>
      </v:shape>
    </w:pict>
  </w:numPicBullet>
  <w:numPicBullet w:numPicBulletId="1">
    <w:pict>
      <v:shape id="_x0000_i1029" type="#_x0000_t75" style="width:124.35pt;height:124.85pt;visibility:visible;mso-wrap-style:square" o:bullet="t">
        <v:imagedata r:id="rId2" o:title=""/>
      </v:shape>
    </w:pict>
  </w:numPicBullet>
  <w:abstractNum w:abstractNumId="0" w15:restartNumberingAfterBreak="0">
    <w:nsid w:val="07FB69B7"/>
    <w:multiLevelType w:val="hybridMultilevel"/>
    <w:tmpl w:val="A1221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814555"/>
    <w:multiLevelType w:val="hybridMultilevel"/>
    <w:tmpl w:val="183E75B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D93625"/>
    <w:multiLevelType w:val="hybridMultilevel"/>
    <w:tmpl w:val="64129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F332C"/>
    <w:multiLevelType w:val="hybridMultilevel"/>
    <w:tmpl w:val="9670BE8C"/>
    <w:lvl w:ilvl="0" w:tplc="B218E378">
      <w:start w:val="1"/>
      <w:numFmt w:val="bullet"/>
      <w:lvlText w:val=""/>
      <w:lvlPicBulletId w:val="1"/>
      <w:lvlJc w:val="left"/>
      <w:pPr>
        <w:tabs>
          <w:tab w:val="num" w:pos="720"/>
        </w:tabs>
        <w:ind w:left="720" w:hanging="360"/>
      </w:pPr>
      <w:rPr>
        <w:rFonts w:ascii="Symbol" w:hAnsi="Symbol" w:hint="default"/>
      </w:rPr>
    </w:lvl>
    <w:lvl w:ilvl="1" w:tplc="294E243E" w:tentative="1">
      <w:start w:val="1"/>
      <w:numFmt w:val="bullet"/>
      <w:lvlText w:val=""/>
      <w:lvlJc w:val="left"/>
      <w:pPr>
        <w:tabs>
          <w:tab w:val="num" w:pos="1440"/>
        </w:tabs>
        <w:ind w:left="1440" w:hanging="360"/>
      </w:pPr>
      <w:rPr>
        <w:rFonts w:ascii="Symbol" w:hAnsi="Symbol" w:hint="default"/>
      </w:rPr>
    </w:lvl>
    <w:lvl w:ilvl="2" w:tplc="DA1CF354" w:tentative="1">
      <w:start w:val="1"/>
      <w:numFmt w:val="bullet"/>
      <w:lvlText w:val=""/>
      <w:lvlJc w:val="left"/>
      <w:pPr>
        <w:tabs>
          <w:tab w:val="num" w:pos="2160"/>
        </w:tabs>
        <w:ind w:left="2160" w:hanging="360"/>
      </w:pPr>
      <w:rPr>
        <w:rFonts w:ascii="Symbol" w:hAnsi="Symbol" w:hint="default"/>
      </w:rPr>
    </w:lvl>
    <w:lvl w:ilvl="3" w:tplc="987EB006" w:tentative="1">
      <w:start w:val="1"/>
      <w:numFmt w:val="bullet"/>
      <w:lvlText w:val=""/>
      <w:lvlJc w:val="left"/>
      <w:pPr>
        <w:tabs>
          <w:tab w:val="num" w:pos="2880"/>
        </w:tabs>
        <w:ind w:left="2880" w:hanging="360"/>
      </w:pPr>
      <w:rPr>
        <w:rFonts w:ascii="Symbol" w:hAnsi="Symbol" w:hint="default"/>
      </w:rPr>
    </w:lvl>
    <w:lvl w:ilvl="4" w:tplc="7D324380" w:tentative="1">
      <w:start w:val="1"/>
      <w:numFmt w:val="bullet"/>
      <w:lvlText w:val=""/>
      <w:lvlJc w:val="left"/>
      <w:pPr>
        <w:tabs>
          <w:tab w:val="num" w:pos="3600"/>
        </w:tabs>
        <w:ind w:left="3600" w:hanging="360"/>
      </w:pPr>
      <w:rPr>
        <w:rFonts w:ascii="Symbol" w:hAnsi="Symbol" w:hint="default"/>
      </w:rPr>
    </w:lvl>
    <w:lvl w:ilvl="5" w:tplc="FA4E130E" w:tentative="1">
      <w:start w:val="1"/>
      <w:numFmt w:val="bullet"/>
      <w:lvlText w:val=""/>
      <w:lvlJc w:val="left"/>
      <w:pPr>
        <w:tabs>
          <w:tab w:val="num" w:pos="4320"/>
        </w:tabs>
        <w:ind w:left="4320" w:hanging="360"/>
      </w:pPr>
      <w:rPr>
        <w:rFonts w:ascii="Symbol" w:hAnsi="Symbol" w:hint="default"/>
      </w:rPr>
    </w:lvl>
    <w:lvl w:ilvl="6" w:tplc="51E07B18" w:tentative="1">
      <w:start w:val="1"/>
      <w:numFmt w:val="bullet"/>
      <w:lvlText w:val=""/>
      <w:lvlJc w:val="left"/>
      <w:pPr>
        <w:tabs>
          <w:tab w:val="num" w:pos="5040"/>
        </w:tabs>
        <w:ind w:left="5040" w:hanging="360"/>
      </w:pPr>
      <w:rPr>
        <w:rFonts w:ascii="Symbol" w:hAnsi="Symbol" w:hint="default"/>
      </w:rPr>
    </w:lvl>
    <w:lvl w:ilvl="7" w:tplc="E522109A" w:tentative="1">
      <w:start w:val="1"/>
      <w:numFmt w:val="bullet"/>
      <w:lvlText w:val=""/>
      <w:lvlJc w:val="left"/>
      <w:pPr>
        <w:tabs>
          <w:tab w:val="num" w:pos="5760"/>
        </w:tabs>
        <w:ind w:left="5760" w:hanging="360"/>
      </w:pPr>
      <w:rPr>
        <w:rFonts w:ascii="Symbol" w:hAnsi="Symbol" w:hint="default"/>
      </w:rPr>
    </w:lvl>
    <w:lvl w:ilvl="8" w:tplc="5650A06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354ABB"/>
    <w:multiLevelType w:val="hybridMultilevel"/>
    <w:tmpl w:val="7624C0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66F3E"/>
    <w:multiLevelType w:val="multilevel"/>
    <w:tmpl w:val="209A0748"/>
    <w:lvl w:ilvl="0">
      <w:start w:val="1"/>
      <w:numFmt w:val="decimal"/>
      <w:lvlText w:val="%1."/>
      <w:lvlJc w:val="left"/>
      <w:pPr>
        <w:ind w:left="1637" w:hanging="360"/>
      </w:pPr>
      <w:rPr>
        <w:rFonts w:ascii="Fira Sans" w:hAnsi="Fira Sans" w:hint="default"/>
        <w:b w:val="0"/>
        <w:sz w:val="19"/>
      </w:rPr>
    </w:lvl>
    <w:lvl w:ilvl="1">
      <w:start w:val="1"/>
      <w:numFmt w:val="bullet"/>
      <w:pStyle w:val="Tekstwypunktowania"/>
      <w:lvlText w:val=""/>
      <w:lvlJc w:val="left"/>
      <w:pPr>
        <w:ind w:left="1146" w:hanging="720"/>
      </w:pPr>
      <w:rPr>
        <w:rFonts w:ascii="Symbol" w:hAnsi="Symbol" w:hint="default"/>
        <w:sz w:val="19"/>
        <w:szCs w:val="19"/>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7" w15:restartNumberingAfterBreak="0">
    <w:nsid w:val="2727435F"/>
    <w:multiLevelType w:val="hybridMultilevel"/>
    <w:tmpl w:val="CD5A7A2E"/>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6C5356"/>
    <w:multiLevelType w:val="multilevel"/>
    <w:tmpl w:val="C38C8C98"/>
    <w:lvl w:ilvl="0">
      <w:start w:val="104"/>
      <w:numFmt w:val="decimal"/>
      <w:lvlText w:val="%1."/>
      <w:lvlJc w:val="left"/>
      <w:pPr>
        <w:ind w:left="1637" w:hanging="360"/>
      </w:pPr>
      <w:rPr>
        <w:rFonts w:ascii="Fira Sans" w:hAnsi="Fira Sans" w:hint="default"/>
        <w:b w:val="0"/>
        <w:sz w:val="19"/>
      </w:rPr>
    </w:lvl>
    <w:lvl w:ilvl="1">
      <w:start w:val="1"/>
      <w:numFmt w:val="bullet"/>
      <w:lvlText w:val=""/>
      <w:lvlJc w:val="left"/>
      <w:pPr>
        <w:ind w:left="1146" w:hanging="720"/>
      </w:pPr>
      <w:rPr>
        <w:rFonts w:ascii="Symbol" w:hAnsi="Symbol" w:hint="default"/>
        <w:sz w:val="19"/>
        <w:szCs w:val="19"/>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10" w15:restartNumberingAfterBreak="0">
    <w:nsid w:val="3CF54088"/>
    <w:multiLevelType w:val="hybridMultilevel"/>
    <w:tmpl w:val="EBD04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B968AE"/>
    <w:multiLevelType w:val="hybridMultilevel"/>
    <w:tmpl w:val="40B03494"/>
    <w:lvl w:ilvl="0" w:tplc="0415000D">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2" w15:restartNumberingAfterBreak="0">
    <w:nsid w:val="5B906DC5"/>
    <w:multiLevelType w:val="hybridMultilevel"/>
    <w:tmpl w:val="00E83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10612B"/>
    <w:multiLevelType w:val="hybridMultilevel"/>
    <w:tmpl w:val="068474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2B6579"/>
    <w:multiLevelType w:val="hybridMultilevel"/>
    <w:tmpl w:val="E77C03C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15:restartNumberingAfterBreak="0">
    <w:nsid w:val="694C57CA"/>
    <w:multiLevelType w:val="hybridMultilevel"/>
    <w:tmpl w:val="DAFEBE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CD446B"/>
    <w:multiLevelType w:val="hybridMultilevel"/>
    <w:tmpl w:val="F2BEFC5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15:restartNumberingAfterBreak="0">
    <w:nsid w:val="7E991AB8"/>
    <w:multiLevelType w:val="hybridMultilevel"/>
    <w:tmpl w:val="899A49C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8"/>
  </w:num>
  <w:num w:numId="2">
    <w:abstractNumId w:val="2"/>
  </w:num>
  <w:num w:numId="3">
    <w:abstractNumId w:val="4"/>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0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10"/>
  </w:num>
  <w:num w:numId="9">
    <w:abstractNumId w:val="14"/>
  </w:num>
  <w:num w:numId="10">
    <w:abstractNumId w:val="7"/>
  </w:num>
  <w:num w:numId="11">
    <w:abstractNumId w:val="0"/>
  </w:num>
  <w:num w:numId="12">
    <w:abstractNumId w:val="11"/>
  </w:num>
  <w:num w:numId="13">
    <w:abstractNumId w:val="13"/>
  </w:num>
  <w:num w:numId="14">
    <w:abstractNumId w:val="15"/>
  </w:num>
  <w:num w:numId="15">
    <w:abstractNumId w:val="16"/>
  </w:num>
  <w:num w:numId="16">
    <w:abstractNumId w:val="17"/>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trackRevisions/>
  <w:documentProtection w:edit="trackedChanges" w:enforcement="0"/>
  <w:defaultTabStop w:val="709"/>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87"/>
    <w:rsid w:val="00001079"/>
    <w:rsid w:val="00001312"/>
    <w:rsid w:val="00001965"/>
    <w:rsid w:val="00001C5B"/>
    <w:rsid w:val="00002397"/>
    <w:rsid w:val="00003437"/>
    <w:rsid w:val="000039D9"/>
    <w:rsid w:val="00004776"/>
    <w:rsid w:val="000047AB"/>
    <w:rsid w:val="00004B7B"/>
    <w:rsid w:val="00004F8C"/>
    <w:rsid w:val="00005312"/>
    <w:rsid w:val="00005E55"/>
    <w:rsid w:val="00006256"/>
    <w:rsid w:val="0000709F"/>
    <w:rsid w:val="000108B8"/>
    <w:rsid w:val="000112CC"/>
    <w:rsid w:val="0001158C"/>
    <w:rsid w:val="0001187A"/>
    <w:rsid w:val="000126C1"/>
    <w:rsid w:val="00012DB5"/>
    <w:rsid w:val="00012FFA"/>
    <w:rsid w:val="0001372E"/>
    <w:rsid w:val="00013F2B"/>
    <w:rsid w:val="00014AAF"/>
    <w:rsid w:val="000152F5"/>
    <w:rsid w:val="000162CD"/>
    <w:rsid w:val="00017101"/>
    <w:rsid w:val="00020141"/>
    <w:rsid w:val="0002068A"/>
    <w:rsid w:val="000219C0"/>
    <w:rsid w:val="00021BB3"/>
    <w:rsid w:val="00022721"/>
    <w:rsid w:val="00022794"/>
    <w:rsid w:val="00022F84"/>
    <w:rsid w:val="00023149"/>
    <w:rsid w:val="0002330C"/>
    <w:rsid w:val="0002364D"/>
    <w:rsid w:val="00023C3D"/>
    <w:rsid w:val="00024079"/>
    <w:rsid w:val="0002415C"/>
    <w:rsid w:val="000245D8"/>
    <w:rsid w:val="00024722"/>
    <w:rsid w:val="00025184"/>
    <w:rsid w:val="00025540"/>
    <w:rsid w:val="000256E6"/>
    <w:rsid w:val="000257D6"/>
    <w:rsid w:val="000260E5"/>
    <w:rsid w:val="000269AA"/>
    <w:rsid w:val="00026DBC"/>
    <w:rsid w:val="0002785B"/>
    <w:rsid w:val="00030267"/>
    <w:rsid w:val="0003183F"/>
    <w:rsid w:val="00031C1A"/>
    <w:rsid w:val="000321F9"/>
    <w:rsid w:val="00032359"/>
    <w:rsid w:val="00032A27"/>
    <w:rsid w:val="00032BAB"/>
    <w:rsid w:val="00032DF1"/>
    <w:rsid w:val="00032E85"/>
    <w:rsid w:val="00033D90"/>
    <w:rsid w:val="0003425E"/>
    <w:rsid w:val="00034303"/>
    <w:rsid w:val="00034B35"/>
    <w:rsid w:val="00035E77"/>
    <w:rsid w:val="00036009"/>
    <w:rsid w:val="00036A0B"/>
    <w:rsid w:val="00040FC7"/>
    <w:rsid w:val="000422A6"/>
    <w:rsid w:val="00042F82"/>
    <w:rsid w:val="000436E6"/>
    <w:rsid w:val="00043D6D"/>
    <w:rsid w:val="0004582E"/>
    <w:rsid w:val="00045E5C"/>
    <w:rsid w:val="000462F6"/>
    <w:rsid w:val="000470AA"/>
    <w:rsid w:val="00050775"/>
    <w:rsid w:val="0005078B"/>
    <w:rsid w:val="000508D8"/>
    <w:rsid w:val="0005146B"/>
    <w:rsid w:val="000518AC"/>
    <w:rsid w:val="00052C14"/>
    <w:rsid w:val="00053422"/>
    <w:rsid w:val="00053B2E"/>
    <w:rsid w:val="00055103"/>
    <w:rsid w:val="00055DD1"/>
    <w:rsid w:val="0005623E"/>
    <w:rsid w:val="00057CA1"/>
    <w:rsid w:val="0006033B"/>
    <w:rsid w:val="00061059"/>
    <w:rsid w:val="00061150"/>
    <w:rsid w:val="00061467"/>
    <w:rsid w:val="00061A4B"/>
    <w:rsid w:val="000622CE"/>
    <w:rsid w:val="00063066"/>
    <w:rsid w:val="000647A9"/>
    <w:rsid w:val="00064C0A"/>
    <w:rsid w:val="00064FB1"/>
    <w:rsid w:val="000652DC"/>
    <w:rsid w:val="00065F6F"/>
    <w:rsid w:val="000660D6"/>
    <w:rsid w:val="00066297"/>
    <w:rsid w:val="000662E2"/>
    <w:rsid w:val="00066883"/>
    <w:rsid w:val="00066946"/>
    <w:rsid w:val="00067892"/>
    <w:rsid w:val="00070039"/>
    <w:rsid w:val="00070561"/>
    <w:rsid w:val="000708BE"/>
    <w:rsid w:val="00070E64"/>
    <w:rsid w:val="0007124A"/>
    <w:rsid w:val="00071758"/>
    <w:rsid w:val="00071B39"/>
    <w:rsid w:val="00071BE7"/>
    <w:rsid w:val="00072658"/>
    <w:rsid w:val="0007294E"/>
    <w:rsid w:val="00072989"/>
    <w:rsid w:val="00074116"/>
    <w:rsid w:val="0007497D"/>
    <w:rsid w:val="00074CF4"/>
    <w:rsid w:val="00074DD8"/>
    <w:rsid w:val="00074FE9"/>
    <w:rsid w:val="00075635"/>
    <w:rsid w:val="00075759"/>
    <w:rsid w:val="000758F8"/>
    <w:rsid w:val="00075E93"/>
    <w:rsid w:val="00076435"/>
    <w:rsid w:val="000765B1"/>
    <w:rsid w:val="00077344"/>
    <w:rsid w:val="00077CB6"/>
    <w:rsid w:val="00077CE9"/>
    <w:rsid w:val="00077D8F"/>
    <w:rsid w:val="000806F7"/>
    <w:rsid w:val="00080B70"/>
    <w:rsid w:val="000835BE"/>
    <w:rsid w:val="0008392C"/>
    <w:rsid w:val="00083A97"/>
    <w:rsid w:val="00083CCC"/>
    <w:rsid w:val="00083E53"/>
    <w:rsid w:val="00084120"/>
    <w:rsid w:val="00084A24"/>
    <w:rsid w:val="00084B97"/>
    <w:rsid w:val="00085276"/>
    <w:rsid w:val="0008564F"/>
    <w:rsid w:val="000858EC"/>
    <w:rsid w:val="000860F1"/>
    <w:rsid w:val="00086438"/>
    <w:rsid w:val="00087835"/>
    <w:rsid w:val="0009015B"/>
    <w:rsid w:val="00090630"/>
    <w:rsid w:val="00091928"/>
    <w:rsid w:val="00091EAF"/>
    <w:rsid w:val="0009218B"/>
    <w:rsid w:val="00093281"/>
    <w:rsid w:val="000941C8"/>
    <w:rsid w:val="00094BA6"/>
    <w:rsid w:val="00095411"/>
    <w:rsid w:val="00095A5D"/>
    <w:rsid w:val="0009688C"/>
    <w:rsid w:val="00096A94"/>
    <w:rsid w:val="00096D7C"/>
    <w:rsid w:val="00096EBF"/>
    <w:rsid w:val="00097668"/>
    <w:rsid w:val="00097840"/>
    <w:rsid w:val="00097C78"/>
    <w:rsid w:val="00097E6F"/>
    <w:rsid w:val="000A083D"/>
    <w:rsid w:val="000A11AD"/>
    <w:rsid w:val="000A1550"/>
    <w:rsid w:val="000A16C1"/>
    <w:rsid w:val="000A176C"/>
    <w:rsid w:val="000A2EDC"/>
    <w:rsid w:val="000A4DCD"/>
    <w:rsid w:val="000A5BD9"/>
    <w:rsid w:val="000A6D25"/>
    <w:rsid w:val="000B0727"/>
    <w:rsid w:val="000B12D1"/>
    <w:rsid w:val="000B17E3"/>
    <w:rsid w:val="000B1979"/>
    <w:rsid w:val="000B297D"/>
    <w:rsid w:val="000B353A"/>
    <w:rsid w:val="000B36A3"/>
    <w:rsid w:val="000B5D1A"/>
    <w:rsid w:val="000B6C5E"/>
    <w:rsid w:val="000C03EE"/>
    <w:rsid w:val="000C06BE"/>
    <w:rsid w:val="000C0894"/>
    <w:rsid w:val="000C135D"/>
    <w:rsid w:val="000C13D4"/>
    <w:rsid w:val="000C18C7"/>
    <w:rsid w:val="000C1FEE"/>
    <w:rsid w:val="000C3716"/>
    <w:rsid w:val="000C3F6E"/>
    <w:rsid w:val="000C4DE7"/>
    <w:rsid w:val="000C4E31"/>
    <w:rsid w:val="000C638D"/>
    <w:rsid w:val="000C64BF"/>
    <w:rsid w:val="000C65E9"/>
    <w:rsid w:val="000C68D1"/>
    <w:rsid w:val="000C69BB"/>
    <w:rsid w:val="000C709F"/>
    <w:rsid w:val="000C7CE7"/>
    <w:rsid w:val="000D070B"/>
    <w:rsid w:val="000D0C68"/>
    <w:rsid w:val="000D0CDD"/>
    <w:rsid w:val="000D0FDD"/>
    <w:rsid w:val="000D1169"/>
    <w:rsid w:val="000D11FB"/>
    <w:rsid w:val="000D1616"/>
    <w:rsid w:val="000D1B3A"/>
    <w:rsid w:val="000D1D43"/>
    <w:rsid w:val="000D225C"/>
    <w:rsid w:val="000D2299"/>
    <w:rsid w:val="000D23B7"/>
    <w:rsid w:val="000D2A5C"/>
    <w:rsid w:val="000D2B5F"/>
    <w:rsid w:val="000D2DE5"/>
    <w:rsid w:val="000D334B"/>
    <w:rsid w:val="000D3509"/>
    <w:rsid w:val="000D39F0"/>
    <w:rsid w:val="000D48D8"/>
    <w:rsid w:val="000D50C9"/>
    <w:rsid w:val="000D5734"/>
    <w:rsid w:val="000D6476"/>
    <w:rsid w:val="000D699E"/>
    <w:rsid w:val="000D6A07"/>
    <w:rsid w:val="000D6B9D"/>
    <w:rsid w:val="000D6C60"/>
    <w:rsid w:val="000D72E5"/>
    <w:rsid w:val="000D7972"/>
    <w:rsid w:val="000D7EA4"/>
    <w:rsid w:val="000E0437"/>
    <w:rsid w:val="000E06E3"/>
    <w:rsid w:val="000E0918"/>
    <w:rsid w:val="000E0C07"/>
    <w:rsid w:val="000E2863"/>
    <w:rsid w:val="000E29C9"/>
    <w:rsid w:val="000E2B13"/>
    <w:rsid w:val="000E353A"/>
    <w:rsid w:val="000E3CEC"/>
    <w:rsid w:val="000E4FEA"/>
    <w:rsid w:val="000E61B3"/>
    <w:rsid w:val="000E6213"/>
    <w:rsid w:val="000E6720"/>
    <w:rsid w:val="000E6C11"/>
    <w:rsid w:val="000E79A9"/>
    <w:rsid w:val="000E7A73"/>
    <w:rsid w:val="000E7E60"/>
    <w:rsid w:val="000F065D"/>
    <w:rsid w:val="000F160D"/>
    <w:rsid w:val="000F1DA2"/>
    <w:rsid w:val="000F23BB"/>
    <w:rsid w:val="000F2CA6"/>
    <w:rsid w:val="000F2F67"/>
    <w:rsid w:val="000F31FF"/>
    <w:rsid w:val="000F34E3"/>
    <w:rsid w:val="000F35A7"/>
    <w:rsid w:val="000F3922"/>
    <w:rsid w:val="000F4AEE"/>
    <w:rsid w:val="000F5828"/>
    <w:rsid w:val="000F642A"/>
    <w:rsid w:val="000F6E28"/>
    <w:rsid w:val="000F7428"/>
    <w:rsid w:val="000F75EF"/>
    <w:rsid w:val="000F76A5"/>
    <w:rsid w:val="000F7A50"/>
    <w:rsid w:val="00100A56"/>
    <w:rsid w:val="00100DAE"/>
    <w:rsid w:val="00100EC6"/>
    <w:rsid w:val="00100ED5"/>
    <w:rsid w:val="00100F3F"/>
    <w:rsid w:val="001011C3"/>
    <w:rsid w:val="001011D7"/>
    <w:rsid w:val="00102485"/>
    <w:rsid w:val="001028F7"/>
    <w:rsid w:val="0010294C"/>
    <w:rsid w:val="00102D4C"/>
    <w:rsid w:val="001039E0"/>
    <w:rsid w:val="0010408A"/>
    <w:rsid w:val="0010480C"/>
    <w:rsid w:val="00104A06"/>
    <w:rsid w:val="00104C92"/>
    <w:rsid w:val="00104F2C"/>
    <w:rsid w:val="0010592B"/>
    <w:rsid w:val="00105C6B"/>
    <w:rsid w:val="00106DA3"/>
    <w:rsid w:val="001070FF"/>
    <w:rsid w:val="00110214"/>
    <w:rsid w:val="001102E8"/>
    <w:rsid w:val="001104B2"/>
    <w:rsid w:val="00110D87"/>
    <w:rsid w:val="00111ED2"/>
    <w:rsid w:val="00112399"/>
    <w:rsid w:val="00112FD9"/>
    <w:rsid w:val="00113217"/>
    <w:rsid w:val="0011409E"/>
    <w:rsid w:val="0011456C"/>
    <w:rsid w:val="00114DB9"/>
    <w:rsid w:val="001152B3"/>
    <w:rsid w:val="00116087"/>
    <w:rsid w:val="001165A1"/>
    <w:rsid w:val="00117711"/>
    <w:rsid w:val="001178D2"/>
    <w:rsid w:val="00120493"/>
    <w:rsid w:val="00121635"/>
    <w:rsid w:val="001216C4"/>
    <w:rsid w:val="0012189E"/>
    <w:rsid w:val="001224E2"/>
    <w:rsid w:val="00122595"/>
    <w:rsid w:val="001227CC"/>
    <w:rsid w:val="00122EAC"/>
    <w:rsid w:val="00122FF4"/>
    <w:rsid w:val="00123B77"/>
    <w:rsid w:val="0012497A"/>
    <w:rsid w:val="0012545F"/>
    <w:rsid w:val="00125D28"/>
    <w:rsid w:val="00126349"/>
    <w:rsid w:val="00126841"/>
    <w:rsid w:val="00126DC3"/>
    <w:rsid w:val="00126E49"/>
    <w:rsid w:val="00127E61"/>
    <w:rsid w:val="00127FF4"/>
    <w:rsid w:val="00130296"/>
    <w:rsid w:val="00130938"/>
    <w:rsid w:val="00131309"/>
    <w:rsid w:val="001315D6"/>
    <w:rsid w:val="00131C7F"/>
    <w:rsid w:val="00132541"/>
    <w:rsid w:val="001333D0"/>
    <w:rsid w:val="00134145"/>
    <w:rsid w:val="00134699"/>
    <w:rsid w:val="00135F4B"/>
    <w:rsid w:val="00136736"/>
    <w:rsid w:val="00136740"/>
    <w:rsid w:val="00136D67"/>
    <w:rsid w:val="001407B4"/>
    <w:rsid w:val="00140D81"/>
    <w:rsid w:val="00141853"/>
    <w:rsid w:val="00141B2D"/>
    <w:rsid w:val="00142305"/>
    <w:rsid w:val="001423B6"/>
    <w:rsid w:val="0014283A"/>
    <w:rsid w:val="00142BC9"/>
    <w:rsid w:val="00143008"/>
    <w:rsid w:val="00143641"/>
    <w:rsid w:val="0014438E"/>
    <w:rsid w:val="001446BB"/>
    <w:rsid w:val="001448A7"/>
    <w:rsid w:val="00144CD1"/>
    <w:rsid w:val="00144D09"/>
    <w:rsid w:val="00145400"/>
    <w:rsid w:val="00145858"/>
    <w:rsid w:val="001460A2"/>
    <w:rsid w:val="00146621"/>
    <w:rsid w:val="00147A33"/>
    <w:rsid w:val="00147C13"/>
    <w:rsid w:val="00147C37"/>
    <w:rsid w:val="00150AEB"/>
    <w:rsid w:val="00150C3E"/>
    <w:rsid w:val="00150DF2"/>
    <w:rsid w:val="00150E64"/>
    <w:rsid w:val="00151AC7"/>
    <w:rsid w:val="001525E9"/>
    <w:rsid w:val="00152778"/>
    <w:rsid w:val="00152F95"/>
    <w:rsid w:val="00154433"/>
    <w:rsid w:val="00154B5C"/>
    <w:rsid w:val="00154BCE"/>
    <w:rsid w:val="001554DC"/>
    <w:rsid w:val="0015567E"/>
    <w:rsid w:val="00155815"/>
    <w:rsid w:val="00155865"/>
    <w:rsid w:val="00155A1E"/>
    <w:rsid w:val="00156762"/>
    <w:rsid w:val="00156DB8"/>
    <w:rsid w:val="001574CF"/>
    <w:rsid w:val="001576DE"/>
    <w:rsid w:val="001579D1"/>
    <w:rsid w:val="00157EDE"/>
    <w:rsid w:val="001617E3"/>
    <w:rsid w:val="00162325"/>
    <w:rsid w:val="001623D6"/>
    <w:rsid w:val="00162DB3"/>
    <w:rsid w:val="0016353C"/>
    <w:rsid w:val="00163EE7"/>
    <w:rsid w:val="001647BA"/>
    <w:rsid w:val="00165B19"/>
    <w:rsid w:val="00166072"/>
    <w:rsid w:val="001665BD"/>
    <w:rsid w:val="0016690F"/>
    <w:rsid w:val="00166D6C"/>
    <w:rsid w:val="0017036B"/>
    <w:rsid w:val="00170943"/>
    <w:rsid w:val="00170EA4"/>
    <w:rsid w:val="00171560"/>
    <w:rsid w:val="0017194B"/>
    <w:rsid w:val="00171F84"/>
    <w:rsid w:val="00172AD7"/>
    <w:rsid w:val="00172BD2"/>
    <w:rsid w:val="001730B4"/>
    <w:rsid w:val="0017322D"/>
    <w:rsid w:val="00173925"/>
    <w:rsid w:val="00173E06"/>
    <w:rsid w:val="00174052"/>
    <w:rsid w:val="00174164"/>
    <w:rsid w:val="00174980"/>
    <w:rsid w:val="0017509B"/>
    <w:rsid w:val="00175561"/>
    <w:rsid w:val="0017665D"/>
    <w:rsid w:val="00180FEE"/>
    <w:rsid w:val="00181141"/>
    <w:rsid w:val="0018120E"/>
    <w:rsid w:val="00181C55"/>
    <w:rsid w:val="0018215A"/>
    <w:rsid w:val="0018220D"/>
    <w:rsid w:val="00182473"/>
    <w:rsid w:val="00183DB6"/>
    <w:rsid w:val="0018457B"/>
    <w:rsid w:val="001848DD"/>
    <w:rsid w:val="00184DFE"/>
    <w:rsid w:val="001854A3"/>
    <w:rsid w:val="001855AA"/>
    <w:rsid w:val="00185797"/>
    <w:rsid w:val="0018727B"/>
    <w:rsid w:val="001874F8"/>
    <w:rsid w:val="001876E7"/>
    <w:rsid w:val="00187721"/>
    <w:rsid w:val="00187A09"/>
    <w:rsid w:val="00187B85"/>
    <w:rsid w:val="001914D1"/>
    <w:rsid w:val="00191684"/>
    <w:rsid w:val="0019261D"/>
    <w:rsid w:val="00192A2D"/>
    <w:rsid w:val="00192C97"/>
    <w:rsid w:val="0019370D"/>
    <w:rsid w:val="0019391D"/>
    <w:rsid w:val="00194121"/>
    <w:rsid w:val="00194678"/>
    <w:rsid w:val="001951DA"/>
    <w:rsid w:val="00195418"/>
    <w:rsid w:val="00195DDE"/>
    <w:rsid w:val="00195FE2"/>
    <w:rsid w:val="0019606E"/>
    <w:rsid w:val="00197BEC"/>
    <w:rsid w:val="001A0020"/>
    <w:rsid w:val="001A14C3"/>
    <w:rsid w:val="001A2826"/>
    <w:rsid w:val="001A320F"/>
    <w:rsid w:val="001A5481"/>
    <w:rsid w:val="001A55BF"/>
    <w:rsid w:val="001A7AA9"/>
    <w:rsid w:val="001A7D2E"/>
    <w:rsid w:val="001B0076"/>
    <w:rsid w:val="001B053D"/>
    <w:rsid w:val="001B11FA"/>
    <w:rsid w:val="001B1ACF"/>
    <w:rsid w:val="001B1E38"/>
    <w:rsid w:val="001B1F02"/>
    <w:rsid w:val="001B2539"/>
    <w:rsid w:val="001B2765"/>
    <w:rsid w:val="001B35DB"/>
    <w:rsid w:val="001B419B"/>
    <w:rsid w:val="001B58E8"/>
    <w:rsid w:val="001B5F27"/>
    <w:rsid w:val="001B5FE6"/>
    <w:rsid w:val="001B620B"/>
    <w:rsid w:val="001C07E3"/>
    <w:rsid w:val="001C0D47"/>
    <w:rsid w:val="001C0D96"/>
    <w:rsid w:val="001C0F98"/>
    <w:rsid w:val="001C1F42"/>
    <w:rsid w:val="001C2602"/>
    <w:rsid w:val="001C3209"/>
    <w:rsid w:val="001C3269"/>
    <w:rsid w:val="001C44F6"/>
    <w:rsid w:val="001C4772"/>
    <w:rsid w:val="001C5073"/>
    <w:rsid w:val="001C554B"/>
    <w:rsid w:val="001C5AD2"/>
    <w:rsid w:val="001C5F3E"/>
    <w:rsid w:val="001C6880"/>
    <w:rsid w:val="001C6A49"/>
    <w:rsid w:val="001C6AA2"/>
    <w:rsid w:val="001D17FF"/>
    <w:rsid w:val="001D19B6"/>
    <w:rsid w:val="001D1DB4"/>
    <w:rsid w:val="001D23F1"/>
    <w:rsid w:val="001D25F9"/>
    <w:rsid w:val="001D2CF5"/>
    <w:rsid w:val="001D2D09"/>
    <w:rsid w:val="001D451B"/>
    <w:rsid w:val="001D485B"/>
    <w:rsid w:val="001D496B"/>
    <w:rsid w:val="001D4C19"/>
    <w:rsid w:val="001D5F05"/>
    <w:rsid w:val="001D61ED"/>
    <w:rsid w:val="001D6226"/>
    <w:rsid w:val="001D6517"/>
    <w:rsid w:val="001D6C2F"/>
    <w:rsid w:val="001D78E6"/>
    <w:rsid w:val="001D7D8D"/>
    <w:rsid w:val="001E14E1"/>
    <w:rsid w:val="001E2752"/>
    <w:rsid w:val="001E2979"/>
    <w:rsid w:val="001E2A42"/>
    <w:rsid w:val="001E33E5"/>
    <w:rsid w:val="001E3983"/>
    <w:rsid w:val="001E3BF3"/>
    <w:rsid w:val="001E3DB1"/>
    <w:rsid w:val="001E40D5"/>
    <w:rsid w:val="001E45BB"/>
    <w:rsid w:val="001E5B2D"/>
    <w:rsid w:val="001E5B54"/>
    <w:rsid w:val="001E6852"/>
    <w:rsid w:val="001E6CF5"/>
    <w:rsid w:val="001E7D66"/>
    <w:rsid w:val="001F008C"/>
    <w:rsid w:val="001F10C7"/>
    <w:rsid w:val="001F1383"/>
    <w:rsid w:val="001F1C5D"/>
    <w:rsid w:val="001F209D"/>
    <w:rsid w:val="001F279C"/>
    <w:rsid w:val="001F2F26"/>
    <w:rsid w:val="001F3735"/>
    <w:rsid w:val="001F4146"/>
    <w:rsid w:val="001F417E"/>
    <w:rsid w:val="001F49DD"/>
    <w:rsid w:val="001F49E2"/>
    <w:rsid w:val="001F4E57"/>
    <w:rsid w:val="001F5BB2"/>
    <w:rsid w:val="001F5C6D"/>
    <w:rsid w:val="001F5C8D"/>
    <w:rsid w:val="001F6222"/>
    <w:rsid w:val="001F672C"/>
    <w:rsid w:val="001F6E28"/>
    <w:rsid w:val="001F7492"/>
    <w:rsid w:val="002003AF"/>
    <w:rsid w:val="002007C0"/>
    <w:rsid w:val="0020100A"/>
    <w:rsid w:val="0020156C"/>
    <w:rsid w:val="00202265"/>
    <w:rsid w:val="002024BB"/>
    <w:rsid w:val="002025FF"/>
    <w:rsid w:val="0020288C"/>
    <w:rsid w:val="00203FA4"/>
    <w:rsid w:val="0020455E"/>
    <w:rsid w:val="00205033"/>
    <w:rsid w:val="0020679C"/>
    <w:rsid w:val="00206933"/>
    <w:rsid w:val="00210C1B"/>
    <w:rsid w:val="00210EFD"/>
    <w:rsid w:val="00210F85"/>
    <w:rsid w:val="002127C5"/>
    <w:rsid w:val="0021315C"/>
    <w:rsid w:val="0021418F"/>
    <w:rsid w:val="00214203"/>
    <w:rsid w:val="0021481E"/>
    <w:rsid w:val="00214C1A"/>
    <w:rsid w:val="00215226"/>
    <w:rsid w:val="00215412"/>
    <w:rsid w:val="00215AC6"/>
    <w:rsid w:val="00215C14"/>
    <w:rsid w:val="00215CAB"/>
    <w:rsid w:val="00216634"/>
    <w:rsid w:val="00216DE1"/>
    <w:rsid w:val="00216DE2"/>
    <w:rsid w:val="002172E3"/>
    <w:rsid w:val="00217A41"/>
    <w:rsid w:val="00217B43"/>
    <w:rsid w:val="00217BF2"/>
    <w:rsid w:val="00217D84"/>
    <w:rsid w:val="00220B18"/>
    <w:rsid w:val="00221343"/>
    <w:rsid w:val="00221414"/>
    <w:rsid w:val="00221686"/>
    <w:rsid w:val="00221D5D"/>
    <w:rsid w:val="002220E4"/>
    <w:rsid w:val="00222549"/>
    <w:rsid w:val="00223D65"/>
    <w:rsid w:val="00223F1C"/>
    <w:rsid w:val="0022469F"/>
    <w:rsid w:val="002249D1"/>
    <w:rsid w:val="00225852"/>
    <w:rsid w:val="00225FB9"/>
    <w:rsid w:val="0022643B"/>
    <w:rsid w:val="002265BB"/>
    <w:rsid w:val="002269E7"/>
    <w:rsid w:val="0022762E"/>
    <w:rsid w:val="00227B3E"/>
    <w:rsid w:val="00227EC5"/>
    <w:rsid w:val="0023192D"/>
    <w:rsid w:val="002320EE"/>
    <w:rsid w:val="002327D4"/>
    <w:rsid w:val="00233081"/>
    <w:rsid w:val="00233A12"/>
    <w:rsid w:val="00234474"/>
    <w:rsid w:val="0023474E"/>
    <w:rsid w:val="00234A14"/>
    <w:rsid w:val="00235545"/>
    <w:rsid w:val="0023578F"/>
    <w:rsid w:val="00235E43"/>
    <w:rsid w:val="002362E6"/>
    <w:rsid w:val="00237BAE"/>
    <w:rsid w:val="0024068E"/>
    <w:rsid w:val="00240A14"/>
    <w:rsid w:val="00240DAB"/>
    <w:rsid w:val="00242C96"/>
    <w:rsid w:val="00242D31"/>
    <w:rsid w:val="002446F5"/>
    <w:rsid w:val="00244CF8"/>
    <w:rsid w:val="00244F4B"/>
    <w:rsid w:val="00245B47"/>
    <w:rsid w:val="00246A31"/>
    <w:rsid w:val="002479BC"/>
    <w:rsid w:val="00247AB1"/>
    <w:rsid w:val="00247D2B"/>
    <w:rsid w:val="0025023B"/>
    <w:rsid w:val="0025051C"/>
    <w:rsid w:val="0025067B"/>
    <w:rsid w:val="00250B45"/>
    <w:rsid w:val="00250C8A"/>
    <w:rsid w:val="002523BA"/>
    <w:rsid w:val="00252FFA"/>
    <w:rsid w:val="00253A0D"/>
    <w:rsid w:val="00253AD4"/>
    <w:rsid w:val="00254139"/>
    <w:rsid w:val="0025481E"/>
    <w:rsid w:val="00254AF5"/>
    <w:rsid w:val="00254C1B"/>
    <w:rsid w:val="00254E2B"/>
    <w:rsid w:val="00254EEE"/>
    <w:rsid w:val="0025596E"/>
    <w:rsid w:val="00255E96"/>
    <w:rsid w:val="00256A66"/>
    <w:rsid w:val="00257043"/>
    <w:rsid w:val="002574F9"/>
    <w:rsid w:val="00257931"/>
    <w:rsid w:val="00257BC7"/>
    <w:rsid w:val="00260333"/>
    <w:rsid w:val="00260874"/>
    <w:rsid w:val="0026102F"/>
    <w:rsid w:val="002612B2"/>
    <w:rsid w:val="00261938"/>
    <w:rsid w:val="00262345"/>
    <w:rsid w:val="002627B0"/>
    <w:rsid w:val="00262B61"/>
    <w:rsid w:val="00262CC6"/>
    <w:rsid w:val="00262DF1"/>
    <w:rsid w:val="00263592"/>
    <w:rsid w:val="00263A2B"/>
    <w:rsid w:val="00263CB0"/>
    <w:rsid w:val="00263CDA"/>
    <w:rsid w:val="00263E08"/>
    <w:rsid w:val="002640C2"/>
    <w:rsid w:val="00264F35"/>
    <w:rsid w:val="00265296"/>
    <w:rsid w:val="002653A4"/>
    <w:rsid w:val="00265AC0"/>
    <w:rsid w:val="00265CDC"/>
    <w:rsid w:val="002665FE"/>
    <w:rsid w:val="00266B87"/>
    <w:rsid w:val="00266C1C"/>
    <w:rsid w:val="00266F13"/>
    <w:rsid w:val="002708F9"/>
    <w:rsid w:val="00271018"/>
    <w:rsid w:val="00271094"/>
    <w:rsid w:val="0027138C"/>
    <w:rsid w:val="00271B2F"/>
    <w:rsid w:val="0027367C"/>
    <w:rsid w:val="0027374D"/>
    <w:rsid w:val="00274B2C"/>
    <w:rsid w:val="00275207"/>
    <w:rsid w:val="0027570E"/>
    <w:rsid w:val="00275DB0"/>
    <w:rsid w:val="00276055"/>
    <w:rsid w:val="00276811"/>
    <w:rsid w:val="00276A45"/>
    <w:rsid w:val="0027700B"/>
    <w:rsid w:val="002770D3"/>
    <w:rsid w:val="00277217"/>
    <w:rsid w:val="00280815"/>
    <w:rsid w:val="002811E6"/>
    <w:rsid w:val="002822FF"/>
    <w:rsid w:val="00282699"/>
    <w:rsid w:val="00282C42"/>
    <w:rsid w:val="002848AC"/>
    <w:rsid w:val="00284C08"/>
    <w:rsid w:val="00284D21"/>
    <w:rsid w:val="002863F6"/>
    <w:rsid w:val="00287166"/>
    <w:rsid w:val="0028724E"/>
    <w:rsid w:val="00291269"/>
    <w:rsid w:val="0029193A"/>
    <w:rsid w:val="002919DE"/>
    <w:rsid w:val="00291D7F"/>
    <w:rsid w:val="002926DF"/>
    <w:rsid w:val="00292E9A"/>
    <w:rsid w:val="00293598"/>
    <w:rsid w:val="00294445"/>
    <w:rsid w:val="00294A5B"/>
    <w:rsid w:val="00294F1F"/>
    <w:rsid w:val="00295877"/>
    <w:rsid w:val="002959BF"/>
    <w:rsid w:val="00296697"/>
    <w:rsid w:val="00296909"/>
    <w:rsid w:val="00296931"/>
    <w:rsid w:val="002979C7"/>
    <w:rsid w:val="00297B5A"/>
    <w:rsid w:val="00297BAB"/>
    <w:rsid w:val="00297EF2"/>
    <w:rsid w:val="002A0069"/>
    <w:rsid w:val="002A0D72"/>
    <w:rsid w:val="002A0E57"/>
    <w:rsid w:val="002A3EB0"/>
    <w:rsid w:val="002A4789"/>
    <w:rsid w:val="002A5644"/>
    <w:rsid w:val="002A5EFD"/>
    <w:rsid w:val="002A5F40"/>
    <w:rsid w:val="002A61A0"/>
    <w:rsid w:val="002A70DF"/>
    <w:rsid w:val="002A71D1"/>
    <w:rsid w:val="002B01F4"/>
    <w:rsid w:val="002B0472"/>
    <w:rsid w:val="002B07DE"/>
    <w:rsid w:val="002B18E2"/>
    <w:rsid w:val="002B1B24"/>
    <w:rsid w:val="002B2AA8"/>
    <w:rsid w:val="002B2C6B"/>
    <w:rsid w:val="002B3C4C"/>
    <w:rsid w:val="002B45BD"/>
    <w:rsid w:val="002B46EB"/>
    <w:rsid w:val="002B4D65"/>
    <w:rsid w:val="002B5FC5"/>
    <w:rsid w:val="002B616B"/>
    <w:rsid w:val="002B6B12"/>
    <w:rsid w:val="002B6B7B"/>
    <w:rsid w:val="002C033D"/>
    <w:rsid w:val="002C0B09"/>
    <w:rsid w:val="002C0C8A"/>
    <w:rsid w:val="002C1288"/>
    <w:rsid w:val="002C1905"/>
    <w:rsid w:val="002C1DF6"/>
    <w:rsid w:val="002C21F0"/>
    <w:rsid w:val="002C277A"/>
    <w:rsid w:val="002C34B5"/>
    <w:rsid w:val="002C3540"/>
    <w:rsid w:val="002C375D"/>
    <w:rsid w:val="002C483F"/>
    <w:rsid w:val="002C514B"/>
    <w:rsid w:val="002C56E7"/>
    <w:rsid w:val="002C5A25"/>
    <w:rsid w:val="002C5D28"/>
    <w:rsid w:val="002C5F5C"/>
    <w:rsid w:val="002C6395"/>
    <w:rsid w:val="002C643C"/>
    <w:rsid w:val="002D01DF"/>
    <w:rsid w:val="002D0FC5"/>
    <w:rsid w:val="002D12AB"/>
    <w:rsid w:val="002D173B"/>
    <w:rsid w:val="002D1B4B"/>
    <w:rsid w:val="002D247B"/>
    <w:rsid w:val="002D2D06"/>
    <w:rsid w:val="002D35F7"/>
    <w:rsid w:val="002D377D"/>
    <w:rsid w:val="002D4CA5"/>
    <w:rsid w:val="002D58CD"/>
    <w:rsid w:val="002D60BF"/>
    <w:rsid w:val="002D7305"/>
    <w:rsid w:val="002D7A94"/>
    <w:rsid w:val="002D7C6B"/>
    <w:rsid w:val="002D7DF9"/>
    <w:rsid w:val="002E24DD"/>
    <w:rsid w:val="002E26F9"/>
    <w:rsid w:val="002E3EB3"/>
    <w:rsid w:val="002E3F7C"/>
    <w:rsid w:val="002E4814"/>
    <w:rsid w:val="002E5D06"/>
    <w:rsid w:val="002E6140"/>
    <w:rsid w:val="002E65A8"/>
    <w:rsid w:val="002E6985"/>
    <w:rsid w:val="002E6ADB"/>
    <w:rsid w:val="002E6CD6"/>
    <w:rsid w:val="002E71B6"/>
    <w:rsid w:val="002E7473"/>
    <w:rsid w:val="002F0DB1"/>
    <w:rsid w:val="002F0DD1"/>
    <w:rsid w:val="002F140B"/>
    <w:rsid w:val="002F2458"/>
    <w:rsid w:val="002F332F"/>
    <w:rsid w:val="002F3365"/>
    <w:rsid w:val="002F35F6"/>
    <w:rsid w:val="002F3933"/>
    <w:rsid w:val="002F5C8E"/>
    <w:rsid w:val="002F61B5"/>
    <w:rsid w:val="002F77C8"/>
    <w:rsid w:val="0030056D"/>
    <w:rsid w:val="003007D5"/>
    <w:rsid w:val="00300D75"/>
    <w:rsid w:val="00302CA2"/>
    <w:rsid w:val="00304F22"/>
    <w:rsid w:val="00305489"/>
    <w:rsid w:val="003055C0"/>
    <w:rsid w:val="00305AA3"/>
    <w:rsid w:val="00305D1B"/>
    <w:rsid w:val="00305F4F"/>
    <w:rsid w:val="0030653E"/>
    <w:rsid w:val="00306C7C"/>
    <w:rsid w:val="00306CCE"/>
    <w:rsid w:val="00306D2C"/>
    <w:rsid w:val="0030711C"/>
    <w:rsid w:val="00307A31"/>
    <w:rsid w:val="00307B2D"/>
    <w:rsid w:val="00310ABE"/>
    <w:rsid w:val="00310B10"/>
    <w:rsid w:val="0031100B"/>
    <w:rsid w:val="003122EA"/>
    <w:rsid w:val="003140C2"/>
    <w:rsid w:val="003144BA"/>
    <w:rsid w:val="00314502"/>
    <w:rsid w:val="0031456B"/>
    <w:rsid w:val="00314F86"/>
    <w:rsid w:val="003150A0"/>
    <w:rsid w:val="00315964"/>
    <w:rsid w:val="00315B02"/>
    <w:rsid w:val="0031678E"/>
    <w:rsid w:val="00317F4D"/>
    <w:rsid w:val="00320227"/>
    <w:rsid w:val="00320A9B"/>
    <w:rsid w:val="00320EE2"/>
    <w:rsid w:val="00321696"/>
    <w:rsid w:val="00322843"/>
    <w:rsid w:val="00322EDD"/>
    <w:rsid w:val="00323B68"/>
    <w:rsid w:val="00324318"/>
    <w:rsid w:val="00324BB0"/>
    <w:rsid w:val="003251F4"/>
    <w:rsid w:val="00325D34"/>
    <w:rsid w:val="0032717D"/>
    <w:rsid w:val="00327482"/>
    <w:rsid w:val="0033029B"/>
    <w:rsid w:val="003309FA"/>
    <w:rsid w:val="00330B2F"/>
    <w:rsid w:val="00331DB3"/>
    <w:rsid w:val="003320EE"/>
    <w:rsid w:val="00332320"/>
    <w:rsid w:val="003326DF"/>
    <w:rsid w:val="00332A61"/>
    <w:rsid w:val="0033388E"/>
    <w:rsid w:val="00333ED8"/>
    <w:rsid w:val="00334C14"/>
    <w:rsid w:val="00334E56"/>
    <w:rsid w:val="003350EA"/>
    <w:rsid w:val="0033589E"/>
    <w:rsid w:val="00335F47"/>
    <w:rsid w:val="00337235"/>
    <w:rsid w:val="0033744F"/>
    <w:rsid w:val="00337BE6"/>
    <w:rsid w:val="00340543"/>
    <w:rsid w:val="00340D94"/>
    <w:rsid w:val="0034198E"/>
    <w:rsid w:val="0034276B"/>
    <w:rsid w:val="00343537"/>
    <w:rsid w:val="003438AE"/>
    <w:rsid w:val="00344A05"/>
    <w:rsid w:val="00344B4B"/>
    <w:rsid w:val="00344FD5"/>
    <w:rsid w:val="00345E3C"/>
    <w:rsid w:val="003470DD"/>
    <w:rsid w:val="00347206"/>
    <w:rsid w:val="00347D72"/>
    <w:rsid w:val="00350318"/>
    <w:rsid w:val="00350AF4"/>
    <w:rsid w:val="00352C44"/>
    <w:rsid w:val="00352CA8"/>
    <w:rsid w:val="003531DF"/>
    <w:rsid w:val="00353959"/>
    <w:rsid w:val="00353F45"/>
    <w:rsid w:val="00355E06"/>
    <w:rsid w:val="00356B66"/>
    <w:rsid w:val="0035717D"/>
    <w:rsid w:val="003571B3"/>
    <w:rsid w:val="00357570"/>
    <w:rsid w:val="00357611"/>
    <w:rsid w:val="003577F5"/>
    <w:rsid w:val="00357F75"/>
    <w:rsid w:val="003602A0"/>
    <w:rsid w:val="003610BD"/>
    <w:rsid w:val="00361B5A"/>
    <w:rsid w:val="00361D1A"/>
    <w:rsid w:val="0036432A"/>
    <w:rsid w:val="003643E6"/>
    <w:rsid w:val="00364AF9"/>
    <w:rsid w:val="00364C90"/>
    <w:rsid w:val="003659F5"/>
    <w:rsid w:val="00367237"/>
    <w:rsid w:val="00367326"/>
    <w:rsid w:val="00367BA9"/>
    <w:rsid w:val="0037016E"/>
    <w:rsid w:val="00370460"/>
    <w:rsid w:val="0037077F"/>
    <w:rsid w:val="00371D46"/>
    <w:rsid w:val="00372129"/>
    <w:rsid w:val="00372411"/>
    <w:rsid w:val="0037352E"/>
    <w:rsid w:val="0037357A"/>
    <w:rsid w:val="003735F2"/>
    <w:rsid w:val="00373882"/>
    <w:rsid w:val="00373E99"/>
    <w:rsid w:val="003758A4"/>
    <w:rsid w:val="00375DF5"/>
    <w:rsid w:val="003766B8"/>
    <w:rsid w:val="00376804"/>
    <w:rsid w:val="00376D4A"/>
    <w:rsid w:val="00376FBA"/>
    <w:rsid w:val="003804A3"/>
    <w:rsid w:val="00380BCB"/>
    <w:rsid w:val="00381363"/>
    <w:rsid w:val="00381891"/>
    <w:rsid w:val="0038220B"/>
    <w:rsid w:val="00383310"/>
    <w:rsid w:val="00383403"/>
    <w:rsid w:val="003843DB"/>
    <w:rsid w:val="00384863"/>
    <w:rsid w:val="00384A2B"/>
    <w:rsid w:val="00385BC9"/>
    <w:rsid w:val="00385E77"/>
    <w:rsid w:val="00386087"/>
    <w:rsid w:val="00386849"/>
    <w:rsid w:val="00386996"/>
    <w:rsid w:val="00386BFA"/>
    <w:rsid w:val="00387103"/>
    <w:rsid w:val="00387FC1"/>
    <w:rsid w:val="00390041"/>
    <w:rsid w:val="00393761"/>
    <w:rsid w:val="003948AB"/>
    <w:rsid w:val="00394E26"/>
    <w:rsid w:val="00394E5E"/>
    <w:rsid w:val="00395D7C"/>
    <w:rsid w:val="00396082"/>
    <w:rsid w:val="00396691"/>
    <w:rsid w:val="00397D18"/>
    <w:rsid w:val="003A0898"/>
    <w:rsid w:val="003A0FCC"/>
    <w:rsid w:val="003A10ED"/>
    <w:rsid w:val="003A11AA"/>
    <w:rsid w:val="003A17D8"/>
    <w:rsid w:val="003A1B36"/>
    <w:rsid w:val="003A1D54"/>
    <w:rsid w:val="003A262C"/>
    <w:rsid w:val="003A2BEE"/>
    <w:rsid w:val="003A3923"/>
    <w:rsid w:val="003A4B91"/>
    <w:rsid w:val="003A57A8"/>
    <w:rsid w:val="003A589A"/>
    <w:rsid w:val="003A66A2"/>
    <w:rsid w:val="003A6D52"/>
    <w:rsid w:val="003A7040"/>
    <w:rsid w:val="003A7528"/>
    <w:rsid w:val="003A7637"/>
    <w:rsid w:val="003A7638"/>
    <w:rsid w:val="003B02D5"/>
    <w:rsid w:val="003B080C"/>
    <w:rsid w:val="003B0FE6"/>
    <w:rsid w:val="003B1454"/>
    <w:rsid w:val="003B18B6"/>
    <w:rsid w:val="003B1A75"/>
    <w:rsid w:val="003B1B47"/>
    <w:rsid w:val="003B24FD"/>
    <w:rsid w:val="003B3C65"/>
    <w:rsid w:val="003B4FE1"/>
    <w:rsid w:val="003B733E"/>
    <w:rsid w:val="003B754B"/>
    <w:rsid w:val="003B787B"/>
    <w:rsid w:val="003C080A"/>
    <w:rsid w:val="003C0867"/>
    <w:rsid w:val="003C0C0E"/>
    <w:rsid w:val="003C161B"/>
    <w:rsid w:val="003C1B57"/>
    <w:rsid w:val="003C225B"/>
    <w:rsid w:val="003C27EA"/>
    <w:rsid w:val="003C392D"/>
    <w:rsid w:val="003C4276"/>
    <w:rsid w:val="003C57AF"/>
    <w:rsid w:val="003C59E0"/>
    <w:rsid w:val="003C6AAE"/>
    <w:rsid w:val="003C6C39"/>
    <w:rsid w:val="003C6C8D"/>
    <w:rsid w:val="003C71CC"/>
    <w:rsid w:val="003C7545"/>
    <w:rsid w:val="003D0B95"/>
    <w:rsid w:val="003D0E1E"/>
    <w:rsid w:val="003D1045"/>
    <w:rsid w:val="003D1923"/>
    <w:rsid w:val="003D2656"/>
    <w:rsid w:val="003D3660"/>
    <w:rsid w:val="003D3E0A"/>
    <w:rsid w:val="003D3F99"/>
    <w:rsid w:val="003D4E6D"/>
    <w:rsid w:val="003D4F95"/>
    <w:rsid w:val="003D5A4E"/>
    <w:rsid w:val="003D5F42"/>
    <w:rsid w:val="003D60A9"/>
    <w:rsid w:val="003D6862"/>
    <w:rsid w:val="003D7F3D"/>
    <w:rsid w:val="003E026A"/>
    <w:rsid w:val="003E09BC"/>
    <w:rsid w:val="003E16FD"/>
    <w:rsid w:val="003E2080"/>
    <w:rsid w:val="003E20B3"/>
    <w:rsid w:val="003E212F"/>
    <w:rsid w:val="003E217F"/>
    <w:rsid w:val="003E2470"/>
    <w:rsid w:val="003E2475"/>
    <w:rsid w:val="003E253F"/>
    <w:rsid w:val="003E30F9"/>
    <w:rsid w:val="003E38C9"/>
    <w:rsid w:val="003E3F64"/>
    <w:rsid w:val="003E4175"/>
    <w:rsid w:val="003E4316"/>
    <w:rsid w:val="003E4367"/>
    <w:rsid w:val="003E44FF"/>
    <w:rsid w:val="003E4E86"/>
    <w:rsid w:val="003E580A"/>
    <w:rsid w:val="003E580E"/>
    <w:rsid w:val="003E7B30"/>
    <w:rsid w:val="003E7E46"/>
    <w:rsid w:val="003F01F2"/>
    <w:rsid w:val="003F0355"/>
    <w:rsid w:val="003F0643"/>
    <w:rsid w:val="003F0E56"/>
    <w:rsid w:val="003F1EC1"/>
    <w:rsid w:val="003F1FD0"/>
    <w:rsid w:val="003F23AC"/>
    <w:rsid w:val="003F3B9E"/>
    <w:rsid w:val="003F4026"/>
    <w:rsid w:val="003F4604"/>
    <w:rsid w:val="003F4C97"/>
    <w:rsid w:val="003F4DD5"/>
    <w:rsid w:val="003F5F64"/>
    <w:rsid w:val="003F65C7"/>
    <w:rsid w:val="003F666D"/>
    <w:rsid w:val="003F7FE6"/>
    <w:rsid w:val="00400193"/>
    <w:rsid w:val="004005C9"/>
    <w:rsid w:val="004008EB"/>
    <w:rsid w:val="00401150"/>
    <w:rsid w:val="00402574"/>
    <w:rsid w:val="00402DF3"/>
    <w:rsid w:val="00405E74"/>
    <w:rsid w:val="00406880"/>
    <w:rsid w:val="004071FC"/>
    <w:rsid w:val="0041013A"/>
    <w:rsid w:val="00410A9A"/>
    <w:rsid w:val="00411A76"/>
    <w:rsid w:val="00413098"/>
    <w:rsid w:val="0041312D"/>
    <w:rsid w:val="004136C7"/>
    <w:rsid w:val="00413C47"/>
    <w:rsid w:val="00413DD8"/>
    <w:rsid w:val="004141B3"/>
    <w:rsid w:val="00414C88"/>
    <w:rsid w:val="00414D3E"/>
    <w:rsid w:val="00414F8D"/>
    <w:rsid w:val="00415C61"/>
    <w:rsid w:val="00416225"/>
    <w:rsid w:val="00416598"/>
    <w:rsid w:val="00416680"/>
    <w:rsid w:val="00416A89"/>
    <w:rsid w:val="00416EAF"/>
    <w:rsid w:val="0041784E"/>
    <w:rsid w:val="00421026"/>
    <w:rsid w:val="004212E7"/>
    <w:rsid w:val="004213AE"/>
    <w:rsid w:val="004217CF"/>
    <w:rsid w:val="0042329A"/>
    <w:rsid w:val="00423369"/>
    <w:rsid w:val="00423C88"/>
    <w:rsid w:val="004243BE"/>
    <w:rsid w:val="0042446D"/>
    <w:rsid w:val="0042468A"/>
    <w:rsid w:val="004252FE"/>
    <w:rsid w:val="004254A5"/>
    <w:rsid w:val="004256BB"/>
    <w:rsid w:val="00425743"/>
    <w:rsid w:val="00425977"/>
    <w:rsid w:val="00425A8A"/>
    <w:rsid w:val="00427144"/>
    <w:rsid w:val="004273E3"/>
    <w:rsid w:val="0042768F"/>
    <w:rsid w:val="0042795F"/>
    <w:rsid w:val="00427BF8"/>
    <w:rsid w:val="00427EBB"/>
    <w:rsid w:val="0043019D"/>
    <w:rsid w:val="00430A5C"/>
    <w:rsid w:val="00430DBB"/>
    <w:rsid w:val="00431470"/>
    <w:rsid w:val="0043177F"/>
    <w:rsid w:val="00431C02"/>
    <w:rsid w:val="0043274B"/>
    <w:rsid w:val="00432854"/>
    <w:rsid w:val="0043289B"/>
    <w:rsid w:val="00432C41"/>
    <w:rsid w:val="004335F8"/>
    <w:rsid w:val="00433715"/>
    <w:rsid w:val="00434A6A"/>
    <w:rsid w:val="00434F14"/>
    <w:rsid w:val="00435070"/>
    <w:rsid w:val="004352C1"/>
    <w:rsid w:val="0043537D"/>
    <w:rsid w:val="00435E81"/>
    <w:rsid w:val="00437395"/>
    <w:rsid w:val="00440489"/>
    <w:rsid w:val="00440802"/>
    <w:rsid w:val="00440FFE"/>
    <w:rsid w:val="00441510"/>
    <w:rsid w:val="0044184D"/>
    <w:rsid w:val="00442E36"/>
    <w:rsid w:val="00443152"/>
    <w:rsid w:val="00443CBD"/>
    <w:rsid w:val="00444484"/>
    <w:rsid w:val="004444E0"/>
    <w:rsid w:val="00445047"/>
    <w:rsid w:val="00445247"/>
    <w:rsid w:val="004459FF"/>
    <w:rsid w:val="00445C52"/>
    <w:rsid w:val="00446749"/>
    <w:rsid w:val="00446D0A"/>
    <w:rsid w:val="004475AA"/>
    <w:rsid w:val="00447C4D"/>
    <w:rsid w:val="00450CF0"/>
    <w:rsid w:val="00450EB1"/>
    <w:rsid w:val="00451E0E"/>
    <w:rsid w:val="004521A5"/>
    <w:rsid w:val="0045260C"/>
    <w:rsid w:val="00453A8F"/>
    <w:rsid w:val="00453EB7"/>
    <w:rsid w:val="00454820"/>
    <w:rsid w:val="00457233"/>
    <w:rsid w:val="00457FD1"/>
    <w:rsid w:val="0046119D"/>
    <w:rsid w:val="004612C4"/>
    <w:rsid w:val="0046143C"/>
    <w:rsid w:val="00461F77"/>
    <w:rsid w:val="004622AF"/>
    <w:rsid w:val="0046230B"/>
    <w:rsid w:val="0046233B"/>
    <w:rsid w:val="004625D2"/>
    <w:rsid w:val="00462987"/>
    <w:rsid w:val="00462E2B"/>
    <w:rsid w:val="00463E39"/>
    <w:rsid w:val="00463E78"/>
    <w:rsid w:val="00464497"/>
    <w:rsid w:val="00464962"/>
    <w:rsid w:val="00464ABF"/>
    <w:rsid w:val="004655A9"/>
    <w:rsid w:val="004657FC"/>
    <w:rsid w:val="004661EE"/>
    <w:rsid w:val="004668A0"/>
    <w:rsid w:val="00466D0A"/>
    <w:rsid w:val="00467807"/>
    <w:rsid w:val="0046790F"/>
    <w:rsid w:val="00471894"/>
    <w:rsid w:val="004727F9"/>
    <w:rsid w:val="00473011"/>
    <w:rsid w:val="00473111"/>
    <w:rsid w:val="004733F6"/>
    <w:rsid w:val="00473850"/>
    <w:rsid w:val="004738CF"/>
    <w:rsid w:val="00474E69"/>
    <w:rsid w:val="00475F4E"/>
    <w:rsid w:val="00476101"/>
    <w:rsid w:val="004761BE"/>
    <w:rsid w:val="004769A4"/>
    <w:rsid w:val="00476AD4"/>
    <w:rsid w:val="004805D1"/>
    <w:rsid w:val="00480A0E"/>
    <w:rsid w:val="00480ABA"/>
    <w:rsid w:val="00480B57"/>
    <w:rsid w:val="00481426"/>
    <w:rsid w:val="00481E63"/>
    <w:rsid w:val="00482631"/>
    <w:rsid w:val="00482809"/>
    <w:rsid w:val="004836EF"/>
    <w:rsid w:val="0048374B"/>
    <w:rsid w:val="00483E9F"/>
    <w:rsid w:val="00483F0B"/>
    <w:rsid w:val="00484110"/>
    <w:rsid w:val="00484E0C"/>
    <w:rsid w:val="00485230"/>
    <w:rsid w:val="00485991"/>
    <w:rsid w:val="00485A2C"/>
    <w:rsid w:val="004866B6"/>
    <w:rsid w:val="0048678B"/>
    <w:rsid w:val="00487267"/>
    <w:rsid w:val="004873E4"/>
    <w:rsid w:val="00487F8F"/>
    <w:rsid w:val="004904D9"/>
    <w:rsid w:val="00490F20"/>
    <w:rsid w:val="00491A71"/>
    <w:rsid w:val="00491C22"/>
    <w:rsid w:val="00492B2C"/>
    <w:rsid w:val="00492C15"/>
    <w:rsid w:val="00493373"/>
    <w:rsid w:val="004943D6"/>
    <w:rsid w:val="00494DB9"/>
    <w:rsid w:val="00494F1F"/>
    <w:rsid w:val="00494FA0"/>
    <w:rsid w:val="004956CE"/>
    <w:rsid w:val="004957D7"/>
    <w:rsid w:val="0049621B"/>
    <w:rsid w:val="004967DE"/>
    <w:rsid w:val="00497720"/>
    <w:rsid w:val="00497BB2"/>
    <w:rsid w:val="00497C05"/>
    <w:rsid w:val="00497C2F"/>
    <w:rsid w:val="004A0314"/>
    <w:rsid w:val="004A15FF"/>
    <w:rsid w:val="004A194F"/>
    <w:rsid w:val="004A1D19"/>
    <w:rsid w:val="004A2672"/>
    <w:rsid w:val="004A279F"/>
    <w:rsid w:val="004A2D30"/>
    <w:rsid w:val="004A3E95"/>
    <w:rsid w:val="004A45D2"/>
    <w:rsid w:val="004A4A9D"/>
    <w:rsid w:val="004A5055"/>
    <w:rsid w:val="004A5C10"/>
    <w:rsid w:val="004A65BA"/>
    <w:rsid w:val="004A6886"/>
    <w:rsid w:val="004A70C8"/>
    <w:rsid w:val="004A71F1"/>
    <w:rsid w:val="004A7FF1"/>
    <w:rsid w:val="004B06E0"/>
    <w:rsid w:val="004B0775"/>
    <w:rsid w:val="004B0EBC"/>
    <w:rsid w:val="004B215B"/>
    <w:rsid w:val="004B3189"/>
    <w:rsid w:val="004B3472"/>
    <w:rsid w:val="004B3CC3"/>
    <w:rsid w:val="004B40F3"/>
    <w:rsid w:val="004B49D9"/>
    <w:rsid w:val="004B579D"/>
    <w:rsid w:val="004B5964"/>
    <w:rsid w:val="004B6E2C"/>
    <w:rsid w:val="004B7180"/>
    <w:rsid w:val="004B7A2D"/>
    <w:rsid w:val="004B7C2A"/>
    <w:rsid w:val="004B7D95"/>
    <w:rsid w:val="004C092E"/>
    <w:rsid w:val="004C1602"/>
    <w:rsid w:val="004C1895"/>
    <w:rsid w:val="004C2338"/>
    <w:rsid w:val="004C28D8"/>
    <w:rsid w:val="004C303B"/>
    <w:rsid w:val="004C3389"/>
    <w:rsid w:val="004C35F4"/>
    <w:rsid w:val="004C39C5"/>
    <w:rsid w:val="004C3E60"/>
    <w:rsid w:val="004C4BB7"/>
    <w:rsid w:val="004C56E3"/>
    <w:rsid w:val="004C5BD5"/>
    <w:rsid w:val="004C5D33"/>
    <w:rsid w:val="004C6D40"/>
    <w:rsid w:val="004C71A4"/>
    <w:rsid w:val="004C75BE"/>
    <w:rsid w:val="004C78CC"/>
    <w:rsid w:val="004D0010"/>
    <w:rsid w:val="004D0088"/>
    <w:rsid w:val="004D04A4"/>
    <w:rsid w:val="004D1421"/>
    <w:rsid w:val="004D1B39"/>
    <w:rsid w:val="004D2393"/>
    <w:rsid w:val="004D23FF"/>
    <w:rsid w:val="004D2C98"/>
    <w:rsid w:val="004D3259"/>
    <w:rsid w:val="004D50C5"/>
    <w:rsid w:val="004D634E"/>
    <w:rsid w:val="004D68D1"/>
    <w:rsid w:val="004D6DAD"/>
    <w:rsid w:val="004D6DFC"/>
    <w:rsid w:val="004D7BB8"/>
    <w:rsid w:val="004E03F4"/>
    <w:rsid w:val="004E083D"/>
    <w:rsid w:val="004E0F8C"/>
    <w:rsid w:val="004E117A"/>
    <w:rsid w:val="004E183F"/>
    <w:rsid w:val="004E1DBE"/>
    <w:rsid w:val="004E36A8"/>
    <w:rsid w:val="004E3ACE"/>
    <w:rsid w:val="004E44DA"/>
    <w:rsid w:val="004E5D0A"/>
    <w:rsid w:val="004E6AA8"/>
    <w:rsid w:val="004E706E"/>
    <w:rsid w:val="004E76CC"/>
    <w:rsid w:val="004E7C89"/>
    <w:rsid w:val="004E7FE4"/>
    <w:rsid w:val="004F0BC7"/>
    <w:rsid w:val="004F0C3C"/>
    <w:rsid w:val="004F0EC4"/>
    <w:rsid w:val="004F102D"/>
    <w:rsid w:val="004F1B7B"/>
    <w:rsid w:val="004F1FEA"/>
    <w:rsid w:val="004F2280"/>
    <w:rsid w:val="004F23BB"/>
    <w:rsid w:val="004F2D94"/>
    <w:rsid w:val="004F3720"/>
    <w:rsid w:val="004F376D"/>
    <w:rsid w:val="004F3AAB"/>
    <w:rsid w:val="004F3C3F"/>
    <w:rsid w:val="004F4A42"/>
    <w:rsid w:val="004F4DD2"/>
    <w:rsid w:val="004F51F7"/>
    <w:rsid w:val="004F584F"/>
    <w:rsid w:val="004F63FC"/>
    <w:rsid w:val="004F6778"/>
    <w:rsid w:val="004F6A30"/>
    <w:rsid w:val="004F6D80"/>
    <w:rsid w:val="004F740E"/>
    <w:rsid w:val="004F750D"/>
    <w:rsid w:val="004F75EC"/>
    <w:rsid w:val="004F7C78"/>
    <w:rsid w:val="00500761"/>
    <w:rsid w:val="00500D0A"/>
    <w:rsid w:val="005017A0"/>
    <w:rsid w:val="00502245"/>
    <w:rsid w:val="0050225D"/>
    <w:rsid w:val="0050283D"/>
    <w:rsid w:val="00503636"/>
    <w:rsid w:val="0050363A"/>
    <w:rsid w:val="00504397"/>
    <w:rsid w:val="00504F2D"/>
    <w:rsid w:val="00505A92"/>
    <w:rsid w:val="00506924"/>
    <w:rsid w:val="00506BA4"/>
    <w:rsid w:val="00506F7B"/>
    <w:rsid w:val="005071B5"/>
    <w:rsid w:val="0050735C"/>
    <w:rsid w:val="00507BC9"/>
    <w:rsid w:val="00507F7C"/>
    <w:rsid w:val="00511684"/>
    <w:rsid w:val="00512BFB"/>
    <w:rsid w:val="00513878"/>
    <w:rsid w:val="00513AEA"/>
    <w:rsid w:val="00513C30"/>
    <w:rsid w:val="0051499C"/>
    <w:rsid w:val="005162BA"/>
    <w:rsid w:val="00517F52"/>
    <w:rsid w:val="005203F1"/>
    <w:rsid w:val="00521BC3"/>
    <w:rsid w:val="00521EFD"/>
    <w:rsid w:val="0052342E"/>
    <w:rsid w:val="00523995"/>
    <w:rsid w:val="00523C25"/>
    <w:rsid w:val="00523EF6"/>
    <w:rsid w:val="00524007"/>
    <w:rsid w:val="0052416F"/>
    <w:rsid w:val="00524398"/>
    <w:rsid w:val="00524C14"/>
    <w:rsid w:val="00524CE4"/>
    <w:rsid w:val="00524ECB"/>
    <w:rsid w:val="00525265"/>
    <w:rsid w:val="00525383"/>
    <w:rsid w:val="005259ED"/>
    <w:rsid w:val="00526F11"/>
    <w:rsid w:val="00527382"/>
    <w:rsid w:val="00527604"/>
    <w:rsid w:val="00527CC3"/>
    <w:rsid w:val="00527EF4"/>
    <w:rsid w:val="005306B4"/>
    <w:rsid w:val="00530B1C"/>
    <w:rsid w:val="0053111F"/>
    <w:rsid w:val="005311E8"/>
    <w:rsid w:val="0053139F"/>
    <w:rsid w:val="005316CB"/>
    <w:rsid w:val="00531873"/>
    <w:rsid w:val="0053188D"/>
    <w:rsid w:val="00531DE5"/>
    <w:rsid w:val="0053214D"/>
    <w:rsid w:val="0053271A"/>
    <w:rsid w:val="005332B2"/>
    <w:rsid w:val="00533632"/>
    <w:rsid w:val="00533BC5"/>
    <w:rsid w:val="00534013"/>
    <w:rsid w:val="00534E4A"/>
    <w:rsid w:val="0053501E"/>
    <w:rsid w:val="0053565F"/>
    <w:rsid w:val="00535823"/>
    <w:rsid w:val="00536236"/>
    <w:rsid w:val="005365F3"/>
    <w:rsid w:val="00536E74"/>
    <w:rsid w:val="00536EA5"/>
    <w:rsid w:val="00540C5C"/>
    <w:rsid w:val="00541783"/>
    <w:rsid w:val="0054183F"/>
    <w:rsid w:val="00541E6E"/>
    <w:rsid w:val="0054251F"/>
    <w:rsid w:val="0054287E"/>
    <w:rsid w:val="00542D2A"/>
    <w:rsid w:val="00543781"/>
    <w:rsid w:val="00543B1E"/>
    <w:rsid w:val="00544648"/>
    <w:rsid w:val="00544B15"/>
    <w:rsid w:val="00544F3E"/>
    <w:rsid w:val="00545381"/>
    <w:rsid w:val="00545745"/>
    <w:rsid w:val="00545C6D"/>
    <w:rsid w:val="00545FCE"/>
    <w:rsid w:val="00546781"/>
    <w:rsid w:val="00546DE9"/>
    <w:rsid w:val="005471F5"/>
    <w:rsid w:val="00547998"/>
    <w:rsid w:val="00550430"/>
    <w:rsid w:val="005508BA"/>
    <w:rsid w:val="005510F6"/>
    <w:rsid w:val="00551B1E"/>
    <w:rsid w:val="005520D8"/>
    <w:rsid w:val="00552BCA"/>
    <w:rsid w:val="00552E48"/>
    <w:rsid w:val="0055475D"/>
    <w:rsid w:val="005548F3"/>
    <w:rsid w:val="00554952"/>
    <w:rsid w:val="00554CB0"/>
    <w:rsid w:val="00554FC3"/>
    <w:rsid w:val="00555CC2"/>
    <w:rsid w:val="00555CFB"/>
    <w:rsid w:val="00556ADB"/>
    <w:rsid w:val="00556CF1"/>
    <w:rsid w:val="00557228"/>
    <w:rsid w:val="00557549"/>
    <w:rsid w:val="005607B0"/>
    <w:rsid w:val="0056127E"/>
    <w:rsid w:val="00561AD2"/>
    <w:rsid w:val="00562913"/>
    <w:rsid w:val="00563939"/>
    <w:rsid w:val="00564B7E"/>
    <w:rsid w:val="005658EC"/>
    <w:rsid w:val="00565B83"/>
    <w:rsid w:val="00567193"/>
    <w:rsid w:val="005672B2"/>
    <w:rsid w:val="00567365"/>
    <w:rsid w:val="00570780"/>
    <w:rsid w:val="00571430"/>
    <w:rsid w:val="005717BB"/>
    <w:rsid w:val="00571FC4"/>
    <w:rsid w:val="005723A4"/>
    <w:rsid w:val="005723F8"/>
    <w:rsid w:val="00572B3E"/>
    <w:rsid w:val="005731DF"/>
    <w:rsid w:val="00573B10"/>
    <w:rsid w:val="00574358"/>
    <w:rsid w:val="00574D5F"/>
    <w:rsid w:val="0057545D"/>
    <w:rsid w:val="005762A7"/>
    <w:rsid w:val="0057679A"/>
    <w:rsid w:val="00577904"/>
    <w:rsid w:val="00577E10"/>
    <w:rsid w:val="00580A28"/>
    <w:rsid w:val="0058196A"/>
    <w:rsid w:val="005819B4"/>
    <w:rsid w:val="00581A0F"/>
    <w:rsid w:val="00583689"/>
    <w:rsid w:val="005836FD"/>
    <w:rsid w:val="00583AD1"/>
    <w:rsid w:val="00583E66"/>
    <w:rsid w:val="00583F2F"/>
    <w:rsid w:val="0058411C"/>
    <w:rsid w:val="00584432"/>
    <w:rsid w:val="005849BA"/>
    <w:rsid w:val="005852F7"/>
    <w:rsid w:val="00585C0A"/>
    <w:rsid w:val="0058664B"/>
    <w:rsid w:val="005870C3"/>
    <w:rsid w:val="00587836"/>
    <w:rsid w:val="00587B13"/>
    <w:rsid w:val="00587CEE"/>
    <w:rsid w:val="00590800"/>
    <w:rsid w:val="0059086B"/>
    <w:rsid w:val="005909DA"/>
    <w:rsid w:val="0059147E"/>
    <w:rsid w:val="005916D7"/>
    <w:rsid w:val="005920A4"/>
    <w:rsid w:val="0059362A"/>
    <w:rsid w:val="005938AE"/>
    <w:rsid w:val="0059427F"/>
    <w:rsid w:val="00594887"/>
    <w:rsid w:val="00594DF3"/>
    <w:rsid w:val="0059516F"/>
    <w:rsid w:val="0059561B"/>
    <w:rsid w:val="00595646"/>
    <w:rsid w:val="00595920"/>
    <w:rsid w:val="00595EB2"/>
    <w:rsid w:val="00595F2B"/>
    <w:rsid w:val="00597F14"/>
    <w:rsid w:val="005A0364"/>
    <w:rsid w:val="005A0C46"/>
    <w:rsid w:val="005A2477"/>
    <w:rsid w:val="005A4126"/>
    <w:rsid w:val="005A4CD9"/>
    <w:rsid w:val="005A4EBF"/>
    <w:rsid w:val="005A6126"/>
    <w:rsid w:val="005A613A"/>
    <w:rsid w:val="005A61C4"/>
    <w:rsid w:val="005A6641"/>
    <w:rsid w:val="005A6925"/>
    <w:rsid w:val="005A698C"/>
    <w:rsid w:val="005A6EE1"/>
    <w:rsid w:val="005A7B1D"/>
    <w:rsid w:val="005B01EB"/>
    <w:rsid w:val="005B1034"/>
    <w:rsid w:val="005B115C"/>
    <w:rsid w:val="005B2171"/>
    <w:rsid w:val="005B3491"/>
    <w:rsid w:val="005B3553"/>
    <w:rsid w:val="005B3C24"/>
    <w:rsid w:val="005B480F"/>
    <w:rsid w:val="005B4D77"/>
    <w:rsid w:val="005B4F30"/>
    <w:rsid w:val="005B5526"/>
    <w:rsid w:val="005B5586"/>
    <w:rsid w:val="005B5A24"/>
    <w:rsid w:val="005B6CFB"/>
    <w:rsid w:val="005B75C7"/>
    <w:rsid w:val="005C09FE"/>
    <w:rsid w:val="005C0CAC"/>
    <w:rsid w:val="005C0EB0"/>
    <w:rsid w:val="005C0F97"/>
    <w:rsid w:val="005C1738"/>
    <w:rsid w:val="005C1927"/>
    <w:rsid w:val="005C2A86"/>
    <w:rsid w:val="005C2D1F"/>
    <w:rsid w:val="005C3751"/>
    <w:rsid w:val="005C3AED"/>
    <w:rsid w:val="005C3D5A"/>
    <w:rsid w:val="005C4A3E"/>
    <w:rsid w:val="005C52A3"/>
    <w:rsid w:val="005C57D9"/>
    <w:rsid w:val="005C5C8E"/>
    <w:rsid w:val="005C7893"/>
    <w:rsid w:val="005C7B7C"/>
    <w:rsid w:val="005C7BB8"/>
    <w:rsid w:val="005D02F6"/>
    <w:rsid w:val="005D062E"/>
    <w:rsid w:val="005D0F0E"/>
    <w:rsid w:val="005D15BE"/>
    <w:rsid w:val="005D1913"/>
    <w:rsid w:val="005D286B"/>
    <w:rsid w:val="005D2F6B"/>
    <w:rsid w:val="005D3085"/>
    <w:rsid w:val="005D3B27"/>
    <w:rsid w:val="005D53C4"/>
    <w:rsid w:val="005D62BF"/>
    <w:rsid w:val="005D6434"/>
    <w:rsid w:val="005D64F2"/>
    <w:rsid w:val="005D7525"/>
    <w:rsid w:val="005D7535"/>
    <w:rsid w:val="005E0634"/>
    <w:rsid w:val="005E0799"/>
    <w:rsid w:val="005E0F91"/>
    <w:rsid w:val="005E1040"/>
    <w:rsid w:val="005E10F9"/>
    <w:rsid w:val="005E11FD"/>
    <w:rsid w:val="005E1200"/>
    <w:rsid w:val="005E1F9F"/>
    <w:rsid w:val="005E2804"/>
    <w:rsid w:val="005E2898"/>
    <w:rsid w:val="005E2954"/>
    <w:rsid w:val="005E2B56"/>
    <w:rsid w:val="005E3F6A"/>
    <w:rsid w:val="005E4203"/>
    <w:rsid w:val="005E4714"/>
    <w:rsid w:val="005E5734"/>
    <w:rsid w:val="005E5B9A"/>
    <w:rsid w:val="005E6B4B"/>
    <w:rsid w:val="005E7321"/>
    <w:rsid w:val="005E7734"/>
    <w:rsid w:val="005E7893"/>
    <w:rsid w:val="005E78CD"/>
    <w:rsid w:val="005F0E17"/>
    <w:rsid w:val="005F117A"/>
    <w:rsid w:val="005F1885"/>
    <w:rsid w:val="005F2062"/>
    <w:rsid w:val="005F382C"/>
    <w:rsid w:val="005F3E9B"/>
    <w:rsid w:val="005F421A"/>
    <w:rsid w:val="005F44CD"/>
    <w:rsid w:val="005F45EE"/>
    <w:rsid w:val="005F551B"/>
    <w:rsid w:val="005F5624"/>
    <w:rsid w:val="005F5A1C"/>
    <w:rsid w:val="005F5A80"/>
    <w:rsid w:val="005F6A47"/>
    <w:rsid w:val="005F6C19"/>
    <w:rsid w:val="005F7CBA"/>
    <w:rsid w:val="0060022B"/>
    <w:rsid w:val="00602869"/>
    <w:rsid w:val="00602A96"/>
    <w:rsid w:val="00602C8A"/>
    <w:rsid w:val="006035E9"/>
    <w:rsid w:val="006039AC"/>
    <w:rsid w:val="00604403"/>
    <w:rsid w:val="006044FF"/>
    <w:rsid w:val="00605422"/>
    <w:rsid w:val="006059AA"/>
    <w:rsid w:val="006066C0"/>
    <w:rsid w:val="00607076"/>
    <w:rsid w:val="006070F4"/>
    <w:rsid w:val="006077E2"/>
    <w:rsid w:val="00607892"/>
    <w:rsid w:val="00607CC5"/>
    <w:rsid w:val="006103C3"/>
    <w:rsid w:val="00610446"/>
    <w:rsid w:val="00610830"/>
    <w:rsid w:val="00610A54"/>
    <w:rsid w:val="00611060"/>
    <w:rsid w:val="006113BA"/>
    <w:rsid w:val="0061179B"/>
    <w:rsid w:val="006120CB"/>
    <w:rsid w:val="006120ED"/>
    <w:rsid w:val="006125F9"/>
    <w:rsid w:val="00612844"/>
    <w:rsid w:val="00614471"/>
    <w:rsid w:val="006144D1"/>
    <w:rsid w:val="00614DD9"/>
    <w:rsid w:val="00616193"/>
    <w:rsid w:val="00616551"/>
    <w:rsid w:val="00616AB3"/>
    <w:rsid w:val="00616F1F"/>
    <w:rsid w:val="00617131"/>
    <w:rsid w:val="00617172"/>
    <w:rsid w:val="006174B4"/>
    <w:rsid w:val="0062058D"/>
    <w:rsid w:val="00621173"/>
    <w:rsid w:val="0062149F"/>
    <w:rsid w:val="006219AB"/>
    <w:rsid w:val="00621B2C"/>
    <w:rsid w:val="006226FE"/>
    <w:rsid w:val="006243B4"/>
    <w:rsid w:val="0062472F"/>
    <w:rsid w:val="00625576"/>
    <w:rsid w:val="00626F80"/>
    <w:rsid w:val="00627244"/>
    <w:rsid w:val="00627CE7"/>
    <w:rsid w:val="00627D29"/>
    <w:rsid w:val="006304B7"/>
    <w:rsid w:val="00630896"/>
    <w:rsid w:val="00630B74"/>
    <w:rsid w:val="00632661"/>
    <w:rsid w:val="00633014"/>
    <w:rsid w:val="00633DE1"/>
    <w:rsid w:val="006340CC"/>
    <w:rsid w:val="0063437B"/>
    <w:rsid w:val="00634CF9"/>
    <w:rsid w:val="00635217"/>
    <w:rsid w:val="0063545D"/>
    <w:rsid w:val="006354E7"/>
    <w:rsid w:val="006354EB"/>
    <w:rsid w:val="0063641A"/>
    <w:rsid w:val="00636A2C"/>
    <w:rsid w:val="0064017E"/>
    <w:rsid w:val="00640EB6"/>
    <w:rsid w:val="00641027"/>
    <w:rsid w:val="00641842"/>
    <w:rsid w:val="0064275A"/>
    <w:rsid w:val="00643B36"/>
    <w:rsid w:val="00644511"/>
    <w:rsid w:val="006449D1"/>
    <w:rsid w:val="006464AC"/>
    <w:rsid w:val="00650411"/>
    <w:rsid w:val="00652D5B"/>
    <w:rsid w:val="00652E03"/>
    <w:rsid w:val="006531BC"/>
    <w:rsid w:val="006540E3"/>
    <w:rsid w:val="00654AEF"/>
    <w:rsid w:val="00654BB6"/>
    <w:rsid w:val="00656F03"/>
    <w:rsid w:val="0065729C"/>
    <w:rsid w:val="00657A86"/>
    <w:rsid w:val="006603EA"/>
    <w:rsid w:val="006604E0"/>
    <w:rsid w:val="00660530"/>
    <w:rsid w:val="00662621"/>
    <w:rsid w:val="0066314E"/>
    <w:rsid w:val="006631AE"/>
    <w:rsid w:val="0066344D"/>
    <w:rsid w:val="00663C49"/>
    <w:rsid w:val="0066401D"/>
    <w:rsid w:val="006642C1"/>
    <w:rsid w:val="00664865"/>
    <w:rsid w:val="006670C2"/>
    <w:rsid w:val="006673CA"/>
    <w:rsid w:val="00667619"/>
    <w:rsid w:val="006701B2"/>
    <w:rsid w:val="00670B07"/>
    <w:rsid w:val="006713E7"/>
    <w:rsid w:val="00672D93"/>
    <w:rsid w:val="00673805"/>
    <w:rsid w:val="00673C26"/>
    <w:rsid w:val="00673C40"/>
    <w:rsid w:val="006743F1"/>
    <w:rsid w:val="00674DE5"/>
    <w:rsid w:val="0067504B"/>
    <w:rsid w:val="00676B58"/>
    <w:rsid w:val="00676C8A"/>
    <w:rsid w:val="00677ACA"/>
    <w:rsid w:val="006802A7"/>
    <w:rsid w:val="00680A8A"/>
    <w:rsid w:val="00680A8E"/>
    <w:rsid w:val="00680C41"/>
    <w:rsid w:val="00680FC2"/>
    <w:rsid w:val="006812AF"/>
    <w:rsid w:val="00681864"/>
    <w:rsid w:val="00681F09"/>
    <w:rsid w:val="0068327D"/>
    <w:rsid w:val="00683E91"/>
    <w:rsid w:val="006840A9"/>
    <w:rsid w:val="00684889"/>
    <w:rsid w:val="00685BC5"/>
    <w:rsid w:val="0068788F"/>
    <w:rsid w:val="006902C4"/>
    <w:rsid w:val="00691534"/>
    <w:rsid w:val="00691B40"/>
    <w:rsid w:val="0069289A"/>
    <w:rsid w:val="006932A9"/>
    <w:rsid w:val="00693880"/>
    <w:rsid w:val="006938E0"/>
    <w:rsid w:val="00693FFC"/>
    <w:rsid w:val="006943AE"/>
    <w:rsid w:val="006947DC"/>
    <w:rsid w:val="00694AF0"/>
    <w:rsid w:val="00694E6B"/>
    <w:rsid w:val="00694E92"/>
    <w:rsid w:val="00695E54"/>
    <w:rsid w:val="00695E8F"/>
    <w:rsid w:val="00696F30"/>
    <w:rsid w:val="00697495"/>
    <w:rsid w:val="00697DD7"/>
    <w:rsid w:val="006A01D3"/>
    <w:rsid w:val="006A02E9"/>
    <w:rsid w:val="006A0F68"/>
    <w:rsid w:val="006A1A2B"/>
    <w:rsid w:val="006A1ADC"/>
    <w:rsid w:val="006A1B49"/>
    <w:rsid w:val="006A209E"/>
    <w:rsid w:val="006A25E2"/>
    <w:rsid w:val="006A27C3"/>
    <w:rsid w:val="006A33AA"/>
    <w:rsid w:val="006A348C"/>
    <w:rsid w:val="006A34FE"/>
    <w:rsid w:val="006A3645"/>
    <w:rsid w:val="006A3FF9"/>
    <w:rsid w:val="006A40BB"/>
    <w:rsid w:val="006A4686"/>
    <w:rsid w:val="006A4691"/>
    <w:rsid w:val="006A5668"/>
    <w:rsid w:val="006A5EE0"/>
    <w:rsid w:val="006A68EA"/>
    <w:rsid w:val="006A69BF"/>
    <w:rsid w:val="006A6F49"/>
    <w:rsid w:val="006B00F3"/>
    <w:rsid w:val="006B0984"/>
    <w:rsid w:val="006B0E9E"/>
    <w:rsid w:val="006B14C5"/>
    <w:rsid w:val="006B1692"/>
    <w:rsid w:val="006B1DCE"/>
    <w:rsid w:val="006B267D"/>
    <w:rsid w:val="006B2EAF"/>
    <w:rsid w:val="006B3C44"/>
    <w:rsid w:val="006B41AB"/>
    <w:rsid w:val="006B486D"/>
    <w:rsid w:val="006B4D9E"/>
    <w:rsid w:val="006B5280"/>
    <w:rsid w:val="006B54C5"/>
    <w:rsid w:val="006B589D"/>
    <w:rsid w:val="006B5A10"/>
    <w:rsid w:val="006B5AE4"/>
    <w:rsid w:val="006B5C74"/>
    <w:rsid w:val="006B715E"/>
    <w:rsid w:val="006B7C01"/>
    <w:rsid w:val="006C050E"/>
    <w:rsid w:val="006C0869"/>
    <w:rsid w:val="006C12FA"/>
    <w:rsid w:val="006C1571"/>
    <w:rsid w:val="006C1681"/>
    <w:rsid w:val="006C2BA5"/>
    <w:rsid w:val="006C2D4C"/>
    <w:rsid w:val="006C3259"/>
    <w:rsid w:val="006C34AD"/>
    <w:rsid w:val="006C3759"/>
    <w:rsid w:val="006C408D"/>
    <w:rsid w:val="006C4F30"/>
    <w:rsid w:val="006C5248"/>
    <w:rsid w:val="006C5E73"/>
    <w:rsid w:val="006C6412"/>
    <w:rsid w:val="006C6C64"/>
    <w:rsid w:val="006D024F"/>
    <w:rsid w:val="006D02D2"/>
    <w:rsid w:val="006D060E"/>
    <w:rsid w:val="006D07AA"/>
    <w:rsid w:val="006D0CE9"/>
    <w:rsid w:val="006D0EFC"/>
    <w:rsid w:val="006D1236"/>
    <w:rsid w:val="006D1507"/>
    <w:rsid w:val="006D17B1"/>
    <w:rsid w:val="006D1C79"/>
    <w:rsid w:val="006D252F"/>
    <w:rsid w:val="006D264D"/>
    <w:rsid w:val="006D2B2E"/>
    <w:rsid w:val="006D3954"/>
    <w:rsid w:val="006D4054"/>
    <w:rsid w:val="006D4745"/>
    <w:rsid w:val="006D481A"/>
    <w:rsid w:val="006D53F2"/>
    <w:rsid w:val="006D565D"/>
    <w:rsid w:val="006D581C"/>
    <w:rsid w:val="006D64D2"/>
    <w:rsid w:val="006D6BD1"/>
    <w:rsid w:val="006D6F41"/>
    <w:rsid w:val="006D72D0"/>
    <w:rsid w:val="006D7F07"/>
    <w:rsid w:val="006E026B"/>
    <w:rsid w:val="006E02EC"/>
    <w:rsid w:val="006E067E"/>
    <w:rsid w:val="006E1B4F"/>
    <w:rsid w:val="006E1F77"/>
    <w:rsid w:val="006E31D7"/>
    <w:rsid w:val="006E3266"/>
    <w:rsid w:val="006E38BB"/>
    <w:rsid w:val="006E3978"/>
    <w:rsid w:val="006E3C4F"/>
    <w:rsid w:val="006E3F9F"/>
    <w:rsid w:val="006E55A4"/>
    <w:rsid w:val="006E5670"/>
    <w:rsid w:val="006E56D8"/>
    <w:rsid w:val="006E5B7C"/>
    <w:rsid w:val="006E5F77"/>
    <w:rsid w:val="006E6F41"/>
    <w:rsid w:val="006E73E6"/>
    <w:rsid w:val="006E7FB2"/>
    <w:rsid w:val="006F026F"/>
    <w:rsid w:val="006F053B"/>
    <w:rsid w:val="006F0AA4"/>
    <w:rsid w:val="006F1BAC"/>
    <w:rsid w:val="006F31AF"/>
    <w:rsid w:val="006F338E"/>
    <w:rsid w:val="006F3566"/>
    <w:rsid w:val="006F3653"/>
    <w:rsid w:val="006F3D50"/>
    <w:rsid w:val="006F3E7E"/>
    <w:rsid w:val="006F60AD"/>
    <w:rsid w:val="006F6294"/>
    <w:rsid w:val="006F6E4B"/>
    <w:rsid w:val="007007A0"/>
    <w:rsid w:val="00702143"/>
    <w:rsid w:val="00702CE2"/>
    <w:rsid w:val="00702D3A"/>
    <w:rsid w:val="00702EEA"/>
    <w:rsid w:val="00702F29"/>
    <w:rsid w:val="00703F87"/>
    <w:rsid w:val="007042A6"/>
    <w:rsid w:val="007044CE"/>
    <w:rsid w:val="00704598"/>
    <w:rsid w:val="00704652"/>
    <w:rsid w:val="00704878"/>
    <w:rsid w:val="00705190"/>
    <w:rsid w:val="00705D35"/>
    <w:rsid w:val="0071002E"/>
    <w:rsid w:val="00710936"/>
    <w:rsid w:val="00711D20"/>
    <w:rsid w:val="007123BE"/>
    <w:rsid w:val="00712713"/>
    <w:rsid w:val="00713DC3"/>
    <w:rsid w:val="00713E51"/>
    <w:rsid w:val="00714806"/>
    <w:rsid w:val="00714A08"/>
    <w:rsid w:val="00714A59"/>
    <w:rsid w:val="007158C1"/>
    <w:rsid w:val="0071590B"/>
    <w:rsid w:val="00715C73"/>
    <w:rsid w:val="00715DF9"/>
    <w:rsid w:val="0071652E"/>
    <w:rsid w:val="007167DF"/>
    <w:rsid w:val="00716BA1"/>
    <w:rsid w:val="00717A27"/>
    <w:rsid w:val="00717B4C"/>
    <w:rsid w:val="007203BB"/>
    <w:rsid w:val="00720FFC"/>
    <w:rsid w:val="007211B1"/>
    <w:rsid w:val="00721BD1"/>
    <w:rsid w:val="0072237B"/>
    <w:rsid w:val="007223E8"/>
    <w:rsid w:val="00722DF4"/>
    <w:rsid w:val="0072341E"/>
    <w:rsid w:val="00723445"/>
    <w:rsid w:val="00724BA9"/>
    <w:rsid w:val="00725869"/>
    <w:rsid w:val="007259AA"/>
    <w:rsid w:val="00726545"/>
    <w:rsid w:val="007277DA"/>
    <w:rsid w:val="00730D62"/>
    <w:rsid w:val="00731150"/>
    <w:rsid w:val="0073126B"/>
    <w:rsid w:val="00731D27"/>
    <w:rsid w:val="00732225"/>
    <w:rsid w:val="0073349F"/>
    <w:rsid w:val="0073376C"/>
    <w:rsid w:val="007340E7"/>
    <w:rsid w:val="007348AC"/>
    <w:rsid w:val="00734B84"/>
    <w:rsid w:val="00734EC5"/>
    <w:rsid w:val="0073583D"/>
    <w:rsid w:val="007359B3"/>
    <w:rsid w:val="00735BDF"/>
    <w:rsid w:val="00735DC5"/>
    <w:rsid w:val="0073632F"/>
    <w:rsid w:val="0073764F"/>
    <w:rsid w:val="00737AE2"/>
    <w:rsid w:val="00737B0C"/>
    <w:rsid w:val="00737D55"/>
    <w:rsid w:val="00737E74"/>
    <w:rsid w:val="00740957"/>
    <w:rsid w:val="00740A85"/>
    <w:rsid w:val="007410A8"/>
    <w:rsid w:val="00741987"/>
    <w:rsid w:val="007419B7"/>
    <w:rsid w:val="00742174"/>
    <w:rsid w:val="00742D11"/>
    <w:rsid w:val="00743910"/>
    <w:rsid w:val="00743926"/>
    <w:rsid w:val="0074406D"/>
    <w:rsid w:val="007444BF"/>
    <w:rsid w:val="0074485D"/>
    <w:rsid w:val="00744A01"/>
    <w:rsid w:val="00746187"/>
    <w:rsid w:val="00746A36"/>
    <w:rsid w:val="00747137"/>
    <w:rsid w:val="007476FD"/>
    <w:rsid w:val="007478F5"/>
    <w:rsid w:val="00750547"/>
    <w:rsid w:val="00751103"/>
    <w:rsid w:val="00751607"/>
    <w:rsid w:val="00751A92"/>
    <w:rsid w:val="00751D69"/>
    <w:rsid w:val="00751F79"/>
    <w:rsid w:val="00752194"/>
    <w:rsid w:val="007525D7"/>
    <w:rsid w:val="0075261D"/>
    <w:rsid w:val="00752BFE"/>
    <w:rsid w:val="00754066"/>
    <w:rsid w:val="007564B3"/>
    <w:rsid w:val="0075719B"/>
    <w:rsid w:val="007571F0"/>
    <w:rsid w:val="00757593"/>
    <w:rsid w:val="00757C8E"/>
    <w:rsid w:val="007604B9"/>
    <w:rsid w:val="0076074A"/>
    <w:rsid w:val="007610B8"/>
    <w:rsid w:val="00761B65"/>
    <w:rsid w:val="0076254F"/>
    <w:rsid w:val="007625E1"/>
    <w:rsid w:val="00762FC5"/>
    <w:rsid w:val="00763634"/>
    <w:rsid w:val="00763DF0"/>
    <w:rsid w:val="007646AA"/>
    <w:rsid w:val="0076517F"/>
    <w:rsid w:val="007655A6"/>
    <w:rsid w:val="00766348"/>
    <w:rsid w:val="00766836"/>
    <w:rsid w:val="00766C13"/>
    <w:rsid w:val="00766DB7"/>
    <w:rsid w:val="00766DD4"/>
    <w:rsid w:val="00766F81"/>
    <w:rsid w:val="007674FE"/>
    <w:rsid w:val="00770176"/>
    <w:rsid w:val="007708E6"/>
    <w:rsid w:val="00771104"/>
    <w:rsid w:val="007716C2"/>
    <w:rsid w:val="007726C4"/>
    <w:rsid w:val="007729E8"/>
    <w:rsid w:val="00772A8E"/>
    <w:rsid w:val="00772E57"/>
    <w:rsid w:val="00772EFB"/>
    <w:rsid w:val="007732A9"/>
    <w:rsid w:val="0077355F"/>
    <w:rsid w:val="007735E9"/>
    <w:rsid w:val="00775BDA"/>
    <w:rsid w:val="00777062"/>
    <w:rsid w:val="007774DD"/>
    <w:rsid w:val="00777534"/>
    <w:rsid w:val="00777D83"/>
    <w:rsid w:val="007801F5"/>
    <w:rsid w:val="00780A0F"/>
    <w:rsid w:val="00780A9E"/>
    <w:rsid w:val="007825D0"/>
    <w:rsid w:val="007828F2"/>
    <w:rsid w:val="00782CE6"/>
    <w:rsid w:val="00783582"/>
    <w:rsid w:val="00783CA4"/>
    <w:rsid w:val="007842FB"/>
    <w:rsid w:val="00784E1E"/>
    <w:rsid w:val="007851AC"/>
    <w:rsid w:val="00785641"/>
    <w:rsid w:val="0078567B"/>
    <w:rsid w:val="00786124"/>
    <w:rsid w:val="0078699F"/>
    <w:rsid w:val="00786EDB"/>
    <w:rsid w:val="007873B7"/>
    <w:rsid w:val="00787638"/>
    <w:rsid w:val="00791E76"/>
    <w:rsid w:val="00791EEA"/>
    <w:rsid w:val="0079314F"/>
    <w:rsid w:val="0079357D"/>
    <w:rsid w:val="00794264"/>
    <w:rsid w:val="0079514B"/>
    <w:rsid w:val="00795252"/>
    <w:rsid w:val="007954BB"/>
    <w:rsid w:val="0079572B"/>
    <w:rsid w:val="00795978"/>
    <w:rsid w:val="00795EB0"/>
    <w:rsid w:val="007965AC"/>
    <w:rsid w:val="00797FA4"/>
    <w:rsid w:val="007A20D6"/>
    <w:rsid w:val="007A247A"/>
    <w:rsid w:val="007A2DC1"/>
    <w:rsid w:val="007A2F1A"/>
    <w:rsid w:val="007A3016"/>
    <w:rsid w:val="007A4015"/>
    <w:rsid w:val="007A40DE"/>
    <w:rsid w:val="007A4440"/>
    <w:rsid w:val="007A5391"/>
    <w:rsid w:val="007A5455"/>
    <w:rsid w:val="007A5A28"/>
    <w:rsid w:val="007A63DB"/>
    <w:rsid w:val="007A74EE"/>
    <w:rsid w:val="007A7B86"/>
    <w:rsid w:val="007B0396"/>
    <w:rsid w:val="007B09F2"/>
    <w:rsid w:val="007B13EE"/>
    <w:rsid w:val="007B213B"/>
    <w:rsid w:val="007B2202"/>
    <w:rsid w:val="007B2B2D"/>
    <w:rsid w:val="007B2E04"/>
    <w:rsid w:val="007B3018"/>
    <w:rsid w:val="007B3282"/>
    <w:rsid w:val="007B3513"/>
    <w:rsid w:val="007B3A72"/>
    <w:rsid w:val="007B4191"/>
    <w:rsid w:val="007B419C"/>
    <w:rsid w:val="007B46F0"/>
    <w:rsid w:val="007B4B5F"/>
    <w:rsid w:val="007B4FD5"/>
    <w:rsid w:val="007B5522"/>
    <w:rsid w:val="007B6C81"/>
    <w:rsid w:val="007B7FD1"/>
    <w:rsid w:val="007C0BC9"/>
    <w:rsid w:val="007C1314"/>
    <w:rsid w:val="007C2A29"/>
    <w:rsid w:val="007C3336"/>
    <w:rsid w:val="007C3873"/>
    <w:rsid w:val="007C422A"/>
    <w:rsid w:val="007C4467"/>
    <w:rsid w:val="007C459B"/>
    <w:rsid w:val="007C5255"/>
    <w:rsid w:val="007C53DA"/>
    <w:rsid w:val="007C623C"/>
    <w:rsid w:val="007C7A37"/>
    <w:rsid w:val="007C7D79"/>
    <w:rsid w:val="007D01BF"/>
    <w:rsid w:val="007D05D6"/>
    <w:rsid w:val="007D0869"/>
    <w:rsid w:val="007D14C4"/>
    <w:rsid w:val="007D25E6"/>
    <w:rsid w:val="007D2FCF"/>
    <w:rsid w:val="007D310D"/>
    <w:rsid w:val="007D3319"/>
    <w:rsid w:val="007D335D"/>
    <w:rsid w:val="007D3FAE"/>
    <w:rsid w:val="007D40A2"/>
    <w:rsid w:val="007D4466"/>
    <w:rsid w:val="007D44C6"/>
    <w:rsid w:val="007D5416"/>
    <w:rsid w:val="007D5CDE"/>
    <w:rsid w:val="007D5FC8"/>
    <w:rsid w:val="007D605C"/>
    <w:rsid w:val="007D6EAE"/>
    <w:rsid w:val="007D76BA"/>
    <w:rsid w:val="007D7785"/>
    <w:rsid w:val="007E252C"/>
    <w:rsid w:val="007E3314"/>
    <w:rsid w:val="007E34DD"/>
    <w:rsid w:val="007E3514"/>
    <w:rsid w:val="007E3602"/>
    <w:rsid w:val="007E4219"/>
    <w:rsid w:val="007E4A67"/>
    <w:rsid w:val="007E4B03"/>
    <w:rsid w:val="007E4E3A"/>
    <w:rsid w:val="007E556F"/>
    <w:rsid w:val="007E5778"/>
    <w:rsid w:val="007E58F1"/>
    <w:rsid w:val="007E6E00"/>
    <w:rsid w:val="007F0BB6"/>
    <w:rsid w:val="007F0D60"/>
    <w:rsid w:val="007F1618"/>
    <w:rsid w:val="007F17D5"/>
    <w:rsid w:val="007F1CED"/>
    <w:rsid w:val="007F2525"/>
    <w:rsid w:val="007F30DA"/>
    <w:rsid w:val="007F324B"/>
    <w:rsid w:val="007F3496"/>
    <w:rsid w:val="007F440F"/>
    <w:rsid w:val="007F5322"/>
    <w:rsid w:val="007F5635"/>
    <w:rsid w:val="007F637B"/>
    <w:rsid w:val="007F7555"/>
    <w:rsid w:val="0080031D"/>
    <w:rsid w:val="008010D9"/>
    <w:rsid w:val="00801FAA"/>
    <w:rsid w:val="008020CF"/>
    <w:rsid w:val="008023CF"/>
    <w:rsid w:val="0080251F"/>
    <w:rsid w:val="00802BCA"/>
    <w:rsid w:val="0080317E"/>
    <w:rsid w:val="00803384"/>
    <w:rsid w:val="00803E1B"/>
    <w:rsid w:val="00805364"/>
    <w:rsid w:val="0080553C"/>
    <w:rsid w:val="008055D6"/>
    <w:rsid w:val="008056E4"/>
    <w:rsid w:val="00805B46"/>
    <w:rsid w:val="00805DB4"/>
    <w:rsid w:val="00806A2F"/>
    <w:rsid w:val="00806F0F"/>
    <w:rsid w:val="00806FFF"/>
    <w:rsid w:val="00807A08"/>
    <w:rsid w:val="00807B83"/>
    <w:rsid w:val="00810535"/>
    <w:rsid w:val="00810DDD"/>
    <w:rsid w:val="00810EB1"/>
    <w:rsid w:val="00811873"/>
    <w:rsid w:val="008124C7"/>
    <w:rsid w:val="00812A92"/>
    <w:rsid w:val="00813C1C"/>
    <w:rsid w:val="008144C4"/>
    <w:rsid w:val="008145AA"/>
    <w:rsid w:val="00814C25"/>
    <w:rsid w:val="008159CA"/>
    <w:rsid w:val="008163BE"/>
    <w:rsid w:val="008163CF"/>
    <w:rsid w:val="00817DF1"/>
    <w:rsid w:val="00821317"/>
    <w:rsid w:val="00821E33"/>
    <w:rsid w:val="00822335"/>
    <w:rsid w:val="00822CA1"/>
    <w:rsid w:val="00823593"/>
    <w:rsid w:val="008240B4"/>
    <w:rsid w:val="00825546"/>
    <w:rsid w:val="00825B03"/>
    <w:rsid w:val="00825DC2"/>
    <w:rsid w:val="00825E0D"/>
    <w:rsid w:val="00826719"/>
    <w:rsid w:val="008270B1"/>
    <w:rsid w:val="008273F0"/>
    <w:rsid w:val="00827AAC"/>
    <w:rsid w:val="00830961"/>
    <w:rsid w:val="0083097C"/>
    <w:rsid w:val="00830EC6"/>
    <w:rsid w:val="00830FD5"/>
    <w:rsid w:val="00831006"/>
    <w:rsid w:val="00832DAD"/>
    <w:rsid w:val="00833BB1"/>
    <w:rsid w:val="00833EE4"/>
    <w:rsid w:val="0083424C"/>
    <w:rsid w:val="008346F5"/>
    <w:rsid w:val="00834AD3"/>
    <w:rsid w:val="00834CA9"/>
    <w:rsid w:val="0083543D"/>
    <w:rsid w:val="00836D46"/>
    <w:rsid w:val="00837009"/>
    <w:rsid w:val="008371C8"/>
    <w:rsid w:val="0083744D"/>
    <w:rsid w:val="00837946"/>
    <w:rsid w:val="00837FEA"/>
    <w:rsid w:val="008411B3"/>
    <w:rsid w:val="008412D3"/>
    <w:rsid w:val="00841503"/>
    <w:rsid w:val="0084167B"/>
    <w:rsid w:val="0084176A"/>
    <w:rsid w:val="008423C6"/>
    <w:rsid w:val="008426E7"/>
    <w:rsid w:val="00843795"/>
    <w:rsid w:val="00845301"/>
    <w:rsid w:val="00845C79"/>
    <w:rsid w:val="008461BE"/>
    <w:rsid w:val="00847F0F"/>
    <w:rsid w:val="00850285"/>
    <w:rsid w:val="00850F22"/>
    <w:rsid w:val="00851D98"/>
    <w:rsid w:val="0085217B"/>
    <w:rsid w:val="0085223F"/>
    <w:rsid w:val="0085243A"/>
    <w:rsid w:val="00852448"/>
    <w:rsid w:val="00852487"/>
    <w:rsid w:val="00852EAD"/>
    <w:rsid w:val="008541D0"/>
    <w:rsid w:val="008541F4"/>
    <w:rsid w:val="0085465E"/>
    <w:rsid w:val="0085490D"/>
    <w:rsid w:val="00855F53"/>
    <w:rsid w:val="0085615B"/>
    <w:rsid w:val="00856922"/>
    <w:rsid w:val="00857582"/>
    <w:rsid w:val="00857AC8"/>
    <w:rsid w:val="00857DC1"/>
    <w:rsid w:val="00860004"/>
    <w:rsid w:val="00860F41"/>
    <w:rsid w:val="00862514"/>
    <w:rsid w:val="00863200"/>
    <w:rsid w:val="00864828"/>
    <w:rsid w:val="00864B8C"/>
    <w:rsid w:val="00864D08"/>
    <w:rsid w:val="00864F63"/>
    <w:rsid w:val="00865495"/>
    <w:rsid w:val="00865A3F"/>
    <w:rsid w:val="00865DC0"/>
    <w:rsid w:val="008664EF"/>
    <w:rsid w:val="00866877"/>
    <w:rsid w:val="008669D0"/>
    <w:rsid w:val="00866F4C"/>
    <w:rsid w:val="00870224"/>
    <w:rsid w:val="00871731"/>
    <w:rsid w:val="00871B7E"/>
    <w:rsid w:val="00871C10"/>
    <w:rsid w:val="00872983"/>
    <w:rsid w:val="00873A3A"/>
    <w:rsid w:val="00873D50"/>
    <w:rsid w:val="00873ECC"/>
    <w:rsid w:val="00873EDA"/>
    <w:rsid w:val="00874233"/>
    <w:rsid w:val="00874824"/>
    <w:rsid w:val="00874EA5"/>
    <w:rsid w:val="00875D4F"/>
    <w:rsid w:val="0087671E"/>
    <w:rsid w:val="00876D7F"/>
    <w:rsid w:val="0087732F"/>
    <w:rsid w:val="008779A6"/>
    <w:rsid w:val="00877F6C"/>
    <w:rsid w:val="00880227"/>
    <w:rsid w:val="0088025F"/>
    <w:rsid w:val="0088061A"/>
    <w:rsid w:val="008809D7"/>
    <w:rsid w:val="0088173D"/>
    <w:rsid w:val="00881DEC"/>
    <w:rsid w:val="0088253B"/>
    <w:rsid w:val="0088258A"/>
    <w:rsid w:val="008842FA"/>
    <w:rsid w:val="00884ABA"/>
    <w:rsid w:val="00884D19"/>
    <w:rsid w:val="00884F44"/>
    <w:rsid w:val="00885203"/>
    <w:rsid w:val="00885C3A"/>
    <w:rsid w:val="00885E51"/>
    <w:rsid w:val="00886167"/>
    <w:rsid w:val="008862B4"/>
    <w:rsid w:val="008862E5"/>
    <w:rsid w:val="00886332"/>
    <w:rsid w:val="008870A5"/>
    <w:rsid w:val="00887B2E"/>
    <w:rsid w:val="00887DF5"/>
    <w:rsid w:val="008905EB"/>
    <w:rsid w:val="00890A2F"/>
    <w:rsid w:val="00890A91"/>
    <w:rsid w:val="00890CCF"/>
    <w:rsid w:val="008925F0"/>
    <w:rsid w:val="00893713"/>
    <w:rsid w:val="00893EFB"/>
    <w:rsid w:val="00893FD6"/>
    <w:rsid w:val="0089448A"/>
    <w:rsid w:val="00894506"/>
    <w:rsid w:val="008946D8"/>
    <w:rsid w:val="0089499D"/>
    <w:rsid w:val="00894C96"/>
    <w:rsid w:val="00896BB2"/>
    <w:rsid w:val="00897707"/>
    <w:rsid w:val="00897877"/>
    <w:rsid w:val="0089790A"/>
    <w:rsid w:val="008A0037"/>
    <w:rsid w:val="008A00B0"/>
    <w:rsid w:val="008A065D"/>
    <w:rsid w:val="008A06EF"/>
    <w:rsid w:val="008A11C9"/>
    <w:rsid w:val="008A167B"/>
    <w:rsid w:val="008A210C"/>
    <w:rsid w:val="008A2170"/>
    <w:rsid w:val="008A2426"/>
    <w:rsid w:val="008A26D9"/>
    <w:rsid w:val="008A2F06"/>
    <w:rsid w:val="008A4E12"/>
    <w:rsid w:val="008A5DC7"/>
    <w:rsid w:val="008A6062"/>
    <w:rsid w:val="008A647E"/>
    <w:rsid w:val="008A715D"/>
    <w:rsid w:val="008A71F3"/>
    <w:rsid w:val="008A7B5B"/>
    <w:rsid w:val="008A7F26"/>
    <w:rsid w:val="008B0DE7"/>
    <w:rsid w:val="008B12D2"/>
    <w:rsid w:val="008B158D"/>
    <w:rsid w:val="008B1B16"/>
    <w:rsid w:val="008B1BC9"/>
    <w:rsid w:val="008B2463"/>
    <w:rsid w:val="008B2968"/>
    <w:rsid w:val="008B2CFC"/>
    <w:rsid w:val="008B4F2D"/>
    <w:rsid w:val="008B4FDC"/>
    <w:rsid w:val="008B6C56"/>
    <w:rsid w:val="008B70E9"/>
    <w:rsid w:val="008B72B4"/>
    <w:rsid w:val="008B761D"/>
    <w:rsid w:val="008B7E32"/>
    <w:rsid w:val="008B7E81"/>
    <w:rsid w:val="008B7EF3"/>
    <w:rsid w:val="008C00D7"/>
    <w:rsid w:val="008C0BF6"/>
    <w:rsid w:val="008C0C29"/>
    <w:rsid w:val="008C2B4E"/>
    <w:rsid w:val="008C2FA1"/>
    <w:rsid w:val="008C36E8"/>
    <w:rsid w:val="008C38EA"/>
    <w:rsid w:val="008C3A05"/>
    <w:rsid w:val="008C3DAF"/>
    <w:rsid w:val="008C406C"/>
    <w:rsid w:val="008C4FED"/>
    <w:rsid w:val="008C5B89"/>
    <w:rsid w:val="008C6221"/>
    <w:rsid w:val="008C6917"/>
    <w:rsid w:val="008C79ED"/>
    <w:rsid w:val="008C7C61"/>
    <w:rsid w:val="008C7C8D"/>
    <w:rsid w:val="008D02DA"/>
    <w:rsid w:val="008D1C7C"/>
    <w:rsid w:val="008D227C"/>
    <w:rsid w:val="008D3880"/>
    <w:rsid w:val="008D3F98"/>
    <w:rsid w:val="008D3F9E"/>
    <w:rsid w:val="008D4832"/>
    <w:rsid w:val="008D5A73"/>
    <w:rsid w:val="008D5AAC"/>
    <w:rsid w:val="008D5C33"/>
    <w:rsid w:val="008D5D28"/>
    <w:rsid w:val="008D6417"/>
    <w:rsid w:val="008D702C"/>
    <w:rsid w:val="008D7305"/>
    <w:rsid w:val="008D76BC"/>
    <w:rsid w:val="008E05B3"/>
    <w:rsid w:val="008E05F0"/>
    <w:rsid w:val="008E0C33"/>
    <w:rsid w:val="008E27FE"/>
    <w:rsid w:val="008E2BF9"/>
    <w:rsid w:val="008E2E0C"/>
    <w:rsid w:val="008E335B"/>
    <w:rsid w:val="008E38DB"/>
    <w:rsid w:val="008E48A1"/>
    <w:rsid w:val="008E555A"/>
    <w:rsid w:val="008E65F1"/>
    <w:rsid w:val="008E661D"/>
    <w:rsid w:val="008E706A"/>
    <w:rsid w:val="008E74EC"/>
    <w:rsid w:val="008E7DBA"/>
    <w:rsid w:val="008F0829"/>
    <w:rsid w:val="008F0ACB"/>
    <w:rsid w:val="008F12EA"/>
    <w:rsid w:val="008F1615"/>
    <w:rsid w:val="008F23CC"/>
    <w:rsid w:val="008F3638"/>
    <w:rsid w:val="008F390A"/>
    <w:rsid w:val="008F4441"/>
    <w:rsid w:val="008F45A9"/>
    <w:rsid w:val="008F56DE"/>
    <w:rsid w:val="008F59C6"/>
    <w:rsid w:val="008F659A"/>
    <w:rsid w:val="008F6B20"/>
    <w:rsid w:val="008F6D8C"/>
    <w:rsid w:val="008F6F31"/>
    <w:rsid w:val="008F74DF"/>
    <w:rsid w:val="008F7F00"/>
    <w:rsid w:val="009000C6"/>
    <w:rsid w:val="009001E3"/>
    <w:rsid w:val="0090047C"/>
    <w:rsid w:val="0090102E"/>
    <w:rsid w:val="009015ED"/>
    <w:rsid w:val="00901F26"/>
    <w:rsid w:val="00902274"/>
    <w:rsid w:val="00902337"/>
    <w:rsid w:val="009029B0"/>
    <w:rsid w:val="00902BF3"/>
    <w:rsid w:val="00903143"/>
    <w:rsid w:val="009032D3"/>
    <w:rsid w:val="009045B8"/>
    <w:rsid w:val="00904685"/>
    <w:rsid w:val="0090485F"/>
    <w:rsid w:val="00904EF4"/>
    <w:rsid w:val="0090549C"/>
    <w:rsid w:val="00906EEF"/>
    <w:rsid w:val="009073D8"/>
    <w:rsid w:val="00907803"/>
    <w:rsid w:val="00907BDF"/>
    <w:rsid w:val="00910361"/>
    <w:rsid w:val="00911853"/>
    <w:rsid w:val="0091252F"/>
    <w:rsid w:val="009127BA"/>
    <w:rsid w:val="00912A2F"/>
    <w:rsid w:val="00913516"/>
    <w:rsid w:val="00913D5E"/>
    <w:rsid w:val="00914CA5"/>
    <w:rsid w:val="00915043"/>
    <w:rsid w:val="00915161"/>
    <w:rsid w:val="00915222"/>
    <w:rsid w:val="00915B9C"/>
    <w:rsid w:val="0091730F"/>
    <w:rsid w:val="0091751F"/>
    <w:rsid w:val="00920AAE"/>
    <w:rsid w:val="00920FB2"/>
    <w:rsid w:val="00921003"/>
    <w:rsid w:val="00921C1C"/>
    <w:rsid w:val="00921D85"/>
    <w:rsid w:val="00921FC4"/>
    <w:rsid w:val="009227A6"/>
    <w:rsid w:val="009232F9"/>
    <w:rsid w:val="00923A22"/>
    <w:rsid w:val="00924E85"/>
    <w:rsid w:val="00926299"/>
    <w:rsid w:val="00926721"/>
    <w:rsid w:val="00927CA6"/>
    <w:rsid w:val="00930351"/>
    <w:rsid w:val="00930BE5"/>
    <w:rsid w:val="00931EE2"/>
    <w:rsid w:val="00932009"/>
    <w:rsid w:val="0093221B"/>
    <w:rsid w:val="009322A2"/>
    <w:rsid w:val="0093370E"/>
    <w:rsid w:val="00933889"/>
    <w:rsid w:val="009339F2"/>
    <w:rsid w:val="00933D71"/>
    <w:rsid w:val="00933EC1"/>
    <w:rsid w:val="0093432F"/>
    <w:rsid w:val="00934379"/>
    <w:rsid w:val="00934C19"/>
    <w:rsid w:val="00935517"/>
    <w:rsid w:val="00935A2F"/>
    <w:rsid w:val="009362C5"/>
    <w:rsid w:val="00937E0E"/>
    <w:rsid w:val="00940663"/>
    <w:rsid w:val="00941335"/>
    <w:rsid w:val="00942171"/>
    <w:rsid w:val="00942491"/>
    <w:rsid w:val="009424F1"/>
    <w:rsid w:val="00942EA8"/>
    <w:rsid w:val="00943CCB"/>
    <w:rsid w:val="009446AD"/>
    <w:rsid w:val="00944AF9"/>
    <w:rsid w:val="00945581"/>
    <w:rsid w:val="00946305"/>
    <w:rsid w:val="00946A1C"/>
    <w:rsid w:val="00947A7B"/>
    <w:rsid w:val="00947C98"/>
    <w:rsid w:val="00947F92"/>
    <w:rsid w:val="009503D0"/>
    <w:rsid w:val="00950C36"/>
    <w:rsid w:val="00950DD6"/>
    <w:rsid w:val="00950EF0"/>
    <w:rsid w:val="0095172A"/>
    <w:rsid w:val="009519A5"/>
    <w:rsid w:val="0095201C"/>
    <w:rsid w:val="0095221A"/>
    <w:rsid w:val="009530DB"/>
    <w:rsid w:val="00953326"/>
    <w:rsid w:val="0095338A"/>
    <w:rsid w:val="00953676"/>
    <w:rsid w:val="00953777"/>
    <w:rsid w:val="009549BB"/>
    <w:rsid w:val="00954CD7"/>
    <w:rsid w:val="009551D9"/>
    <w:rsid w:val="009553B4"/>
    <w:rsid w:val="00955A00"/>
    <w:rsid w:val="00956070"/>
    <w:rsid w:val="00956354"/>
    <w:rsid w:val="0095666F"/>
    <w:rsid w:val="00956C61"/>
    <w:rsid w:val="00956F30"/>
    <w:rsid w:val="00961CDA"/>
    <w:rsid w:val="00961E11"/>
    <w:rsid w:val="0096206A"/>
    <w:rsid w:val="00962444"/>
    <w:rsid w:val="009625FE"/>
    <w:rsid w:val="00962DC8"/>
    <w:rsid w:val="00963445"/>
    <w:rsid w:val="009638EE"/>
    <w:rsid w:val="00963D0F"/>
    <w:rsid w:val="00963D7C"/>
    <w:rsid w:val="00963F00"/>
    <w:rsid w:val="009645B6"/>
    <w:rsid w:val="00964B0B"/>
    <w:rsid w:val="00965349"/>
    <w:rsid w:val="0096567E"/>
    <w:rsid w:val="00965773"/>
    <w:rsid w:val="00965B79"/>
    <w:rsid w:val="00965E5E"/>
    <w:rsid w:val="009666D9"/>
    <w:rsid w:val="00966C9A"/>
    <w:rsid w:val="009705EE"/>
    <w:rsid w:val="00970682"/>
    <w:rsid w:val="00971108"/>
    <w:rsid w:val="009726B5"/>
    <w:rsid w:val="00972711"/>
    <w:rsid w:val="009734E5"/>
    <w:rsid w:val="00973E23"/>
    <w:rsid w:val="009742BD"/>
    <w:rsid w:val="00974C75"/>
    <w:rsid w:val="0097604D"/>
    <w:rsid w:val="0097642C"/>
    <w:rsid w:val="00977873"/>
    <w:rsid w:val="00977927"/>
    <w:rsid w:val="00977A84"/>
    <w:rsid w:val="0098000C"/>
    <w:rsid w:val="00980AE0"/>
    <w:rsid w:val="00980B8E"/>
    <w:rsid w:val="0098135C"/>
    <w:rsid w:val="009813B2"/>
    <w:rsid w:val="0098156A"/>
    <w:rsid w:val="00981609"/>
    <w:rsid w:val="0098190E"/>
    <w:rsid w:val="00982D69"/>
    <w:rsid w:val="00982E1F"/>
    <w:rsid w:val="00983BFE"/>
    <w:rsid w:val="00984619"/>
    <w:rsid w:val="00984687"/>
    <w:rsid w:val="009849EF"/>
    <w:rsid w:val="009851ED"/>
    <w:rsid w:val="00985C2B"/>
    <w:rsid w:val="009860DD"/>
    <w:rsid w:val="009862E5"/>
    <w:rsid w:val="00987397"/>
    <w:rsid w:val="00987CD4"/>
    <w:rsid w:val="00987FE3"/>
    <w:rsid w:val="00991BAC"/>
    <w:rsid w:val="00991CD1"/>
    <w:rsid w:val="00991E50"/>
    <w:rsid w:val="009925B4"/>
    <w:rsid w:val="00993C0A"/>
    <w:rsid w:val="00996076"/>
    <w:rsid w:val="00996E90"/>
    <w:rsid w:val="0099757D"/>
    <w:rsid w:val="00997E4B"/>
    <w:rsid w:val="009A100E"/>
    <w:rsid w:val="009A1524"/>
    <w:rsid w:val="009A17BD"/>
    <w:rsid w:val="009A1A04"/>
    <w:rsid w:val="009A1CA1"/>
    <w:rsid w:val="009A2332"/>
    <w:rsid w:val="009A249B"/>
    <w:rsid w:val="009A2825"/>
    <w:rsid w:val="009A2C73"/>
    <w:rsid w:val="009A37E3"/>
    <w:rsid w:val="009A4935"/>
    <w:rsid w:val="009A4B11"/>
    <w:rsid w:val="009A6A0B"/>
    <w:rsid w:val="009A6CF2"/>
    <w:rsid w:val="009A6EA0"/>
    <w:rsid w:val="009A6EFF"/>
    <w:rsid w:val="009A7993"/>
    <w:rsid w:val="009A7D33"/>
    <w:rsid w:val="009B03BC"/>
    <w:rsid w:val="009B0820"/>
    <w:rsid w:val="009B0DC4"/>
    <w:rsid w:val="009B1162"/>
    <w:rsid w:val="009B2AFD"/>
    <w:rsid w:val="009B2BBD"/>
    <w:rsid w:val="009B3663"/>
    <w:rsid w:val="009B3DF7"/>
    <w:rsid w:val="009B428F"/>
    <w:rsid w:val="009B5A77"/>
    <w:rsid w:val="009B65A1"/>
    <w:rsid w:val="009B67B8"/>
    <w:rsid w:val="009B697C"/>
    <w:rsid w:val="009B6BA6"/>
    <w:rsid w:val="009B6CC8"/>
    <w:rsid w:val="009B7D55"/>
    <w:rsid w:val="009C109D"/>
    <w:rsid w:val="009C1145"/>
    <w:rsid w:val="009C1335"/>
    <w:rsid w:val="009C18BF"/>
    <w:rsid w:val="009C18DA"/>
    <w:rsid w:val="009C1AB2"/>
    <w:rsid w:val="009C25BC"/>
    <w:rsid w:val="009C3908"/>
    <w:rsid w:val="009C4AA8"/>
    <w:rsid w:val="009C5691"/>
    <w:rsid w:val="009C5A62"/>
    <w:rsid w:val="009C6F8F"/>
    <w:rsid w:val="009C7161"/>
    <w:rsid w:val="009C7251"/>
    <w:rsid w:val="009C725F"/>
    <w:rsid w:val="009C7D15"/>
    <w:rsid w:val="009D060B"/>
    <w:rsid w:val="009D2418"/>
    <w:rsid w:val="009D2C82"/>
    <w:rsid w:val="009D312C"/>
    <w:rsid w:val="009D3401"/>
    <w:rsid w:val="009D3E64"/>
    <w:rsid w:val="009D471B"/>
    <w:rsid w:val="009D555D"/>
    <w:rsid w:val="009D6176"/>
    <w:rsid w:val="009D693F"/>
    <w:rsid w:val="009D6AEF"/>
    <w:rsid w:val="009D6CEA"/>
    <w:rsid w:val="009D6FB9"/>
    <w:rsid w:val="009D719C"/>
    <w:rsid w:val="009D7A0C"/>
    <w:rsid w:val="009D7DC3"/>
    <w:rsid w:val="009D7F04"/>
    <w:rsid w:val="009E034F"/>
    <w:rsid w:val="009E1499"/>
    <w:rsid w:val="009E1633"/>
    <w:rsid w:val="009E2D5A"/>
    <w:rsid w:val="009E2E91"/>
    <w:rsid w:val="009E568C"/>
    <w:rsid w:val="009E6508"/>
    <w:rsid w:val="009E73BC"/>
    <w:rsid w:val="009E7512"/>
    <w:rsid w:val="009E76B3"/>
    <w:rsid w:val="009E7B27"/>
    <w:rsid w:val="009E7DCC"/>
    <w:rsid w:val="009F0770"/>
    <w:rsid w:val="009F0EC7"/>
    <w:rsid w:val="009F1D6D"/>
    <w:rsid w:val="009F23E6"/>
    <w:rsid w:val="009F2617"/>
    <w:rsid w:val="009F38EC"/>
    <w:rsid w:val="009F3EE0"/>
    <w:rsid w:val="009F443E"/>
    <w:rsid w:val="009F6606"/>
    <w:rsid w:val="009F7683"/>
    <w:rsid w:val="00A008DE"/>
    <w:rsid w:val="00A00C11"/>
    <w:rsid w:val="00A00F5B"/>
    <w:rsid w:val="00A00F80"/>
    <w:rsid w:val="00A01B40"/>
    <w:rsid w:val="00A01D85"/>
    <w:rsid w:val="00A02571"/>
    <w:rsid w:val="00A0427E"/>
    <w:rsid w:val="00A0456E"/>
    <w:rsid w:val="00A04E6D"/>
    <w:rsid w:val="00A078C1"/>
    <w:rsid w:val="00A07C46"/>
    <w:rsid w:val="00A11FC1"/>
    <w:rsid w:val="00A1224E"/>
    <w:rsid w:val="00A1225E"/>
    <w:rsid w:val="00A12414"/>
    <w:rsid w:val="00A12446"/>
    <w:rsid w:val="00A1327F"/>
    <w:rsid w:val="00A136DC"/>
    <w:rsid w:val="00A139F5"/>
    <w:rsid w:val="00A140FD"/>
    <w:rsid w:val="00A149D7"/>
    <w:rsid w:val="00A150BB"/>
    <w:rsid w:val="00A16785"/>
    <w:rsid w:val="00A17090"/>
    <w:rsid w:val="00A17549"/>
    <w:rsid w:val="00A178FE"/>
    <w:rsid w:val="00A20E48"/>
    <w:rsid w:val="00A2108C"/>
    <w:rsid w:val="00A210D1"/>
    <w:rsid w:val="00A21216"/>
    <w:rsid w:val="00A21472"/>
    <w:rsid w:val="00A214D4"/>
    <w:rsid w:val="00A2151D"/>
    <w:rsid w:val="00A2243F"/>
    <w:rsid w:val="00A2283B"/>
    <w:rsid w:val="00A229D5"/>
    <w:rsid w:val="00A22AFB"/>
    <w:rsid w:val="00A23188"/>
    <w:rsid w:val="00A23E41"/>
    <w:rsid w:val="00A24411"/>
    <w:rsid w:val="00A250FC"/>
    <w:rsid w:val="00A2580E"/>
    <w:rsid w:val="00A26BE4"/>
    <w:rsid w:val="00A27417"/>
    <w:rsid w:val="00A3032F"/>
    <w:rsid w:val="00A30A7A"/>
    <w:rsid w:val="00A30CA7"/>
    <w:rsid w:val="00A317CB"/>
    <w:rsid w:val="00A31FB4"/>
    <w:rsid w:val="00A3217A"/>
    <w:rsid w:val="00A32E16"/>
    <w:rsid w:val="00A3322A"/>
    <w:rsid w:val="00A3348B"/>
    <w:rsid w:val="00A3353B"/>
    <w:rsid w:val="00A33BDA"/>
    <w:rsid w:val="00A34927"/>
    <w:rsid w:val="00A3607B"/>
    <w:rsid w:val="00A361D3"/>
    <w:rsid w:val="00A36235"/>
    <w:rsid w:val="00A36274"/>
    <w:rsid w:val="00A365F4"/>
    <w:rsid w:val="00A37764"/>
    <w:rsid w:val="00A37DFF"/>
    <w:rsid w:val="00A37E6B"/>
    <w:rsid w:val="00A409DB"/>
    <w:rsid w:val="00A416DE"/>
    <w:rsid w:val="00A4332E"/>
    <w:rsid w:val="00A43814"/>
    <w:rsid w:val="00A44049"/>
    <w:rsid w:val="00A44372"/>
    <w:rsid w:val="00A44658"/>
    <w:rsid w:val="00A44780"/>
    <w:rsid w:val="00A453CD"/>
    <w:rsid w:val="00A454E5"/>
    <w:rsid w:val="00A462EA"/>
    <w:rsid w:val="00A46DBC"/>
    <w:rsid w:val="00A46E9B"/>
    <w:rsid w:val="00A46FC2"/>
    <w:rsid w:val="00A4720D"/>
    <w:rsid w:val="00A474B5"/>
    <w:rsid w:val="00A47D80"/>
    <w:rsid w:val="00A50825"/>
    <w:rsid w:val="00A51507"/>
    <w:rsid w:val="00A519AA"/>
    <w:rsid w:val="00A526E6"/>
    <w:rsid w:val="00A53132"/>
    <w:rsid w:val="00A54935"/>
    <w:rsid w:val="00A54B17"/>
    <w:rsid w:val="00A55A98"/>
    <w:rsid w:val="00A55DF3"/>
    <w:rsid w:val="00A563F2"/>
    <w:rsid w:val="00A566E8"/>
    <w:rsid w:val="00A57663"/>
    <w:rsid w:val="00A57EB1"/>
    <w:rsid w:val="00A60563"/>
    <w:rsid w:val="00A6139F"/>
    <w:rsid w:val="00A613C7"/>
    <w:rsid w:val="00A6213D"/>
    <w:rsid w:val="00A621A9"/>
    <w:rsid w:val="00A62DD1"/>
    <w:rsid w:val="00A640A3"/>
    <w:rsid w:val="00A654A8"/>
    <w:rsid w:val="00A66347"/>
    <w:rsid w:val="00A700B6"/>
    <w:rsid w:val="00A704C1"/>
    <w:rsid w:val="00A70936"/>
    <w:rsid w:val="00A709A4"/>
    <w:rsid w:val="00A70D1B"/>
    <w:rsid w:val="00A70FDE"/>
    <w:rsid w:val="00A71050"/>
    <w:rsid w:val="00A73544"/>
    <w:rsid w:val="00A75105"/>
    <w:rsid w:val="00A75B65"/>
    <w:rsid w:val="00A761BB"/>
    <w:rsid w:val="00A7712B"/>
    <w:rsid w:val="00A772D1"/>
    <w:rsid w:val="00A7744E"/>
    <w:rsid w:val="00A7751D"/>
    <w:rsid w:val="00A77559"/>
    <w:rsid w:val="00A77899"/>
    <w:rsid w:val="00A7789D"/>
    <w:rsid w:val="00A80A24"/>
    <w:rsid w:val="00A80B56"/>
    <w:rsid w:val="00A80F99"/>
    <w:rsid w:val="00A810F9"/>
    <w:rsid w:val="00A8123B"/>
    <w:rsid w:val="00A81313"/>
    <w:rsid w:val="00A814FC"/>
    <w:rsid w:val="00A81570"/>
    <w:rsid w:val="00A81C7E"/>
    <w:rsid w:val="00A81FB5"/>
    <w:rsid w:val="00A827D0"/>
    <w:rsid w:val="00A82C96"/>
    <w:rsid w:val="00A82D31"/>
    <w:rsid w:val="00A82F84"/>
    <w:rsid w:val="00A835F1"/>
    <w:rsid w:val="00A847CC"/>
    <w:rsid w:val="00A84B90"/>
    <w:rsid w:val="00A84D71"/>
    <w:rsid w:val="00A85183"/>
    <w:rsid w:val="00A859CC"/>
    <w:rsid w:val="00A85E7E"/>
    <w:rsid w:val="00A8624C"/>
    <w:rsid w:val="00A86672"/>
    <w:rsid w:val="00A86E70"/>
    <w:rsid w:val="00A86ECC"/>
    <w:rsid w:val="00A86FCC"/>
    <w:rsid w:val="00A873BD"/>
    <w:rsid w:val="00A87CD4"/>
    <w:rsid w:val="00A90005"/>
    <w:rsid w:val="00A900BA"/>
    <w:rsid w:val="00A90A6D"/>
    <w:rsid w:val="00A90F92"/>
    <w:rsid w:val="00A92009"/>
    <w:rsid w:val="00A93297"/>
    <w:rsid w:val="00A93822"/>
    <w:rsid w:val="00A93C5A"/>
    <w:rsid w:val="00A95DE9"/>
    <w:rsid w:val="00A95DF2"/>
    <w:rsid w:val="00A97058"/>
    <w:rsid w:val="00A971E5"/>
    <w:rsid w:val="00A978DF"/>
    <w:rsid w:val="00A97DD0"/>
    <w:rsid w:val="00A97FFC"/>
    <w:rsid w:val="00AA055D"/>
    <w:rsid w:val="00AA099B"/>
    <w:rsid w:val="00AA0A10"/>
    <w:rsid w:val="00AA1C59"/>
    <w:rsid w:val="00AA27EB"/>
    <w:rsid w:val="00AA2E16"/>
    <w:rsid w:val="00AA3A7D"/>
    <w:rsid w:val="00AA469E"/>
    <w:rsid w:val="00AA488D"/>
    <w:rsid w:val="00AA5401"/>
    <w:rsid w:val="00AA612D"/>
    <w:rsid w:val="00AA6B7C"/>
    <w:rsid w:val="00AA710D"/>
    <w:rsid w:val="00AA787E"/>
    <w:rsid w:val="00AB0065"/>
    <w:rsid w:val="00AB1162"/>
    <w:rsid w:val="00AB1407"/>
    <w:rsid w:val="00AB1644"/>
    <w:rsid w:val="00AB1A5D"/>
    <w:rsid w:val="00AB2042"/>
    <w:rsid w:val="00AB4435"/>
    <w:rsid w:val="00AB458A"/>
    <w:rsid w:val="00AB4708"/>
    <w:rsid w:val="00AB5096"/>
    <w:rsid w:val="00AB5713"/>
    <w:rsid w:val="00AB5C8B"/>
    <w:rsid w:val="00AB5CE2"/>
    <w:rsid w:val="00AB64F3"/>
    <w:rsid w:val="00AB6917"/>
    <w:rsid w:val="00AB6C9F"/>
    <w:rsid w:val="00AB6D25"/>
    <w:rsid w:val="00AB6ECF"/>
    <w:rsid w:val="00AB7219"/>
    <w:rsid w:val="00AB729F"/>
    <w:rsid w:val="00AC0A03"/>
    <w:rsid w:val="00AC1122"/>
    <w:rsid w:val="00AC15E7"/>
    <w:rsid w:val="00AC185F"/>
    <w:rsid w:val="00AC1C28"/>
    <w:rsid w:val="00AC202C"/>
    <w:rsid w:val="00AC219B"/>
    <w:rsid w:val="00AC24C2"/>
    <w:rsid w:val="00AC424C"/>
    <w:rsid w:val="00AC5413"/>
    <w:rsid w:val="00AC57D4"/>
    <w:rsid w:val="00AC613E"/>
    <w:rsid w:val="00AC6208"/>
    <w:rsid w:val="00AC6F4F"/>
    <w:rsid w:val="00AD0505"/>
    <w:rsid w:val="00AD0E56"/>
    <w:rsid w:val="00AD10F9"/>
    <w:rsid w:val="00AD24D0"/>
    <w:rsid w:val="00AD320D"/>
    <w:rsid w:val="00AD37A0"/>
    <w:rsid w:val="00AD393A"/>
    <w:rsid w:val="00AD3CF3"/>
    <w:rsid w:val="00AD4CC3"/>
    <w:rsid w:val="00AD5020"/>
    <w:rsid w:val="00AD50F9"/>
    <w:rsid w:val="00AD62C5"/>
    <w:rsid w:val="00AD6527"/>
    <w:rsid w:val="00AD65BE"/>
    <w:rsid w:val="00AD6DAA"/>
    <w:rsid w:val="00AD76C8"/>
    <w:rsid w:val="00AD7B46"/>
    <w:rsid w:val="00AE1382"/>
    <w:rsid w:val="00AE14FB"/>
    <w:rsid w:val="00AE229B"/>
    <w:rsid w:val="00AE238B"/>
    <w:rsid w:val="00AE281D"/>
    <w:rsid w:val="00AE2ABD"/>
    <w:rsid w:val="00AE2D4B"/>
    <w:rsid w:val="00AE3466"/>
    <w:rsid w:val="00AE38E4"/>
    <w:rsid w:val="00AE3AC3"/>
    <w:rsid w:val="00AE4F99"/>
    <w:rsid w:val="00AE5129"/>
    <w:rsid w:val="00AE576B"/>
    <w:rsid w:val="00AE5BD4"/>
    <w:rsid w:val="00AE6310"/>
    <w:rsid w:val="00AE7786"/>
    <w:rsid w:val="00AF0153"/>
    <w:rsid w:val="00AF08FC"/>
    <w:rsid w:val="00AF1784"/>
    <w:rsid w:val="00AF1E36"/>
    <w:rsid w:val="00AF218A"/>
    <w:rsid w:val="00AF33A9"/>
    <w:rsid w:val="00AF3424"/>
    <w:rsid w:val="00AF39C9"/>
    <w:rsid w:val="00AF3AAC"/>
    <w:rsid w:val="00AF4633"/>
    <w:rsid w:val="00AF47FC"/>
    <w:rsid w:val="00AF5B24"/>
    <w:rsid w:val="00AF6233"/>
    <w:rsid w:val="00AF6717"/>
    <w:rsid w:val="00AF67B4"/>
    <w:rsid w:val="00AF6C9A"/>
    <w:rsid w:val="00AF731A"/>
    <w:rsid w:val="00AF7945"/>
    <w:rsid w:val="00AF7F9B"/>
    <w:rsid w:val="00B00EA1"/>
    <w:rsid w:val="00B00F4E"/>
    <w:rsid w:val="00B01176"/>
    <w:rsid w:val="00B015ED"/>
    <w:rsid w:val="00B0220C"/>
    <w:rsid w:val="00B03396"/>
    <w:rsid w:val="00B033E7"/>
    <w:rsid w:val="00B03A2F"/>
    <w:rsid w:val="00B03F22"/>
    <w:rsid w:val="00B0458B"/>
    <w:rsid w:val="00B0496D"/>
    <w:rsid w:val="00B04E82"/>
    <w:rsid w:val="00B064DA"/>
    <w:rsid w:val="00B06B72"/>
    <w:rsid w:val="00B07D3F"/>
    <w:rsid w:val="00B07D51"/>
    <w:rsid w:val="00B10188"/>
    <w:rsid w:val="00B105C7"/>
    <w:rsid w:val="00B1081F"/>
    <w:rsid w:val="00B10CEA"/>
    <w:rsid w:val="00B10D1B"/>
    <w:rsid w:val="00B10E76"/>
    <w:rsid w:val="00B116A8"/>
    <w:rsid w:val="00B11B69"/>
    <w:rsid w:val="00B120C3"/>
    <w:rsid w:val="00B1220D"/>
    <w:rsid w:val="00B1254B"/>
    <w:rsid w:val="00B135DE"/>
    <w:rsid w:val="00B13668"/>
    <w:rsid w:val="00B13CD6"/>
    <w:rsid w:val="00B13EA2"/>
    <w:rsid w:val="00B1438D"/>
    <w:rsid w:val="00B147B1"/>
    <w:rsid w:val="00B14817"/>
    <w:rsid w:val="00B14952"/>
    <w:rsid w:val="00B14EC8"/>
    <w:rsid w:val="00B152B9"/>
    <w:rsid w:val="00B15318"/>
    <w:rsid w:val="00B1571A"/>
    <w:rsid w:val="00B1589E"/>
    <w:rsid w:val="00B15F36"/>
    <w:rsid w:val="00B16102"/>
    <w:rsid w:val="00B16536"/>
    <w:rsid w:val="00B1676C"/>
    <w:rsid w:val="00B16871"/>
    <w:rsid w:val="00B16C1E"/>
    <w:rsid w:val="00B16E9B"/>
    <w:rsid w:val="00B1762F"/>
    <w:rsid w:val="00B2034C"/>
    <w:rsid w:val="00B208B7"/>
    <w:rsid w:val="00B20C43"/>
    <w:rsid w:val="00B20CCA"/>
    <w:rsid w:val="00B211CA"/>
    <w:rsid w:val="00B211EE"/>
    <w:rsid w:val="00B227DB"/>
    <w:rsid w:val="00B22D15"/>
    <w:rsid w:val="00B24BCE"/>
    <w:rsid w:val="00B25B45"/>
    <w:rsid w:val="00B26854"/>
    <w:rsid w:val="00B2739C"/>
    <w:rsid w:val="00B30C6E"/>
    <w:rsid w:val="00B3142F"/>
    <w:rsid w:val="00B317BC"/>
    <w:rsid w:val="00B31E5A"/>
    <w:rsid w:val="00B32040"/>
    <w:rsid w:val="00B32B01"/>
    <w:rsid w:val="00B3311E"/>
    <w:rsid w:val="00B33601"/>
    <w:rsid w:val="00B3376A"/>
    <w:rsid w:val="00B342F3"/>
    <w:rsid w:val="00B3479F"/>
    <w:rsid w:val="00B34CB4"/>
    <w:rsid w:val="00B35283"/>
    <w:rsid w:val="00B356E5"/>
    <w:rsid w:val="00B3622C"/>
    <w:rsid w:val="00B405D7"/>
    <w:rsid w:val="00B411FC"/>
    <w:rsid w:val="00B4129E"/>
    <w:rsid w:val="00B418A1"/>
    <w:rsid w:val="00B421EC"/>
    <w:rsid w:val="00B428AD"/>
    <w:rsid w:val="00B4295A"/>
    <w:rsid w:val="00B42B05"/>
    <w:rsid w:val="00B4309F"/>
    <w:rsid w:val="00B43B27"/>
    <w:rsid w:val="00B4400E"/>
    <w:rsid w:val="00B4468B"/>
    <w:rsid w:val="00B4495E"/>
    <w:rsid w:val="00B44FB1"/>
    <w:rsid w:val="00B4527D"/>
    <w:rsid w:val="00B46B60"/>
    <w:rsid w:val="00B46E61"/>
    <w:rsid w:val="00B47359"/>
    <w:rsid w:val="00B473A4"/>
    <w:rsid w:val="00B4784D"/>
    <w:rsid w:val="00B47C5A"/>
    <w:rsid w:val="00B47DB8"/>
    <w:rsid w:val="00B47F2F"/>
    <w:rsid w:val="00B5057A"/>
    <w:rsid w:val="00B50E62"/>
    <w:rsid w:val="00B53631"/>
    <w:rsid w:val="00B5391D"/>
    <w:rsid w:val="00B53F76"/>
    <w:rsid w:val="00B53FB7"/>
    <w:rsid w:val="00B54095"/>
    <w:rsid w:val="00B548CC"/>
    <w:rsid w:val="00B5587C"/>
    <w:rsid w:val="00B559F6"/>
    <w:rsid w:val="00B55EDF"/>
    <w:rsid w:val="00B60128"/>
    <w:rsid w:val="00B6021E"/>
    <w:rsid w:val="00B60805"/>
    <w:rsid w:val="00B60ACA"/>
    <w:rsid w:val="00B6147A"/>
    <w:rsid w:val="00B6158A"/>
    <w:rsid w:val="00B62B41"/>
    <w:rsid w:val="00B631CF"/>
    <w:rsid w:val="00B6340B"/>
    <w:rsid w:val="00B63FF9"/>
    <w:rsid w:val="00B644CA"/>
    <w:rsid w:val="00B64A4B"/>
    <w:rsid w:val="00B653AB"/>
    <w:rsid w:val="00B659E9"/>
    <w:rsid w:val="00B65F9E"/>
    <w:rsid w:val="00B66687"/>
    <w:rsid w:val="00B66B19"/>
    <w:rsid w:val="00B676C1"/>
    <w:rsid w:val="00B7001B"/>
    <w:rsid w:val="00B704FE"/>
    <w:rsid w:val="00B70972"/>
    <w:rsid w:val="00B71675"/>
    <w:rsid w:val="00B718E1"/>
    <w:rsid w:val="00B72A1A"/>
    <w:rsid w:val="00B72AA1"/>
    <w:rsid w:val="00B7386E"/>
    <w:rsid w:val="00B744DB"/>
    <w:rsid w:val="00B746F7"/>
    <w:rsid w:val="00B75491"/>
    <w:rsid w:val="00B762BE"/>
    <w:rsid w:val="00B769B5"/>
    <w:rsid w:val="00B774B8"/>
    <w:rsid w:val="00B80D42"/>
    <w:rsid w:val="00B8145F"/>
    <w:rsid w:val="00B81469"/>
    <w:rsid w:val="00B81C89"/>
    <w:rsid w:val="00B82123"/>
    <w:rsid w:val="00B825AD"/>
    <w:rsid w:val="00B82CFF"/>
    <w:rsid w:val="00B84C43"/>
    <w:rsid w:val="00B84C66"/>
    <w:rsid w:val="00B84CA6"/>
    <w:rsid w:val="00B84D98"/>
    <w:rsid w:val="00B85272"/>
    <w:rsid w:val="00B855FF"/>
    <w:rsid w:val="00B85841"/>
    <w:rsid w:val="00B861BA"/>
    <w:rsid w:val="00B86A9B"/>
    <w:rsid w:val="00B90339"/>
    <w:rsid w:val="00B903FF"/>
    <w:rsid w:val="00B90DDF"/>
    <w:rsid w:val="00B914E9"/>
    <w:rsid w:val="00B92EAF"/>
    <w:rsid w:val="00B92F1D"/>
    <w:rsid w:val="00B95378"/>
    <w:rsid w:val="00B956EE"/>
    <w:rsid w:val="00B95C65"/>
    <w:rsid w:val="00B97D19"/>
    <w:rsid w:val="00BA00CC"/>
    <w:rsid w:val="00BA116D"/>
    <w:rsid w:val="00BA18B3"/>
    <w:rsid w:val="00BA25E9"/>
    <w:rsid w:val="00BA2941"/>
    <w:rsid w:val="00BA2BA1"/>
    <w:rsid w:val="00BA3447"/>
    <w:rsid w:val="00BA3562"/>
    <w:rsid w:val="00BA445A"/>
    <w:rsid w:val="00BA45BB"/>
    <w:rsid w:val="00BA5003"/>
    <w:rsid w:val="00BA577F"/>
    <w:rsid w:val="00BA5961"/>
    <w:rsid w:val="00BA5ABB"/>
    <w:rsid w:val="00BA6609"/>
    <w:rsid w:val="00BB0216"/>
    <w:rsid w:val="00BB10E0"/>
    <w:rsid w:val="00BB1634"/>
    <w:rsid w:val="00BB168D"/>
    <w:rsid w:val="00BB16EA"/>
    <w:rsid w:val="00BB19E3"/>
    <w:rsid w:val="00BB1E12"/>
    <w:rsid w:val="00BB4547"/>
    <w:rsid w:val="00BB4729"/>
    <w:rsid w:val="00BB4F09"/>
    <w:rsid w:val="00BB533F"/>
    <w:rsid w:val="00BB54B5"/>
    <w:rsid w:val="00BB6481"/>
    <w:rsid w:val="00BB6872"/>
    <w:rsid w:val="00BB6A26"/>
    <w:rsid w:val="00BB6FB7"/>
    <w:rsid w:val="00BB764F"/>
    <w:rsid w:val="00BB7663"/>
    <w:rsid w:val="00BB78FB"/>
    <w:rsid w:val="00BB7ECA"/>
    <w:rsid w:val="00BC0488"/>
    <w:rsid w:val="00BC0902"/>
    <w:rsid w:val="00BC0E0B"/>
    <w:rsid w:val="00BC0E3B"/>
    <w:rsid w:val="00BC0EEB"/>
    <w:rsid w:val="00BC1204"/>
    <w:rsid w:val="00BC14AE"/>
    <w:rsid w:val="00BC1801"/>
    <w:rsid w:val="00BC29B1"/>
    <w:rsid w:val="00BC29C9"/>
    <w:rsid w:val="00BC2E4A"/>
    <w:rsid w:val="00BC3449"/>
    <w:rsid w:val="00BC3462"/>
    <w:rsid w:val="00BC350B"/>
    <w:rsid w:val="00BC3917"/>
    <w:rsid w:val="00BC4484"/>
    <w:rsid w:val="00BC4E12"/>
    <w:rsid w:val="00BC500B"/>
    <w:rsid w:val="00BC5B22"/>
    <w:rsid w:val="00BC61ED"/>
    <w:rsid w:val="00BC6281"/>
    <w:rsid w:val="00BC72D4"/>
    <w:rsid w:val="00BC76B1"/>
    <w:rsid w:val="00BC7ED4"/>
    <w:rsid w:val="00BD056B"/>
    <w:rsid w:val="00BD0964"/>
    <w:rsid w:val="00BD1203"/>
    <w:rsid w:val="00BD1ACA"/>
    <w:rsid w:val="00BD1F9A"/>
    <w:rsid w:val="00BD3DA5"/>
    <w:rsid w:val="00BD4375"/>
    <w:rsid w:val="00BD47ED"/>
    <w:rsid w:val="00BD4E33"/>
    <w:rsid w:val="00BD5A8F"/>
    <w:rsid w:val="00BD5BFC"/>
    <w:rsid w:val="00BD691A"/>
    <w:rsid w:val="00BD6926"/>
    <w:rsid w:val="00BD7DCF"/>
    <w:rsid w:val="00BE04E3"/>
    <w:rsid w:val="00BE051C"/>
    <w:rsid w:val="00BE166B"/>
    <w:rsid w:val="00BE1761"/>
    <w:rsid w:val="00BE1C91"/>
    <w:rsid w:val="00BE234E"/>
    <w:rsid w:val="00BE3361"/>
    <w:rsid w:val="00BE3839"/>
    <w:rsid w:val="00BE3E6A"/>
    <w:rsid w:val="00BE406A"/>
    <w:rsid w:val="00BE5A2C"/>
    <w:rsid w:val="00BE5BD9"/>
    <w:rsid w:val="00BE6027"/>
    <w:rsid w:val="00BE69CA"/>
    <w:rsid w:val="00BF0664"/>
    <w:rsid w:val="00BF088E"/>
    <w:rsid w:val="00BF092B"/>
    <w:rsid w:val="00BF0B20"/>
    <w:rsid w:val="00BF165F"/>
    <w:rsid w:val="00BF16D6"/>
    <w:rsid w:val="00BF1F06"/>
    <w:rsid w:val="00BF26FC"/>
    <w:rsid w:val="00BF2977"/>
    <w:rsid w:val="00BF2B61"/>
    <w:rsid w:val="00BF2B69"/>
    <w:rsid w:val="00BF301C"/>
    <w:rsid w:val="00BF3180"/>
    <w:rsid w:val="00BF3217"/>
    <w:rsid w:val="00BF33EE"/>
    <w:rsid w:val="00BF3EC1"/>
    <w:rsid w:val="00BF4921"/>
    <w:rsid w:val="00BF50AD"/>
    <w:rsid w:val="00BF58B7"/>
    <w:rsid w:val="00BF5F0B"/>
    <w:rsid w:val="00BF6E67"/>
    <w:rsid w:val="00BF73E1"/>
    <w:rsid w:val="00C0089F"/>
    <w:rsid w:val="00C0097F"/>
    <w:rsid w:val="00C02626"/>
    <w:rsid w:val="00C02FB8"/>
    <w:rsid w:val="00C030DE"/>
    <w:rsid w:val="00C03781"/>
    <w:rsid w:val="00C04356"/>
    <w:rsid w:val="00C047DB"/>
    <w:rsid w:val="00C051A8"/>
    <w:rsid w:val="00C05C2A"/>
    <w:rsid w:val="00C05DB2"/>
    <w:rsid w:val="00C06836"/>
    <w:rsid w:val="00C07987"/>
    <w:rsid w:val="00C11EAF"/>
    <w:rsid w:val="00C121E7"/>
    <w:rsid w:val="00C122EA"/>
    <w:rsid w:val="00C13295"/>
    <w:rsid w:val="00C13EF5"/>
    <w:rsid w:val="00C1411C"/>
    <w:rsid w:val="00C1500D"/>
    <w:rsid w:val="00C15707"/>
    <w:rsid w:val="00C166F0"/>
    <w:rsid w:val="00C16DFE"/>
    <w:rsid w:val="00C17A11"/>
    <w:rsid w:val="00C17BE8"/>
    <w:rsid w:val="00C20776"/>
    <w:rsid w:val="00C21124"/>
    <w:rsid w:val="00C21FAB"/>
    <w:rsid w:val="00C22105"/>
    <w:rsid w:val="00C22C69"/>
    <w:rsid w:val="00C230F8"/>
    <w:rsid w:val="00C2366D"/>
    <w:rsid w:val="00C244B6"/>
    <w:rsid w:val="00C25146"/>
    <w:rsid w:val="00C252DB"/>
    <w:rsid w:val="00C25D7B"/>
    <w:rsid w:val="00C263BB"/>
    <w:rsid w:val="00C26E79"/>
    <w:rsid w:val="00C2765E"/>
    <w:rsid w:val="00C2796C"/>
    <w:rsid w:val="00C279E2"/>
    <w:rsid w:val="00C27A3A"/>
    <w:rsid w:val="00C27B2C"/>
    <w:rsid w:val="00C27BD3"/>
    <w:rsid w:val="00C27BF1"/>
    <w:rsid w:val="00C27F99"/>
    <w:rsid w:val="00C30833"/>
    <w:rsid w:val="00C30E3B"/>
    <w:rsid w:val="00C3135B"/>
    <w:rsid w:val="00C32357"/>
    <w:rsid w:val="00C33588"/>
    <w:rsid w:val="00C33A63"/>
    <w:rsid w:val="00C3453B"/>
    <w:rsid w:val="00C34564"/>
    <w:rsid w:val="00C34636"/>
    <w:rsid w:val="00C3521F"/>
    <w:rsid w:val="00C35233"/>
    <w:rsid w:val="00C355A6"/>
    <w:rsid w:val="00C35652"/>
    <w:rsid w:val="00C35671"/>
    <w:rsid w:val="00C35C4F"/>
    <w:rsid w:val="00C3702F"/>
    <w:rsid w:val="00C377A6"/>
    <w:rsid w:val="00C41195"/>
    <w:rsid w:val="00C41733"/>
    <w:rsid w:val="00C41C33"/>
    <w:rsid w:val="00C42752"/>
    <w:rsid w:val="00C43FA8"/>
    <w:rsid w:val="00C4428A"/>
    <w:rsid w:val="00C44AC5"/>
    <w:rsid w:val="00C44BDC"/>
    <w:rsid w:val="00C44CFE"/>
    <w:rsid w:val="00C4500A"/>
    <w:rsid w:val="00C45058"/>
    <w:rsid w:val="00C4512D"/>
    <w:rsid w:val="00C45AFC"/>
    <w:rsid w:val="00C45F69"/>
    <w:rsid w:val="00C4601F"/>
    <w:rsid w:val="00C46375"/>
    <w:rsid w:val="00C470DB"/>
    <w:rsid w:val="00C500D4"/>
    <w:rsid w:val="00C50804"/>
    <w:rsid w:val="00C508DC"/>
    <w:rsid w:val="00C5096D"/>
    <w:rsid w:val="00C50DF9"/>
    <w:rsid w:val="00C525C1"/>
    <w:rsid w:val="00C545D8"/>
    <w:rsid w:val="00C5464C"/>
    <w:rsid w:val="00C54714"/>
    <w:rsid w:val="00C54ACF"/>
    <w:rsid w:val="00C55406"/>
    <w:rsid w:val="00C55489"/>
    <w:rsid w:val="00C55E20"/>
    <w:rsid w:val="00C56C38"/>
    <w:rsid w:val="00C5700A"/>
    <w:rsid w:val="00C57772"/>
    <w:rsid w:val="00C57E86"/>
    <w:rsid w:val="00C614D1"/>
    <w:rsid w:val="00C61917"/>
    <w:rsid w:val="00C61A0C"/>
    <w:rsid w:val="00C62238"/>
    <w:rsid w:val="00C626FC"/>
    <w:rsid w:val="00C62D42"/>
    <w:rsid w:val="00C645AC"/>
    <w:rsid w:val="00C64817"/>
    <w:rsid w:val="00C64A37"/>
    <w:rsid w:val="00C64E04"/>
    <w:rsid w:val="00C66664"/>
    <w:rsid w:val="00C66BB0"/>
    <w:rsid w:val="00C67595"/>
    <w:rsid w:val="00C67711"/>
    <w:rsid w:val="00C7046B"/>
    <w:rsid w:val="00C7099C"/>
    <w:rsid w:val="00C7158E"/>
    <w:rsid w:val="00C71E09"/>
    <w:rsid w:val="00C720DC"/>
    <w:rsid w:val="00C7233B"/>
    <w:rsid w:val="00C7250B"/>
    <w:rsid w:val="00C7253B"/>
    <w:rsid w:val="00C72A6F"/>
    <w:rsid w:val="00C72EE0"/>
    <w:rsid w:val="00C7346B"/>
    <w:rsid w:val="00C73B9A"/>
    <w:rsid w:val="00C74979"/>
    <w:rsid w:val="00C76967"/>
    <w:rsid w:val="00C76BF8"/>
    <w:rsid w:val="00C7737E"/>
    <w:rsid w:val="00C77C0E"/>
    <w:rsid w:val="00C80863"/>
    <w:rsid w:val="00C80C73"/>
    <w:rsid w:val="00C81191"/>
    <w:rsid w:val="00C81DF2"/>
    <w:rsid w:val="00C82DD5"/>
    <w:rsid w:val="00C8311F"/>
    <w:rsid w:val="00C840D6"/>
    <w:rsid w:val="00C8490B"/>
    <w:rsid w:val="00C85688"/>
    <w:rsid w:val="00C85746"/>
    <w:rsid w:val="00C865B5"/>
    <w:rsid w:val="00C86969"/>
    <w:rsid w:val="00C86D19"/>
    <w:rsid w:val="00C878EE"/>
    <w:rsid w:val="00C87D58"/>
    <w:rsid w:val="00C90D70"/>
    <w:rsid w:val="00C911D2"/>
    <w:rsid w:val="00C9135C"/>
    <w:rsid w:val="00C91454"/>
    <w:rsid w:val="00C91687"/>
    <w:rsid w:val="00C920F1"/>
    <w:rsid w:val="00C922C3"/>
    <w:rsid w:val="00C924A8"/>
    <w:rsid w:val="00C929F3"/>
    <w:rsid w:val="00C933BB"/>
    <w:rsid w:val="00C93B93"/>
    <w:rsid w:val="00C93CF3"/>
    <w:rsid w:val="00C940BB"/>
    <w:rsid w:val="00C945FE"/>
    <w:rsid w:val="00C94AF3"/>
    <w:rsid w:val="00C94D7D"/>
    <w:rsid w:val="00C95294"/>
    <w:rsid w:val="00C9584D"/>
    <w:rsid w:val="00C96165"/>
    <w:rsid w:val="00C96FAA"/>
    <w:rsid w:val="00C97A04"/>
    <w:rsid w:val="00CA0B56"/>
    <w:rsid w:val="00CA107B"/>
    <w:rsid w:val="00CA1505"/>
    <w:rsid w:val="00CA188B"/>
    <w:rsid w:val="00CA1F64"/>
    <w:rsid w:val="00CA216A"/>
    <w:rsid w:val="00CA24D9"/>
    <w:rsid w:val="00CA24F2"/>
    <w:rsid w:val="00CA2A35"/>
    <w:rsid w:val="00CA33B9"/>
    <w:rsid w:val="00CA3AEE"/>
    <w:rsid w:val="00CA3E0F"/>
    <w:rsid w:val="00CA4195"/>
    <w:rsid w:val="00CA484D"/>
    <w:rsid w:val="00CA4FB6"/>
    <w:rsid w:val="00CA6B90"/>
    <w:rsid w:val="00CA6BF9"/>
    <w:rsid w:val="00CB011D"/>
    <w:rsid w:val="00CB040A"/>
    <w:rsid w:val="00CB07BB"/>
    <w:rsid w:val="00CB0B49"/>
    <w:rsid w:val="00CB168C"/>
    <w:rsid w:val="00CB1A53"/>
    <w:rsid w:val="00CB2457"/>
    <w:rsid w:val="00CB2921"/>
    <w:rsid w:val="00CB2C78"/>
    <w:rsid w:val="00CB2F90"/>
    <w:rsid w:val="00CB5395"/>
    <w:rsid w:val="00CB6056"/>
    <w:rsid w:val="00CB655C"/>
    <w:rsid w:val="00CB6AD4"/>
    <w:rsid w:val="00CB7A82"/>
    <w:rsid w:val="00CC0175"/>
    <w:rsid w:val="00CC0B5E"/>
    <w:rsid w:val="00CC0CC6"/>
    <w:rsid w:val="00CC11F8"/>
    <w:rsid w:val="00CC1290"/>
    <w:rsid w:val="00CC1796"/>
    <w:rsid w:val="00CC1D35"/>
    <w:rsid w:val="00CC1FD1"/>
    <w:rsid w:val="00CC2D2B"/>
    <w:rsid w:val="00CC3838"/>
    <w:rsid w:val="00CC383D"/>
    <w:rsid w:val="00CC46DD"/>
    <w:rsid w:val="00CC4FA1"/>
    <w:rsid w:val="00CC5FC6"/>
    <w:rsid w:val="00CC6B2B"/>
    <w:rsid w:val="00CC6E83"/>
    <w:rsid w:val="00CC739E"/>
    <w:rsid w:val="00CC73E0"/>
    <w:rsid w:val="00CC7C3B"/>
    <w:rsid w:val="00CC7C7E"/>
    <w:rsid w:val="00CD02DE"/>
    <w:rsid w:val="00CD06D9"/>
    <w:rsid w:val="00CD0DDF"/>
    <w:rsid w:val="00CD1EBB"/>
    <w:rsid w:val="00CD28CF"/>
    <w:rsid w:val="00CD2929"/>
    <w:rsid w:val="00CD376E"/>
    <w:rsid w:val="00CD39E7"/>
    <w:rsid w:val="00CD3E84"/>
    <w:rsid w:val="00CD3EE5"/>
    <w:rsid w:val="00CD42A3"/>
    <w:rsid w:val="00CD5406"/>
    <w:rsid w:val="00CD54AF"/>
    <w:rsid w:val="00CD5757"/>
    <w:rsid w:val="00CD58B7"/>
    <w:rsid w:val="00CD5D51"/>
    <w:rsid w:val="00CD5DEA"/>
    <w:rsid w:val="00CD7954"/>
    <w:rsid w:val="00CD7967"/>
    <w:rsid w:val="00CE129C"/>
    <w:rsid w:val="00CE15E1"/>
    <w:rsid w:val="00CE1E7F"/>
    <w:rsid w:val="00CE272A"/>
    <w:rsid w:val="00CE2A23"/>
    <w:rsid w:val="00CE3540"/>
    <w:rsid w:val="00CE42E2"/>
    <w:rsid w:val="00CE430B"/>
    <w:rsid w:val="00CE4779"/>
    <w:rsid w:val="00CE4896"/>
    <w:rsid w:val="00CE632A"/>
    <w:rsid w:val="00CE6753"/>
    <w:rsid w:val="00CE6819"/>
    <w:rsid w:val="00CF02BB"/>
    <w:rsid w:val="00CF08F4"/>
    <w:rsid w:val="00CF106E"/>
    <w:rsid w:val="00CF18C0"/>
    <w:rsid w:val="00CF18EE"/>
    <w:rsid w:val="00CF1D7A"/>
    <w:rsid w:val="00CF2276"/>
    <w:rsid w:val="00CF30BD"/>
    <w:rsid w:val="00CF3950"/>
    <w:rsid w:val="00CF39CB"/>
    <w:rsid w:val="00CF3A00"/>
    <w:rsid w:val="00CF4099"/>
    <w:rsid w:val="00CF4421"/>
    <w:rsid w:val="00CF4B98"/>
    <w:rsid w:val="00CF6406"/>
    <w:rsid w:val="00CF6766"/>
    <w:rsid w:val="00CF6C79"/>
    <w:rsid w:val="00CF6E26"/>
    <w:rsid w:val="00CF7439"/>
    <w:rsid w:val="00CF7562"/>
    <w:rsid w:val="00CF774D"/>
    <w:rsid w:val="00D00796"/>
    <w:rsid w:val="00D02E55"/>
    <w:rsid w:val="00D031A4"/>
    <w:rsid w:val="00D03872"/>
    <w:rsid w:val="00D04F98"/>
    <w:rsid w:val="00D05D74"/>
    <w:rsid w:val="00D062C0"/>
    <w:rsid w:val="00D06C67"/>
    <w:rsid w:val="00D06EB3"/>
    <w:rsid w:val="00D10972"/>
    <w:rsid w:val="00D1198E"/>
    <w:rsid w:val="00D119C5"/>
    <w:rsid w:val="00D14143"/>
    <w:rsid w:val="00D14145"/>
    <w:rsid w:val="00D154A2"/>
    <w:rsid w:val="00D1575B"/>
    <w:rsid w:val="00D1596E"/>
    <w:rsid w:val="00D16486"/>
    <w:rsid w:val="00D1667D"/>
    <w:rsid w:val="00D16CA3"/>
    <w:rsid w:val="00D17903"/>
    <w:rsid w:val="00D17E38"/>
    <w:rsid w:val="00D20A74"/>
    <w:rsid w:val="00D20C71"/>
    <w:rsid w:val="00D20F9A"/>
    <w:rsid w:val="00D21031"/>
    <w:rsid w:val="00D213C5"/>
    <w:rsid w:val="00D21E73"/>
    <w:rsid w:val="00D2277E"/>
    <w:rsid w:val="00D2357A"/>
    <w:rsid w:val="00D24F24"/>
    <w:rsid w:val="00D2532C"/>
    <w:rsid w:val="00D25F9A"/>
    <w:rsid w:val="00D261A2"/>
    <w:rsid w:val="00D274A5"/>
    <w:rsid w:val="00D27C76"/>
    <w:rsid w:val="00D3038A"/>
    <w:rsid w:val="00D30D9E"/>
    <w:rsid w:val="00D30DBA"/>
    <w:rsid w:val="00D310BE"/>
    <w:rsid w:val="00D31A9E"/>
    <w:rsid w:val="00D31BCD"/>
    <w:rsid w:val="00D3234E"/>
    <w:rsid w:val="00D32B31"/>
    <w:rsid w:val="00D32E33"/>
    <w:rsid w:val="00D334E2"/>
    <w:rsid w:val="00D33938"/>
    <w:rsid w:val="00D3393F"/>
    <w:rsid w:val="00D33AB8"/>
    <w:rsid w:val="00D34B47"/>
    <w:rsid w:val="00D35BA9"/>
    <w:rsid w:val="00D35D11"/>
    <w:rsid w:val="00D36345"/>
    <w:rsid w:val="00D36F81"/>
    <w:rsid w:val="00D40652"/>
    <w:rsid w:val="00D411F9"/>
    <w:rsid w:val="00D41A9D"/>
    <w:rsid w:val="00D41B9C"/>
    <w:rsid w:val="00D427A2"/>
    <w:rsid w:val="00D446C4"/>
    <w:rsid w:val="00D44BF4"/>
    <w:rsid w:val="00D44DEB"/>
    <w:rsid w:val="00D44F2E"/>
    <w:rsid w:val="00D45D76"/>
    <w:rsid w:val="00D45EAC"/>
    <w:rsid w:val="00D460B0"/>
    <w:rsid w:val="00D467D5"/>
    <w:rsid w:val="00D47151"/>
    <w:rsid w:val="00D475C5"/>
    <w:rsid w:val="00D47E3E"/>
    <w:rsid w:val="00D500B1"/>
    <w:rsid w:val="00D505DC"/>
    <w:rsid w:val="00D50CAE"/>
    <w:rsid w:val="00D50FA3"/>
    <w:rsid w:val="00D512B1"/>
    <w:rsid w:val="00D518DC"/>
    <w:rsid w:val="00D51B04"/>
    <w:rsid w:val="00D51F73"/>
    <w:rsid w:val="00D530B6"/>
    <w:rsid w:val="00D5361B"/>
    <w:rsid w:val="00D53B61"/>
    <w:rsid w:val="00D53DD5"/>
    <w:rsid w:val="00D54D6C"/>
    <w:rsid w:val="00D55281"/>
    <w:rsid w:val="00D5579D"/>
    <w:rsid w:val="00D579DB"/>
    <w:rsid w:val="00D57CA2"/>
    <w:rsid w:val="00D6004A"/>
    <w:rsid w:val="00D6085A"/>
    <w:rsid w:val="00D614C0"/>
    <w:rsid w:val="00D616D2"/>
    <w:rsid w:val="00D61715"/>
    <w:rsid w:val="00D61B72"/>
    <w:rsid w:val="00D62108"/>
    <w:rsid w:val="00D62410"/>
    <w:rsid w:val="00D62586"/>
    <w:rsid w:val="00D62D4A"/>
    <w:rsid w:val="00D63962"/>
    <w:rsid w:val="00D63B5F"/>
    <w:rsid w:val="00D64104"/>
    <w:rsid w:val="00D64538"/>
    <w:rsid w:val="00D6462B"/>
    <w:rsid w:val="00D655D7"/>
    <w:rsid w:val="00D65DF6"/>
    <w:rsid w:val="00D66BE3"/>
    <w:rsid w:val="00D67588"/>
    <w:rsid w:val="00D677CD"/>
    <w:rsid w:val="00D67D6F"/>
    <w:rsid w:val="00D70597"/>
    <w:rsid w:val="00D709CE"/>
    <w:rsid w:val="00D70A0F"/>
    <w:rsid w:val="00D70EF7"/>
    <w:rsid w:val="00D71A9B"/>
    <w:rsid w:val="00D71D01"/>
    <w:rsid w:val="00D720A4"/>
    <w:rsid w:val="00D7231C"/>
    <w:rsid w:val="00D727F9"/>
    <w:rsid w:val="00D736EC"/>
    <w:rsid w:val="00D74354"/>
    <w:rsid w:val="00D75635"/>
    <w:rsid w:val="00D761E1"/>
    <w:rsid w:val="00D769DC"/>
    <w:rsid w:val="00D76BCB"/>
    <w:rsid w:val="00D76E8C"/>
    <w:rsid w:val="00D800FE"/>
    <w:rsid w:val="00D809DD"/>
    <w:rsid w:val="00D8110B"/>
    <w:rsid w:val="00D81413"/>
    <w:rsid w:val="00D82D93"/>
    <w:rsid w:val="00D82FB0"/>
    <w:rsid w:val="00D8356A"/>
    <w:rsid w:val="00D8397C"/>
    <w:rsid w:val="00D83ACD"/>
    <w:rsid w:val="00D8561F"/>
    <w:rsid w:val="00D856A6"/>
    <w:rsid w:val="00D856FF"/>
    <w:rsid w:val="00D85715"/>
    <w:rsid w:val="00D858F0"/>
    <w:rsid w:val="00D85E31"/>
    <w:rsid w:val="00D87067"/>
    <w:rsid w:val="00D873D6"/>
    <w:rsid w:val="00D87D59"/>
    <w:rsid w:val="00D90558"/>
    <w:rsid w:val="00D907DF"/>
    <w:rsid w:val="00D90987"/>
    <w:rsid w:val="00D90A45"/>
    <w:rsid w:val="00D9123C"/>
    <w:rsid w:val="00D913AE"/>
    <w:rsid w:val="00D91BBA"/>
    <w:rsid w:val="00D92E9C"/>
    <w:rsid w:val="00D93A75"/>
    <w:rsid w:val="00D9477E"/>
    <w:rsid w:val="00D94EED"/>
    <w:rsid w:val="00D95272"/>
    <w:rsid w:val="00D95880"/>
    <w:rsid w:val="00D95DED"/>
    <w:rsid w:val="00D96026"/>
    <w:rsid w:val="00D969B3"/>
    <w:rsid w:val="00D972F6"/>
    <w:rsid w:val="00DA14AB"/>
    <w:rsid w:val="00DA1C3D"/>
    <w:rsid w:val="00DA1D41"/>
    <w:rsid w:val="00DA331D"/>
    <w:rsid w:val="00DA3664"/>
    <w:rsid w:val="00DA37ED"/>
    <w:rsid w:val="00DA3A67"/>
    <w:rsid w:val="00DA3B23"/>
    <w:rsid w:val="00DA4AD3"/>
    <w:rsid w:val="00DA4F3C"/>
    <w:rsid w:val="00DA5246"/>
    <w:rsid w:val="00DA5859"/>
    <w:rsid w:val="00DA6D8F"/>
    <w:rsid w:val="00DA6EE4"/>
    <w:rsid w:val="00DA7C1C"/>
    <w:rsid w:val="00DB0BF2"/>
    <w:rsid w:val="00DB0D68"/>
    <w:rsid w:val="00DB147A"/>
    <w:rsid w:val="00DB19AC"/>
    <w:rsid w:val="00DB1B7A"/>
    <w:rsid w:val="00DB26BA"/>
    <w:rsid w:val="00DB32AA"/>
    <w:rsid w:val="00DB3563"/>
    <w:rsid w:val="00DB389E"/>
    <w:rsid w:val="00DB39FF"/>
    <w:rsid w:val="00DB40B7"/>
    <w:rsid w:val="00DB4B26"/>
    <w:rsid w:val="00DB6371"/>
    <w:rsid w:val="00DB679F"/>
    <w:rsid w:val="00DB706E"/>
    <w:rsid w:val="00DB7205"/>
    <w:rsid w:val="00DB7D32"/>
    <w:rsid w:val="00DB7FB1"/>
    <w:rsid w:val="00DC0827"/>
    <w:rsid w:val="00DC0A22"/>
    <w:rsid w:val="00DC1420"/>
    <w:rsid w:val="00DC158A"/>
    <w:rsid w:val="00DC1A37"/>
    <w:rsid w:val="00DC201F"/>
    <w:rsid w:val="00DC207F"/>
    <w:rsid w:val="00DC2834"/>
    <w:rsid w:val="00DC2896"/>
    <w:rsid w:val="00DC2BF2"/>
    <w:rsid w:val="00DC2E03"/>
    <w:rsid w:val="00DC2F2A"/>
    <w:rsid w:val="00DC3165"/>
    <w:rsid w:val="00DC31F6"/>
    <w:rsid w:val="00DC336D"/>
    <w:rsid w:val="00DC363A"/>
    <w:rsid w:val="00DC47E0"/>
    <w:rsid w:val="00DC515C"/>
    <w:rsid w:val="00DC55D6"/>
    <w:rsid w:val="00DC5679"/>
    <w:rsid w:val="00DC6708"/>
    <w:rsid w:val="00DD00FB"/>
    <w:rsid w:val="00DD011A"/>
    <w:rsid w:val="00DD0130"/>
    <w:rsid w:val="00DD127E"/>
    <w:rsid w:val="00DD1528"/>
    <w:rsid w:val="00DD15A1"/>
    <w:rsid w:val="00DD26B5"/>
    <w:rsid w:val="00DD2850"/>
    <w:rsid w:val="00DD2F83"/>
    <w:rsid w:val="00DD33DB"/>
    <w:rsid w:val="00DD5661"/>
    <w:rsid w:val="00DD711D"/>
    <w:rsid w:val="00DD7627"/>
    <w:rsid w:val="00DD7771"/>
    <w:rsid w:val="00DD7B57"/>
    <w:rsid w:val="00DE115A"/>
    <w:rsid w:val="00DE2326"/>
    <w:rsid w:val="00DE2400"/>
    <w:rsid w:val="00DE3C2B"/>
    <w:rsid w:val="00DE3F49"/>
    <w:rsid w:val="00DE4A2F"/>
    <w:rsid w:val="00DE58F1"/>
    <w:rsid w:val="00DE6B58"/>
    <w:rsid w:val="00DE6E82"/>
    <w:rsid w:val="00DF09D7"/>
    <w:rsid w:val="00DF0B64"/>
    <w:rsid w:val="00DF15A8"/>
    <w:rsid w:val="00DF369A"/>
    <w:rsid w:val="00DF4D24"/>
    <w:rsid w:val="00DF5125"/>
    <w:rsid w:val="00DF526C"/>
    <w:rsid w:val="00DF5E1E"/>
    <w:rsid w:val="00DF5E32"/>
    <w:rsid w:val="00DF60E6"/>
    <w:rsid w:val="00DF65D6"/>
    <w:rsid w:val="00DF67B2"/>
    <w:rsid w:val="00DF6E22"/>
    <w:rsid w:val="00DF711C"/>
    <w:rsid w:val="00DF7B73"/>
    <w:rsid w:val="00E000CE"/>
    <w:rsid w:val="00E00AC8"/>
    <w:rsid w:val="00E01436"/>
    <w:rsid w:val="00E0178C"/>
    <w:rsid w:val="00E01D55"/>
    <w:rsid w:val="00E02244"/>
    <w:rsid w:val="00E022D3"/>
    <w:rsid w:val="00E02C4B"/>
    <w:rsid w:val="00E03E79"/>
    <w:rsid w:val="00E045BD"/>
    <w:rsid w:val="00E04948"/>
    <w:rsid w:val="00E04C88"/>
    <w:rsid w:val="00E04D6C"/>
    <w:rsid w:val="00E05EE3"/>
    <w:rsid w:val="00E06936"/>
    <w:rsid w:val="00E077DA"/>
    <w:rsid w:val="00E108B7"/>
    <w:rsid w:val="00E10C78"/>
    <w:rsid w:val="00E111A1"/>
    <w:rsid w:val="00E114AE"/>
    <w:rsid w:val="00E12EB2"/>
    <w:rsid w:val="00E13C8A"/>
    <w:rsid w:val="00E1449C"/>
    <w:rsid w:val="00E14D03"/>
    <w:rsid w:val="00E154F2"/>
    <w:rsid w:val="00E15DF8"/>
    <w:rsid w:val="00E16509"/>
    <w:rsid w:val="00E174A5"/>
    <w:rsid w:val="00E17B77"/>
    <w:rsid w:val="00E17C2B"/>
    <w:rsid w:val="00E20E7A"/>
    <w:rsid w:val="00E22889"/>
    <w:rsid w:val="00E22E50"/>
    <w:rsid w:val="00E231AB"/>
    <w:rsid w:val="00E23337"/>
    <w:rsid w:val="00E23488"/>
    <w:rsid w:val="00E237D5"/>
    <w:rsid w:val="00E2388B"/>
    <w:rsid w:val="00E23C6B"/>
    <w:rsid w:val="00E24077"/>
    <w:rsid w:val="00E25327"/>
    <w:rsid w:val="00E253FB"/>
    <w:rsid w:val="00E259EA"/>
    <w:rsid w:val="00E25D33"/>
    <w:rsid w:val="00E260E4"/>
    <w:rsid w:val="00E26DFD"/>
    <w:rsid w:val="00E277BA"/>
    <w:rsid w:val="00E27D5C"/>
    <w:rsid w:val="00E30CC5"/>
    <w:rsid w:val="00E315FE"/>
    <w:rsid w:val="00E31AD7"/>
    <w:rsid w:val="00E32061"/>
    <w:rsid w:val="00E321C8"/>
    <w:rsid w:val="00E322C9"/>
    <w:rsid w:val="00E323B4"/>
    <w:rsid w:val="00E328CF"/>
    <w:rsid w:val="00E32BE8"/>
    <w:rsid w:val="00E32EE0"/>
    <w:rsid w:val="00E33087"/>
    <w:rsid w:val="00E33831"/>
    <w:rsid w:val="00E33917"/>
    <w:rsid w:val="00E33EBE"/>
    <w:rsid w:val="00E33F48"/>
    <w:rsid w:val="00E34013"/>
    <w:rsid w:val="00E343F6"/>
    <w:rsid w:val="00E34EB1"/>
    <w:rsid w:val="00E35C42"/>
    <w:rsid w:val="00E35CD7"/>
    <w:rsid w:val="00E3665F"/>
    <w:rsid w:val="00E3772A"/>
    <w:rsid w:val="00E37AF1"/>
    <w:rsid w:val="00E40AC0"/>
    <w:rsid w:val="00E40CE0"/>
    <w:rsid w:val="00E413AC"/>
    <w:rsid w:val="00E41577"/>
    <w:rsid w:val="00E41DBA"/>
    <w:rsid w:val="00E42A9B"/>
    <w:rsid w:val="00E42BEA"/>
    <w:rsid w:val="00E42FF9"/>
    <w:rsid w:val="00E439E9"/>
    <w:rsid w:val="00E4434D"/>
    <w:rsid w:val="00E44790"/>
    <w:rsid w:val="00E45C21"/>
    <w:rsid w:val="00E45DCF"/>
    <w:rsid w:val="00E46012"/>
    <w:rsid w:val="00E4638C"/>
    <w:rsid w:val="00E46D5A"/>
    <w:rsid w:val="00E4714C"/>
    <w:rsid w:val="00E4734E"/>
    <w:rsid w:val="00E50BDD"/>
    <w:rsid w:val="00E50FE1"/>
    <w:rsid w:val="00E5178D"/>
    <w:rsid w:val="00E51AEB"/>
    <w:rsid w:val="00E522A7"/>
    <w:rsid w:val="00E524F8"/>
    <w:rsid w:val="00E52A3E"/>
    <w:rsid w:val="00E52E79"/>
    <w:rsid w:val="00E5349E"/>
    <w:rsid w:val="00E535F7"/>
    <w:rsid w:val="00E53EFF"/>
    <w:rsid w:val="00E5418A"/>
    <w:rsid w:val="00E54315"/>
    <w:rsid w:val="00E54452"/>
    <w:rsid w:val="00E55720"/>
    <w:rsid w:val="00E56A73"/>
    <w:rsid w:val="00E56F2C"/>
    <w:rsid w:val="00E574A0"/>
    <w:rsid w:val="00E57540"/>
    <w:rsid w:val="00E57630"/>
    <w:rsid w:val="00E57C9D"/>
    <w:rsid w:val="00E61A8E"/>
    <w:rsid w:val="00E63B0C"/>
    <w:rsid w:val="00E642C0"/>
    <w:rsid w:val="00E64848"/>
    <w:rsid w:val="00E650FA"/>
    <w:rsid w:val="00E651BA"/>
    <w:rsid w:val="00E65377"/>
    <w:rsid w:val="00E65F10"/>
    <w:rsid w:val="00E664C5"/>
    <w:rsid w:val="00E666F6"/>
    <w:rsid w:val="00E671A2"/>
    <w:rsid w:val="00E671F1"/>
    <w:rsid w:val="00E67473"/>
    <w:rsid w:val="00E701E7"/>
    <w:rsid w:val="00E70228"/>
    <w:rsid w:val="00E71364"/>
    <w:rsid w:val="00E71820"/>
    <w:rsid w:val="00E7199C"/>
    <w:rsid w:val="00E73A37"/>
    <w:rsid w:val="00E73C57"/>
    <w:rsid w:val="00E74160"/>
    <w:rsid w:val="00E7492E"/>
    <w:rsid w:val="00E75897"/>
    <w:rsid w:val="00E75BFA"/>
    <w:rsid w:val="00E7607E"/>
    <w:rsid w:val="00E76936"/>
    <w:rsid w:val="00E76D26"/>
    <w:rsid w:val="00E76EE5"/>
    <w:rsid w:val="00E772E9"/>
    <w:rsid w:val="00E776B4"/>
    <w:rsid w:val="00E7786E"/>
    <w:rsid w:val="00E80308"/>
    <w:rsid w:val="00E805B4"/>
    <w:rsid w:val="00E8073F"/>
    <w:rsid w:val="00E82780"/>
    <w:rsid w:val="00E845C6"/>
    <w:rsid w:val="00E8481C"/>
    <w:rsid w:val="00E849A8"/>
    <w:rsid w:val="00E853E0"/>
    <w:rsid w:val="00E8663A"/>
    <w:rsid w:val="00E87EEC"/>
    <w:rsid w:val="00E87F4C"/>
    <w:rsid w:val="00E90853"/>
    <w:rsid w:val="00E90D63"/>
    <w:rsid w:val="00E90FDC"/>
    <w:rsid w:val="00E9145B"/>
    <w:rsid w:val="00E9196A"/>
    <w:rsid w:val="00E91A1C"/>
    <w:rsid w:val="00E91FE9"/>
    <w:rsid w:val="00E922B8"/>
    <w:rsid w:val="00E928DC"/>
    <w:rsid w:val="00E92A55"/>
    <w:rsid w:val="00E92B59"/>
    <w:rsid w:val="00E92D62"/>
    <w:rsid w:val="00E93150"/>
    <w:rsid w:val="00E93ECB"/>
    <w:rsid w:val="00E942F5"/>
    <w:rsid w:val="00E94382"/>
    <w:rsid w:val="00E949B6"/>
    <w:rsid w:val="00E95036"/>
    <w:rsid w:val="00E950C7"/>
    <w:rsid w:val="00E95B8E"/>
    <w:rsid w:val="00E96656"/>
    <w:rsid w:val="00E96C32"/>
    <w:rsid w:val="00E97591"/>
    <w:rsid w:val="00E97EC2"/>
    <w:rsid w:val="00EA00D4"/>
    <w:rsid w:val="00EA0F02"/>
    <w:rsid w:val="00EA22D0"/>
    <w:rsid w:val="00EA25B1"/>
    <w:rsid w:val="00EA3288"/>
    <w:rsid w:val="00EA34B0"/>
    <w:rsid w:val="00EA3E56"/>
    <w:rsid w:val="00EA4EB1"/>
    <w:rsid w:val="00EA52C5"/>
    <w:rsid w:val="00EA6223"/>
    <w:rsid w:val="00EA6E2D"/>
    <w:rsid w:val="00EA74AD"/>
    <w:rsid w:val="00EA7E66"/>
    <w:rsid w:val="00EB052A"/>
    <w:rsid w:val="00EB073A"/>
    <w:rsid w:val="00EB1390"/>
    <w:rsid w:val="00EB20A9"/>
    <w:rsid w:val="00EB2C71"/>
    <w:rsid w:val="00EB309B"/>
    <w:rsid w:val="00EB3333"/>
    <w:rsid w:val="00EB3785"/>
    <w:rsid w:val="00EB39F3"/>
    <w:rsid w:val="00EB3B41"/>
    <w:rsid w:val="00EB3E09"/>
    <w:rsid w:val="00EB4340"/>
    <w:rsid w:val="00EB4C4F"/>
    <w:rsid w:val="00EB4F89"/>
    <w:rsid w:val="00EB556D"/>
    <w:rsid w:val="00EB5856"/>
    <w:rsid w:val="00EB5A7D"/>
    <w:rsid w:val="00EB5CF8"/>
    <w:rsid w:val="00EB6B46"/>
    <w:rsid w:val="00EB6D9A"/>
    <w:rsid w:val="00EB7F1E"/>
    <w:rsid w:val="00EC0984"/>
    <w:rsid w:val="00EC1C4A"/>
    <w:rsid w:val="00EC2FE9"/>
    <w:rsid w:val="00EC305E"/>
    <w:rsid w:val="00EC356A"/>
    <w:rsid w:val="00EC3EFE"/>
    <w:rsid w:val="00EC542E"/>
    <w:rsid w:val="00EC5518"/>
    <w:rsid w:val="00EC6481"/>
    <w:rsid w:val="00EC6558"/>
    <w:rsid w:val="00EC65C9"/>
    <w:rsid w:val="00EC6D35"/>
    <w:rsid w:val="00EC7C93"/>
    <w:rsid w:val="00ED0026"/>
    <w:rsid w:val="00ED0686"/>
    <w:rsid w:val="00ED06A5"/>
    <w:rsid w:val="00ED16D2"/>
    <w:rsid w:val="00ED1761"/>
    <w:rsid w:val="00ED1BEC"/>
    <w:rsid w:val="00ED1D82"/>
    <w:rsid w:val="00ED20F7"/>
    <w:rsid w:val="00ED3355"/>
    <w:rsid w:val="00ED55C0"/>
    <w:rsid w:val="00ED5B64"/>
    <w:rsid w:val="00ED629B"/>
    <w:rsid w:val="00ED64D0"/>
    <w:rsid w:val="00ED682B"/>
    <w:rsid w:val="00ED70FB"/>
    <w:rsid w:val="00ED750C"/>
    <w:rsid w:val="00ED7ADB"/>
    <w:rsid w:val="00EE026F"/>
    <w:rsid w:val="00EE0723"/>
    <w:rsid w:val="00EE0B31"/>
    <w:rsid w:val="00EE0C48"/>
    <w:rsid w:val="00EE0E7D"/>
    <w:rsid w:val="00EE1C79"/>
    <w:rsid w:val="00EE2263"/>
    <w:rsid w:val="00EE2C44"/>
    <w:rsid w:val="00EE2D01"/>
    <w:rsid w:val="00EE3301"/>
    <w:rsid w:val="00EE41D5"/>
    <w:rsid w:val="00EE44C8"/>
    <w:rsid w:val="00EE5889"/>
    <w:rsid w:val="00EE6017"/>
    <w:rsid w:val="00EE71C2"/>
    <w:rsid w:val="00EE779D"/>
    <w:rsid w:val="00EE7ACF"/>
    <w:rsid w:val="00EF072C"/>
    <w:rsid w:val="00EF0CF2"/>
    <w:rsid w:val="00EF1899"/>
    <w:rsid w:val="00EF18AC"/>
    <w:rsid w:val="00EF1B50"/>
    <w:rsid w:val="00EF2BCC"/>
    <w:rsid w:val="00EF2D64"/>
    <w:rsid w:val="00EF2D6D"/>
    <w:rsid w:val="00EF3992"/>
    <w:rsid w:val="00EF3E3A"/>
    <w:rsid w:val="00EF472A"/>
    <w:rsid w:val="00EF4BA6"/>
    <w:rsid w:val="00EF563E"/>
    <w:rsid w:val="00EF5825"/>
    <w:rsid w:val="00EF5B4E"/>
    <w:rsid w:val="00EF5C76"/>
    <w:rsid w:val="00EF66DD"/>
    <w:rsid w:val="00EF6D62"/>
    <w:rsid w:val="00EF70D6"/>
    <w:rsid w:val="00EF7D7D"/>
    <w:rsid w:val="00EF7DF5"/>
    <w:rsid w:val="00F0166F"/>
    <w:rsid w:val="00F0274C"/>
    <w:rsid w:val="00F02824"/>
    <w:rsid w:val="00F037A4"/>
    <w:rsid w:val="00F04752"/>
    <w:rsid w:val="00F047A1"/>
    <w:rsid w:val="00F049AB"/>
    <w:rsid w:val="00F05502"/>
    <w:rsid w:val="00F05F07"/>
    <w:rsid w:val="00F06379"/>
    <w:rsid w:val="00F064B6"/>
    <w:rsid w:val="00F065D1"/>
    <w:rsid w:val="00F06FFA"/>
    <w:rsid w:val="00F070A3"/>
    <w:rsid w:val="00F0794A"/>
    <w:rsid w:val="00F07B08"/>
    <w:rsid w:val="00F07EBE"/>
    <w:rsid w:val="00F104FC"/>
    <w:rsid w:val="00F11D95"/>
    <w:rsid w:val="00F12666"/>
    <w:rsid w:val="00F12CF5"/>
    <w:rsid w:val="00F13216"/>
    <w:rsid w:val="00F13869"/>
    <w:rsid w:val="00F13E6A"/>
    <w:rsid w:val="00F13FED"/>
    <w:rsid w:val="00F142DB"/>
    <w:rsid w:val="00F14739"/>
    <w:rsid w:val="00F1497A"/>
    <w:rsid w:val="00F14C14"/>
    <w:rsid w:val="00F14FD1"/>
    <w:rsid w:val="00F164AF"/>
    <w:rsid w:val="00F169AA"/>
    <w:rsid w:val="00F16AFF"/>
    <w:rsid w:val="00F16B22"/>
    <w:rsid w:val="00F16D32"/>
    <w:rsid w:val="00F172C5"/>
    <w:rsid w:val="00F17DC1"/>
    <w:rsid w:val="00F2077C"/>
    <w:rsid w:val="00F20D79"/>
    <w:rsid w:val="00F21751"/>
    <w:rsid w:val="00F219EC"/>
    <w:rsid w:val="00F21AF3"/>
    <w:rsid w:val="00F21DCC"/>
    <w:rsid w:val="00F22847"/>
    <w:rsid w:val="00F22DA5"/>
    <w:rsid w:val="00F22F6C"/>
    <w:rsid w:val="00F22FDA"/>
    <w:rsid w:val="00F24242"/>
    <w:rsid w:val="00F2424C"/>
    <w:rsid w:val="00F255DF"/>
    <w:rsid w:val="00F25664"/>
    <w:rsid w:val="00F25A34"/>
    <w:rsid w:val="00F265CE"/>
    <w:rsid w:val="00F26919"/>
    <w:rsid w:val="00F27138"/>
    <w:rsid w:val="00F27200"/>
    <w:rsid w:val="00F27C8F"/>
    <w:rsid w:val="00F30C2A"/>
    <w:rsid w:val="00F30CC6"/>
    <w:rsid w:val="00F3108F"/>
    <w:rsid w:val="00F32749"/>
    <w:rsid w:val="00F32B47"/>
    <w:rsid w:val="00F34660"/>
    <w:rsid w:val="00F36A7D"/>
    <w:rsid w:val="00F37172"/>
    <w:rsid w:val="00F371E5"/>
    <w:rsid w:val="00F373E9"/>
    <w:rsid w:val="00F37B98"/>
    <w:rsid w:val="00F4027D"/>
    <w:rsid w:val="00F41D95"/>
    <w:rsid w:val="00F41F46"/>
    <w:rsid w:val="00F427B2"/>
    <w:rsid w:val="00F42F26"/>
    <w:rsid w:val="00F43314"/>
    <w:rsid w:val="00F437C1"/>
    <w:rsid w:val="00F43A91"/>
    <w:rsid w:val="00F43D6F"/>
    <w:rsid w:val="00F4449C"/>
    <w:rsid w:val="00F4477E"/>
    <w:rsid w:val="00F449B9"/>
    <w:rsid w:val="00F44F37"/>
    <w:rsid w:val="00F45519"/>
    <w:rsid w:val="00F45927"/>
    <w:rsid w:val="00F459A8"/>
    <w:rsid w:val="00F46269"/>
    <w:rsid w:val="00F473DF"/>
    <w:rsid w:val="00F5089C"/>
    <w:rsid w:val="00F514BD"/>
    <w:rsid w:val="00F52298"/>
    <w:rsid w:val="00F52681"/>
    <w:rsid w:val="00F537C7"/>
    <w:rsid w:val="00F54642"/>
    <w:rsid w:val="00F55189"/>
    <w:rsid w:val="00F55D6A"/>
    <w:rsid w:val="00F5712C"/>
    <w:rsid w:val="00F57C62"/>
    <w:rsid w:val="00F600DC"/>
    <w:rsid w:val="00F60BA8"/>
    <w:rsid w:val="00F61883"/>
    <w:rsid w:val="00F64C46"/>
    <w:rsid w:val="00F64D38"/>
    <w:rsid w:val="00F6575F"/>
    <w:rsid w:val="00F657F0"/>
    <w:rsid w:val="00F65AA3"/>
    <w:rsid w:val="00F66755"/>
    <w:rsid w:val="00F67CD0"/>
    <w:rsid w:val="00F67D8F"/>
    <w:rsid w:val="00F70BAF"/>
    <w:rsid w:val="00F70C27"/>
    <w:rsid w:val="00F70D35"/>
    <w:rsid w:val="00F71352"/>
    <w:rsid w:val="00F7200D"/>
    <w:rsid w:val="00F721B6"/>
    <w:rsid w:val="00F726AC"/>
    <w:rsid w:val="00F72D35"/>
    <w:rsid w:val="00F72F20"/>
    <w:rsid w:val="00F75BCC"/>
    <w:rsid w:val="00F76720"/>
    <w:rsid w:val="00F77546"/>
    <w:rsid w:val="00F77A09"/>
    <w:rsid w:val="00F802BE"/>
    <w:rsid w:val="00F80E93"/>
    <w:rsid w:val="00F81067"/>
    <w:rsid w:val="00F81235"/>
    <w:rsid w:val="00F81464"/>
    <w:rsid w:val="00F81F36"/>
    <w:rsid w:val="00F82C2A"/>
    <w:rsid w:val="00F83F32"/>
    <w:rsid w:val="00F849EE"/>
    <w:rsid w:val="00F84A58"/>
    <w:rsid w:val="00F84EE7"/>
    <w:rsid w:val="00F85D3B"/>
    <w:rsid w:val="00F86015"/>
    <w:rsid w:val="00F86024"/>
    <w:rsid w:val="00F8611A"/>
    <w:rsid w:val="00F872B8"/>
    <w:rsid w:val="00F879CA"/>
    <w:rsid w:val="00F87B19"/>
    <w:rsid w:val="00F90066"/>
    <w:rsid w:val="00F903CF"/>
    <w:rsid w:val="00F911DF"/>
    <w:rsid w:val="00F9166E"/>
    <w:rsid w:val="00F91962"/>
    <w:rsid w:val="00F92041"/>
    <w:rsid w:val="00F9221E"/>
    <w:rsid w:val="00F92BBE"/>
    <w:rsid w:val="00F9337F"/>
    <w:rsid w:val="00F93FCA"/>
    <w:rsid w:val="00F945F3"/>
    <w:rsid w:val="00F96F9D"/>
    <w:rsid w:val="00FA17B4"/>
    <w:rsid w:val="00FA1A04"/>
    <w:rsid w:val="00FA21F6"/>
    <w:rsid w:val="00FA2274"/>
    <w:rsid w:val="00FA2737"/>
    <w:rsid w:val="00FA28F1"/>
    <w:rsid w:val="00FA2E21"/>
    <w:rsid w:val="00FA33C2"/>
    <w:rsid w:val="00FA4177"/>
    <w:rsid w:val="00FA447A"/>
    <w:rsid w:val="00FA5128"/>
    <w:rsid w:val="00FA54A8"/>
    <w:rsid w:val="00FA64B8"/>
    <w:rsid w:val="00FA6A03"/>
    <w:rsid w:val="00FB0D87"/>
    <w:rsid w:val="00FB11AD"/>
    <w:rsid w:val="00FB18B4"/>
    <w:rsid w:val="00FB1B10"/>
    <w:rsid w:val="00FB20EF"/>
    <w:rsid w:val="00FB21EC"/>
    <w:rsid w:val="00FB2B2F"/>
    <w:rsid w:val="00FB39A9"/>
    <w:rsid w:val="00FB39E1"/>
    <w:rsid w:val="00FB42D4"/>
    <w:rsid w:val="00FB4391"/>
    <w:rsid w:val="00FB4F30"/>
    <w:rsid w:val="00FB5840"/>
    <w:rsid w:val="00FB5906"/>
    <w:rsid w:val="00FB5AC7"/>
    <w:rsid w:val="00FB5D0E"/>
    <w:rsid w:val="00FB5E9E"/>
    <w:rsid w:val="00FB60DC"/>
    <w:rsid w:val="00FB691D"/>
    <w:rsid w:val="00FB7466"/>
    <w:rsid w:val="00FB762F"/>
    <w:rsid w:val="00FB7D58"/>
    <w:rsid w:val="00FC0B9D"/>
    <w:rsid w:val="00FC0DFE"/>
    <w:rsid w:val="00FC1275"/>
    <w:rsid w:val="00FC145F"/>
    <w:rsid w:val="00FC14E2"/>
    <w:rsid w:val="00FC186E"/>
    <w:rsid w:val="00FC1CE3"/>
    <w:rsid w:val="00FC283E"/>
    <w:rsid w:val="00FC2AED"/>
    <w:rsid w:val="00FC2C14"/>
    <w:rsid w:val="00FC2CF7"/>
    <w:rsid w:val="00FC3237"/>
    <w:rsid w:val="00FC43BD"/>
    <w:rsid w:val="00FC46A9"/>
    <w:rsid w:val="00FC50B9"/>
    <w:rsid w:val="00FC54A4"/>
    <w:rsid w:val="00FC5CD0"/>
    <w:rsid w:val="00FC696C"/>
    <w:rsid w:val="00FC6DF8"/>
    <w:rsid w:val="00FC749A"/>
    <w:rsid w:val="00FD060A"/>
    <w:rsid w:val="00FD08AE"/>
    <w:rsid w:val="00FD0ABB"/>
    <w:rsid w:val="00FD13E8"/>
    <w:rsid w:val="00FD15AF"/>
    <w:rsid w:val="00FD1639"/>
    <w:rsid w:val="00FD2962"/>
    <w:rsid w:val="00FD330A"/>
    <w:rsid w:val="00FD3EBC"/>
    <w:rsid w:val="00FD54A1"/>
    <w:rsid w:val="00FD5618"/>
    <w:rsid w:val="00FD56FE"/>
    <w:rsid w:val="00FD5BBD"/>
    <w:rsid w:val="00FD5EA7"/>
    <w:rsid w:val="00FD5F37"/>
    <w:rsid w:val="00FD63B8"/>
    <w:rsid w:val="00FD6437"/>
    <w:rsid w:val="00FD6603"/>
    <w:rsid w:val="00FD707A"/>
    <w:rsid w:val="00FD72FA"/>
    <w:rsid w:val="00FD76D6"/>
    <w:rsid w:val="00FD7C45"/>
    <w:rsid w:val="00FE0EBC"/>
    <w:rsid w:val="00FE101A"/>
    <w:rsid w:val="00FE20D2"/>
    <w:rsid w:val="00FE24B6"/>
    <w:rsid w:val="00FE36CF"/>
    <w:rsid w:val="00FE41AA"/>
    <w:rsid w:val="00FE4D13"/>
    <w:rsid w:val="00FE5048"/>
    <w:rsid w:val="00FE5570"/>
    <w:rsid w:val="00FE572F"/>
    <w:rsid w:val="00FE66C0"/>
    <w:rsid w:val="00FE7839"/>
    <w:rsid w:val="00FF0246"/>
    <w:rsid w:val="00FF068A"/>
    <w:rsid w:val="00FF0C1F"/>
    <w:rsid w:val="00FF1362"/>
    <w:rsid w:val="00FF168D"/>
    <w:rsid w:val="00FF1894"/>
    <w:rsid w:val="00FF20C3"/>
    <w:rsid w:val="00FF2F1E"/>
    <w:rsid w:val="00FF325E"/>
    <w:rsid w:val="00FF3D87"/>
    <w:rsid w:val="00FF4F58"/>
    <w:rsid w:val="00FF52E8"/>
    <w:rsid w:val="00FF5BC8"/>
    <w:rsid w:val="00FF6E6B"/>
    <w:rsid w:val="00FF6FE3"/>
    <w:rsid w:val="00FF7422"/>
    <w:rsid w:val="00FF7A1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3C7A"/>
  <w15:chartTrackingRefBased/>
  <w15:docId w15:val="{363C9AAA-BD9E-4889-8D2C-517DF6FA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CD1EBB"/>
    <w:pPr>
      <w:keepNext/>
      <w:spacing w:before="36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CD1EBB"/>
    <w:rPr>
      <w:rFonts w:ascii="Fira Sans SemiBold" w:eastAsia="Times New Roman" w:hAnsi="Fira Sans SemiBold" w:cs="Times New Roman"/>
      <w:bCs/>
      <w:color w:val="001D77"/>
      <w:sz w:val="19"/>
      <w:szCs w:val="24"/>
      <w:lang w:eastAsia="pl-PL"/>
    </w:rPr>
  </w:style>
  <w:style w:type="paragraph" w:customStyle="1" w:styleId="LID">
    <w:name w:val="LID"/>
    <w:basedOn w:val="Normalny"/>
    <w:link w:val="LIDZnak"/>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styleId="Tabelasiatki1jasnaakcent1">
    <w:name w:val="Grid Table 1 Light Accent 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link w:val="AkapitzlistZnak"/>
    <w:uiPriority w:val="34"/>
    <w:qFormat/>
    <w:rsid w:val="00933EC1"/>
    <w:pPr>
      <w:ind w:left="720"/>
      <w:contextualSpacing/>
    </w:pPr>
  </w:style>
  <w:style w:type="paragraph" w:styleId="Tekstprzypisudolnego">
    <w:name w:val="footnote text"/>
    <w:aliases w:val="Tekst przypisu,Footnote,Podrozdział"/>
    <w:basedOn w:val="Normalny"/>
    <w:link w:val="TekstprzypisudolnegoZnak"/>
    <w:uiPriority w:val="99"/>
    <w:unhideWhenUsed/>
    <w:rsid w:val="001448A7"/>
    <w:pPr>
      <w:spacing w:after="0" w:line="240" w:lineRule="auto"/>
    </w:pPr>
    <w:rPr>
      <w:sz w:val="20"/>
      <w:szCs w:val="20"/>
    </w:rPr>
  </w:style>
  <w:style w:type="character" w:customStyle="1" w:styleId="TekstprzypisudolnegoZnak">
    <w:name w:val="Tekst przypisu dolnego Znak"/>
    <w:aliases w:val="Tekst przypisu Znak,Footnote Znak,Podrozdział Znak"/>
    <w:basedOn w:val="Domylnaczcionkaakapitu"/>
    <w:link w:val="Tekstprzypisudolnego"/>
    <w:uiPriority w:val="99"/>
    <w:rsid w:val="001448A7"/>
    <w:rPr>
      <w:sz w:val="20"/>
      <w:szCs w:val="20"/>
    </w:rPr>
  </w:style>
  <w:style w:type="character" w:styleId="Odwoanieprzypisudolnego">
    <w:name w:val="footnote reference"/>
    <w:aliases w:val="Odwołanie przypisu"/>
    <w:basedOn w:val="Domylnaczcionkaakapitu"/>
    <w:uiPriority w:val="99"/>
    <w:semiHidden/>
    <w:unhideWhenUsed/>
    <w:rsid w:val="001448A7"/>
    <w:rPr>
      <w:vertAlign w:val="superscript"/>
    </w:rPr>
  </w:style>
  <w:style w:type="paragraph" w:customStyle="1" w:styleId="tytuinformacji">
    <w:name w:val="tytuł informacji"/>
    <w:basedOn w:val="Normalny"/>
    <w:link w:val="tytuinformacjiZnak"/>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link w:val="tekstnaniebieskimtleZnak"/>
    <w:qFormat/>
    <w:rsid w:val="00074DD8"/>
    <w:pPr>
      <w:spacing w:before="0" w:after="0" w:line="240" w:lineRule="auto"/>
    </w:pPr>
    <w:rPr>
      <w:sz w:val="20"/>
    </w:rPr>
  </w:style>
  <w:style w:type="character" w:customStyle="1" w:styleId="tytuinformacjiZnak">
    <w:name w:val="tytuł informacji Znak"/>
    <w:basedOn w:val="Domylnaczcionkaakapitu"/>
    <w:link w:val="tytuinformacji"/>
    <w:rsid w:val="007D605C"/>
    <w:rPr>
      <w:rFonts w:ascii="Fira Sans Extra Condensed SemiB" w:hAnsi="Fira Sans Extra Condensed SemiB"/>
      <w:color w:val="000000" w:themeColor="text1"/>
      <w:sz w:val="40"/>
      <w:szCs w:val="26"/>
    </w:rPr>
  </w:style>
  <w:style w:type="paragraph" w:styleId="Tekstkomentarza">
    <w:name w:val="annotation text"/>
    <w:basedOn w:val="Normalny"/>
    <w:link w:val="TekstkomentarzaZnak"/>
    <w:uiPriority w:val="99"/>
    <w:unhideWhenUsed/>
    <w:rsid w:val="00E95B8E"/>
    <w:pPr>
      <w:spacing w:line="240" w:lineRule="auto"/>
    </w:pPr>
    <w:rPr>
      <w:sz w:val="20"/>
      <w:szCs w:val="20"/>
    </w:rPr>
  </w:style>
  <w:style w:type="character" w:customStyle="1" w:styleId="TekstkomentarzaZnak">
    <w:name w:val="Tekst komentarza Znak"/>
    <w:basedOn w:val="Domylnaczcionkaakapitu"/>
    <w:link w:val="Tekstkomentarza"/>
    <w:uiPriority w:val="99"/>
    <w:rsid w:val="00E95B8E"/>
    <w:rPr>
      <w:rFonts w:ascii="Fira Sans" w:hAnsi="Fira Sans"/>
      <w:sz w:val="20"/>
      <w:szCs w:val="20"/>
    </w:rPr>
  </w:style>
  <w:style w:type="character" w:styleId="Odwoaniedokomentarza">
    <w:name w:val="annotation reference"/>
    <w:basedOn w:val="Domylnaczcionkaakapitu"/>
    <w:uiPriority w:val="99"/>
    <w:semiHidden/>
    <w:unhideWhenUsed/>
    <w:rsid w:val="00E95B8E"/>
    <w:rPr>
      <w:sz w:val="16"/>
      <w:szCs w:val="16"/>
    </w:rPr>
  </w:style>
  <w:style w:type="paragraph" w:styleId="Tematkomentarza">
    <w:name w:val="annotation subject"/>
    <w:basedOn w:val="Tekstkomentarza"/>
    <w:next w:val="Tekstkomentarza"/>
    <w:link w:val="TematkomentarzaZnak"/>
    <w:uiPriority w:val="99"/>
    <w:semiHidden/>
    <w:unhideWhenUsed/>
    <w:rsid w:val="00DE2400"/>
    <w:rPr>
      <w:b/>
      <w:bCs/>
    </w:rPr>
  </w:style>
  <w:style w:type="character" w:customStyle="1" w:styleId="TematkomentarzaZnak">
    <w:name w:val="Temat komentarza Znak"/>
    <w:basedOn w:val="TekstkomentarzaZnak"/>
    <w:link w:val="Tematkomentarza"/>
    <w:uiPriority w:val="99"/>
    <w:semiHidden/>
    <w:rsid w:val="00DE2400"/>
    <w:rPr>
      <w:rFonts w:ascii="Fira Sans" w:hAnsi="Fira Sans"/>
      <w:b/>
      <w:bCs/>
      <w:sz w:val="20"/>
      <w:szCs w:val="20"/>
    </w:rPr>
  </w:style>
  <w:style w:type="character" w:customStyle="1" w:styleId="Nierozpoznanawzmianka1">
    <w:name w:val="Nierozpoznana wzmianka1"/>
    <w:basedOn w:val="Domylnaczcionkaakapitu"/>
    <w:uiPriority w:val="99"/>
    <w:semiHidden/>
    <w:unhideWhenUsed/>
    <w:rsid w:val="00F049AB"/>
    <w:rPr>
      <w:color w:val="605E5C"/>
      <w:shd w:val="clear" w:color="auto" w:fill="E1DFDD"/>
    </w:rPr>
  </w:style>
  <w:style w:type="paragraph" w:customStyle="1" w:styleId="Tytuinfomacjisygnalnej">
    <w:name w:val="Tytuł infomacji sygnalnej"/>
    <w:basedOn w:val="tytuinformacji"/>
    <w:link w:val="TytuinfomacjisygnalnejZnak"/>
    <w:qFormat/>
    <w:rsid w:val="00F049AB"/>
    <w:pPr>
      <w:suppressAutoHyphens/>
      <w:spacing w:after="600"/>
    </w:pPr>
    <w:rPr>
      <w:shd w:val="clear" w:color="auto" w:fill="FFFFFF"/>
    </w:rPr>
  </w:style>
  <w:style w:type="paragraph" w:customStyle="1" w:styleId="Ikonawskanika">
    <w:name w:val="Ikona wskaźnika"/>
    <w:basedOn w:val="Normalny"/>
    <w:link w:val="IkonawskanikaZnak"/>
    <w:qFormat/>
    <w:rsid w:val="00F049AB"/>
    <w:pPr>
      <w:autoSpaceDE w:val="0"/>
      <w:autoSpaceDN w:val="0"/>
      <w:adjustRightInd w:val="0"/>
      <w:spacing w:before="0" w:after="0" w:line="240" w:lineRule="auto"/>
    </w:pPr>
    <w:rPr>
      <w:rFonts w:ascii="Fira Sans SemiBold" w:hAnsi="Fira Sans SemiBold"/>
      <w:color w:val="66AFDE"/>
      <w:sz w:val="60"/>
      <w:szCs w:val="60"/>
    </w:rPr>
  </w:style>
  <w:style w:type="character" w:customStyle="1" w:styleId="TytuinfomacjisygnalnejZnak">
    <w:name w:val="Tytuł infomacji sygnalnej Znak"/>
    <w:basedOn w:val="tytuinformacjiZnak"/>
    <w:link w:val="Tytuinfomacjisygnalnej"/>
    <w:rsid w:val="00F049AB"/>
    <w:rPr>
      <w:rFonts w:ascii="Fira Sans Extra Condensed SemiB" w:hAnsi="Fira Sans Extra Condensed SemiB"/>
      <w:color w:val="000000" w:themeColor="text1"/>
      <w:sz w:val="40"/>
      <w:szCs w:val="26"/>
    </w:rPr>
  </w:style>
  <w:style w:type="paragraph" w:customStyle="1" w:styleId="Wartowskanika">
    <w:name w:val="Wartość wskaźnika"/>
    <w:basedOn w:val="Normalny"/>
    <w:link w:val="WartowskanikaZnak"/>
    <w:qFormat/>
    <w:rsid w:val="00F049AB"/>
    <w:pPr>
      <w:autoSpaceDE w:val="0"/>
      <w:autoSpaceDN w:val="0"/>
      <w:adjustRightInd w:val="0"/>
      <w:spacing w:before="0" w:after="0" w:line="240" w:lineRule="auto"/>
    </w:pPr>
    <w:rPr>
      <w:rFonts w:ascii="Fira Sans SemiBold" w:hAnsi="Fira Sans SemiBold"/>
      <w:color w:val="FFFFFF" w:themeColor="background1"/>
      <w:sz w:val="40"/>
      <w:szCs w:val="56"/>
    </w:rPr>
  </w:style>
  <w:style w:type="character" w:customStyle="1" w:styleId="IkonawskanikaZnak">
    <w:name w:val="Ikona wskaźnika Znak"/>
    <w:basedOn w:val="Domylnaczcionkaakapitu"/>
    <w:link w:val="Ikonawskanika"/>
    <w:rsid w:val="00F049AB"/>
    <w:rPr>
      <w:rFonts w:ascii="Fira Sans SemiBold" w:hAnsi="Fira Sans SemiBold"/>
      <w:color w:val="66AFDE"/>
      <w:sz w:val="60"/>
      <w:szCs w:val="60"/>
    </w:rPr>
  </w:style>
  <w:style w:type="paragraph" w:customStyle="1" w:styleId="Opiswskanika">
    <w:name w:val="Opis wskaźnika"/>
    <w:basedOn w:val="tekstnaniebieskimtle"/>
    <w:link w:val="OpiswskanikaZnak"/>
    <w:qFormat/>
    <w:rsid w:val="00F049AB"/>
    <w:rPr>
      <w:color w:val="FFFFFF" w:themeColor="background1"/>
    </w:rPr>
  </w:style>
  <w:style w:type="character" w:customStyle="1" w:styleId="WartowskanikaZnak">
    <w:name w:val="Wartość wskaźnika Znak"/>
    <w:basedOn w:val="Domylnaczcionkaakapitu"/>
    <w:link w:val="Wartowskanika"/>
    <w:rsid w:val="00F049AB"/>
    <w:rPr>
      <w:rFonts w:ascii="Fira Sans SemiBold" w:hAnsi="Fira Sans SemiBold"/>
      <w:color w:val="FFFFFF" w:themeColor="background1"/>
      <w:sz w:val="40"/>
      <w:szCs w:val="56"/>
    </w:rPr>
  </w:style>
  <w:style w:type="paragraph" w:customStyle="1" w:styleId="Lead">
    <w:name w:val="Lead"/>
    <w:basedOn w:val="LID"/>
    <w:link w:val="LeadZnak"/>
    <w:qFormat/>
    <w:rsid w:val="00F049AB"/>
    <w:pPr>
      <w:spacing w:before="360"/>
    </w:pPr>
  </w:style>
  <w:style w:type="character" w:customStyle="1" w:styleId="tekstnaniebieskimtleZnak">
    <w:name w:val="tekst na niebieskim tle Znak"/>
    <w:basedOn w:val="Domylnaczcionkaakapitu"/>
    <w:link w:val="tekstnaniebieskimtle"/>
    <w:rsid w:val="00F049AB"/>
    <w:rPr>
      <w:rFonts w:ascii="Fira Sans" w:hAnsi="Fira Sans"/>
      <w:sz w:val="20"/>
    </w:rPr>
  </w:style>
  <w:style w:type="character" w:customStyle="1" w:styleId="OpiswskanikaZnak">
    <w:name w:val="Opis wskaźnika Znak"/>
    <w:basedOn w:val="tekstnaniebieskimtleZnak"/>
    <w:link w:val="Opiswskanika"/>
    <w:rsid w:val="00F049AB"/>
    <w:rPr>
      <w:rFonts w:ascii="Fira Sans" w:hAnsi="Fira Sans"/>
      <w:color w:val="FFFFFF" w:themeColor="background1"/>
      <w:sz w:val="20"/>
    </w:rPr>
  </w:style>
  <w:style w:type="paragraph" w:customStyle="1" w:styleId="Datainformacjisygnalnej">
    <w:name w:val="Data informacji sygnalnej"/>
    <w:basedOn w:val="Normalny"/>
    <w:link w:val="DatainformacjisygnalnejZnak"/>
    <w:qFormat/>
    <w:rsid w:val="00F049AB"/>
    <w:pPr>
      <w:jc w:val="both"/>
    </w:pPr>
    <w:rPr>
      <w:rFonts w:ascii="Fira Sans SemiBold" w:hAnsi="Fira Sans SemiBold"/>
      <w:color w:val="001D77"/>
      <w:sz w:val="20"/>
      <w:szCs w:val="20"/>
    </w:rPr>
  </w:style>
  <w:style w:type="character" w:customStyle="1" w:styleId="LIDZnak">
    <w:name w:val="LID Znak"/>
    <w:basedOn w:val="Domylnaczcionkaakapitu"/>
    <w:link w:val="LID"/>
    <w:rsid w:val="00F049AB"/>
    <w:rPr>
      <w:rFonts w:ascii="Fira Sans" w:hAnsi="Fira Sans"/>
      <w:b/>
      <w:noProof/>
      <w:sz w:val="19"/>
      <w:szCs w:val="19"/>
      <w:lang w:eastAsia="pl-PL"/>
    </w:rPr>
  </w:style>
  <w:style w:type="character" w:customStyle="1" w:styleId="LeadZnak">
    <w:name w:val="Lead Znak"/>
    <w:basedOn w:val="LIDZnak"/>
    <w:link w:val="Lead"/>
    <w:rsid w:val="00F049AB"/>
    <w:rPr>
      <w:rFonts w:ascii="Fira Sans" w:hAnsi="Fira Sans"/>
      <w:b/>
      <w:noProof/>
      <w:sz w:val="19"/>
      <w:szCs w:val="19"/>
      <w:lang w:eastAsia="pl-PL"/>
    </w:rPr>
  </w:style>
  <w:style w:type="paragraph" w:customStyle="1" w:styleId="Tytutablicy">
    <w:name w:val="Tytuł tablicy"/>
    <w:basedOn w:val="Nagwek1"/>
    <w:link w:val="TytutablicyZnak"/>
    <w:qFormat/>
    <w:rsid w:val="00CD1EBB"/>
    <w:rPr>
      <w:rFonts w:ascii="Fira Sans" w:hAnsi="Fira Sans"/>
      <w:b/>
      <w:color w:val="000000" w:themeColor="text1"/>
      <w:szCs w:val="19"/>
    </w:rPr>
  </w:style>
  <w:style w:type="character" w:customStyle="1" w:styleId="DatainformacjisygnalnejZnak">
    <w:name w:val="Data informacji sygnalnej Znak"/>
    <w:basedOn w:val="Domylnaczcionkaakapitu"/>
    <w:link w:val="Datainformacjisygnalnej"/>
    <w:rsid w:val="00F049AB"/>
    <w:rPr>
      <w:rFonts w:ascii="Fira Sans SemiBold" w:hAnsi="Fira Sans SemiBold"/>
      <w:color w:val="001D77"/>
      <w:sz w:val="20"/>
      <w:szCs w:val="20"/>
    </w:rPr>
  </w:style>
  <w:style w:type="paragraph" w:customStyle="1" w:styleId="Tablicagwka">
    <w:name w:val="Tablica główka"/>
    <w:basedOn w:val="Akapitzlist"/>
    <w:link w:val="TablicagwkaZnak"/>
    <w:qFormat/>
    <w:rsid w:val="00F049AB"/>
    <w:rPr>
      <w:rFonts w:eastAsia="Times New Roman" w:cs="Calibri"/>
      <w:szCs w:val="19"/>
      <w:lang w:eastAsia="pl-PL"/>
    </w:rPr>
  </w:style>
  <w:style w:type="character" w:customStyle="1" w:styleId="TytutablicyZnak">
    <w:name w:val="Tytuł tablicy Znak"/>
    <w:basedOn w:val="Nagwek1Znak"/>
    <w:link w:val="Tytutablicy"/>
    <w:rsid w:val="00CD1EBB"/>
    <w:rPr>
      <w:rFonts w:ascii="Fira Sans" w:eastAsia="Times New Roman" w:hAnsi="Fira Sans" w:cs="Times New Roman"/>
      <w:b/>
      <w:bCs/>
      <w:color w:val="000000" w:themeColor="text1"/>
      <w:sz w:val="19"/>
      <w:szCs w:val="19"/>
      <w:lang w:eastAsia="pl-PL"/>
    </w:rPr>
  </w:style>
  <w:style w:type="paragraph" w:customStyle="1" w:styleId="Tablicagwkarodek">
    <w:name w:val="Tablica główka środek"/>
    <w:basedOn w:val="Normalny"/>
    <w:link w:val="TablicagwkarodekZnak"/>
    <w:qFormat/>
    <w:rsid w:val="00F049AB"/>
    <w:pPr>
      <w:jc w:val="center"/>
    </w:pPr>
    <w:rPr>
      <w:rFonts w:eastAsia="Times New Roman" w:cs="Calibri"/>
      <w:szCs w:val="19"/>
      <w:lang w:eastAsia="pl-PL"/>
    </w:rPr>
  </w:style>
  <w:style w:type="character" w:customStyle="1" w:styleId="AkapitzlistZnak">
    <w:name w:val="Akapit z listą Znak"/>
    <w:basedOn w:val="Domylnaczcionkaakapitu"/>
    <w:link w:val="Akapitzlist"/>
    <w:uiPriority w:val="34"/>
    <w:rsid w:val="00F049AB"/>
    <w:rPr>
      <w:rFonts w:ascii="Fira Sans" w:hAnsi="Fira Sans"/>
      <w:sz w:val="19"/>
    </w:rPr>
  </w:style>
  <w:style w:type="character" w:customStyle="1" w:styleId="TablicagwkaZnak">
    <w:name w:val="Tablica główka Znak"/>
    <w:basedOn w:val="AkapitzlistZnak"/>
    <w:link w:val="Tablicagwka"/>
    <w:rsid w:val="00F049AB"/>
    <w:rPr>
      <w:rFonts w:ascii="Fira Sans" w:eastAsia="Times New Roman" w:hAnsi="Fira Sans" w:cs="Calibri"/>
      <w:sz w:val="19"/>
      <w:szCs w:val="19"/>
      <w:lang w:eastAsia="pl-PL"/>
    </w:rPr>
  </w:style>
  <w:style w:type="paragraph" w:customStyle="1" w:styleId="Tablicadanerodek">
    <w:name w:val="Tablica dane środek"/>
    <w:basedOn w:val="Normalny"/>
    <w:link w:val="TablicadanerodekZnak"/>
    <w:qFormat/>
    <w:rsid w:val="00966C9A"/>
    <w:pPr>
      <w:jc w:val="right"/>
    </w:pPr>
    <w:rPr>
      <w:rFonts w:eastAsia="Times New Roman" w:cs="Calibri"/>
      <w:szCs w:val="19"/>
      <w:lang w:eastAsia="pl-PL"/>
    </w:rPr>
  </w:style>
  <w:style w:type="character" w:customStyle="1" w:styleId="TablicagwkarodekZnak">
    <w:name w:val="Tablica główka środek Znak"/>
    <w:basedOn w:val="Domylnaczcionkaakapitu"/>
    <w:link w:val="Tablicagwkarodek"/>
    <w:rsid w:val="00F049AB"/>
    <w:rPr>
      <w:rFonts w:ascii="Fira Sans" w:eastAsia="Times New Roman" w:hAnsi="Fira Sans" w:cs="Calibri"/>
      <w:sz w:val="19"/>
      <w:szCs w:val="19"/>
      <w:lang w:eastAsia="pl-PL"/>
    </w:rPr>
  </w:style>
  <w:style w:type="paragraph" w:customStyle="1" w:styleId="Tablicaboczek">
    <w:name w:val="Tablica boczek"/>
    <w:basedOn w:val="Normalny"/>
    <w:link w:val="TablicaboczekZnak"/>
    <w:qFormat/>
    <w:rsid w:val="00966C9A"/>
    <w:rPr>
      <w:rFonts w:eastAsia="Times New Roman" w:cs="Calibri"/>
      <w:szCs w:val="19"/>
      <w:lang w:eastAsia="pl-PL"/>
    </w:rPr>
  </w:style>
  <w:style w:type="character" w:customStyle="1" w:styleId="TablicadanerodekZnak">
    <w:name w:val="Tablica dane środek Znak"/>
    <w:basedOn w:val="Domylnaczcionkaakapitu"/>
    <w:link w:val="Tablicadanerodek"/>
    <w:rsid w:val="00966C9A"/>
    <w:rPr>
      <w:rFonts w:ascii="Fira Sans" w:eastAsia="Times New Roman" w:hAnsi="Fira Sans" w:cs="Calibri"/>
      <w:sz w:val="19"/>
      <w:szCs w:val="19"/>
      <w:lang w:eastAsia="pl-PL"/>
    </w:rPr>
  </w:style>
  <w:style w:type="paragraph" w:customStyle="1" w:styleId="Tablicaboczekwcicie1">
    <w:name w:val="Tablica boczek wcięcie 1"/>
    <w:basedOn w:val="Normalny"/>
    <w:link w:val="Tablicaboczekwcicie1Znak"/>
    <w:qFormat/>
    <w:rsid w:val="00966C9A"/>
    <w:pPr>
      <w:ind w:firstLine="176"/>
    </w:pPr>
    <w:rPr>
      <w:szCs w:val="19"/>
    </w:rPr>
  </w:style>
  <w:style w:type="character" w:customStyle="1" w:styleId="TablicaboczekZnak">
    <w:name w:val="Tablica boczek Znak"/>
    <w:basedOn w:val="Domylnaczcionkaakapitu"/>
    <w:link w:val="Tablicaboczek"/>
    <w:rsid w:val="00966C9A"/>
    <w:rPr>
      <w:rFonts w:ascii="Fira Sans" w:eastAsia="Times New Roman" w:hAnsi="Fira Sans" w:cs="Calibri"/>
      <w:sz w:val="19"/>
      <w:szCs w:val="19"/>
      <w:lang w:eastAsia="pl-PL"/>
    </w:rPr>
  </w:style>
  <w:style w:type="paragraph" w:customStyle="1" w:styleId="Tablicaboczekwcicie2">
    <w:name w:val="Tablica boczek wcięcie 2"/>
    <w:basedOn w:val="Normalny"/>
    <w:link w:val="Tablicaboczekwcicie2Znak"/>
    <w:qFormat/>
    <w:rsid w:val="00966C9A"/>
    <w:pPr>
      <w:ind w:left="318"/>
    </w:pPr>
    <w:rPr>
      <w:szCs w:val="19"/>
    </w:rPr>
  </w:style>
  <w:style w:type="character" w:customStyle="1" w:styleId="Tablicaboczekwcicie1Znak">
    <w:name w:val="Tablica boczek wcięcie 1 Znak"/>
    <w:basedOn w:val="Domylnaczcionkaakapitu"/>
    <w:link w:val="Tablicaboczekwcicie1"/>
    <w:rsid w:val="00966C9A"/>
    <w:rPr>
      <w:rFonts w:ascii="Fira Sans" w:hAnsi="Fira Sans"/>
      <w:sz w:val="19"/>
      <w:szCs w:val="19"/>
    </w:rPr>
  </w:style>
  <w:style w:type="paragraph" w:customStyle="1" w:styleId="Tablicanotka">
    <w:name w:val="Tablica notka"/>
    <w:basedOn w:val="Normalny"/>
    <w:link w:val="TablicanotkaZnak"/>
    <w:qFormat/>
    <w:rsid w:val="00966C9A"/>
    <w:rPr>
      <w:noProof/>
      <w:spacing w:val="-2"/>
      <w:sz w:val="16"/>
      <w:szCs w:val="16"/>
    </w:rPr>
  </w:style>
  <w:style w:type="character" w:customStyle="1" w:styleId="Tablicaboczekwcicie2Znak">
    <w:name w:val="Tablica boczek wcięcie 2 Znak"/>
    <w:basedOn w:val="Domylnaczcionkaakapitu"/>
    <w:link w:val="Tablicaboczekwcicie2"/>
    <w:rsid w:val="00966C9A"/>
    <w:rPr>
      <w:rFonts w:ascii="Fira Sans" w:hAnsi="Fira Sans"/>
      <w:sz w:val="19"/>
      <w:szCs w:val="19"/>
    </w:rPr>
  </w:style>
  <w:style w:type="paragraph" w:customStyle="1" w:styleId="Przypis">
    <w:name w:val="Przypis"/>
    <w:basedOn w:val="Tekstprzypisudolnego"/>
    <w:link w:val="PrzypisZnak"/>
    <w:qFormat/>
    <w:rsid w:val="00966C9A"/>
    <w:rPr>
      <w:sz w:val="19"/>
      <w:szCs w:val="19"/>
      <w:shd w:val="clear" w:color="auto" w:fill="FFFFFF"/>
      <w:lang w:val="en-GB"/>
    </w:rPr>
  </w:style>
  <w:style w:type="character" w:customStyle="1" w:styleId="TablicanotkaZnak">
    <w:name w:val="Tablica notka Znak"/>
    <w:basedOn w:val="Domylnaczcionkaakapitu"/>
    <w:link w:val="Tablicanotka"/>
    <w:rsid w:val="00966C9A"/>
    <w:rPr>
      <w:rFonts w:ascii="Fira Sans" w:hAnsi="Fira Sans"/>
      <w:noProof/>
      <w:spacing w:val="-2"/>
      <w:sz w:val="16"/>
      <w:szCs w:val="16"/>
    </w:rPr>
  </w:style>
  <w:style w:type="paragraph" w:customStyle="1" w:styleId="Tekstwypunktowania">
    <w:name w:val="Tekst wypunktowania"/>
    <w:basedOn w:val="Normalny"/>
    <w:link w:val="TekstwypunktowaniaZnak"/>
    <w:qFormat/>
    <w:rsid w:val="00966C9A"/>
    <w:pPr>
      <w:numPr>
        <w:ilvl w:val="1"/>
        <w:numId w:val="4"/>
      </w:numPr>
      <w:spacing w:after="0" w:line="276" w:lineRule="auto"/>
      <w:ind w:left="425" w:hanging="425"/>
    </w:pPr>
    <w:rPr>
      <w:shd w:val="clear" w:color="auto" w:fill="FFFFFF"/>
      <w:lang w:val="en-GB"/>
    </w:rPr>
  </w:style>
  <w:style w:type="character" w:customStyle="1" w:styleId="PrzypisZnak">
    <w:name w:val="Przypis Znak"/>
    <w:basedOn w:val="TekstprzypisudolnegoZnak"/>
    <w:link w:val="Przypis"/>
    <w:rsid w:val="00966C9A"/>
    <w:rPr>
      <w:rFonts w:ascii="Fira Sans" w:hAnsi="Fira Sans"/>
      <w:sz w:val="19"/>
      <w:szCs w:val="19"/>
      <w:lang w:val="en-GB"/>
    </w:rPr>
  </w:style>
  <w:style w:type="paragraph" w:customStyle="1" w:styleId="Tytuwykresu0">
    <w:name w:val="Tytuł wykresu"/>
    <w:basedOn w:val="Nagwek1"/>
    <w:link w:val="TytuwykresuZnak"/>
    <w:qFormat/>
    <w:rsid w:val="00966C9A"/>
    <w:rPr>
      <w:b/>
      <w:noProof/>
      <w:color w:val="auto"/>
    </w:rPr>
  </w:style>
  <w:style w:type="character" w:customStyle="1" w:styleId="TekstwypunktowaniaZnak">
    <w:name w:val="Tekst wypunktowania Znak"/>
    <w:basedOn w:val="Domylnaczcionkaakapitu"/>
    <w:link w:val="Tekstwypunktowania"/>
    <w:rsid w:val="00966C9A"/>
    <w:rPr>
      <w:rFonts w:ascii="Fira Sans" w:hAnsi="Fira Sans"/>
      <w:sz w:val="19"/>
      <w:lang w:val="en-GB"/>
    </w:rPr>
  </w:style>
  <w:style w:type="character" w:customStyle="1" w:styleId="TytuwykresuZnak">
    <w:name w:val="Tytuł wykresu Znak"/>
    <w:basedOn w:val="Nagwek1Znak"/>
    <w:link w:val="Tytuwykresu0"/>
    <w:rsid w:val="00966C9A"/>
    <w:rPr>
      <w:rFonts w:ascii="Fira Sans SemiBold" w:eastAsia="Times New Roman" w:hAnsi="Fira Sans SemiBold" w:cs="Times New Roman"/>
      <w:b/>
      <w:bCs/>
      <w:noProof/>
      <w:color w:val="001D77"/>
      <w:sz w:val="19"/>
      <w:szCs w:val="24"/>
      <w:lang w:eastAsia="pl-PL"/>
    </w:rPr>
  </w:style>
  <w:style w:type="paragraph" w:styleId="Tekstprzypisukocowego">
    <w:name w:val="endnote text"/>
    <w:basedOn w:val="Normalny"/>
    <w:link w:val="TekstprzypisukocowegoZnak"/>
    <w:uiPriority w:val="99"/>
    <w:semiHidden/>
    <w:unhideWhenUsed/>
    <w:rsid w:val="000858EC"/>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58EC"/>
    <w:rPr>
      <w:rFonts w:ascii="Fira Sans" w:hAnsi="Fira Sans"/>
      <w:sz w:val="20"/>
      <w:szCs w:val="20"/>
    </w:rPr>
  </w:style>
  <w:style w:type="character" w:styleId="UyteHipercze">
    <w:name w:val="FollowedHyperlink"/>
    <w:basedOn w:val="Domylnaczcionkaakapitu"/>
    <w:uiPriority w:val="99"/>
    <w:semiHidden/>
    <w:unhideWhenUsed/>
    <w:rsid w:val="009B03BC"/>
    <w:rPr>
      <w:color w:val="954F72" w:themeColor="followedHyperlink"/>
      <w:u w:val="single"/>
    </w:rPr>
  </w:style>
  <w:style w:type="character" w:customStyle="1" w:styleId="Nierozpoznanawzmianka2">
    <w:name w:val="Nierozpoznana wzmianka2"/>
    <w:basedOn w:val="Domylnaczcionkaakapitu"/>
    <w:uiPriority w:val="99"/>
    <w:semiHidden/>
    <w:unhideWhenUsed/>
    <w:rsid w:val="00F104FC"/>
    <w:rPr>
      <w:color w:val="605E5C"/>
      <w:shd w:val="clear" w:color="auto" w:fill="E1DFDD"/>
    </w:rPr>
  </w:style>
  <w:style w:type="character" w:customStyle="1" w:styleId="Nierozpoznanawzmianka3">
    <w:name w:val="Nierozpoznana wzmianka3"/>
    <w:basedOn w:val="Domylnaczcionkaakapitu"/>
    <w:uiPriority w:val="99"/>
    <w:semiHidden/>
    <w:unhideWhenUsed/>
    <w:rsid w:val="00031C1A"/>
    <w:rPr>
      <w:color w:val="605E5C"/>
      <w:shd w:val="clear" w:color="auto" w:fill="E1DFDD"/>
    </w:rPr>
  </w:style>
  <w:style w:type="character" w:customStyle="1" w:styleId="Nierozpoznanawzmianka4">
    <w:name w:val="Nierozpoznana wzmianka4"/>
    <w:basedOn w:val="Domylnaczcionkaakapitu"/>
    <w:uiPriority w:val="99"/>
    <w:semiHidden/>
    <w:unhideWhenUsed/>
    <w:rsid w:val="00061467"/>
    <w:rPr>
      <w:color w:val="605E5C"/>
      <w:shd w:val="clear" w:color="auto" w:fill="E1DFDD"/>
    </w:rPr>
  </w:style>
  <w:style w:type="character" w:customStyle="1" w:styleId="Nierozpoznanawzmianka5">
    <w:name w:val="Nierozpoznana wzmianka5"/>
    <w:basedOn w:val="Domylnaczcionkaakapitu"/>
    <w:uiPriority w:val="99"/>
    <w:semiHidden/>
    <w:unhideWhenUsed/>
    <w:rsid w:val="003C0C0E"/>
    <w:rPr>
      <w:color w:val="605E5C"/>
      <w:shd w:val="clear" w:color="auto" w:fill="E1DFDD"/>
    </w:rPr>
  </w:style>
  <w:style w:type="character" w:customStyle="1" w:styleId="Nierozpoznanawzmianka6">
    <w:name w:val="Nierozpoznana wzmianka6"/>
    <w:basedOn w:val="Domylnaczcionkaakapitu"/>
    <w:uiPriority w:val="99"/>
    <w:semiHidden/>
    <w:unhideWhenUsed/>
    <w:rsid w:val="009C5691"/>
    <w:rPr>
      <w:color w:val="605E5C"/>
      <w:shd w:val="clear" w:color="auto" w:fill="E1DFDD"/>
    </w:rPr>
  </w:style>
  <w:style w:type="character" w:styleId="Odwoanieprzypisukocowego">
    <w:name w:val="endnote reference"/>
    <w:basedOn w:val="Domylnaczcionkaakapitu"/>
    <w:uiPriority w:val="99"/>
    <w:semiHidden/>
    <w:unhideWhenUsed/>
    <w:rsid w:val="00D45D76"/>
    <w:rPr>
      <w:vertAlign w:val="superscript"/>
    </w:rPr>
  </w:style>
  <w:style w:type="character" w:customStyle="1" w:styleId="Nierozpoznanawzmianka7">
    <w:name w:val="Nierozpoznana wzmianka7"/>
    <w:basedOn w:val="Domylnaczcionkaakapitu"/>
    <w:uiPriority w:val="99"/>
    <w:semiHidden/>
    <w:unhideWhenUsed/>
    <w:rsid w:val="0005078B"/>
    <w:rPr>
      <w:color w:val="605E5C"/>
      <w:shd w:val="clear" w:color="auto" w:fill="E1DFDD"/>
    </w:rPr>
  </w:style>
  <w:style w:type="character" w:customStyle="1" w:styleId="Nierozpoznanawzmianka8">
    <w:name w:val="Nierozpoznana wzmianka8"/>
    <w:basedOn w:val="Domylnaczcionkaakapitu"/>
    <w:uiPriority w:val="99"/>
    <w:semiHidden/>
    <w:unhideWhenUsed/>
    <w:rsid w:val="009D2C82"/>
    <w:rPr>
      <w:color w:val="605E5C"/>
      <w:shd w:val="clear" w:color="auto" w:fill="E1DFDD"/>
    </w:rPr>
  </w:style>
  <w:style w:type="character" w:customStyle="1" w:styleId="Nierozpoznanawzmianka9">
    <w:name w:val="Nierozpoznana wzmianka9"/>
    <w:basedOn w:val="Domylnaczcionkaakapitu"/>
    <w:uiPriority w:val="99"/>
    <w:semiHidden/>
    <w:unhideWhenUsed/>
    <w:rsid w:val="00087835"/>
    <w:rPr>
      <w:color w:val="605E5C"/>
      <w:shd w:val="clear" w:color="auto" w:fill="E1DFDD"/>
    </w:rPr>
  </w:style>
  <w:style w:type="character" w:customStyle="1" w:styleId="Nierozpoznanawzmianka10">
    <w:name w:val="Nierozpoznana wzmianka10"/>
    <w:basedOn w:val="Domylnaczcionkaakapitu"/>
    <w:uiPriority w:val="99"/>
    <w:semiHidden/>
    <w:unhideWhenUsed/>
    <w:rsid w:val="008E661D"/>
    <w:rPr>
      <w:color w:val="605E5C"/>
      <w:shd w:val="clear" w:color="auto" w:fill="E1DFDD"/>
    </w:rPr>
  </w:style>
  <w:style w:type="character" w:customStyle="1" w:styleId="Nierozpoznanawzmianka11">
    <w:name w:val="Nierozpoznana wzmianka11"/>
    <w:basedOn w:val="Domylnaczcionkaakapitu"/>
    <w:uiPriority w:val="99"/>
    <w:semiHidden/>
    <w:unhideWhenUsed/>
    <w:rsid w:val="00546781"/>
    <w:rPr>
      <w:color w:val="605E5C"/>
      <w:shd w:val="clear" w:color="auto" w:fill="E1DFDD"/>
    </w:rPr>
  </w:style>
  <w:style w:type="paragraph" w:styleId="Zwykytekst">
    <w:name w:val="Plain Text"/>
    <w:basedOn w:val="Normalny"/>
    <w:link w:val="ZwykytekstZnak"/>
    <w:uiPriority w:val="99"/>
    <w:unhideWhenUsed/>
    <w:rsid w:val="00D44F2E"/>
    <w:pPr>
      <w:spacing w:before="0"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D44F2E"/>
    <w:rPr>
      <w:rFonts w:ascii="Consolas" w:hAnsi="Consolas"/>
      <w:sz w:val="21"/>
      <w:szCs w:val="21"/>
    </w:rPr>
  </w:style>
  <w:style w:type="table" w:customStyle="1" w:styleId="Tabela-Siatka1">
    <w:name w:val="Tabela - Siatka1"/>
    <w:basedOn w:val="Standardowy"/>
    <w:next w:val="Tabela-Siatka"/>
    <w:uiPriority w:val="39"/>
    <w:rsid w:val="0033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2">
    <w:name w:val="Nierozpoznana wzmianka12"/>
    <w:basedOn w:val="Domylnaczcionkaakapitu"/>
    <w:uiPriority w:val="99"/>
    <w:semiHidden/>
    <w:unhideWhenUsed/>
    <w:rsid w:val="00FF2F1E"/>
    <w:rPr>
      <w:color w:val="605E5C"/>
      <w:shd w:val="clear" w:color="auto" w:fill="E1DFDD"/>
    </w:rPr>
  </w:style>
  <w:style w:type="character" w:customStyle="1" w:styleId="Nierozpoznanawzmianka13">
    <w:name w:val="Nierozpoznana wzmianka13"/>
    <w:basedOn w:val="Domylnaczcionkaakapitu"/>
    <w:uiPriority w:val="99"/>
    <w:semiHidden/>
    <w:unhideWhenUsed/>
    <w:rsid w:val="0064275A"/>
    <w:rPr>
      <w:color w:val="605E5C"/>
      <w:shd w:val="clear" w:color="auto" w:fill="E1DFDD"/>
    </w:rPr>
  </w:style>
  <w:style w:type="character" w:customStyle="1" w:styleId="Nierozpoznanawzmianka14">
    <w:name w:val="Nierozpoznana wzmianka14"/>
    <w:basedOn w:val="Domylnaczcionkaakapitu"/>
    <w:uiPriority w:val="99"/>
    <w:semiHidden/>
    <w:unhideWhenUsed/>
    <w:rsid w:val="00C50804"/>
    <w:rPr>
      <w:color w:val="605E5C"/>
      <w:shd w:val="clear" w:color="auto" w:fill="E1DFDD"/>
    </w:rPr>
  </w:style>
  <w:style w:type="table" w:customStyle="1" w:styleId="Tabela-Siatka11">
    <w:name w:val="Tabela - Siatka11"/>
    <w:basedOn w:val="Standardowy"/>
    <w:next w:val="Tabela-Siatka"/>
    <w:uiPriority w:val="39"/>
    <w:rsid w:val="000F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E4219"/>
    <w:pPr>
      <w:spacing w:after="0" w:line="240" w:lineRule="auto"/>
    </w:pPr>
    <w:rPr>
      <w:rFonts w:ascii="Fira Sans" w:hAnsi="Fira Sans"/>
      <w:sz w:val="19"/>
    </w:rPr>
  </w:style>
  <w:style w:type="character" w:customStyle="1" w:styleId="Nierozpoznanawzmianka15">
    <w:name w:val="Nierozpoznana wzmianka15"/>
    <w:basedOn w:val="Domylnaczcionkaakapitu"/>
    <w:uiPriority w:val="99"/>
    <w:semiHidden/>
    <w:unhideWhenUsed/>
    <w:rsid w:val="007E4219"/>
    <w:rPr>
      <w:color w:val="605E5C"/>
      <w:shd w:val="clear" w:color="auto" w:fill="E1DFDD"/>
    </w:rPr>
  </w:style>
  <w:style w:type="paragraph" w:styleId="Tekstpodstawowy2">
    <w:name w:val="Body Text 2"/>
    <w:basedOn w:val="Normalny"/>
    <w:link w:val="Tekstpodstawowy2Znak"/>
    <w:rsid w:val="0093035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930351"/>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101">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498038238">
      <w:bodyDiv w:val="1"/>
      <w:marLeft w:val="0"/>
      <w:marRight w:val="0"/>
      <w:marTop w:val="0"/>
      <w:marBottom w:val="0"/>
      <w:divBdr>
        <w:top w:val="none" w:sz="0" w:space="0" w:color="auto"/>
        <w:left w:val="none" w:sz="0" w:space="0" w:color="auto"/>
        <w:bottom w:val="none" w:sz="0" w:space="0" w:color="auto"/>
        <w:right w:val="none" w:sz="0" w:space="0" w:color="auto"/>
      </w:divBdr>
      <w:divsChild>
        <w:div w:id="1331908608">
          <w:marLeft w:val="0"/>
          <w:marRight w:val="0"/>
          <w:marTop w:val="0"/>
          <w:marBottom w:val="0"/>
          <w:divBdr>
            <w:top w:val="none" w:sz="0" w:space="0" w:color="auto"/>
            <w:left w:val="none" w:sz="0" w:space="0" w:color="auto"/>
            <w:bottom w:val="none" w:sz="0" w:space="0" w:color="auto"/>
            <w:right w:val="none" w:sz="0" w:space="0" w:color="auto"/>
          </w:divBdr>
          <w:divsChild>
            <w:div w:id="13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411581181">
      <w:bodyDiv w:val="1"/>
      <w:marLeft w:val="0"/>
      <w:marRight w:val="0"/>
      <w:marTop w:val="0"/>
      <w:marBottom w:val="0"/>
      <w:divBdr>
        <w:top w:val="none" w:sz="0" w:space="0" w:color="auto"/>
        <w:left w:val="none" w:sz="0" w:space="0" w:color="auto"/>
        <w:bottom w:val="none" w:sz="0" w:space="0" w:color="auto"/>
        <w:right w:val="none" w:sz="0" w:space="0" w:color="auto"/>
      </w:divBdr>
    </w:div>
    <w:div w:id="1609966834">
      <w:bodyDiv w:val="1"/>
      <w:marLeft w:val="0"/>
      <w:marRight w:val="0"/>
      <w:marTop w:val="0"/>
      <w:marBottom w:val="0"/>
      <w:divBdr>
        <w:top w:val="none" w:sz="0" w:space="0" w:color="auto"/>
        <w:left w:val="none" w:sz="0" w:space="0" w:color="auto"/>
        <w:bottom w:val="none" w:sz="0" w:space="0" w:color="auto"/>
        <w:right w:val="none" w:sz="0" w:space="0" w:color="auto"/>
      </w:divBdr>
    </w:div>
    <w:div w:id="1875192588">
      <w:bodyDiv w:val="1"/>
      <w:marLeft w:val="0"/>
      <w:marRight w:val="0"/>
      <w:marTop w:val="0"/>
      <w:marBottom w:val="0"/>
      <w:divBdr>
        <w:top w:val="none" w:sz="0" w:space="0" w:color="auto"/>
        <w:left w:val="none" w:sz="0" w:space="0" w:color="auto"/>
        <w:bottom w:val="none" w:sz="0" w:space="0" w:color="auto"/>
        <w:right w:val="none" w:sz="0" w:space="0" w:color="auto"/>
      </w:divBdr>
    </w:div>
    <w:div w:id="1890067627">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5.png"/><Relationship Id="rId39" Type="http://schemas.openxmlformats.org/officeDocument/2006/relationships/footer" Target="footer3.xml"/><Relationship Id="rId21" Type="http://schemas.openxmlformats.org/officeDocument/2006/relationships/hyperlink" Target="mailto:obslugaprasowa@stat.gov.pl" TargetMode="External"/><Relationship Id="rId34" Type="http://schemas.openxmlformats.org/officeDocument/2006/relationships/hyperlink" Target="https://stat.gov.pl/metainformacje/slownik-pojec/pojecia-stosowane-w-statystyce-publicznej/4573,pojecie.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hyperlink" Target="https://strateg.stat.gov.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hyperlink" Target="https://stat.gov.pl/metainformacje/slownik-pojec/pojecia-stosowane-w-statystyce-publicznej/4560,pojecie.html" TargetMode="External"/><Relationship Id="rId37" Type="http://schemas.openxmlformats.org/officeDocument/2006/relationships/image" Target="media/image17.emf"/><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hyperlink" Target="https://stat.gov.pl/obszary-tematyczne/rynek-pracy/pracujacy-bezrobotni-bierni-zawodowo-wg-bael/" TargetMode="External"/><Relationship Id="rId36" Type="http://schemas.openxmlformats.org/officeDocument/2006/relationships/hyperlink" Target="https://stat.gov.pl/metainformacje/slownik-pojec/pojecia-stosowane-w-statystyce-publicznej/4572,pojecie.html" TargetMode="Externa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yperlink" Target="https://stat.gov.pl/metainformacje/slownik-pojec/pojecia-stosowane-w-statystyce-publicznej/4563,pojeci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bdl.stat.gov.pl/bdl/dane/podgrup/temat" TargetMode="External"/><Relationship Id="rId35" Type="http://schemas.openxmlformats.org/officeDocument/2006/relationships/hyperlink" Target="https://stat.gov.pl/metainformacje/slownik-pojec/pojecia-stosowane-w-statystyce-publicznej/4575,pojecie.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4.png"/><Relationship Id="rId33" Type="http://schemas.openxmlformats.org/officeDocument/2006/relationships/hyperlink" Target="https://stat.gov.pl/metainformacje/slownik-pojec/pojecia-stosowane-w-statystyce-publicznej/4561,pojecie.html"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B44136ADD9233645AF9E7D0EADDEB824" ma:contentTypeVersion="" ma:contentTypeDescription="" ma:contentTypeScope="" ma:versionID="65958521edc9483c46942e9ac2ba341f">
  <xsd:schema xmlns:xsd="http://www.w3.org/2001/XMLSchema" xmlns:xs="http://www.w3.org/2001/XMLSchema" xmlns:p="http://schemas.microsoft.com/office/2006/metadata/properties" xmlns:ns1="http://schemas.microsoft.com/sharepoint/v3" xmlns:ns2="AD3641B4-23D9-4536-AF9E-7D0EADDEB824" targetNamespace="http://schemas.microsoft.com/office/2006/metadata/properties" ma:root="true" ma:fieldsID="34e359ed2fd7077939949e563617625d" ns1:_="" ns2:_="">
    <xsd:import namespace="http://schemas.microsoft.com/sharepoint/v3"/>
    <xsd:import namespace="AD3641B4-23D9-4536-AF9E-7D0EADDEB824"/>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3641B4-23D9-4536-AF9E-7D0EADDEB824"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zwaPliku xmlns="AD3641B4-23D9-4536-AF9E-7D0EADDEB824">Pracujacy, bezrobotni i bierni zawodowo (wyniki wstepne BAEL) - 3 kwartał 2023 roku.docx.docx</NazwaPliku>
    <Odbiorcy2 xmlns="AD3641B4-23D9-4536-AF9E-7D0EADDEB824" xsi:nil="true"/>
    <Osoba xmlns="AD3641B4-23D9-4536-AF9E-7D0EADDEB824">STAT\STRZELECKAH</Osoba>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0x00B44136ADD9233645AF9E7D0EADDEB824</ContentType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0901-9FF7-44D0-B6E9-B35C62D1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641B4-23D9-4536-AF9E-7D0EADDE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E9C3E-3CC5-40C0-A774-47B8E48CCF08}">
  <ds:schemaRefs>
    <ds:schemaRef ds:uri="http://schemas.microsoft.com/office/2006/metadata/properties"/>
    <ds:schemaRef ds:uri="http://schemas.microsoft.com/office/infopath/2007/PartnerControls"/>
    <ds:schemaRef ds:uri="AD3641B4-23D9-4536-AF9E-7D0EADDEB824"/>
    <ds:schemaRef ds:uri="http://schemas.microsoft.com/sharepoint/v3"/>
  </ds:schemaRefs>
</ds:datastoreItem>
</file>

<file path=customXml/itemProps3.xml><?xml version="1.0" encoding="utf-8"?>
<ds:datastoreItem xmlns:ds="http://schemas.openxmlformats.org/officeDocument/2006/customXml" ds:itemID="{B5AC29AA-2C5F-4650-BCE9-4B41E551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6361</Words>
  <Characters>38172</Characters>
  <DocSecurity>0</DocSecurity>
  <Lines>318</Lines>
  <Paragraphs>88</Paragraphs>
  <ScaleCrop>false</ScaleCrop>
  <HeadingPairs>
    <vt:vector size="2" baseType="variant">
      <vt:variant>
        <vt:lpstr>Tytuł</vt:lpstr>
      </vt:variant>
      <vt:variant>
        <vt:i4>1</vt:i4>
      </vt:variant>
    </vt:vector>
  </HeadingPairs>
  <TitlesOfParts>
    <vt:vector size="1" baseType="lpstr">
      <vt:lpstr>Osoby młode na rynku pracy w 2024 r.</vt:lpstr>
    </vt:vector>
  </TitlesOfParts>
  <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Osoby młode na rynku pracy w 2024 r.</dc:title>
  <dc:creator>Główny Urząd Statystyczny</dc:creator>
  <dc:description/>
  <cp:lastPrinted>2024-08-22T09:59:00Z</cp:lastPrinted>
  <dcterms:created xsi:type="dcterms:W3CDTF">2025-09-01T09:56:00Z</dcterms:created>
  <dcterms:modified xsi:type="dcterms:W3CDTF">2025-09-01T09:56:00Z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0x0101005F253E89B8992844AAE9836E71E202A8</vt:lpwstr>
  </property>
  <property fmtid="{D5CDD505-2E9C-101B-9397-08002B2CF9AE}" pid="3" name="ZnakPisma">
    <vt:lpwstr>GUS-DP02.6362.6.2023.1</vt:lpwstr>
  </property>
  <property fmtid="{D5CDD505-2E9C-101B-9397-08002B2CF9AE}" pid="4" name="UNPPisma">
    <vt:lpwstr>2023-44320</vt:lpwstr>
  </property>
  <property fmtid="{D5CDD505-2E9C-101B-9397-08002B2CF9AE}" pid="5" name="ZnakSprawy">
    <vt:lpwstr>GUS-DP02.6362.6.2023</vt:lpwstr>
  </property>
  <property fmtid="{D5CDD505-2E9C-101B-9397-08002B2CF9AE}" pid="6" name="ZnakSprawyPrzedPrzeniesieniem">
    <vt:lpwstr/>
  </property>
  <property fmtid="{D5CDD505-2E9C-101B-9397-08002B2CF9AE}" pid="7" name="Autor">
    <vt:lpwstr>Łączyńska Magdalena</vt:lpwstr>
  </property>
  <property fmtid="{D5CDD505-2E9C-101B-9397-08002B2CF9AE}" pid="8" name="AutorInicjaly">
    <vt:lpwstr>MŁ</vt:lpwstr>
  </property>
  <property fmtid="{D5CDD505-2E9C-101B-9397-08002B2CF9AE}" pid="9" name="AutorNrTelefonu">
    <vt:lpwstr>(022) 608-3287</vt:lpwstr>
  </property>
  <property fmtid="{D5CDD505-2E9C-101B-9397-08002B2CF9AE}" pid="10" name="Stanowisko">
    <vt:lpwstr>główny specjalista</vt:lpwstr>
  </property>
  <property fmtid="{D5CDD505-2E9C-101B-9397-08002B2CF9AE}" pid="11" name="OpisPisma">
    <vt:lpwstr>Korekta  - Informacja sygnalna "Pracujący, bezrobotni i bierni zawodowo (wyniki wstępne Badania Aktywności Ekonomicznej Ludności).</vt:lpwstr>
  </property>
  <property fmtid="{D5CDD505-2E9C-101B-9397-08002B2CF9AE}" pid="12" name="Komorka">
    <vt:lpwstr>Prezes GUS</vt:lpwstr>
  </property>
  <property fmtid="{D5CDD505-2E9C-101B-9397-08002B2CF9AE}" pid="13" name="KodKomorki">
    <vt:lpwstr>Prezes GUS</vt:lpwstr>
  </property>
  <property fmtid="{D5CDD505-2E9C-101B-9397-08002B2CF9AE}" pid="14" name="AktualnaData">
    <vt:lpwstr>2023-02-23</vt:lpwstr>
  </property>
  <property fmtid="{D5CDD505-2E9C-101B-9397-08002B2CF9AE}" pid="15" name="Wydzial">
    <vt:lpwstr>Wydział badań rynku pracy poprzez gospodarstwa domowe</vt:lpwstr>
  </property>
  <property fmtid="{D5CDD505-2E9C-101B-9397-08002B2CF9AE}" pid="16" name="KodWydzialu">
    <vt:lpwstr>DP-02</vt:lpwstr>
  </property>
  <property fmtid="{D5CDD505-2E9C-101B-9397-08002B2CF9AE}" pid="17" name="ZaakceptowanePrzez">
    <vt:lpwstr>n/d</vt:lpwstr>
  </property>
  <property fmtid="{D5CDD505-2E9C-101B-9397-08002B2CF9AE}" pid="18" name="PrzekazanieDo">
    <vt:lpwstr>Dyrektor Departamentu Edukacji i Komunikacji(DK)</vt:lpwstr>
  </property>
  <property fmtid="{D5CDD505-2E9C-101B-9397-08002B2CF9AE}" pid="19" name="PrzekazanieDoStanowisko">
    <vt:lpwstr/>
  </property>
  <property fmtid="{D5CDD505-2E9C-101B-9397-08002B2CF9AE}" pid="20" name="PrzekazanieDoKomorkaPracownika">
    <vt:lpwstr/>
  </property>
  <property fmtid="{D5CDD505-2E9C-101B-9397-08002B2CF9AE}" pid="21" name="PrzekazanieWgRozdzielnika">
    <vt:lpwstr/>
  </property>
  <property fmtid="{D5CDD505-2E9C-101B-9397-08002B2CF9AE}" pid="22" name="adresImie">
    <vt:lpwstr/>
  </property>
  <property fmtid="{D5CDD505-2E9C-101B-9397-08002B2CF9AE}" pid="23" name="adresNazwisko">
    <vt:lpwstr/>
  </property>
  <property fmtid="{D5CDD505-2E9C-101B-9397-08002B2CF9AE}" pid="24" name="adresNazwa">
    <vt:lpwstr/>
  </property>
  <property fmtid="{D5CDD505-2E9C-101B-9397-08002B2CF9AE}" pid="25" name="adresOddzial">
    <vt:lpwstr/>
  </property>
  <property fmtid="{D5CDD505-2E9C-101B-9397-08002B2CF9AE}" pid="26" name="adresUlica">
    <vt:lpwstr/>
  </property>
  <property fmtid="{D5CDD505-2E9C-101B-9397-08002B2CF9AE}" pid="27" name="adresTypUlicy">
    <vt:lpwstr/>
  </property>
  <property fmtid="{D5CDD505-2E9C-101B-9397-08002B2CF9AE}" pid="28" name="adresNrDomu">
    <vt:lpwstr/>
  </property>
  <property fmtid="{D5CDD505-2E9C-101B-9397-08002B2CF9AE}" pid="29" name="adresNrLokalu">
    <vt:lpwstr/>
  </property>
  <property fmtid="{D5CDD505-2E9C-101B-9397-08002B2CF9AE}" pid="30" name="adresKodPocztowy">
    <vt:lpwstr/>
  </property>
  <property fmtid="{D5CDD505-2E9C-101B-9397-08002B2CF9AE}" pid="31" name="adresMiejscowosc">
    <vt:lpwstr/>
  </property>
  <property fmtid="{D5CDD505-2E9C-101B-9397-08002B2CF9AE}" pid="32" name="adresPoczta">
    <vt:lpwstr/>
  </property>
  <property fmtid="{D5CDD505-2E9C-101B-9397-08002B2CF9AE}" pid="33" name="adresEMail">
    <vt:lpwstr/>
  </property>
  <property fmtid="{D5CDD505-2E9C-101B-9397-08002B2CF9AE}" pid="34" name="DataNaPismie">
    <vt:lpwstr/>
  </property>
  <property fmtid="{D5CDD505-2E9C-101B-9397-08002B2CF9AE}" pid="35" name="KodKreskowy">
    <vt:lpwstr/>
  </property>
  <property fmtid="{D5CDD505-2E9C-101B-9397-08002B2CF9AE}" pid="36" name="TrescPisma">
    <vt:lpwstr/>
  </property>
</Properties>
</file>