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395E9ED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493457">
        <w:t>marcu 202</w:t>
      </w:r>
      <w:r w:rsidR="009A295C">
        <w:t>5</w:t>
      </w:r>
      <w:r w:rsidRPr="00B855AF">
        <w:t xml:space="preserve"> r.</w:t>
      </w:r>
    </w:p>
    <w:p w14:paraId="3249ACA9" w14:textId="380CC3DE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0E28766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cen o 4,9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3DC5AE0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13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D721E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753C14" w:rsidRPr="00D721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57C27DA3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CE51AB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cen o 4,9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PK+cAIAAHs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" fillcolor="#001d77" stroked="f">
                <v:stroke joinstyle="miter"/>
                <v:textbox>
                  <w:txbxContent>
                    <w:p w14:paraId="5D772350" w14:textId="03DC5AE0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813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C2756F" w:rsidRPr="00D721E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753C14" w:rsidRPr="00D721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57C27DA3" w:rsidR="008955F2" w:rsidRDefault="008955F2" w:rsidP="008E360B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CE51AB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493457">
        <w:t>marcu</w:t>
      </w:r>
      <w:r w:rsidR="000616D1" w:rsidRPr="00D556CB">
        <w:t xml:space="preserve"> </w:t>
      </w:r>
      <w:r w:rsidR="00493457">
        <w:t>202</w:t>
      </w:r>
      <w:r w:rsidR="00D813EE">
        <w:t>5</w:t>
      </w:r>
      <w:r w:rsidR="00AC4F75">
        <w:t xml:space="preserve"> r. w </w:t>
      </w:r>
      <w:r w:rsidR="009B4EE7" w:rsidRPr="00D556CB">
        <w:t xml:space="preserve">porównaniu z analogicznym miesiącem </w:t>
      </w:r>
      <w:r w:rsidR="009B4EE7" w:rsidRPr="00E51892">
        <w:t>ub.</w:t>
      </w:r>
      <w:r w:rsidR="00ED75C2" w:rsidRPr="00E51892">
        <w:t xml:space="preserve"> roku wzrosły o </w:t>
      </w:r>
      <w:r w:rsidR="00D813EE">
        <w:t>4</w:t>
      </w:r>
      <w:r w:rsidR="001C0D5B">
        <w:t>,</w:t>
      </w:r>
      <w:r w:rsidR="00753C14">
        <w:t>9</w:t>
      </w:r>
      <w:r w:rsidR="009B4EE7" w:rsidRPr="00E51892">
        <w:t xml:space="preserve">% (wskaźnik cen </w:t>
      </w:r>
      <w:r w:rsidR="001C0D5B">
        <w:t>1</w:t>
      </w:r>
      <w:r w:rsidR="00D813EE">
        <w:t>04</w:t>
      </w:r>
      <w:r w:rsidR="00E13990" w:rsidRPr="00E51892">
        <w:t>,</w:t>
      </w:r>
      <w:r w:rsidR="00753C14">
        <w:t>9</w:t>
      </w:r>
      <w:r w:rsidR="001C0D5B">
        <w:t>)</w:t>
      </w:r>
      <w:r w:rsidR="00A342B1">
        <w:t>,</w:t>
      </w:r>
      <w:r w:rsidR="00E13990" w:rsidRPr="00E51892">
        <w:t xml:space="preserve"> </w:t>
      </w:r>
      <w:r w:rsidR="00753C14">
        <w:br/>
      </w:r>
      <w:r w:rsidR="00E13990" w:rsidRPr="00E51892">
        <w:t>a</w:t>
      </w:r>
      <w:r w:rsidR="00ED75C2" w:rsidRPr="00E51892">
        <w:t xml:space="preserve"> w stosunku do </w:t>
      </w:r>
      <w:r w:rsidR="009B4EE7" w:rsidRPr="00E51892">
        <w:t xml:space="preserve">poprzedniego miesiąca wzrosły o </w:t>
      </w:r>
      <w:r w:rsidR="00D813EE">
        <w:t>0,1</w:t>
      </w:r>
      <w:r w:rsidR="00160BEF" w:rsidRPr="00E51892">
        <w:t xml:space="preserve">% (wskaźnik cen </w:t>
      </w:r>
      <w:r w:rsidR="001C0D5B">
        <w:t>10</w:t>
      </w:r>
      <w:r w:rsidR="00753C14">
        <w:t>0</w:t>
      </w:r>
      <w:r w:rsidR="001C0D5B">
        <w:t>,</w:t>
      </w:r>
      <w:r w:rsidR="00D813EE">
        <w:t>1</w:t>
      </w:r>
      <w:r w:rsidR="009B4EE7"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77777777" w:rsidR="00D721E8" w:rsidRDefault="00D721E8" w:rsidP="004D626D">
      <w:pPr>
        <w:pStyle w:val="Lead"/>
        <w:ind w:right="-255"/>
        <w:contextualSpacing/>
      </w:pPr>
    </w:p>
    <w:p w14:paraId="43C0D266" w14:textId="49B5A33C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493457" w:rsidRPr="00493457">
        <w:t>marcu 202</w:t>
      </w:r>
      <w:r w:rsidR="00D813EE">
        <w:t>5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marcu 2025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5257C24A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68A93CD3" w:rsidR="00493457" w:rsidRPr="00493457" w:rsidRDefault="00493457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7B594BA2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02 202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93457" w:rsidRPr="00496F01" w14:paraId="3813E270" w14:textId="77777777" w:rsidTr="00D813EE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23C43466" w:rsidR="00493457" w:rsidRPr="00493457" w:rsidRDefault="00926029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D813EE">
              <w:rPr>
                <w:rFonts w:cs="Arial"/>
                <w:color w:val="000000" w:themeColor="text1"/>
                <w:szCs w:val="19"/>
              </w:rPr>
              <w:t>04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753C14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4AB664E" w:rsidR="00493457" w:rsidRPr="00493457" w:rsidRDefault="00926029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</w:t>
            </w:r>
            <w:r w:rsidR="00753C14">
              <w:rPr>
                <w:rFonts w:cs="Arial"/>
                <w:color w:val="000000" w:themeColor="text1"/>
                <w:szCs w:val="19"/>
              </w:rPr>
              <w:t>0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D813EE">
              <w:rPr>
                <w:rFonts w:cs="Arial"/>
                <w:color w:val="000000" w:themeColor="text1"/>
                <w:szCs w:val="19"/>
              </w:rPr>
              <w:t>1</w:t>
            </w:r>
          </w:p>
        </w:tc>
      </w:tr>
      <w:tr w:rsidR="00D813EE" w:rsidRPr="00496F01" w14:paraId="17F520AC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D813EE" w:rsidRPr="00493457" w:rsidRDefault="00D813EE" w:rsidP="00D813E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50922BEB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106,7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00C8DD49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100,3</w:t>
            </w:r>
          </w:p>
        </w:tc>
      </w:tr>
      <w:tr w:rsidR="00D813EE" w:rsidRPr="00496F01" w14:paraId="54CC8FF5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D813EE" w:rsidRPr="00493457" w:rsidRDefault="00D813EE" w:rsidP="00D813EE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12ABC9B0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113,3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422CF50D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99,9</w:t>
            </w:r>
          </w:p>
        </w:tc>
      </w:tr>
      <w:tr w:rsidR="00D813EE" w:rsidRPr="006B42DC" w14:paraId="69491C55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D813EE" w:rsidRPr="00493457" w:rsidRDefault="00D813EE" w:rsidP="00D813E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63652D51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95,3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0BD48B2" w:rsidR="00D813EE" w:rsidRPr="00493457" w:rsidRDefault="00D813EE" w:rsidP="00D813E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98,0</w:t>
            </w:r>
          </w:p>
        </w:tc>
      </w:tr>
    </w:tbl>
    <w:p w14:paraId="54475AAF" w14:textId="58440C29" w:rsidR="00AF4659" w:rsidRPr="00AB3167" w:rsidRDefault="00EF6E48" w:rsidP="007B2A3E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71693A2D" wp14:editId="47223F66">
            <wp:simplePos x="0" y="0"/>
            <wp:positionH relativeFrom="column">
              <wp:posOffset>-106553</wp:posOffset>
            </wp:positionH>
            <wp:positionV relativeFrom="paragraph">
              <wp:posOffset>2194230</wp:posOffset>
            </wp:positionV>
            <wp:extent cx="5072380" cy="2554605"/>
            <wp:effectExtent l="0" t="0" r="0" b="0"/>
            <wp:wrapSquare wrapText="bothSides"/>
            <wp:docPr id="3" name="Obraz 3" descr="Wykres 1. Zmiany cen towarów i usług konsumpcyjnycha w stosunku do analogicznego okresu roku poprzedniego (w %). Dane ostateczne z wyjątkiem informacji opracowanej według szybkiego szacunku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  <w:bookmarkStart w:id="0" w:name="_GoBack"/>
      <w:bookmarkEnd w:id="0"/>
    </w:p>
    <w:p w14:paraId="1C3CD66D" w14:textId="58081247" w:rsidR="00CA313C" w:rsidRDefault="00CA313C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1D88F249" w:rsidR="00D42DCA" w:rsidRPr="009B4EE7" w:rsidRDefault="009B4EE7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493457">
        <w:rPr>
          <w:rFonts w:ascii="Fira Sans" w:hAnsi="Fira Sans"/>
          <w:b w:val="0"/>
          <w:sz w:val="16"/>
          <w:szCs w:val="19"/>
        </w:rPr>
        <w:t>marcu 202</w:t>
      </w:r>
      <w:r w:rsidR="009A295C">
        <w:rPr>
          <w:rFonts w:ascii="Fira Sans" w:hAnsi="Fira Sans"/>
          <w:b w:val="0"/>
          <w:sz w:val="16"/>
          <w:szCs w:val="19"/>
        </w:rPr>
        <w:t>5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1BE6D845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7777777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7777777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77777777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www.stat.gov.pl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</w:t>
            </w:r>
            <w:proofErr w:type="spellStart"/>
            <w:r w:rsidRPr="009A295C">
              <w:rPr>
                <w:sz w:val="20"/>
                <w:szCs w:val="20"/>
              </w:rPr>
              <w:t>GlownyUrzadStatystyczny</w:t>
            </w:r>
            <w:proofErr w:type="spellEnd"/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444C9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AB47B8" w14:textId="77777777" w:rsidR="009A295C" w:rsidRPr="009A295C" w:rsidRDefault="009A295C" w:rsidP="009A295C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9A295C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3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742412" w:rsidRDefault="009A295C" w:rsidP="000C16B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4" w:tooltip="Link do informacji na temat zmian w zakresie " w:history="1">
              <w:r w:rsidR="000C16B5" w:rsidRPr="000C16B5">
                <w:rPr>
                  <w:rStyle w:val="Hipercze"/>
                  <w:sz w:val="18"/>
                  <w:szCs w:val="18"/>
                </w:rPr>
                <w:t>Informacja na temat zmian w zakresie „koszyka inflacyjnego” w 2025 roku</w:t>
              </w:r>
            </w:hyperlink>
          </w:p>
          <w:p w14:paraId="48502102" w14:textId="05285F06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5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6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A295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EF6E48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EF6E48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77777777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E6912D6-0664-46F7-9254-48C98B45842D}"/>
    <w:embedBold r:id="rId2" w:fontKey="{8E84B9FC-F8B4-46F5-89B4-64969F9A95C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CFF2A6-4FA2-4F3E-A42A-80F63ECF4737}"/>
    <w:embedBold r:id="rId4" w:fontKey="{3E671543-CF07-4D47-8048-E6C2839A999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33E310-862B-4DFF-AA55-2254FD8AF88B}"/>
    <w:embedBold r:id="rId6" w:fontKey="{D0CE64AD-D9E0-498F-AE43-12CFC974B7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574ADF-D37C-4C8E-8462-3BD2FD4A8CF7}"/>
    <w:embedItalic r:id="rId8" w:fontKey="{53F0455A-CC43-4285-B66A-0E48BE21952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4E2297E-18B9-4FDF-8365-A5B19DF7105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414ECB6-6B7F-4258-B06F-BA91A33C391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54784DA-A339-4291-8C5E-21DBFDA24F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E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E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E4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D936304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9" name="Obraz 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F2C9F66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mar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C965917" w:rsidR="008955F2" w:rsidRPr="00987428" w:rsidRDefault="0084321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9345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rc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8mY5c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6C965917" w:rsidR="008955F2" w:rsidRPr="00987428" w:rsidRDefault="0084321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9345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295C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264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EF6E48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aktualnosci/informacja-na-temat-zmian-w-zakresie-koszyka-inflacyjnego-w-2025-roku,611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98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8C029B3F-2CC4-4A59-AF0D-A90575FA3373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7B8A930-8F8D-4569-B0E8-25F42C7D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534</Words>
  <Characters>3048</Characters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2025-03-28T11:06:00Z</cp:lastPrinted>
  <dcterms:created xsi:type="dcterms:W3CDTF">2022-08-29T13:21:00Z</dcterms:created>
  <dcterms:modified xsi:type="dcterms:W3CDTF">2025-03-28T12:17:00Z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