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A545D" w14:textId="68809B2C" w:rsidR="00393761" w:rsidRPr="0070289A" w:rsidRDefault="00DD5C23" w:rsidP="00F07B6F">
      <w:pPr>
        <w:pStyle w:val="Tytuinfomacjisygnalnej"/>
        <w:spacing w:after="480"/>
      </w:pPr>
      <w:r w:rsidRPr="0070289A">
        <w:t>Budownictwo mieszkaniowe</w:t>
      </w:r>
      <w:r w:rsidR="00354E9A" w:rsidRPr="0070289A">
        <w:rPr>
          <w:rStyle w:val="Odwoanieprzypisudolnego"/>
        </w:rPr>
        <w:footnoteReference w:id="1"/>
      </w:r>
      <w:r w:rsidRPr="0070289A">
        <w:t xml:space="preserve"> w </w:t>
      </w:r>
      <w:r w:rsidR="006B6D1D" w:rsidRPr="0070289A">
        <w:t xml:space="preserve">okresie </w:t>
      </w:r>
      <w:r w:rsidR="006B6D1D" w:rsidRPr="00FF3037">
        <w:t>styczeń</w:t>
      </w:r>
      <w:r w:rsidR="00A50DB8">
        <w:t>–</w:t>
      </w:r>
      <w:r w:rsidR="00535211">
        <w:t>kwiecień</w:t>
      </w:r>
      <w:r w:rsidR="00944EA3" w:rsidRPr="0070289A">
        <w:t xml:space="preserve"> 202</w:t>
      </w:r>
      <w:r w:rsidR="00BF2B63">
        <w:t>5</w:t>
      </w:r>
      <w:r w:rsidRPr="0070289A">
        <w:t xml:space="preserve"> r.</w:t>
      </w:r>
      <w:r w:rsidR="00364AF9" w:rsidRPr="0070289A">
        <w:rPr>
          <w:sz w:val="32"/>
        </w:rPr>
        <w:tab/>
      </w:r>
    </w:p>
    <w:p w14:paraId="0053349A" w14:textId="1AA794B9" w:rsidR="00DE58F1" w:rsidRPr="00551E7E" w:rsidRDefault="00A01F4A" w:rsidP="00D66016">
      <w:pPr>
        <w:pStyle w:val="Lead"/>
        <w:spacing w:before="240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0C72BA1F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. roku o 3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3E9C10A1" w:rsidR="002405BE" w:rsidRPr="007D605C" w:rsidRDefault="002405BE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E73B86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3</w:t>
                            </w:r>
                            <w:r w:rsidR="00BF2B63" w:rsidRP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,</w:t>
                            </w:r>
                            <w:r w:rsidR="00E73B86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3</w:t>
                            </w:r>
                            <w:r w:rsidR="00BF2B63" w:rsidRP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14:paraId="114E94AB" w14:textId="07111DDF" w:rsidR="002405BE" w:rsidRPr="007D605C" w:rsidRDefault="00BF2B63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2405BE" w:rsidRPr="00354E9A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="002405BE" w:rsidRPr="00354E9A">
                              <w:t>oddanych do użytkowania</w:t>
                            </w:r>
                            <w:r w:rsidR="00A01F4A">
                              <w:t xml:space="preserve"> w porównaniu z analogicznym okresem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81C2554" id="Pole tekstowe 2" o:spid="_x0000_s1026" alt="Spadek liczby mieszkań oddanych do użytkowania w porównaniu z analogicznym okresem ub. roku o 3,3%" style="position:absolute;margin-left:0;margin-top:15.9pt;width:173.55pt;height:105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" fillcolor="#001d77" stroked="f">
                <v:stroke joinstyle="miter"/>
                <v:textbox>
                  <w:txbxContent>
                    <w:p w14:paraId="6B6EB625" w14:textId="3E9C10A1" w:rsidR="002405BE" w:rsidRPr="007D605C" w:rsidRDefault="002405BE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E73B86">
                        <w:rPr>
                          <w:rStyle w:val="WartowskanikaZnak"/>
                          <w:sz w:val="60"/>
                          <w:szCs w:val="60"/>
                        </w:rPr>
                        <w:t>3</w:t>
                      </w:r>
                      <w:r w:rsidR="00BF2B63" w:rsidRPr="00BF2B63">
                        <w:rPr>
                          <w:rStyle w:val="WartowskanikaZnak"/>
                          <w:sz w:val="60"/>
                          <w:szCs w:val="60"/>
                        </w:rPr>
                        <w:t>,</w:t>
                      </w:r>
                      <w:r w:rsidR="00E73B86">
                        <w:rPr>
                          <w:rStyle w:val="WartowskanikaZnak"/>
                          <w:sz w:val="60"/>
                          <w:szCs w:val="60"/>
                        </w:rPr>
                        <w:t>3</w:t>
                      </w:r>
                      <w:r w:rsidR="00BF2B63" w:rsidRPr="00BF2B63">
                        <w:rPr>
                          <w:rStyle w:val="WartowskanikaZnak"/>
                          <w:sz w:val="60"/>
                          <w:szCs w:val="60"/>
                        </w:rPr>
                        <w:t>%</w:t>
                      </w:r>
                    </w:p>
                    <w:p w14:paraId="114E94AB" w14:textId="07111DDF" w:rsidR="002405BE" w:rsidRPr="007D605C" w:rsidRDefault="00BF2B63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2405BE" w:rsidRPr="00354E9A">
                        <w:t xml:space="preserve"> liczby mieszkań</w:t>
                      </w:r>
                      <w:r w:rsidR="002405BE">
                        <w:br/>
                      </w:r>
                      <w:r w:rsidR="002405BE" w:rsidRPr="00354E9A">
                        <w:t>oddanych do użytkowania</w:t>
                      </w:r>
                      <w:r w:rsidR="00A01F4A">
                        <w:t xml:space="preserve"> w porównaniu z analogicznym okresem 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BF2B63" w:rsidRPr="00BF2B63">
        <w:rPr>
          <w:color w:val="000000" w:themeColor="text1"/>
        </w:rPr>
        <w:t xml:space="preserve">W </w:t>
      </w:r>
      <w:r w:rsidR="00D66016" w:rsidRPr="003A3F58">
        <w:rPr>
          <w:color w:val="000000" w:themeColor="text1"/>
        </w:rPr>
        <w:t>okresie styczeń</w:t>
      </w:r>
      <w:r w:rsidR="00A50DB8" w:rsidRPr="003A3F58">
        <w:rPr>
          <w:color w:val="000000" w:themeColor="text1"/>
        </w:rPr>
        <w:t>–</w:t>
      </w:r>
      <w:r w:rsidR="00535211">
        <w:rPr>
          <w:color w:val="000000" w:themeColor="text1"/>
        </w:rPr>
        <w:t>kwiecień</w:t>
      </w:r>
      <w:r w:rsidR="00D66016" w:rsidRPr="00D66016">
        <w:rPr>
          <w:color w:val="000000" w:themeColor="text1"/>
        </w:rPr>
        <w:t xml:space="preserve"> 2025 </w:t>
      </w:r>
      <w:r w:rsidR="00152B7B">
        <w:rPr>
          <w:color w:val="000000" w:themeColor="text1"/>
        </w:rPr>
        <w:t>r.</w:t>
      </w:r>
      <w:r w:rsidR="00152B7B" w:rsidRPr="00BF2B63">
        <w:rPr>
          <w:color w:val="000000" w:themeColor="text1"/>
        </w:rPr>
        <w:t xml:space="preserve"> oddano do użytkowania o </w:t>
      </w:r>
      <w:r w:rsidR="00E73B86">
        <w:rPr>
          <w:color w:val="000000" w:themeColor="text1"/>
        </w:rPr>
        <w:t>3</w:t>
      </w:r>
      <w:r w:rsidR="00152B7B" w:rsidRPr="00BF2B63">
        <w:rPr>
          <w:color w:val="000000" w:themeColor="text1"/>
        </w:rPr>
        <w:t>,</w:t>
      </w:r>
      <w:r w:rsidR="00E73B86">
        <w:rPr>
          <w:color w:val="000000" w:themeColor="text1"/>
        </w:rPr>
        <w:t>3</w:t>
      </w:r>
      <w:r w:rsidR="00152B7B" w:rsidRPr="00BF2B63">
        <w:rPr>
          <w:color w:val="000000" w:themeColor="text1"/>
        </w:rPr>
        <w:t>% mniej mieszkań</w:t>
      </w:r>
      <w:r w:rsidR="00152B7B" w:rsidRPr="00D66016">
        <w:rPr>
          <w:color w:val="000000" w:themeColor="text1"/>
        </w:rPr>
        <w:t xml:space="preserve"> </w:t>
      </w:r>
      <w:r w:rsidR="00152B7B">
        <w:rPr>
          <w:color w:val="000000" w:themeColor="text1"/>
        </w:rPr>
        <w:t>niż w</w:t>
      </w:r>
      <w:r w:rsidR="005E644D">
        <w:rPr>
          <w:color w:val="000000" w:themeColor="text1"/>
        </w:rPr>
        <w:t> </w:t>
      </w:r>
      <w:r w:rsidR="00152B7B" w:rsidRPr="00D66016">
        <w:rPr>
          <w:color w:val="000000" w:themeColor="text1"/>
        </w:rPr>
        <w:t>analogiczn</w:t>
      </w:r>
      <w:r w:rsidR="00152B7B">
        <w:rPr>
          <w:color w:val="000000" w:themeColor="text1"/>
        </w:rPr>
        <w:t>ym</w:t>
      </w:r>
      <w:r w:rsidR="00152B7B" w:rsidRPr="00D66016">
        <w:rPr>
          <w:color w:val="000000" w:themeColor="text1"/>
        </w:rPr>
        <w:t xml:space="preserve"> okres</w:t>
      </w:r>
      <w:r w:rsidR="00152B7B">
        <w:rPr>
          <w:color w:val="000000" w:themeColor="text1"/>
        </w:rPr>
        <w:t>ie</w:t>
      </w:r>
      <w:r w:rsidR="00152B7B" w:rsidRPr="00D66016">
        <w:rPr>
          <w:color w:val="000000" w:themeColor="text1"/>
        </w:rPr>
        <w:t xml:space="preserve"> ub</w:t>
      </w:r>
      <w:r w:rsidR="00152B7B">
        <w:rPr>
          <w:color w:val="000000" w:themeColor="text1"/>
        </w:rPr>
        <w:t>.</w:t>
      </w:r>
      <w:r w:rsidR="00152B7B" w:rsidRPr="00D66016">
        <w:rPr>
          <w:color w:val="000000" w:themeColor="text1"/>
        </w:rPr>
        <w:t xml:space="preserve"> </w:t>
      </w:r>
      <w:r w:rsidR="00D66016" w:rsidRPr="00D66016">
        <w:rPr>
          <w:color w:val="000000" w:themeColor="text1"/>
        </w:rPr>
        <w:t>roku</w:t>
      </w:r>
      <w:r w:rsidR="00D66016">
        <w:rPr>
          <w:color w:val="000000" w:themeColor="text1"/>
        </w:rPr>
        <w:t xml:space="preserve">. </w:t>
      </w:r>
      <w:r w:rsidR="00152B7B">
        <w:rPr>
          <w:color w:val="000000" w:themeColor="text1"/>
        </w:rPr>
        <w:t xml:space="preserve">Spadła </w:t>
      </w:r>
      <w:r w:rsidR="00BF2B63" w:rsidRPr="00BF2B63">
        <w:rPr>
          <w:color w:val="000000" w:themeColor="text1"/>
        </w:rPr>
        <w:t xml:space="preserve">również </w:t>
      </w:r>
      <w:r w:rsidR="00C07A5D">
        <w:rPr>
          <w:color w:val="000000" w:themeColor="text1"/>
        </w:rPr>
        <w:t>l</w:t>
      </w:r>
      <w:r w:rsidR="00BF2B63" w:rsidRPr="00BF2B63">
        <w:rPr>
          <w:color w:val="000000" w:themeColor="text1"/>
        </w:rPr>
        <w:t>iczb</w:t>
      </w:r>
      <w:r w:rsidR="00152B7B">
        <w:rPr>
          <w:color w:val="000000" w:themeColor="text1"/>
        </w:rPr>
        <w:t xml:space="preserve">a </w:t>
      </w:r>
      <w:r w:rsidR="00BF2B63" w:rsidRPr="00BF2B63">
        <w:rPr>
          <w:color w:val="000000" w:themeColor="text1"/>
        </w:rPr>
        <w:t xml:space="preserve">mieszkań, na których budowę wydano pozwolenia lub dokonano zgłoszenia z projektem budowlanym </w:t>
      </w:r>
      <w:r w:rsidR="00C07A5D">
        <w:rPr>
          <w:color w:val="000000" w:themeColor="text1"/>
        </w:rPr>
        <w:t>(o </w:t>
      </w:r>
      <w:r w:rsidR="00B642F0">
        <w:rPr>
          <w:color w:val="000000" w:themeColor="text1"/>
        </w:rPr>
        <w:t>1</w:t>
      </w:r>
      <w:r w:rsidR="00E73B86">
        <w:rPr>
          <w:color w:val="000000" w:themeColor="text1"/>
        </w:rPr>
        <w:t>4</w:t>
      </w:r>
      <w:r w:rsidR="00C07A5D">
        <w:rPr>
          <w:color w:val="000000" w:themeColor="text1"/>
        </w:rPr>
        <w:t>,</w:t>
      </w:r>
      <w:r w:rsidR="00E73B86">
        <w:rPr>
          <w:color w:val="000000" w:themeColor="text1"/>
        </w:rPr>
        <w:t>7</w:t>
      </w:r>
      <w:r w:rsidR="00C07A5D">
        <w:rPr>
          <w:color w:val="000000" w:themeColor="text1"/>
        </w:rPr>
        <w:t xml:space="preserve">%) </w:t>
      </w:r>
      <w:r w:rsidR="00BF2B63" w:rsidRPr="00BF2B63">
        <w:rPr>
          <w:color w:val="000000" w:themeColor="text1"/>
        </w:rPr>
        <w:t xml:space="preserve">oraz </w:t>
      </w:r>
      <w:r w:rsidR="00152B7B">
        <w:rPr>
          <w:color w:val="000000" w:themeColor="text1"/>
        </w:rPr>
        <w:t>l</w:t>
      </w:r>
      <w:r w:rsidR="00152B7B" w:rsidRPr="00BF2B63">
        <w:rPr>
          <w:color w:val="000000" w:themeColor="text1"/>
        </w:rPr>
        <w:t>iczb</w:t>
      </w:r>
      <w:r w:rsidR="00152B7B">
        <w:rPr>
          <w:color w:val="000000" w:themeColor="text1"/>
        </w:rPr>
        <w:t>a</w:t>
      </w:r>
      <w:r w:rsidR="00152B7B" w:rsidRPr="00BF2B63">
        <w:rPr>
          <w:color w:val="000000" w:themeColor="text1"/>
        </w:rPr>
        <w:t xml:space="preserve"> </w:t>
      </w:r>
      <w:r w:rsidR="00BF2B63" w:rsidRPr="00BF2B63">
        <w:rPr>
          <w:color w:val="000000" w:themeColor="text1"/>
        </w:rPr>
        <w:t>mieszkań, których budowę rozpoczęto</w:t>
      </w:r>
      <w:r w:rsidR="00C07A5D">
        <w:rPr>
          <w:color w:val="000000" w:themeColor="text1"/>
        </w:rPr>
        <w:t xml:space="preserve"> (o </w:t>
      </w:r>
      <w:r w:rsidR="00E73B86">
        <w:rPr>
          <w:color w:val="000000" w:themeColor="text1"/>
        </w:rPr>
        <w:t>6</w:t>
      </w:r>
      <w:r w:rsidR="00C07A5D">
        <w:rPr>
          <w:color w:val="000000" w:themeColor="text1"/>
        </w:rPr>
        <w:t>,</w:t>
      </w:r>
      <w:r w:rsidR="00E73B86">
        <w:rPr>
          <w:color w:val="000000" w:themeColor="text1"/>
        </w:rPr>
        <w:t>8</w:t>
      </w:r>
      <w:r w:rsidR="00C07A5D">
        <w:rPr>
          <w:color w:val="000000" w:themeColor="text1"/>
        </w:rPr>
        <w:t>%)</w:t>
      </w:r>
      <w:r w:rsidR="00354E9A" w:rsidRPr="00551E7E">
        <w:rPr>
          <w:color w:val="000000" w:themeColor="text1"/>
        </w:rPr>
        <w:t>.</w:t>
      </w:r>
      <w:r w:rsidR="00DE6B58" w:rsidRPr="00551E7E">
        <w:rPr>
          <w:color w:val="000000" w:themeColor="text1"/>
        </w:rPr>
        <w:t xml:space="preserve"> </w:t>
      </w:r>
    </w:p>
    <w:p w14:paraId="6F0D8139" w14:textId="77777777" w:rsidR="000A7D9F" w:rsidRDefault="000A7D9F" w:rsidP="00E95B8E">
      <w:pPr>
        <w:pStyle w:val="Nagwek1"/>
        <w:rPr>
          <w:rFonts w:ascii="Fira Sans" w:hAnsi="Fira Sans"/>
          <w:b/>
          <w:szCs w:val="19"/>
        </w:rPr>
      </w:pPr>
    </w:p>
    <w:p w14:paraId="1315AFFF" w14:textId="32E2FDBD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7FCE6C1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7% i 36,8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07ED0FD4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82374E">
                              <w:t>0</w:t>
                            </w:r>
                            <w:r w:rsidRPr="004D663A">
                              <w:t>,</w:t>
                            </w:r>
                            <w:r w:rsidR="00D743AF">
                              <w:t>7</w:t>
                            </w:r>
                            <w:r w:rsidRPr="004D663A">
                              <w:t>% </w:t>
                            </w:r>
                            <w:r w:rsidRPr="0005220C">
                              <w:t>i 3</w:t>
                            </w:r>
                            <w:r w:rsidR="00D743AF">
                              <w:t>6</w:t>
                            </w:r>
                            <w:r w:rsidRPr="0005220C">
                              <w:t>,</w:t>
                            </w:r>
                            <w:r w:rsidR="00D743AF">
                              <w:t>8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DEBA9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60,7% i 36,8% ogólnej liczby mieszkań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cGSi3XgCAACNBAAA&#10;DgAAAAAAAAAAAAAAAAAuAgAAZHJzL2Uyb0RvYy54bWxQSwECLQAUAAYACAAAACEALkfRFuAAAAAL&#10;AQAADwAAAAAAAAAAAAAAAADSBAAAZHJzL2Rvd25yZXYueG1sUEsFBgAAAAAEAAQA8wAAAN8FAAAA&#10;AA==&#10;" filled="f" stroked="f">
                <v:textbox>
                  <w:txbxContent>
                    <w:p w14:paraId="2DF09EE9" w14:textId="07ED0FD4" w:rsidR="002405BE" w:rsidRPr="000B31B4" w:rsidRDefault="002405BE" w:rsidP="005F45E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82374E">
                        <w:t>0</w:t>
                      </w:r>
                      <w:r w:rsidRPr="004D663A">
                        <w:t>,</w:t>
                      </w:r>
                      <w:r w:rsidR="00D743AF">
                        <w:t>7</w:t>
                      </w:r>
                      <w:r w:rsidRPr="004D663A">
                        <w:t>% </w:t>
                      </w:r>
                      <w:r w:rsidRPr="0005220C">
                        <w:t>i 3</w:t>
                      </w:r>
                      <w:r w:rsidR="00D743AF">
                        <w:t>6</w:t>
                      </w:r>
                      <w:r w:rsidRPr="0005220C">
                        <w:t>,</w:t>
                      </w:r>
                      <w:r w:rsidR="00D743AF">
                        <w:t>8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554AC1D4" w:rsidR="00354E9A" w:rsidRPr="002C4D3D" w:rsidRDefault="0021254E" w:rsidP="002C4D3D">
      <w:pPr>
        <w:spacing w:line="288" w:lineRule="auto"/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</w:pP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Według wstępnych danych w 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okresie styczeń</w:t>
      </w:r>
      <w:r w:rsidR="00235E2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–</w:t>
      </w:r>
      <w:r w:rsidR="00535211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kwiecień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="0095084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="00387DF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r</w:t>
      </w:r>
      <w:r w:rsidR="00387DFC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  <w:r w:rsidR="00387DF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oddano do użytkowania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6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="000C3C0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 tys. </w:t>
      </w:r>
      <w:r w:rsidR="000C3C08" w:rsidRPr="002C4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</w:t>
      </w:r>
      <w:r w:rsidR="000C3C0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 tj.</w:t>
      </w:r>
      <w:r w:rsidR="00E71998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="006B366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o 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3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3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 mniej niż w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analogicznym okresie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202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="0046715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r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 Deweloperzy</w:t>
      </w:r>
      <w:r w:rsidR="002C4D3D" w:rsidRPr="004716BB">
        <w:rPr>
          <w:bCs/>
          <w:spacing w:val="-2"/>
          <w:vertAlign w:val="superscript"/>
        </w:rPr>
        <w:footnoteReference w:id="2"/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przekazali do eksploatacji 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3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="00A65F7C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tys. mieszkań – o 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9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mni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ej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niż przed rokiem, natomiast inwestorzy indywidualni</w:t>
      </w:r>
      <w:r w:rsidR="000B31B4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22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9</w:t>
      </w:r>
      <w:r w:rsidR="0049177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 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tys. mieszkań, tj. o 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4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% mniej. W ramach tych </w:t>
      </w:r>
      <w:r w:rsidR="002F2B7A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dwóch 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form budownictwa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oddano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9</w:t>
      </w:r>
      <w:r w:rsidR="008741A2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7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% ogółu now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ych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mieszkań. W pozostałych formach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przekazano</w:t>
      </w:r>
      <w:r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do użytkowania łącznie 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1,</w:t>
      </w:r>
      <w:r w:rsidR="00D743AF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5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 xml:space="preserve"> tys. </w:t>
      </w:r>
      <w:r w:rsidR="007415ED" w:rsidRPr="002C4D3D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mieszka</w:t>
      </w:r>
      <w:r w:rsidR="00CE2383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ń</w:t>
      </w:r>
      <w:r w:rsidR="00C23BA2">
        <w:rPr>
          <w:rFonts w:eastAsia="Times New Roman" w:cs="Times New Roman"/>
          <w:bCs/>
          <w:color w:val="000000" w:themeColor="text1"/>
          <w:spacing w:val="-2"/>
          <w:szCs w:val="19"/>
          <w:lang w:eastAsia="pl-PL"/>
        </w:rPr>
        <w:t>.</w:t>
      </w:r>
    </w:p>
    <w:p w14:paraId="19C22A5F" w14:textId="6FAEE999" w:rsidR="00DE6B58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D743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D743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</w:t>
      </w:r>
      <w:r w:rsidR="00F20C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rzeciętna </w:t>
      </w:r>
      <w:r w:rsidR="00DC09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wielkość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 mieszkania</w:t>
      </w:r>
      <w:r w:rsidR="00F20C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C1285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osiągnęła poziom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E466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D743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743A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8E0404C" w14:textId="6968159E" w:rsidR="00E95B8E" w:rsidRPr="00F049AB" w:rsidRDefault="00354E9A" w:rsidP="00F049AB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134"/>
        <w:gridCol w:w="1134"/>
        <w:gridCol w:w="1276"/>
      </w:tblGrid>
      <w:tr w:rsidR="00F4742E" w:rsidRPr="00267F90" w14:paraId="3B9A98BA" w14:textId="1161A98F" w:rsidTr="00420A29">
        <w:trPr>
          <w:trHeight w:val="17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E0F8FE1" w14:textId="77777777" w:rsidR="00F4742E" w:rsidRPr="00267F90" w:rsidRDefault="00F4742E" w:rsidP="00854A03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60F96A3" w14:textId="166B94AD" w:rsidR="00F4742E" w:rsidRPr="00551E7E" w:rsidRDefault="00233BB8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AB2860C" w14:textId="197706B1" w:rsidR="00F4742E" w:rsidRPr="00551E7E" w:rsidRDefault="00F4742E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4742E" w:rsidRPr="00267F90" w14:paraId="77DAEFD2" w14:textId="5DCD75EA" w:rsidTr="00420A29">
        <w:trPr>
          <w:trHeight w:val="17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1F382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B479732" w14:textId="221C8186" w:rsidR="00F4742E" w:rsidRPr="004D663A" w:rsidRDefault="00A50DB8" w:rsidP="00F807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F4742E" w:rsidRPr="004D663A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4803240" w14:textId="781D36AB" w:rsidR="00F4742E" w:rsidRPr="00551E7E" w:rsidRDefault="00487E3B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3</w:t>
            </w:r>
            <w:r w:rsidRPr="00487E3B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514C055" w14:textId="1282D69A" w:rsidR="00F4742E" w:rsidRPr="00551E7E" w:rsidRDefault="00487E3B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87E3B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487E3B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844C555" w14:textId="323D86C2" w:rsidR="00F4742E" w:rsidRPr="00551E7E" w:rsidRDefault="00A50DB8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E318001" w14:textId="15AC57CE" w:rsidR="00F4742E" w:rsidRPr="00551E7E" w:rsidRDefault="00F4742E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33BB8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33BB8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0289A" w:rsidRPr="0070289A" w14:paraId="42A58853" w14:textId="3C0872B7" w:rsidTr="00420A29">
        <w:trPr>
          <w:trHeight w:val="53"/>
        </w:trPr>
        <w:tc>
          <w:tcPr>
            <w:tcW w:w="1985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2F4BDE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7E51CD" w14:textId="6E4C6280" w:rsidR="00F4742E" w:rsidRPr="00551E7E" w:rsidRDefault="006C0134" w:rsidP="00D34C7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21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14EA41" w14:textId="4C4C7C05" w:rsidR="00F4742E" w:rsidRPr="00551E7E" w:rsidRDefault="00BC3532" w:rsidP="00D34C7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  <w:r w:rsidR="00423FA2"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46BB613" w14:textId="6BA89273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101</w:t>
            </w:r>
            <w:r w:rsidR="00423FA2" w:rsidRPr="00423FA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C55161" w14:textId="6DE0E11A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62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25B3D8" w14:textId="162C2EC5" w:rsidR="00F4742E" w:rsidRPr="00551E7E" w:rsidRDefault="008D43D2" w:rsidP="00D34C7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70289A" w:rsidRPr="0070289A" w14:paraId="06ED27C4" w14:textId="60712562" w:rsidTr="00420A29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36BA15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1A0BA8" w14:textId="02132B59" w:rsidR="00F4742E" w:rsidRPr="00551E7E" w:rsidRDefault="006C0134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BC353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3DFF94" w14:textId="6819FF4D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99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82988C" w14:textId="2FA98218" w:rsidR="00F4742E" w:rsidRPr="00551E7E" w:rsidRDefault="00423FA2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F1CCFB" w14:textId="140978A3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B3F81D" w14:textId="61044E59" w:rsidR="00F4742E" w:rsidRPr="00551E7E" w:rsidRDefault="006C0134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BD0337" w:rsidRPr="00BD0337" w14:paraId="05DD9AEF" w14:textId="664276BB" w:rsidTr="00420A29">
        <w:trPr>
          <w:trHeight w:val="477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1B3450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5B2BE0C" w14:textId="424903AA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011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531BC28" w14:textId="4F95F0E7" w:rsidR="00F4742E" w:rsidRPr="00551E7E" w:rsidRDefault="00BC3532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0C36A8" w14:textId="13398BE1" w:rsidR="00F4742E" w:rsidRPr="00551E7E" w:rsidRDefault="00D34C78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103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0172B7" w14:textId="1FA7F94F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D1CA10" w14:textId="074C9EF0" w:rsidR="00F4742E" w:rsidRPr="00551E7E" w:rsidRDefault="009C3D0A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C861BB" w:rsidRPr="00C861BB" w14:paraId="667D384C" w14:textId="71419164" w:rsidTr="00420A29">
        <w:trPr>
          <w:trHeight w:val="53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18D7F4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92A20" w14:textId="7B28D284" w:rsidR="00F4742E" w:rsidRPr="00551E7E" w:rsidRDefault="00D34C78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B1EB37" w14:textId="0E6FBD3F" w:rsidR="00F4742E" w:rsidRPr="003232ED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77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B994B70" w14:textId="40A623AD" w:rsidR="00F4742E" w:rsidRPr="003232ED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244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0A2969" w14:textId="18568552" w:rsidR="00F4742E" w:rsidRPr="00551E7E" w:rsidRDefault="00DD494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739166" w14:textId="7B1BA55A" w:rsidR="00F4742E" w:rsidRPr="00551E7E" w:rsidRDefault="006C0134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FE124A" w:rsidRPr="00FE124A" w14:paraId="728CE5C8" w14:textId="1B9E01CC" w:rsidTr="00420A29">
        <w:trPr>
          <w:trHeight w:val="352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CE5B37E" w14:textId="77777777" w:rsidR="00F4742E" w:rsidRPr="00267F90" w:rsidRDefault="00F4742E" w:rsidP="00D50A6A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23DA97" w14:textId="04F75A94" w:rsidR="00F4742E" w:rsidRPr="00551E7E" w:rsidRDefault="00D34C78" w:rsidP="006C013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85A966" w14:textId="32BBAA73" w:rsidR="00F4742E" w:rsidRPr="003232ED" w:rsidRDefault="00D34C78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FC08008" w14:textId="3B436125" w:rsidR="00F4742E" w:rsidRPr="003232ED" w:rsidRDefault="00D34C78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BEAC13" w14:textId="0D25E680" w:rsidR="00F4742E" w:rsidRPr="00551E7E" w:rsidRDefault="004F221B" w:rsidP="009C3D0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B7BFCF" w14:textId="53F09E63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176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70289A" w:rsidRPr="0070289A" w14:paraId="25FCE82E" w14:textId="7F4633B9" w:rsidTr="00420A29">
        <w:trPr>
          <w:trHeight w:val="359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580DFD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1D5EC8" w14:textId="405225AB" w:rsidR="00F4742E" w:rsidRPr="00551E7E" w:rsidRDefault="00BC3532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9D727" w14:textId="75D1227D" w:rsidR="00F4742E" w:rsidRPr="00551E7E" w:rsidRDefault="00CC3F17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ponad 11- krotnie mniej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64FCB5C" w14:textId="23486F97" w:rsidR="00F4742E" w:rsidRPr="00551E7E" w:rsidRDefault="00BC3532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57238BC" w14:textId="45A779DB" w:rsidR="00F4742E" w:rsidRPr="00551E7E" w:rsidRDefault="009C3D0A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3B4402" w14:textId="27FFD9A3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C861BB" w:rsidRPr="00C861BB" w14:paraId="008FEB7B" w14:textId="53ACC7AF" w:rsidTr="00420A29">
        <w:trPr>
          <w:trHeight w:val="348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63F936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05C77EB" w14:textId="7E87048D" w:rsidR="00F4742E" w:rsidRPr="00551E7E" w:rsidRDefault="00D34C78" w:rsidP="00BC35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712A0A" w14:textId="2A0F0E5F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224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66C043" w14:textId="1FA523DD" w:rsidR="00F4742E" w:rsidRPr="00551E7E" w:rsidRDefault="00D34C78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423FA2" w:rsidRPr="00423FA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B563F8" w14:textId="02BB7764" w:rsidR="00F4742E" w:rsidRPr="00551E7E" w:rsidRDefault="00D34C78" w:rsidP="009C3D0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991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6755EF1" w14:textId="57262DA7" w:rsidR="00F4742E" w:rsidRPr="00551E7E" w:rsidRDefault="006C0134" w:rsidP="00D34C7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9C3D0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D34C7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157221" w:rsidRPr="00157221" w14:paraId="66387783" w14:textId="7FC7F945" w:rsidTr="00420A29">
        <w:trPr>
          <w:trHeight w:val="355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C496E5B" w14:textId="77777777" w:rsidR="00F4742E" w:rsidRPr="0070289A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1B5408" w14:textId="3CAD5624" w:rsidR="00F4742E" w:rsidRPr="00551E7E" w:rsidRDefault="00D34C78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737402" w14:textId="417C0AF1" w:rsidR="00F4742E" w:rsidRPr="0042460C" w:rsidRDefault="00D34C78" w:rsidP="0041554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3662A8" w14:textId="28B5949A" w:rsidR="00F4742E" w:rsidRPr="00112E20" w:rsidRDefault="008065DC" w:rsidP="008065D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1984FE" w14:textId="20517554" w:rsidR="00F4742E" w:rsidRPr="00112E20" w:rsidRDefault="009C3D0A" w:rsidP="00F91006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5B2D556" w14:textId="54CC9077" w:rsidR="00F4742E" w:rsidRPr="00112E20" w:rsidRDefault="00DF13B8" w:rsidP="00420A2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0A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</w:t>
            </w:r>
            <w:r w:rsidR="00420A29" w:rsidRPr="00420A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- </w:t>
            </w:r>
            <w:r w:rsidR="00420A29" w:rsidRPr="00420A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krotnie więcej</w:t>
            </w:r>
          </w:p>
        </w:tc>
      </w:tr>
    </w:tbl>
    <w:bookmarkEnd w:id="0"/>
    <w:p w14:paraId="0533D66D" w14:textId="21BA834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14:paraId="30B5D550" w14:textId="543DD25D" w:rsidR="00D972F6" w:rsidRPr="00551E7E" w:rsidRDefault="00592E39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92E3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okresie styczeń–</w:t>
      </w:r>
      <w:r w:rsidR="005352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kwiecień</w:t>
      </w:r>
      <w:r w:rsidRPr="00592E3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2025 r.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ydano pozwolenia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na budowę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A3E6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80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5A3E6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3E6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="00722C4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w tym d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la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deweloper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ów 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51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D53E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spadek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skali roku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a dla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inwestor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indywidualn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31F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–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26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dla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tych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dwóch 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form budownictwa </w:t>
      </w:r>
      <w:r w:rsidR="000842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wydano 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pozwolenia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 budowę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9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lokali 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</w:t>
      </w:r>
      <w:r w:rsidR="003E6F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lnych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W pozostałych formach budownictwa </w:t>
      </w:r>
      <w:r w:rsidR="0073254D" w:rsidRPr="007325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wydano pozwolenia na budowę </w:t>
      </w:r>
      <w:r w:rsidR="009A1E6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00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89482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7325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</w:t>
      </w:r>
      <w:r w:rsidR="00997AF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AC51D00" w14:textId="207853FF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211"/>
        <w:gridCol w:w="1199"/>
        <w:gridCol w:w="1116"/>
        <w:gridCol w:w="1248"/>
      </w:tblGrid>
      <w:tr w:rsidR="009F4484" w:rsidRPr="00A84296" w14:paraId="51A6DDD1" w14:textId="146C3229" w:rsidTr="000E333E">
        <w:trPr>
          <w:trHeight w:val="18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6F67906" w14:textId="77777777" w:rsidR="009F4484" w:rsidRPr="00267F90" w:rsidRDefault="009F4484" w:rsidP="00854A03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88D7D7F" w14:textId="226695E5" w:rsidR="009F4484" w:rsidRPr="004D663A" w:rsidRDefault="0027679A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15CCFC61" w14:textId="22084715" w:rsidR="009F4484" w:rsidRPr="00551E7E" w:rsidRDefault="009F4484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7679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9F4484" w:rsidRPr="00A84296" w14:paraId="4B8AD3D6" w14:textId="73FAD287" w:rsidTr="000E333E">
        <w:trPr>
          <w:trHeight w:val="18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988674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B6AB65B" w14:textId="5A237932" w:rsidR="009F4484" w:rsidRPr="004D663A" w:rsidRDefault="00EB36AC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E28CF7" w14:textId="46D9A799" w:rsidR="009F4484" w:rsidRPr="004D663A" w:rsidRDefault="00D92946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3</w:t>
            </w:r>
            <w:r w:rsidRPr="00D92946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199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9469349" w14:textId="54ADF4C6" w:rsidR="009F4484" w:rsidRPr="004D663A" w:rsidRDefault="00D92946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92946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D92946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9C43BD9" w14:textId="43157876" w:rsidR="009F4484" w:rsidRPr="00551E7E" w:rsidRDefault="00EB36AC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9F4484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6B7535" w14:textId="528DA212" w:rsidR="009F4484" w:rsidRPr="00551E7E" w:rsidRDefault="009F4484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27679A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</w:t>
            </w:r>
            <w:r w:rsidR="0027679A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F4484" w:rsidRPr="00A84296" w14:paraId="29FC5395" w14:textId="4D7C6F4F" w:rsidTr="000E333E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7EDA757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396BFA" w14:textId="2E11ED85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</w:t>
            </w:r>
            <w:r w:rsidR="00141173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997</w:t>
            </w:r>
          </w:p>
        </w:tc>
        <w:tc>
          <w:tcPr>
            <w:tcW w:w="121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F03894" w14:textId="6D710CE0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85</w:t>
            </w:r>
            <w:r w:rsidR="003F19CD" w:rsidRP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6B748AE" w14:textId="66ADACEC" w:rsidR="009F4484" w:rsidRPr="00551E7E" w:rsidRDefault="0063011B" w:rsidP="00D372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D3728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3F19CD" w:rsidRPr="003F19C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1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D6A22" w14:textId="65A299FA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80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3011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86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C709AF" w14:textId="55162737" w:rsidR="009F4484" w:rsidRPr="00551E7E" w:rsidRDefault="0063011B" w:rsidP="00D372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D3728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141173"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9F4484" w:rsidRPr="00A84296" w14:paraId="4FCE1250" w14:textId="23CB4C34" w:rsidTr="000E333E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01F4A54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B735221" w14:textId="4A39A9AC" w:rsidR="009F4484" w:rsidRPr="00551E7E" w:rsidRDefault="0063011B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37285">
              <w:rPr>
                <w:rFonts w:cs="Arial"/>
                <w:color w:val="000000" w:themeColor="text1"/>
                <w:sz w:val="16"/>
                <w:szCs w:val="16"/>
              </w:rPr>
              <w:t>783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229F1E" w14:textId="5414D4B6" w:rsidR="009F4484" w:rsidRPr="00551E7E" w:rsidRDefault="003F19CD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09</w:t>
            </w: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53F27A7" w14:textId="364A03E0" w:rsidR="009F4484" w:rsidRPr="00551E7E" w:rsidRDefault="003F19CD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41475" w14:textId="21CD0CEB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069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372142" w14:textId="44E0140E" w:rsidR="009F4484" w:rsidRPr="00551E7E" w:rsidRDefault="00141173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63011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015B25" w:rsidRPr="00015B25" w14:paraId="4EADF348" w14:textId="6303CDEC" w:rsidTr="000E333E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A1631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D62ABD6" w14:textId="00EA4119" w:rsidR="009F4484" w:rsidRPr="00551E7E" w:rsidRDefault="00141173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672C13" w14:textId="101ECB76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76</w:t>
            </w:r>
            <w:r w:rsidR="003F19CD"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ADFD" w14:textId="018B727D" w:rsidR="009F4484" w:rsidRPr="00551E7E" w:rsidRDefault="0063011B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3F19CD" w:rsidRPr="003F19C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10DD9B" w14:textId="68E988CA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51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087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FFB49F" w14:textId="6E10C962" w:rsidR="009F4484" w:rsidRPr="00551E7E" w:rsidRDefault="00F42D6D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9F4484" w:rsidRPr="00A84296" w14:paraId="197E04F5" w14:textId="23C10218" w:rsidTr="000E333E">
        <w:trPr>
          <w:trHeight w:val="370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25B0021" w14:textId="77777777" w:rsidR="009F4484" w:rsidRPr="00267F90" w:rsidRDefault="009F4484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820A5D6" w14:textId="67DE3DC2" w:rsidR="009F4484" w:rsidRPr="00551E7E" w:rsidRDefault="00D37285" w:rsidP="00DF52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786F743" w14:textId="63E65077" w:rsidR="009F4484" w:rsidRPr="00551E7E" w:rsidRDefault="0002172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FC87AC4" w14:textId="12289BE3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5F0656B" w14:textId="23440ABB" w:rsidR="009F4484" w:rsidRPr="00551E7E" w:rsidRDefault="0063011B" w:rsidP="0063011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A0D63" w14:textId="6B61CA90" w:rsidR="009F4484" w:rsidRPr="00551E7E" w:rsidRDefault="00F42D6D" w:rsidP="0002545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9F4484" w:rsidRPr="00A84296" w14:paraId="5EDA45B8" w14:textId="6B60716B" w:rsidTr="000E333E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90E7EC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1E160F" w14:textId="1D891538" w:rsidR="009F4484" w:rsidRPr="00551E7E" w:rsidRDefault="0063011B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4128AD" w14:textId="07E36A01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107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C2258E" w14:textId="1915B616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373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A77195" w14:textId="77C3ABB3" w:rsidR="009F4484" w:rsidRPr="00551E7E" w:rsidRDefault="00141173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C09A2" w14:textId="10DE0AD0" w:rsidR="009F4484" w:rsidRPr="00551E7E" w:rsidRDefault="0063011B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9F4484" w:rsidRPr="00A84296" w14:paraId="76099805" w14:textId="133A7E1F" w:rsidTr="000E333E">
        <w:trPr>
          <w:trHeight w:val="32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6B17ECE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25A924F" w14:textId="0C43E6C0" w:rsidR="009F4484" w:rsidRPr="00551E7E" w:rsidRDefault="00D37285" w:rsidP="009A22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7ABA2B6" w14:textId="283F8B55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39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8DFAEE" w14:textId="34330CA8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</w:t>
            </w:r>
            <w:r w:rsidR="00B5019E" w:rsidRPr="00B501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AC035D" w14:textId="6C0665B5" w:rsidR="009F4484" w:rsidRPr="00551E7E" w:rsidRDefault="00D37285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051EE3" w14:textId="50936BF9" w:rsidR="009F4484" w:rsidRPr="00551E7E" w:rsidRDefault="00F42D6D" w:rsidP="00D3728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49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D3728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C861BB" w:rsidRPr="00C861BB" w14:paraId="258B13C2" w14:textId="4D7ECA13" w:rsidTr="000E333E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919E28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13AE9B" w14:textId="2BA120A4" w:rsidR="009F4484" w:rsidRPr="00551E7E" w:rsidRDefault="008171C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1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1E432F" w14:textId="6033B055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041182" w14:textId="77777777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90D094" w14:textId="003E67E2" w:rsidR="009F4484" w:rsidRPr="00551E7E" w:rsidRDefault="008171C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41B0C0D" w14:textId="566074EF" w:rsidR="009F4484" w:rsidRPr="00025450" w:rsidRDefault="00F42D6D" w:rsidP="003232E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F42D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14:paraId="6381C17B" w14:textId="1944D975" w:rsidR="00AC280D" w:rsidRPr="00C94F9E" w:rsidRDefault="00AC280D" w:rsidP="00AC280D">
      <w:pPr>
        <w:spacing w:before="0" w:after="0"/>
        <w:rPr>
          <w:sz w:val="16"/>
          <w:szCs w:val="16"/>
          <w:lang w:eastAsia="pl-PL"/>
        </w:rPr>
      </w:pPr>
    </w:p>
    <w:p w14:paraId="03E87AE2" w14:textId="5828ACB7" w:rsidR="00DA331D" w:rsidRPr="000647A9" w:rsidRDefault="00AC280D" w:rsidP="00C94F9E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14:paraId="08BED27F" w14:textId="2852EFA4" w:rsidR="00DA331D" w:rsidRPr="00551E7E" w:rsidRDefault="001E3D73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950844" w:rsidRPr="003A3F5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="009910EC" w:rsidRPr="003A3F5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</w:t>
      </w:r>
      <w:r w:rsidR="005352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kwiecień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00770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0770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00770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0770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CD0D0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B447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7209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niż rok</w:t>
      </w:r>
      <w:r w:rsidR="00BF5AC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wcześniej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668B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7C5B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="009D287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E9605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</w:t>
      </w:r>
      <w:r w:rsidR="00DB3AA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1B9E13ED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251"/>
        <w:gridCol w:w="992"/>
        <w:gridCol w:w="1304"/>
      </w:tblGrid>
      <w:tr w:rsidR="008333F5" w:rsidRPr="002C7929" w14:paraId="6CB9BE59" w14:textId="42BE7FEE" w:rsidTr="00F80750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A6F3102" w14:textId="77777777" w:rsidR="008333F5" w:rsidRPr="002C7929" w:rsidRDefault="008333F5" w:rsidP="000250B6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8" w:type="dxa"/>
            <w:gridSpan w:val="3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6B7DF43" w14:textId="49EFB5B6" w:rsidR="008333F5" w:rsidRPr="009F61F9" w:rsidRDefault="00AA2D33" w:rsidP="00FA1D59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213EB8AF" w14:textId="45224CE4" w:rsidR="008333F5" w:rsidRPr="00551E7E" w:rsidRDefault="008333F5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A2D33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333F5" w:rsidRPr="002C7929" w14:paraId="5E42288C" w14:textId="7E3FE8A3" w:rsidTr="00F80750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C85E7C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DDD8228" w14:textId="0C4AE77D" w:rsidR="008333F5" w:rsidRPr="00551E7E" w:rsidRDefault="00235E2A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8333F5"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5D6FA78" w14:textId="38DD1EB9" w:rsidR="008333F5" w:rsidRPr="009F61F9" w:rsidRDefault="001C757E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3</w:t>
            </w:r>
            <w:r w:rsidRPr="001C757E">
              <w:rPr>
                <w:color w:val="000000" w:themeColor="text1"/>
                <w:sz w:val="16"/>
                <w:szCs w:val="16"/>
              </w:rPr>
              <w:t xml:space="preserve"> 2025=100 </w:t>
            </w:r>
          </w:p>
        </w:tc>
        <w:tc>
          <w:tcPr>
            <w:tcW w:w="125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353A171" w14:textId="0E048562" w:rsidR="008333F5" w:rsidRPr="009F61F9" w:rsidRDefault="001C757E" w:rsidP="00FA1D5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757E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1C757E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73C0368" w14:textId="25F45440" w:rsidR="008333F5" w:rsidRPr="00551E7E" w:rsidRDefault="00235E2A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iczba </w:t>
            </w:r>
            <w:r w:rsidR="008333F5" w:rsidRPr="00551E7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0640F" w14:textId="307DE7F7" w:rsidR="00C83BAD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</w:t>
            </w:r>
            <w:r w:rsidR="00EB36AC">
              <w:rPr>
                <w:color w:val="000000" w:themeColor="text1"/>
                <w:sz w:val="16"/>
                <w:szCs w:val="16"/>
              </w:rPr>
              <w:t>–</w:t>
            </w:r>
            <w:r w:rsidR="00AA2D33">
              <w:rPr>
                <w:color w:val="000000" w:themeColor="text1"/>
                <w:sz w:val="16"/>
                <w:szCs w:val="16"/>
              </w:rPr>
              <w:t>0</w:t>
            </w:r>
            <w:r w:rsidR="00FA1D59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4CCB7F6" w14:textId="6E131A56" w:rsidR="008333F5" w:rsidRPr="00551E7E" w:rsidRDefault="008333F5" w:rsidP="00AA2D3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</w:t>
            </w:r>
            <w:r w:rsidR="00AA2D33">
              <w:rPr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333F5" w:rsidRPr="002C7929" w14:paraId="54BD83DF" w14:textId="6CBA5738" w:rsidTr="001C209D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A5BCD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409241" w14:textId="23CE679C" w:rsidR="008333F5" w:rsidRPr="00551E7E" w:rsidRDefault="000D18F5" w:rsidP="00CA1D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CA1DC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A1DC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061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3785BB" w14:textId="710C0900" w:rsidR="008333F5" w:rsidRPr="00551E7E" w:rsidRDefault="00CA1DC0" w:rsidP="00CA1D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0D18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C757E" w:rsidRP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20A9" w14:textId="5116B81C" w:rsidR="008333F5" w:rsidRPr="00551E7E" w:rsidRDefault="000D18F5" w:rsidP="00CA1D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CA1DC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C757E" w:rsidRPr="001C75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A1DC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1C3076" w14:textId="1E47FADF" w:rsidR="008333F5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0D18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D18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77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B0ED1D" w14:textId="1102734F" w:rsidR="008333F5" w:rsidRPr="00551E7E" w:rsidRDefault="0057685A" w:rsidP="00282E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282E3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D606EE"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82E3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BA3A1A" w:rsidRPr="00BA3A1A" w14:paraId="35D57DCE" w14:textId="75854F6B" w:rsidTr="001C209D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78EA0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B6536E" w14:textId="00C21806" w:rsidR="008333F5" w:rsidRPr="00551E7E" w:rsidRDefault="00CA1DC0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FAB4A60" w14:textId="5F80FFE3" w:rsidR="008333F5" w:rsidRPr="00551E7E" w:rsidRDefault="00CA1DC0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94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510D2E" w14:textId="64E3E48A" w:rsidR="008333F5" w:rsidRPr="00551E7E" w:rsidRDefault="001C757E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CA1D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A1D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27381B8" w14:textId="2FB97178" w:rsidR="008333F5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44AC91" w14:textId="7D4E003C" w:rsidR="008333F5" w:rsidRPr="00551E7E" w:rsidRDefault="00D606EE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8333F5" w:rsidRPr="002C7929" w14:paraId="5DEDAA89" w14:textId="639CF158" w:rsidTr="001C209D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A4806B3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35EA14" w14:textId="4EE043E9" w:rsidR="008333F5" w:rsidRPr="00551E7E" w:rsidRDefault="00C37E46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A1DC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A1DC0">
              <w:rPr>
                <w:rFonts w:cs="Arial"/>
                <w:color w:val="000000" w:themeColor="text1"/>
                <w:sz w:val="16"/>
                <w:szCs w:val="16"/>
              </w:rPr>
              <w:t>828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761CE11" w14:textId="2CCB4681" w:rsidR="008333F5" w:rsidRPr="00551E7E" w:rsidRDefault="00CA1DC0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E2B42FC" w14:textId="3A6E874A" w:rsidR="008333F5" w:rsidRPr="00551E7E" w:rsidRDefault="00CA1DC0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94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99AD62" w14:textId="456CB3A9" w:rsidR="008333F5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7B22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E39F6D" w14:textId="17858CA0" w:rsidR="008333F5" w:rsidRPr="00551E7E" w:rsidRDefault="0057685A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="002E5BB2" w:rsidRPr="002E5BB2" w14:paraId="01F6F875" w14:textId="3567E600" w:rsidTr="001C209D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B4275C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56A2E0" w14:textId="0B207359" w:rsidR="008333F5" w:rsidRPr="00551E7E" w:rsidRDefault="000D18F5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CA1D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B35CE5" w14:textId="7E471FDD" w:rsidR="008333F5" w:rsidRPr="00551E7E" w:rsidRDefault="00CA1DC0" w:rsidP="002D75A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86,7</w:t>
            </w:r>
            <w:r w:rsidR="002D75A9" w:rsidRPr="002D75A9"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FF8EC9" w14:textId="3D4BCEC1" w:rsidR="008333F5" w:rsidRPr="00551E7E" w:rsidRDefault="00282E36" w:rsidP="002D75A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672,7</w:t>
            </w:r>
            <w:r w:rsidR="001C757E" w:rsidRPr="001C75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6E5CD9" w14:textId="3507C7D8" w:rsidR="008333F5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F59D3" w14:textId="7D1836C5" w:rsidR="008333F5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8333F5" w:rsidRPr="00CD4A90" w14:paraId="06341447" w14:textId="1255ECF7" w:rsidTr="00CF4C10">
        <w:trPr>
          <w:trHeight w:val="45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AA649C9" w14:textId="77777777" w:rsidR="008333F5" w:rsidRPr="002C7929" w:rsidRDefault="008333F5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69A772" w14:textId="03D3FE8A" w:rsidR="008333F5" w:rsidRPr="00551E7E" w:rsidRDefault="00CA1DC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49A1E5" w14:textId="1DB27747" w:rsidR="008333F5" w:rsidRPr="00551E7E" w:rsidRDefault="00CA1DC0" w:rsidP="002D75A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D4B417" w14:textId="476ACF41" w:rsidR="008333F5" w:rsidRPr="00551E7E" w:rsidRDefault="000D18F5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27E5B9" w14:textId="6A489F76" w:rsidR="008333F5" w:rsidRPr="00551E7E" w:rsidRDefault="000D18F5" w:rsidP="000D18F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707635" w14:textId="0564BAF0" w:rsidR="008333F5" w:rsidRPr="00551E7E" w:rsidRDefault="000D18F5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056EC2" w:rsidRPr="00056EC2" w14:paraId="2EC3ADE8" w14:textId="467384C1" w:rsidTr="001C209D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6FA918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ADC88D" w14:textId="4ED09167" w:rsidR="008333F5" w:rsidRPr="00551E7E" w:rsidRDefault="00CA1DC0" w:rsidP="00D270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F3A144" w14:textId="29970F12" w:rsidR="008333F5" w:rsidRPr="00945251" w:rsidRDefault="00A56AB7" w:rsidP="00A56AB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A56AB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ponad 32- krotnie mniej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B7E7197" w14:textId="45CA9216" w:rsidR="008333F5" w:rsidRPr="00551E7E" w:rsidRDefault="00A56AB7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ponad 23- krotnie mniej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26D954" w14:textId="058E56C1" w:rsidR="008333F5" w:rsidRPr="00551E7E" w:rsidRDefault="000D18F5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8B8AE1D" w14:textId="69F19DE3" w:rsidR="008333F5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251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442090" w:rsidRPr="00056EC2" w14:paraId="4A5A6771" w14:textId="3FFC6BBF" w:rsidTr="001C209D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3F36524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B7BD0F9" w14:textId="5A1D8C56" w:rsidR="00442090" w:rsidRPr="00551E7E" w:rsidRDefault="000D18F5" w:rsidP="00CA1DC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CA1D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39C1F73" w14:textId="5CD4E2FB" w:rsidR="00442090" w:rsidRPr="00551E7E" w:rsidRDefault="00CA1DC0" w:rsidP="00871CB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6F4728" w14:textId="3A585411" w:rsidR="00442090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585</w:t>
            </w:r>
            <w:r w:rsidR="002D75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624691" w14:textId="2A88AFAE" w:rsidR="00442090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93</w:t>
            </w:r>
            <w:r w:rsidR="000D18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1BE56BA" w14:textId="7230209A" w:rsidR="00442090" w:rsidRPr="00551E7E" w:rsidRDefault="00282E36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104</w:t>
            </w:r>
            <w:r w:rsidR="00442090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442090" w:rsidRPr="002C7929" w14:paraId="5C865AF3" w14:textId="0E11FD55" w:rsidTr="001C209D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93F34B8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D62214" w14:textId="5BDDDCFA" w:rsidR="00442090" w:rsidRPr="00551E7E" w:rsidRDefault="008171C2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E62BB0" w14:textId="6320B382" w:rsidR="00442090" w:rsidRPr="00551E7E" w:rsidRDefault="001C757E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5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E26D148" w14:textId="5BE3CC73" w:rsidR="00442090" w:rsidRPr="00551E7E" w:rsidRDefault="000D18F5" w:rsidP="001C75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522F3F" w14:textId="32ADB62D" w:rsidR="00442090" w:rsidRPr="00551E7E" w:rsidRDefault="0057685A" w:rsidP="001870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305E99" w14:textId="2D66AD6B" w:rsidR="00442090" w:rsidRPr="00D27049" w:rsidRDefault="0057685A" w:rsidP="00282E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57685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82E3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</w:tbl>
    <w:p w14:paraId="295C0D0C" w14:textId="540B4409" w:rsidR="00AC280D" w:rsidRPr="00551E7E" w:rsidRDefault="00D85BA8" w:rsidP="00C87844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że </w:t>
      </w:r>
      <w:r w:rsidR="00950844">
        <w:rPr>
          <w:color w:val="000000" w:themeColor="text1"/>
          <w:shd w:val="clear" w:color="auto" w:fill="FFFFFF"/>
        </w:rPr>
        <w:t xml:space="preserve">na koniec </w:t>
      </w:r>
      <w:r w:rsidR="00535211">
        <w:rPr>
          <w:color w:val="000000" w:themeColor="text1"/>
          <w:shd w:val="clear" w:color="auto" w:fill="FFFFFF"/>
        </w:rPr>
        <w:t>kwietnia</w:t>
      </w:r>
      <w:r w:rsidR="00127B83" w:rsidRPr="00551E7E">
        <w:rPr>
          <w:color w:val="000000" w:themeColor="text1"/>
          <w:shd w:val="clear" w:color="auto" w:fill="FFFFFF"/>
        </w:rPr>
        <w:t xml:space="preserve"> 202</w:t>
      </w:r>
      <w:r w:rsidR="00950844">
        <w:rPr>
          <w:color w:val="000000" w:themeColor="text1"/>
          <w:shd w:val="clear" w:color="auto" w:fill="FFFFFF"/>
        </w:rPr>
        <w:t>5</w:t>
      </w:r>
      <w:r w:rsidR="00127B83" w:rsidRPr="00551E7E">
        <w:rPr>
          <w:color w:val="000000" w:themeColor="text1"/>
          <w:shd w:val="clear" w:color="auto" w:fill="FFFFFF"/>
        </w:rPr>
        <w:t xml:space="preserve"> </w:t>
      </w:r>
      <w:r w:rsidR="00EA3FFF" w:rsidRPr="00551E7E">
        <w:rPr>
          <w:color w:val="000000" w:themeColor="text1"/>
          <w:shd w:val="clear" w:color="auto" w:fill="FFFFFF"/>
        </w:rPr>
        <w:t>r</w:t>
      </w:r>
      <w:r w:rsidR="00EA3FFF">
        <w:rPr>
          <w:color w:val="000000" w:themeColor="text1"/>
          <w:shd w:val="clear" w:color="auto" w:fill="FFFFFF"/>
        </w:rPr>
        <w:t>.</w:t>
      </w:r>
      <w:r w:rsidR="00EA3FFF" w:rsidRPr="00551E7E">
        <w:rPr>
          <w:color w:val="000000" w:themeColor="text1"/>
          <w:shd w:val="clear" w:color="auto" w:fill="FFFFFF"/>
        </w:rPr>
        <w:t xml:space="preserve"> </w:t>
      </w:r>
      <w:r w:rsidR="00127B83" w:rsidRPr="00551E7E">
        <w:rPr>
          <w:color w:val="000000" w:themeColor="text1"/>
          <w:shd w:val="clear" w:color="auto" w:fill="FFFFFF"/>
        </w:rPr>
        <w:t>w budowie pozostawało 8</w:t>
      </w:r>
      <w:r w:rsidR="00B66537">
        <w:rPr>
          <w:color w:val="000000" w:themeColor="text1"/>
          <w:shd w:val="clear" w:color="auto" w:fill="FFFFFF"/>
        </w:rPr>
        <w:t>4</w:t>
      </w:r>
      <w:r w:rsidR="004673BA">
        <w:rPr>
          <w:color w:val="000000" w:themeColor="text1"/>
          <w:shd w:val="clear" w:color="auto" w:fill="FFFFFF"/>
        </w:rPr>
        <w:t>8</w:t>
      </w:r>
      <w:r w:rsidR="00127B83" w:rsidRPr="00551E7E">
        <w:rPr>
          <w:color w:val="000000" w:themeColor="text1"/>
          <w:shd w:val="clear" w:color="auto" w:fill="FFFFFF"/>
        </w:rPr>
        <w:t>,</w:t>
      </w:r>
      <w:r w:rsidR="004673BA">
        <w:rPr>
          <w:color w:val="000000" w:themeColor="text1"/>
          <w:shd w:val="clear" w:color="auto" w:fill="FFFFFF"/>
        </w:rPr>
        <w:t>3</w:t>
      </w:r>
      <w:r w:rsidR="00127B83" w:rsidRPr="00551E7E">
        <w:rPr>
          <w:color w:val="000000" w:themeColor="text1"/>
          <w:shd w:val="clear" w:color="auto" w:fill="FFFFFF"/>
        </w:rPr>
        <w:t xml:space="preserve"> tys. mieszkań, tj. o </w:t>
      </w:r>
      <w:r w:rsidR="000C7E7A">
        <w:rPr>
          <w:color w:val="000000" w:themeColor="text1"/>
          <w:shd w:val="clear" w:color="auto" w:fill="FFFFFF"/>
        </w:rPr>
        <w:t>3</w:t>
      </w:r>
      <w:r w:rsidR="00603637" w:rsidRPr="00551E7E">
        <w:rPr>
          <w:color w:val="000000" w:themeColor="text1"/>
          <w:shd w:val="clear" w:color="auto" w:fill="FFFFFF"/>
        </w:rPr>
        <w:t>,</w:t>
      </w:r>
      <w:r w:rsidR="004673BA">
        <w:rPr>
          <w:color w:val="000000" w:themeColor="text1"/>
          <w:shd w:val="clear" w:color="auto" w:fill="FFFFFF"/>
        </w:rPr>
        <w:t>7</w:t>
      </w:r>
      <w:r w:rsidR="00127B83" w:rsidRPr="00551E7E">
        <w:rPr>
          <w:color w:val="000000" w:themeColor="text1"/>
          <w:shd w:val="clear" w:color="auto" w:fill="FFFFFF"/>
        </w:rPr>
        <w:t xml:space="preserve">% </w:t>
      </w:r>
      <w:r w:rsidR="002502B0" w:rsidRPr="00551E7E">
        <w:rPr>
          <w:color w:val="000000" w:themeColor="text1"/>
          <w:shd w:val="clear" w:color="auto" w:fill="FFFFFF"/>
        </w:rPr>
        <w:t>więcej</w:t>
      </w:r>
      <w:r w:rsidR="00127B83" w:rsidRPr="00551E7E">
        <w:rPr>
          <w:color w:val="000000" w:themeColor="text1"/>
          <w:shd w:val="clear" w:color="auto" w:fill="FFFFFF"/>
        </w:rPr>
        <w:t xml:space="preserve"> niż </w:t>
      </w:r>
      <w:r w:rsidR="00630BAF">
        <w:rPr>
          <w:color w:val="000000" w:themeColor="text1"/>
          <w:shd w:val="clear" w:color="auto" w:fill="FFFFFF"/>
        </w:rPr>
        <w:t xml:space="preserve">na koniec analogicznego miesiąca </w:t>
      </w:r>
      <w:r w:rsidR="00127B83" w:rsidRPr="00551E7E">
        <w:rPr>
          <w:color w:val="000000" w:themeColor="text1"/>
          <w:shd w:val="clear" w:color="auto" w:fill="FFFFFF"/>
        </w:rPr>
        <w:t>202</w:t>
      </w:r>
      <w:r w:rsidR="00950844">
        <w:rPr>
          <w:color w:val="000000" w:themeColor="text1"/>
          <w:shd w:val="clear" w:color="auto" w:fill="FFFFFF"/>
        </w:rPr>
        <w:t>4</w:t>
      </w:r>
      <w:r w:rsidR="00127B83" w:rsidRPr="00551E7E">
        <w:rPr>
          <w:color w:val="000000" w:themeColor="text1"/>
          <w:shd w:val="clear" w:color="auto" w:fill="FFFFFF"/>
        </w:rPr>
        <w:t xml:space="preserve"> r.</w:t>
      </w:r>
    </w:p>
    <w:p w14:paraId="4B6D46FF" w14:textId="612E587F" w:rsidR="00472B00" w:rsidRDefault="005618CE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anchorId="6B492B41" wp14:editId="6025DF5C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5122545" cy="3241040"/>
            <wp:effectExtent l="0" t="0" r="1905" b="0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ykres 1 kwiecień 202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C3E"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56EE5A76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kwietniu 2025 r. wzrosła, w porównaniu z poprzednim miesiącem, liczba mieszkań oddanych do użytkowania (o 2,6%), spadła natomiast liczba mieszkań, na których budowę wydano pozwolenia (o 14,5%) oraz liczba mieszkań, których budowę rozpoczęto (o 8,4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18ED" w14:textId="76755DFA" w:rsidR="002405BE" w:rsidRPr="00CB46F1" w:rsidRDefault="002405BE" w:rsidP="001C4C62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535211">
                              <w:t>kwietniu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</w:t>
                            </w:r>
                            <w:r w:rsidR="00C52DA1">
                              <w:t>5</w:t>
                            </w:r>
                            <w:r w:rsidRPr="004D663A">
                              <w:t xml:space="preserve"> r</w:t>
                            </w:r>
                            <w:r w:rsidR="000F3739">
                              <w:t>.</w:t>
                            </w:r>
                            <w:r w:rsidR="009E6287">
                              <w:t xml:space="preserve"> </w:t>
                            </w:r>
                            <w:r w:rsidR="009D511B">
                              <w:t>wzrosła</w:t>
                            </w:r>
                            <w:r w:rsidR="007903D3">
                              <w:t>,</w:t>
                            </w:r>
                            <w:r w:rsidR="009E6287" w:rsidRPr="004D663A">
                              <w:t xml:space="preserve"> </w:t>
                            </w:r>
                            <w:r w:rsidRPr="004D663A">
                              <w:t>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="009E6287">
                              <w:t xml:space="preserve">z </w:t>
                            </w:r>
                            <w:r w:rsidR="009E6287" w:rsidRPr="004D663A">
                              <w:t>poprzedni</w:t>
                            </w:r>
                            <w:r w:rsidR="009E6287">
                              <w:t>m</w:t>
                            </w:r>
                            <w:r w:rsidR="009E6287" w:rsidRPr="004D663A">
                              <w:t xml:space="preserve"> </w:t>
                            </w:r>
                            <w:r w:rsidR="009D7FA5" w:rsidRPr="004D663A">
                              <w:t>miesiąc</w:t>
                            </w:r>
                            <w:r w:rsidR="009E6287">
                              <w:t>em</w:t>
                            </w:r>
                            <w:r w:rsidR="007903D3">
                              <w:t>,</w:t>
                            </w:r>
                            <w:r w:rsidRPr="004D663A">
                              <w:t xml:space="preserve"> </w:t>
                            </w:r>
                            <w:r w:rsidR="00F47622" w:rsidRPr="00F47622">
                              <w:t>liczba mieszkań</w:t>
                            </w:r>
                            <w:r w:rsidR="004673BA">
                              <w:t xml:space="preserve"> </w:t>
                            </w:r>
                            <w:r w:rsidR="004673BA" w:rsidRPr="004673BA">
                              <w:t>oddanych do użytkowania</w:t>
                            </w:r>
                            <w:r w:rsidR="00F47622" w:rsidRPr="00F47622">
                              <w:t xml:space="preserve"> (o</w:t>
                            </w:r>
                            <w:r w:rsidR="00797AEB">
                              <w:t> </w:t>
                            </w:r>
                            <w:r w:rsidR="009D511B">
                              <w:t>2</w:t>
                            </w:r>
                            <w:r w:rsidR="00F47622" w:rsidRPr="00F47622">
                              <w:t>,</w:t>
                            </w:r>
                            <w:r w:rsidR="004673BA">
                              <w:t>6</w:t>
                            </w:r>
                            <w:r w:rsidR="00F47622" w:rsidRPr="00F47622">
                              <w:t>%)</w:t>
                            </w:r>
                            <w:r w:rsidR="009D511B">
                              <w:t>,</w:t>
                            </w:r>
                            <w:r w:rsidR="00C52DA1">
                              <w:t xml:space="preserve"> </w:t>
                            </w:r>
                            <w:r w:rsidR="004673BA">
                              <w:t xml:space="preserve">spadła natomiast </w:t>
                            </w:r>
                            <w:r w:rsidR="001C4C62" w:rsidRPr="001C4C62">
                              <w:t>liczba mieszkań, na których budowę wydano pozwolenia (o 1</w:t>
                            </w:r>
                            <w:r w:rsidR="004673BA">
                              <w:t>4</w:t>
                            </w:r>
                            <w:r w:rsidR="001C4C62" w:rsidRPr="001C4C62">
                              <w:t>,</w:t>
                            </w:r>
                            <w:r w:rsidR="004673BA">
                              <w:t>5</w:t>
                            </w:r>
                            <w:r w:rsidR="001C4C62" w:rsidRPr="001C4C62">
                              <w:t>%</w:t>
                            </w:r>
                            <w:r w:rsidR="001C4C62">
                              <w:t>) oraz l</w:t>
                            </w:r>
                            <w:r w:rsidR="004673BA">
                              <w:t>iczba mieszkań</w:t>
                            </w:r>
                            <w:r w:rsidR="004673BA" w:rsidRPr="004673BA">
                              <w:t>, których budowę rozpoczęto</w:t>
                            </w:r>
                            <w:r w:rsidR="00C52DA1" w:rsidRPr="00C52DA1">
                              <w:t xml:space="preserve"> (o</w:t>
                            </w:r>
                            <w:r w:rsidR="00797AEB">
                              <w:t> </w:t>
                            </w:r>
                            <w:r w:rsidR="004673BA">
                              <w:t>8</w:t>
                            </w:r>
                            <w:r w:rsidR="00C52DA1" w:rsidRPr="00C52DA1">
                              <w:t>,</w:t>
                            </w:r>
                            <w:r w:rsidR="004673BA">
                              <w:t>4</w:t>
                            </w:r>
                            <w:r w:rsidR="00C52DA1" w:rsidRPr="00C52DA1">
                              <w:t>%)</w:t>
                            </w:r>
                            <w:r w:rsidR="00657D0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498203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W kwietniu 2025 r. wzrosła, w porównaniu z poprzednim miesiącem, liczba mieszkań oddanych do użytkowania (o 2,6%), spadła natomiast liczba mieszkań, na których budowę wydano pozwolenia (o 14,5%) oraz liczba mieszkań, których budowę rozpoczęto (o 8,4%).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" filled="f" stroked="f">
                <v:textbox>
                  <w:txbxContent>
                    <w:p w14:paraId="30A018ED" w14:textId="76755DFA" w:rsidR="002405BE" w:rsidRPr="00CB46F1" w:rsidRDefault="002405BE" w:rsidP="001C4C62">
                      <w:pPr>
                        <w:pStyle w:val="tekstzboku"/>
                      </w:pPr>
                      <w:bookmarkStart w:id="2" w:name="_GoBack"/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535211">
                        <w:t>kwietniu</w:t>
                      </w:r>
                      <w:r w:rsidR="00130CD6">
                        <w:t xml:space="preserve"> </w:t>
                      </w:r>
                      <w:r w:rsidRPr="004D663A">
                        <w:t>202</w:t>
                      </w:r>
                      <w:r w:rsidR="00C52DA1">
                        <w:t>5</w:t>
                      </w:r>
                      <w:r w:rsidRPr="004D663A">
                        <w:t xml:space="preserve"> r</w:t>
                      </w:r>
                      <w:r w:rsidR="000F3739">
                        <w:t>.</w:t>
                      </w:r>
                      <w:r w:rsidR="009E6287">
                        <w:t xml:space="preserve"> </w:t>
                      </w:r>
                      <w:r w:rsidR="009D511B">
                        <w:t>wzrosła</w:t>
                      </w:r>
                      <w:r w:rsidR="007903D3">
                        <w:t>,</w:t>
                      </w:r>
                      <w:r w:rsidR="009E6287" w:rsidRPr="004D663A">
                        <w:t xml:space="preserve"> </w:t>
                      </w:r>
                      <w:r w:rsidRPr="004D663A">
                        <w:t>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="009E6287">
                        <w:t xml:space="preserve">z </w:t>
                      </w:r>
                      <w:r w:rsidR="009E6287" w:rsidRPr="004D663A">
                        <w:t>poprzedni</w:t>
                      </w:r>
                      <w:r w:rsidR="009E6287">
                        <w:t>m</w:t>
                      </w:r>
                      <w:r w:rsidR="009E6287" w:rsidRPr="004D663A">
                        <w:t xml:space="preserve"> </w:t>
                      </w:r>
                      <w:r w:rsidR="009D7FA5" w:rsidRPr="004D663A">
                        <w:t>miesiąc</w:t>
                      </w:r>
                      <w:r w:rsidR="009E6287">
                        <w:t>em</w:t>
                      </w:r>
                      <w:r w:rsidR="007903D3">
                        <w:t>,</w:t>
                      </w:r>
                      <w:r w:rsidRPr="004D663A">
                        <w:t xml:space="preserve"> </w:t>
                      </w:r>
                      <w:r w:rsidR="00F47622" w:rsidRPr="00F47622">
                        <w:t>liczba mieszkań</w:t>
                      </w:r>
                      <w:r w:rsidR="004673BA">
                        <w:t xml:space="preserve"> </w:t>
                      </w:r>
                      <w:r w:rsidR="004673BA" w:rsidRPr="004673BA">
                        <w:t>oddanych do użytkowania</w:t>
                      </w:r>
                      <w:r w:rsidR="00F47622" w:rsidRPr="00F47622">
                        <w:t xml:space="preserve"> (o</w:t>
                      </w:r>
                      <w:r w:rsidR="00797AEB">
                        <w:t> </w:t>
                      </w:r>
                      <w:r w:rsidR="009D511B">
                        <w:t>2</w:t>
                      </w:r>
                      <w:r w:rsidR="00F47622" w:rsidRPr="00F47622">
                        <w:t>,</w:t>
                      </w:r>
                      <w:r w:rsidR="004673BA">
                        <w:t>6</w:t>
                      </w:r>
                      <w:r w:rsidR="00F47622" w:rsidRPr="00F47622">
                        <w:t>%)</w:t>
                      </w:r>
                      <w:r w:rsidR="009D511B">
                        <w:t>,</w:t>
                      </w:r>
                      <w:r w:rsidR="00C52DA1">
                        <w:t xml:space="preserve"> </w:t>
                      </w:r>
                      <w:r w:rsidR="004673BA">
                        <w:t xml:space="preserve">spadła natomiast </w:t>
                      </w:r>
                      <w:r w:rsidR="001C4C62" w:rsidRPr="001C4C62">
                        <w:t>liczba mieszkań, na których budowę wydano pozwolenia (o 1</w:t>
                      </w:r>
                      <w:r w:rsidR="004673BA">
                        <w:t>4</w:t>
                      </w:r>
                      <w:r w:rsidR="001C4C62" w:rsidRPr="001C4C62">
                        <w:t>,</w:t>
                      </w:r>
                      <w:r w:rsidR="004673BA">
                        <w:t>5</w:t>
                      </w:r>
                      <w:r w:rsidR="001C4C62" w:rsidRPr="001C4C62">
                        <w:t>%</w:t>
                      </w:r>
                      <w:r w:rsidR="001C4C62">
                        <w:t>) oraz l</w:t>
                      </w:r>
                      <w:r w:rsidR="004673BA">
                        <w:t>iczba mieszkań</w:t>
                      </w:r>
                      <w:r w:rsidR="004673BA" w:rsidRPr="004673BA">
                        <w:t>, których budowę rozpoczęto</w:t>
                      </w:r>
                      <w:r w:rsidR="00C52DA1" w:rsidRPr="00C52DA1">
                        <w:t xml:space="preserve"> (o</w:t>
                      </w:r>
                      <w:r w:rsidR="00797AEB">
                        <w:t> </w:t>
                      </w:r>
                      <w:r w:rsidR="004673BA">
                        <w:t>8</w:t>
                      </w:r>
                      <w:r w:rsidR="00C52DA1" w:rsidRPr="00C52DA1">
                        <w:t>,</w:t>
                      </w:r>
                      <w:r w:rsidR="004673BA">
                        <w:t>4</w:t>
                      </w:r>
                      <w:r w:rsidR="00C52DA1" w:rsidRPr="00C52DA1">
                        <w:t>%)</w:t>
                      </w:r>
                      <w:r w:rsidR="00657D0A">
                        <w:t>.</w:t>
                      </w:r>
                      <w:bookmarkEnd w:id="2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5254C9">
        <w:rPr>
          <w:rFonts w:ascii="Fira Sans" w:hAnsi="Fira Sans"/>
          <w:sz w:val="18"/>
          <w:szCs w:val="18"/>
        </w:rPr>
        <w:t>Budownictwo mieszkaniowe w Polsce</w:t>
      </w:r>
    </w:p>
    <w:p w14:paraId="2B9FA144" w14:textId="6AE77E57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3A5FF473" w14:textId="0BDBA7FF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0E31B353" w14:textId="17CE5FE5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23B93EF0" w14:textId="4A40DDFA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14B0311E" w14:textId="050F3393" w:rsidR="00A737E2" w:rsidRDefault="00A737E2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583AEE28" w14:textId="740671D2" w:rsidR="00495AC0" w:rsidRDefault="00495AC0" w:rsidP="0056483A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14:paraId="4C731AD1" w14:textId="152DEF3B" w:rsidR="003928A6" w:rsidRDefault="003928A6" w:rsidP="003928A6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14:paraId="61CA56FD" w14:textId="386A1B37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2A780B31" w14:textId="6C0A1546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5A522420" w14:textId="7B970C81" w:rsidR="00A737E2" w:rsidRDefault="00A737E2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66D0C217" w14:textId="71AD40C5" w:rsidR="001701F7" w:rsidRDefault="001701F7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14:paraId="064ED53F" w14:textId="1E8BF6A8" w:rsidR="008C2562" w:rsidRDefault="00F2198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950844" w:rsidRPr="008449D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</w:t>
      </w:r>
      <w:r w:rsidR="008D3440" w:rsidRPr="008449D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eń‒</w:t>
      </w:r>
      <w:r w:rsidR="002F017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kwiecień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95084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="007F266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oddanych do użytkowania, 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rozpoczęt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wydan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A7B1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pozwole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ń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F627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na budowę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odnotowano w województwie mazowieckim (odpowiednio: 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D634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13A8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mieszkań)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a </w:t>
      </w:r>
      <w:r w:rsidR="004A7B1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następnie</w:t>
      </w:r>
      <w:r w:rsidR="00E3787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 województwach: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9D511B" w:rsidRP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wielkopolskim 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5D2DF8" w:rsidRP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tys.),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9D511B" w:rsidRP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śląskim</w:t>
      </w:r>
      <w:r w:rsidR="0041714F" w:rsidRP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D51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867F4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 w:rsidRP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="008552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pomors</w:t>
      </w:r>
      <w:r w:rsidR="005D2DF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kim 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C3F1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DE051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E051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DA7EC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 i </w:t>
      </w:r>
      <w:r w:rsidR="00DE051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E051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1CF5D19C" w14:textId="53C8B332" w:rsidR="008C2562" w:rsidRPr="008C2562" w:rsidRDefault="008C2562" w:rsidP="008C2562">
      <w:pPr>
        <w:rPr>
          <w:rFonts w:eastAsia="Times New Roman" w:cs="Times New Roman"/>
          <w:szCs w:val="19"/>
          <w:lang w:eastAsia="pl-PL"/>
        </w:rPr>
      </w:pPr>
    </w:p>
    <w:p w14:paraId="7E56BE0B" w14:textId="02C204FB" w:rsidR="00355C3E" w:rsidRPr="008F33A2" w:rsidRDefault="00A617AC" w:rsidP="008C2562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8F33A2">
        <w:rPr>
          <w:b/>
          <w:sz w:val="18"/>
          <w:szCs w:val="18"/>
        </w:rPr>
        <w:t xml:space="preserve">Wykres 2. </w:t>
      </w:r>
      <w:r w:rsidR="004507B6" w:rsidRPr="008F33A2">
        <w:rPr>
          <w:b/>
          <w:spacing w:val="-2"/>
          <w:sz w:val="18"/>
          <w:szCs w:val="18"/>
        </w:rPr>
        <w:t>Budownictwo mieszkaniowe według województw w</w:t>
      </w:r>
      <w:r w:rsidR="004C6DF8" w:rsidRPr="008F33A2">
        <w:rPr>
          <w:b/>
          <w:spacing w:val="-2"/>
          <w:sz w:val="18"/>
          <w:szCs w:val="18"/>
        </w:rPr>
        <w:t xml:space="preserve"> </w:t>
      </w:r>
      <w:r w:rsidR="00950844" w:rsidRPr="008F33A2">
        <w:rPr>
          <w:b/>
          <w:spacing w:val="-2"/>
          <w:sz w:val="18"/>
          <w:szCs w:val="18"/>
        </w:rPr>
        <w:t>okresie styczeń</w:t>
      </w:r>
      <w:r w:rsidR="00EA3FFF" w:rsidRPr="008F33A2">
        <w:rPr>
          <w:b/>
          <w:spacing w:val="-2"/>
          <w:sz w:val="18"/>
          <w:szCs w:val="18"/>
        </w:rPr>
        <w:t>‒</w:t>
      </w:r>
      <w:r w:rsidR="002F0179">
        <w:rPr>
          <w:b/>
          <w:spacing w:val="-2"/>
          <w:sz w:val="18"/>
          <w:szCs w:val="18"/>
        </w:rPr>
        <w:t>kwiecień</w:t>
      </w:r>
      <w:r w:rsidR="00950844" w:rsidRPr="008F33A2">
        <w:rPr>
          <w:b/>
          <w:spacing w:val="-2"/>
          <w:sz w:val="18"/>
          <w:szCs w:val="18"/>
        </w:rPr>
        <w:t xml:space="preserve"> </w:t>
      </w:r>
      <w:r w:rsidR="004507B6" w:rsidRPr="008F33A2">
        <w:rPr>
          <w:b/>
          <w:spacing w:val="-2"/>
          <w:sz w:val="18"/>
          <w:szCs w:val="18"/>
        </w:rPr>
        <w:t>202</w:t>
      </w:r>
      <w:r w:rsidR="00950844" w:rsidRPr="008F33A2">
        <w:rPr>
          <w:b/>
          <w:spacing w:val="-2"/>
          <w:sz w:val="18"/>
          <w:szCs w:val="18"/>
        </w:rPr>
        <w:t>5</w:t>
      </w:r>
      <w:r w:rsidR="00084C7F" w:rsidRPr="008F33A2">
        <w:rPr>
          <w:b/>
          <w:spacing w:val="-2"/>
          <w:sz w:val="18"/>
          <w:szCs w:val="18"/>
        </w:rPr>
        <w:t> </w:t>
      </w:r>
      <w:r w:rsidR="004507B6" w:rsidRPr="008F33A2">
        <w:rPr>
          <w:b/>
          <w:spacing w:val="-2"/>
          <w:sz w:val="18"/>
          <w:szCs w:val="18"/>
        </w:rPr>
        <w:t>r.</w:t>
      </w:r>
    </w:p>
    <w:p w14:paraId="65D7B70E" w14:textId="558F5D34" w:rsidR="003928A6" w:rsidRDefault="00A86C74" w:rsidP="00355C3E">
      <w:pPr>
        <w:pStyle w:val="Tytuwykresu0"/>
      </w:pPr>
      <w:bookmarkStart w:id="1" w:name="_GoBack"/>
      <w:r>
        <w:drawing>
          <wp:anchor distT="0" distB="0" distL="114300" distR="114300" simplePos="0" relativeHeight="251796480" behindDoc="1" locked="0" layoutInCell="1" allowOverlap="1" wp14:anchorId="6F9F7EEF" wp14:editId="45276B80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22545" cy="4156075"/>
            <wp:effectExtent l="0" t="0" r="1905" b="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kwiecień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ykres 2 PL ostatn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76B616A1" w14:textId="50CA232F" w:rsidR="00A42E66" w:rsidRDefault="00A42E66" w:rsidP="00355C3E">
      <w:pPr>
        <w:pStyle w:val="Tytuwykresu0"/>
      </w:pPr>
    </w:p>
    <w:p w14:paraId="428F28E2" w14:textId="511798C9" w:rsidR="00A42E66" w:rsidRDefault="00A42E66" w:rsidP="00355C3E">
      <w:pPr>
        <w:pStyle w:val="Tytuwykresu0"/>
      </w:pPr>
    </w:p>
    <w:p w14:paraId="09202C77" w14:textId="7AB2A529" w:rsidR="00A42E66" w:rsidRDefault="00A42E66" w:rsidP="00355C3E">
      <w:pPr>
        <w:pStyle w:val="Tytuwykresu0"/>
      </w:pPr>
    </w:p>
    <w:p w14:paraId="325673D9" w14:textId="25BD8E07" w:rsidR="00A42E66" w:rsidRDefault="00A42E66" w:rsidP="00355C3E">
      <w:pPr>
        <w:pStyle w:val="Tytuwykresu0"/>
      </w:pPr>
    </w:p>
    <w:p w14:paraId="39A72286" w14:textId="77777777" w:rsidR="00A42E66" w:rsidRDefault="00A42E66" w:rsidP="00355C3E">
      <w:pPr>
        <w:pStyle w:val="Tytuwykresu0"/>
      </w:pPr>
    </w:p>
    <w:p w14:paraId="5BE44E96" w14:textId="7D0DB040" w:rsidR="00A42E66" w:rsidRDefault="00A42E66" w:rsidP="00355C3E">
      <w:pPr>
        <w:pStyle w:val="Tytuwykresu0"/>
      </w:pPr>
    </w:p>
    <w:p w14:paraId="60A7BD83" w14:textId="6580D700" w:rsidR="00A42E66" w:rsidRDefault="00A42E66" w:rsidP="00355C3E">
      <w:pPr>
        <w:pStyle w:val="Tytuwykresu0"/>
      </w:pPr>
    </w:p>
    <w:p w14:paraId="1E1E2F72" w14:textId="77777777" w:rsidR="00A42E66" w:rsidRDefault="00A42E66" w:rsidP="00355C3E">
      <w:pPr>
        <w:pStyle w:val="Tytuwykresu0"/>
      </w:pPr>
    </w:p>
    <w:p w14:paraId="070EEEA0" w14:textId="68298A9F" w:rsidR="00A42E66" w:rsidRDefault="00A42E66" w:rsidP="00355C3E">
      <w:pPr>
        <w:pStyle w:val="Tytuwykresu0"/>
      </w:pPr>
    </w:p>
    <w:p w14:paraId="62E52B2B" w14:textId="10B2212E" w:rsidR="00A42E66" w:rsidRPr="00355C3E" w:rsidRDefault="00A42E66" w:rsidP="00355C3E">
      <w:pPr>
        <w:pStyle w:val="Tytuwykresu0"/>
      </w:pPr>
    </w:p>
    <w:p w14:paraId="62E249A4" w14:textId="0AF9A492" w:rsidR="003928A6" w:rsidRDefault="003928A6" w:rsidP="00B24F84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1EC51D16" w14:textId="69A77238" w:rsidR="003928A6" w:rsidRDefault="00423FA2" w:rsidP="003928A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14:paraId="7797EB4F" w14:textId="1227F29E" w:rsidR="00423FA2" w:rsidRDefault="00423FA2" w:rsidP="003928A6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="00F85669" w:rsidRPr="00423FA2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="00F85669" w:rsidRPr="00423FA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14:paraId="0070605E" w14:textId="7C16B4FC" w:rsidR="003928A6" w:rsidRDefault="003928A6" w:rsidP="003928A6">
      <w:pPr>
        <w:spacing w:line="288" w:lineRule="auto"/>
        <w:rPr>
          <w:shd w:val="clear" w:color="auto" w:fill="FFFFFF"/>
        </w:rPr>
      </w:pPr>
    </w:p>
    <w:p w14:paraId="6D0933DC" w14:textId="1598F97B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17CCB516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03AEA212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434211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5C3E7248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08685456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2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064E2063" w:rsidR="008575EA" w:rsidRPr="00946F6D" w:rsidRDefault="001C41D3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 kwartale 2024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1C41D3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1C41D3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1C41D3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1C41D3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D0715" w14:textId="77777777" w:rsidR="001C41D3" w:rsidRDefault="001C41D3" w:rsidP="000662E2">
      <w:pPr>
        <w:spacing w:after="0" w:line="240" w:lineRule="auto"/>
      </w:pPr>
      <w:r>
        <w:separator/>
      </w:r>
    </w:p>
  </w:endnote>
  <w:endnote w:type="continuationSeparator" w:id="0">
    <w:p w14:paraId="6A7D87C4" w14:textId="77777777" w:rsidR="001C41D3" w:rsidRDefault="001C41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3A5942AB-5748-4962-9103-0C87CF00E908}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BF337FC7-089F-485B-9E5F-2209B25B555D}"/>
    <w:embedBold r:id="rId3" w:fontKey="{ECCBF77A-DCE1-4C96-8393-639FA53C9753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D36F171E-E532-4D25-BDA4-06A5319D4194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0731C433-11BF-4E69-BAFF-C7CFE364DA19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C7D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C7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C7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0FB1F" w14:textId="77777777" w:rsidR="001C41D3" w:rsidRDefault="001C41D3" w:rsidP="000662E2">
      <w:pPr>
        <w:spacing w:after="0" w:line="240" w:lineRule="auto"/>
      </w:pPr>
      <w:r>
        <w:separator/>
      </w:r>
    </w:p>
  </w:footnote>
  <w:footnote w:type="continuationSeparator" w:id="0">
    <w:p w14:paraId="3CE25CF8" w14:textId="77777777" w:rsidR="001C41D3" w:rsidRDefault="001C41D3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127C867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5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216A05DF" w:rsidR="002405BE" w:rsidRPr="00A01B40" w:rsidRDefault="004C791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B642F0">
                            <w:t>2</w:t>
                          </w:r>
                          <w:r w:rsidR="002405BE">
                            <w:t>.</w:t>
                          </w:r>
                          <w:r w:rsidR="00445C61">
                            <w:t>0</w:t>
                          </w:r>
                          <w:r w:rsidR="000D4339">
                            <w:t>5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5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I7UlJ8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216A05DF" w:rsidR="002405BE" w:rsidRPr="00A01B40" w:rsidRDefault="004C7914" w:rsidP="00F049AB">
                    <w:pPr>
                      <w:pStyle w:val="Datainformacjisygnalnej"/>
                    </w:pPr>
                    <w:r>
                      <w:t>2</w:t>
                    </w:r>
                    <w:r w:rsidR="00B642F0">
                      <w:t>2</w:t>
                    </w:r>
                    <w:r w:rsidR="002405BE">
                      <w:t>.</w:t>
                    </w:r>
                    <w:r w:rsidR="00445C61">
                      <w:t>0</w:t>
                    </w:r>
                    <w:r w:rsidR="000D4339">
                      <w:t>5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0.8pt;height:128.4pt;visibility:visible;mso-wrap-style:square" o:bullet="t">
        <v:imagedata r:id="rId1" o:title=""/>
      </v:shape>
    </w:pict>
  </w:numPicBullet>
  <w:numPicBullet w:numPicBulletId="1">
    <w:pict>
      <v:shape id="_x0000_i1033" type="#_x0000_t75" style="width:123.6pt;height:128.4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9BF"/>
    <w:rsid w:val="00032908"/>
    <w:rsid w:val="00033416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6FF0"/>
    <w:rsid w:val="00067A13"/>
    <w:rsid w:val="00070238"/>
    <w:rsid w:val="000713C1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7603"/>
    <w:rsid w:val="00087C3A"/>
    <w:rsid w:val="0009035B"/>
    <w:rsid w:val="00091A0E"/>
    <w:rsid w:val="00091FB9"/>
    <w:rsid w:val="00092305"/>
    <w:rsid w:val="000952C9"/>
    <w:rsid w:val="00095EB4"/>
    <w:rsid w:val="000963FB"/>
    <w:rsid w:val="00097840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4339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14B7"/>
    <w:rsid w:val="000F335F"/>
    <w:rsid w:val="000F3739"/>
    <w:rsid w:val="000F39BF"/>
    <w:rsid w:val="000F5E45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6367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16F"/>
    <w:rsid w:val="0022267D"/>
    <w:rsid w:val="00224210"/>
    <w:rsid w:val="002244A8"/>
    <w:rsid w:val="00226573"/>
    <w:rsid w:val="00226DDE"/>
    <w:rsid w:val="00227D3F"/>
    <w:rsid w:val="0023022A"/>
    <w:rsid w:val="00232CCF"/>
    <w:rsid w:val="00233BB8"/>
    <w:rsid w:val="00233E4E"/>
    <w:rsid w:val="00234D0C"/>
    <w:rsid w:val="00235E2A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EA9"/>
    <w:rsid w:val="002809D2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14AC"/>
    <w:rsid w:val="002F1936"/>
    <w:rsid w:val="002F21E7"/>
    <w:rsid w:val="002F2AFA"/>
    <w:rsid w:val="002F2B7A"/>
    <w:rsid w:val="002F35F6"/>
    <w:rsid w:val="002F3B66"/>
    <w:rsid w:val="002F438A"/>
    <w:rsid w:val="002F4975"/>
    <w:rsid w:val="002F5845"/>
    <w:rsid w:val="002F77C8"/>
    <w:rsid w:val="00300E57"/>
    <w:rsid w:val="003031B9"/>
    <w:rsid w:val="00304EC2"/>
    <w:rsid w:val="00304F22"/>
    <w:rsid w:val="00306C7C"/>
    <w:rsid w:val="0031085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043C"/>
    <w:rsid w:val="00321E2E"/>
    <w:rsid w:val="00322EDD"/>
    <w:rsid w:val="00322FCA"/>
    <w:rsid w:val="003232ED"/>
    <w:rsid w:val="00324233"/>
    <w:rsid w:val="0032521B"/>
    <w:rsid w:val="003253BC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49E"/>
    <w:rsid w:val="00373882"/>
    <w:rsid w:val="003744EB"/>
    <w:rsid w:val="00374A58"/>
    <w:rsid w:val="003773B4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5C61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A7B18"/>
    <w:rsid w:val="004B012C"/>
    <w:rsid w:val="004B2D1F"/>
    <w:rsid w:val="004B3F4B"/>
    <w:rsid w:val="004B4D9C"/>
    <w:rsid w:val="004B5213"/>
    <w:rsid w:val="004B5E6F"/>
    <w:rsid w:val="004B5F49"/>
    <w:rsid w:val="004B7B69"/>
    <w:rsid w:val="004C049B"/>
    <w:rsid w:val="004C0AC5"/>
    <w:rsid w:val="004C1895"/>
    <w:rsid w:val="004C2712"/>
    <w:rsid w:val="004C2832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E6E"/>
    <w:rsid w:val="0054251F"/>
    <w:rsid w:val="00542FD8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18CE"/>
    <w:rsid w:val="0056483A"/>
    <w:rsid w:val="00564FC2"/>
    <w:rsid w:val="0056516C"/>
    <w:rsid w:val="005654E8"/>
    <w:rsid w:val="005656A8"/>
    <w:rsid w:val="00566D97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894"/>
    <w:rsid w:val="005A1F8D"/>
    <w:rsid w:val="005A271A"/>
    <w:rsid w:val="005A291A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44D"/>
    <w:rsid w:val="005E65D2"/>
    <w:rsid w:val="005E6BD1"/>
    <w:rsid w:val="005F232B"/>
    <w:rsid w:val="005F2BF5"/>
    <w:rsid w:val="005F310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21167"/>
    <w:rsid w:val="00621242"/>
    <w:rsid w:val="00621CE1"/>
    <w:rsid w:val="006221B7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C4F"/>
    <w:rsid w:val="006E46EC"/>
    <w:rsid w:val="006E5487"/>
    <w:rsid w:val="006E5BC6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661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045"/>
    <w:rsid w:val="007211B1"/>
    <w:rsid w:val="007219AB"/>
    <w:rsid w:val="00721EEA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49D0"/>
    <w:rsid w:val="00847C85"/>
    <w:rsid w:val="00847F0F"/>
    <w:rsid w:val="00850D61"/>
    <w:rsid w:val="00851002"/>
    <w:rsid w:val="00852318"/>
    <w:rsid w:val="00852448"/>
    <w:rsid w:val="0085322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829"/>
    <w:rsid w:val="008F33A2"/>
    <w:rsid w:val="008F3638"/>
    <w:rsid w:val="008F4441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2AE6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31567"/>
    <w:rsid w:val="009315A5"/>
    <w:rsid w:val="00933058"/>
    <w:rsid w:val="00933EC1"/>
    <w:rsid w:val="00934B47"/>
    <w:rsid w:val="00942F87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C8"/>
    <w:rsid w:val="00987C33"/>
    <w:rsid w:val="009908DA"/>
    <w:rsid w:val="009910EC"/>
    <w:rsid w:val="00991BAC"/>
    <w:rsid w:val="009924D9"/>
    <w:rsid w:val="00992853"/>
    <w:rsid w:val="00992E59"/>
    <w:rsid w:val="00994356"/>
    <w:rsid w:val="00996362"/>
    <w:rsid w:val="00997AF7"/>
    <w:rsid w:val="009A0E23"/>
    <w:rsid w:val="009A1E68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65C"/>
    <w:rsid w:val="009C7251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287"/>
    <w:rsid w:val="009E670D"/>
    <w:rsid w:val="009E7835"/>
    <w:rsid w:val="009F1988"/>
    <w:rsid w:val="009F2421"/>
    <w:rsid w:val="009F37F2"/>
    <w:rsid w:val="009F4484"/>
    <w:rsid w:val="009F4837"/>
    <w:rsid w:val="009F61F9"/>
    <w:rsid w:val="00A000BA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2E66"/>
    <w:rsid w:val="00A473C1"/>
    <w:rsid w:val="00A47A2A"/>
    <w:rsid w:val="00A47D80"/>
    <w:rsid w:val="00A50041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C36"/>
    <w:rsid w:val="00A57FDD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6756"/>
    <w:rsid w:val="00A969FF"/>
    <w:rsid w:val="00A971E5"/>
    <w:rsid w:val="00AA2D33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660"/>
    <w:rsid w:val="00AE4F99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F09"/>
    <w:rsid w:val="00BB5C6D"/>
    <w:rsid w:val="00BB6AF7"/>
    <w:rsid w:val="00BC138A"/>
    <w:rsid w:val="00BC1873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30DE"/>
    <w:rsid w:val="00C051A8"/>
    <w:rsid w:val="00C07A5D"/>
    <w:rsid w:val="00C10B5C"/>
    <w:rsid w:val="00C10B7A"/>
    <w:rsid w:val="00C11539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3EB2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702F"/>
    <w:rsid w:val="00C37E46"/>
    <w:rsid w:val="00C423B3"/>
    <w:rsid w:val="00C42F07"/>
    <w:rsid w:val="00C4363C"/>
    <w:rsid w:val="00C44763"/>
    <w:rsid w:val="00C4500A"/>
    <w:rsid w:val="00C456AD"/>
    <w:rsid w:val="00C512E6"/>
    <w:rsid w:val="00C51A44"/>
    <w:rsid w:val="00C52DA1"/>
    <w:rsid w:val="00C55515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4519"/>
    <w:rsid w:val="00CB4690"/>
    <w:rsid w:val="00CB46F1"/>
    <w:rsid w:val="00CB4E71"/>
    <w:rsid w:val="00CB615D"/>
    <w:rsid w:val="00CB6AD4"/>
    <w:rsid w:val="00CB6BD2"/>
    <w:rsid w:val="00CC3F17"/>
    <w:rsid w:val="00CC739E"/>
    <w:rsid w:val="00CD0D0A"/>
    <w:rsid w:val="00CD129B"/>
    <w:rsid w:val="00CD15BC"/>
    <w:rsid w:val="00CD1825"/>
    <w:rsid w:val="00CD1EBB"/>
    <w:rsid w:val="00CD28CF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7285"/>
    <w:rsid w:val="00D373D9"/>
    <w:rsid w:val="00D378BA"/>
    <w:rsid w:val="00D37B39"/>
    <w:rsid w:val="00D40235"/>
    <w:rsid w:val="00D40C03"/>
    <w:rsid w:val="00D4631F"/>
    <w:rsid w:val="00D47214"/>
    <w:rsid w:val="00D47601"/>
    <w:rsid w:val="00D4767E"/>
    <w:rsid w:val="00D50A6A"/>
    <w:rsid w:val="00D51630"/>
    <w:rsid w:val="00D52949"/>
    <w:rsid w:val="00D53EEB"/>
    <w:rsid w:val="00D561A3"/>
    <w:rsid w:val="00D56EFC"/>
    <w:rsid w:val="00D574A2"/>
    <w:rsid w:val="00D57554"/>
    <w:rsid w:val="00D57985"/>
    <w:rsid w:val="00D606EE"/>
    <w:rsid w:val="00D60F72"/>
    <w:rsid w:val="00D6101D"/>
    <w:rsid w:val="00D616D2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706E"/>
    <w:rsid w:val="00DC09B4"/>
    <w:rsid w:val="00DC0FC1"/>
    <w:rsid w:val="00DC19D3"/>
    <w:rsid w:val="00DC4037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0519"/>
    <w:rsid w:val="00DE2400"/>
    <w:rsid w:val="00DE2CB8"/>
    <w:rsid w:val="00DE390A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3039"/>
    <w:rsid w:val="00E6395B"/>
    <w:rsid w:val="00E63B0C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D26"/>
    <w:rsid w:val="00E76EE5"/>
    <w:rsid w:val="00E77105"/>
    <w:rsid w:val="00E77195"/>
    <w:rsid w:val="00E81467"/>
    <w:rsid w:val="00E8387B"/>
    <w:rsid w:val="00E83999"/>
    <w:rsid w:val="00E846F7"/>
    <w:rsid w:val="00E90712"/>
    <w:rsid w:val="00E911F5"/>
    <w:rsid w:val="00E95B8E"/>
    <w:rsid w:val="00E96050"/>
    <w:rsid w:val="00E961EB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B21"/>
    <w:rsid w:val="00ED6183"/>
    <w:rsid w:val="00ED61F4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6C68"/>
    <w:rsid w:val="00F07252"/>
    <w:rsid w:val="00F07B6F"/>
    <w:rsid w:val="00F12DA5"/>
    <w:rsid w:val="00F1331E"/>
    <w:rsid w:val="00F142D2"/>
    <w:rsid w:val="00F142DB"/>
    <w:rsid w:val="00F1446E"/>
    <w:rsid w:val="00F14C5C"/>
    <w:rsid w:val="00F14E2D"/>
    <w:rsid w:val="00F207FF"/>
    <w:rsid w:val="00F20C70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64BA"/>
    <w:rsid w:val="00F36AEA"/>
    <w:rsid w:val="00F37172"/>
    <w:rsid w:val="00F41A54"/>
    <w:rsid w:val="00F41FF4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BE0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B9929-1E70-4CB2-99B9-B45E729B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1041</Words>
  <Characters>6251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2025-05-21T11:23:00Z</cp:lastPrinted>
  <dcterms:created xsi:type="dcterms:W3CDTF">2025-05-15T08:22:00Z</dcterms:created>
  <dcterms:modified xsi:type="dcterms:W3CDTF">2025-05-21T11:23:00Z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LUB-OSB.6360.2.2025.8</vt:lpwstr>
  </property>
  <property fmtid="{D5CDD505-2E9C-101B-9397-08002B2CF9AE}" pid="4" name="UNPPisma">
    <vt:lpwstr>2025-78332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18 kwietnia 2025</vt:lpwstr>
  </property>
  <property fmtid="{D5CDD505-2E9C-101B-9397-08002B2CF9AE}" pid="8" name="ZnakSprawyPrzedPrzeniesieniem">
    <vt:lpwstr/>
  </property>
  <property fmtid="{D5CDD505-2E9C-101B-9397-08002B2CF9AE}" pid="9" name="Autor">
    <vt:lpwstr>Nocko Agnieszka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AN</vt:lpwstr>
  </property>
  <property fmtid="{D5CDD505-2E9C-101B-9397-08002B2CF9AE}" pid="13" name="AutorNrTelefonu">
    <vt:lpwstr>815332051 wew.137</vt:lpwstr>
  </property>
  <property fmtid="{D5CDD505-2E9C-101B-9397-08002B2CF9AE}" pid="14" name="Stanowisko">
    <vt:lpwstr>kierownik ośrodka</vt:lpwstr>
  </property>
  <property fmtid="{D5CDD505-2E9C-101B-9397-08002B2CF9AE}" pid="15" name="OpisPisma">
    <vt:lpwstr>Opracowanie sygnale Budownictwo mieszkaniowe w okresie styczeń-marzec 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2025-04-18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2025-04-18 13:48:33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