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44DBACB1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</w:r>
      <w:r w:rsidR="001B3E7F">
        <w:rPr>
          <w:szCs w:val="40"/>
        </w:rPr>
        <w:t xml:space="preserve">w </w:t>
      </w:r>
      <w:r w:rsidR="00B41803">
        <w:rPr>
          <w:szCs w:val="40"/>
        </w:rPr>
        <w:t>2024</w:t>
      </w:r>
      <w:r w:rsidR="00361629">
        <w:rPr>
          <w:szCs w:val="40"/>
        </w:rPr>
        <w:t xml:space="preserve"> r.</w:t>
      </w:r>
      <w:r w:rsidR="00364AF9" w:rsidRPr="00553C9F">
        <w:rPr>
          <w:szCs w:val="40"/>
        </w:rPr>
        <w:tab/>
      </w:r>
    </w:p>
    <w:p w14:paraId="0869DECE" w14:textId="3B25FE98" w:rsidR="009A4A0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124CF4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,0% &#10;Spadek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1D47628" w:rsidR="005C0CAC" w:rsidRPr="009C58FF" w:rsidRDefault="00D16455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AC6DA9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3,0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7447F19C" w:rsidR="005C0CAC" w:rsidRPr="009C58FF" w:rsidRDefault="00375BB7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Spadek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,0% &#10;Spadek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" fillcolor="#001d77" stroked="f">
                <v:stroke joinstyle="miter"/>
                <v:textbox>
                  <w:txbxContent>
                    <w:p w14:paraId="30951E30" w14:textId="31D47628" w:rsidR="005C0CAC" w:rsidRPr="009C58FF" w:rsidRDefault="00D16455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AC6DA9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3,0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7447F19C" w:rsidR="005C0CAC" w:rsidRPr="009C58FF" w:rsidRDefault="00375BB7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Spadek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przychodów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ogółem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0695A">
        <w:rPr>
          <w:rFonts w:eastAsia="Times New Roman" w:cs="Times New Roman"/>
          <w:bCs/>
          <w:noProof w:val="0"/>
        </w:rPr>
        <w:t>W</w:t>
      </w:r>
      <w:r w:rsidR="00D41854">
        <w:rPr>
          <w:rFonts w:eastAsia="Times New Roman" w:cs="Times New Roman"/>
          <w:bCs/>
          <w:noProof w:val="0"/>
        </w:rPr>
        <w:t xml:space="preserve"> </w:t>
      </w:r>
      <w:r w:rsidR="00375BB7">
        <w:rPr>
          <w:rFonts w:eastAsia="Times New Roman" w:cs="Times New Roman"/>
          <w:bCs/>
          <w:noProof w:val="0"/>
        </w:rPr>
        <w:t>2024</w:t>
      </w:r>
      <w:r w:rsidR="00361629">
        <w:rPr>
          <w:rFonts w:eastAsia="Times New Roman" w:cs="Times New Roman"/>
          <w:bCs/>
          <w:noProof w:val="0"/>
        </w:rPr>
        <w:t xml:space="preserve"> r.</w:t>
      </w:r>
      <w:r w:rsidR="00C37793" w:rsidRPr="00AE1A1C">
        <w:rPr>
          <w:rFonts w:eastAsia="Times New Roman" w:cs="Times New Roman"/>
          <w:bCs/>
          <w:noProof w:val="0"/>
        </w:rPr>
        <w:t xml:space="preserve">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A144A0">
        <w:rPr>
          <w:rFonts w:eastAsia="Times New Roman" w:cs="Times New Roman"/>
          <w:bCs/>
          <w:noProof w:val="0"/>
        </w:rPr>
        <w:t xml:space="preserve">były </w:t>
      </w:r>
      <w:r w:rsidR="00E85248">
        <w:rPr>
          <w:rFonts w:eastAsia="Times New Roman" w:cs="Times New Roman"/>
          <w:bCs/>
          <w:noProof w:val="0"/>
        </w:rPr>
        <w:t xml:space="preserve">znacznie </w:t>
      </w:r>
      <w:r w:rsidR="00A144A0">
        <w:rPr>
          <w:rFonts w:eastAsia="Times New Roman" w:cs="Times New Roman"/>
          <w:bCs/>
          <w:noProof w:val="0"/>
        </w:rPr>
        <w:t>niższe od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 xml:space="preserve">rok wcześniej. </w:t>
      </w:r>
      <w:r w:rsidR="00AE1A1C" w:rsidRPr="00124901">
        <w:rPr>
          <w:rFonts w:eastAsia="Times New Roman" w:cs="Times New Roman"/>
          <w:bCs/>
          <w:noProof w:val="0"/>
        </w:rPr>
        <w:t>P</w:t>
      </w:r>
      <w:r w:rsidR="00CE101E" w:rsidRPr="00124901">
        <w:rPr>
          <w:rFonts w:eastAsia="Times New Roman" w:cs="Times New Roman"/>
          <w:bCs/>
          <w:noProof w:val="0"/>
        </w:rPr>
        <w:t xml:space="preserve">ogorszeniu </w:t>
      </w:r>
      <w:r w:rsidR="00CE101E" w:rsidRPr="00BC5E8A">
        <w:rPr>
          <w:rFonts w:eastAsia="Times New Roman" w:cs="Times New Roman"/>
          <w:bCs/>
          <w:noProof w:val="0"/>
        </w:rPr>
        <w:t>uległy</w:t>
      </w:r>
      <w:r w:rsidR="00C37793" w:rsidRPr="00BC5E8A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2213A2" w:rsidRPr="00BC5E8A">
        <w:rPr>
          <w:rFonts w:eastAsia="Times New Roman" w:cs="Times New Roman"/>
          <w:bCs/>
          <w:noProof w:val="0"/>
        </w:rPr>
        <w:t>y</w:t>
      </w:r>
      <w:r w:rsidR="00361629">
        <w:rPr>
          <w:rFonts w:eastAsia="Times New Roman" w:cs="Times New Roman"/>
          <w:bCs/>
          <w:noProof w:val="0"/>
        </w:rPr>
        <w:t xml:space="preserve"> inwestycyjne były</w:t>
      </w:r>
      <w:r w:rsidR="00BC5E8A" w:rsidRPr="00BC5E8A">
        <w:rPr>
          <w:rFonts w:eastAsia="Times New Roman" w:cs="Times New Roman"/>
          <w:bCs/>
          <w:noProof w:val="0"/>
        </w:rPr>
        <w:t xml:space="preserve"> o 7,8</w:t>
      </w:r>
      <w:r w:rsidR="00C37793" w:rsidRPr="00BC5E8A">
        <w:rPr>
          <w:rFonts w:eastAsia="Times New Roman" w:cs="Times New Roman"/>
          <w:bCs/>
          <w:noProof w:val="0"/>
        </w:rPr>
        <w:t xml:space="preserve">% </w:t>
      </w:r>
      <w:r w:rsidR="00361629">
        <w:rPr>
          <w:rFonts w:eastAsia="Times New Roman" w:cs="Times New Roman"/>
          <w:bCs/>
          <w:noProof w:val="0"/>
        </w:rPr>
        <w:t xml:space="preserve"> niższe niż</w:t>
      </w:r>
      <w:r w:rsidR="00C54145" w:rsidRPr="00BC5E8A">
        <w:rPr>
          <w:rFonts w:eastAsia="Times New Roman" w:cs="Times New Roman"/>
          <w:bCs/>
          <w:noProof w:val="0"/>
        </w:rPr>
        <w:t xml:space="preserve"> w</w:t>
      </w:r>
      <w:r w:rsidR="00C37793" w:rsidRPr="00BC5E8A">
        <w:rPr>
          <w:rFonts w:eastAsia="Times New Roman" w:cs="Times New Roman"/>
          <w:bCs/>
          <w:noProof w:val="0"/>
        </w:rPr>
        <w:t xml:space="preserve"> </w:t>
      </w:r>
      <w:r w:rsidR="00534157" w:rsidRPr="00BC5E8A">
        <w:rPr>
          <w:rFonts w:eastAsia="Times New Roman" w:cs="Times New Roman"/>
          <w:bCs/>
          <w:noProof w:val="0"/>
        </w:rPr>
        <w:t>2023</w:t>
      </w:r>
      <w:r w:rsidR="00361629">
        <w:rPr>
          <w:rFonts w:eastAsia="Times New Roman" w:cs="Times New Roman"/>
          <w:bCs/>
          <w:noProof w:val="0"/>
        </w:rPr>
        <w:t xml:space="preserve"> r.</w:t>
      </w:r>
      <w:r w:rsidR="00C37793" w:rsidRPr="00BC5E8A">
        <w:rPr>
          <w:rFonts w:eastAsia="Times New Roman" w:cs="Times New Roman"/>
          <w:bCs/>
          <w:noProof w:val="0"/>
        </w:rPr>
        <w:t xml:space="preserve"> </w:t>
      </w:r>
      <w:r w:rsidR="00022056" w:rsidRPr="00BC5E8A">
        <w:rPr>
          <w:rFonts w:eastAsia="Times New Roman" w:cs="Times New Roman"/>
          <w:bCs/>
          <w:noProof w:val="0"/>
        </w:rPr>
        <w:t xml:space="preserve">(kiedy </w:t>
      </w:r>
      <w:r w:rsidR="00361629">
        <w:rPr>
          <w:rFonts w:eastAsia="Times New Roman" w:cs="Times New Roman"/>
          <w:bCs/>
          <w:noProof w:val="0"/>
        </w:rPr>
        <w:t>notowano</w:t>
      </w:r>
      <w:r w:rsidR="00373F1B" w:rsidRPr="00BC5E8A">
        <w:rPr>
          <w:rFonts w:eastAsia="Times New Roman" w:cs="Times New Roman"/>
          <w:bCs/>
          <w:noProof w:val="0"/>
        </w:rPr>
        <w:t xml:space="preserve"> w</w:t>
      </w:r>
      <w:r w:rsidR="00BC5E8A" w:rsidRPr="00BC5E8A">
        <w:rPr>
          <w:rFonts w:eastAsia="Times New Roman" w:cs="Times New Roman"/>
          <w:bCs/>
          <w:noProof w:val="0"/>
        </w:rPr>
        <w:t>zrost o 10,2</w:t>
      </w:r>
      <w:r w:rsidR="00C37793" w:rsidRPr="00BC5E8A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</w:p>
    <w:p w14:paraId="3BE263F2" w14:textId="77777777" w:rsidR="006D32E0" w:rsidRDefault="006D32E0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5708857" w14:textId="400AE59D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2A0741">
        <w:rPr>
          <w:rFonts w:eastAsia="Times New Roman" w:cs="Times New Roman"/>
          <w:szCs w:val="19"/>
          <w:lang w:eastAsia="pl-PL"/>
        </w:rPr>
        <w:t>były niższe o 3,0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F11016">
        <w:rPr>
          <w:rFonts w:eastAsia="Times New Roman" w:cs="Times New Roman"/>
          <w:szCs w:val="19"/>
          <w:lang w:eastAsia="pl-PL"/>
        </w:rPr>
        <w:t>zty ich uzyskania spadły</w:t>
      </w:r>
      <w:r w:rsidR="002A0741">
        <w:rPr>
          <w:rFonts w:eastAsia="Times New Roman" w:cs="Times New Roman"/>
          <w:szCs w:val="19"/>
          <w:lang w:eastAsia="pl-PL"/>
        </w:rPr>
        <w:t xml:space="preserve"> o 1,8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2A0741">
        <w:rPr>
          <w:rFonts w:eastAsia="Times New Roman" w:cs="Times New Roman"/>
          <w:szCs w:val="19"/>
          <w:lang w:eastAsia="pl-PL"/>
        </w:rPr>
        <w:t>tów z 94,6</w:t>
      </w:r>
      <w:r w:rsidR="009B1484">
        <w:rPr>
          <w:rFonts w:eastAsia="Times New Roman" w:cs="Times New Roman"/>
          <w:szCs w:val="19"/>
          <w:lang w:eastAsia="pl-PL"/>
        </w:rPr>
        <w:t>% przed rokiem do 95</w:t>
      </w:r>
      <w:r w:rsidR="00EE6552">
        <w:rPr>
          <w:rFonts w:eastAsia="Times New Roman" w:cs="Times New Roman"/>
          <w:szCs w:val="19"/>
          <w:lang w:eastAsia="pl-PL"/>
        </w:rPr>
        <w:t>,7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375BB7">
        <w:rPr>
          <w:rFonts w:eastAsia="Times New Roman" w:cs="Times New Roman"/>
          <w:szCs w:val="19"/>
          <w:lang w:eastAsia="pl-PL"/>
        </w:rPr>
        <w:t>materiałów spadły</w:t>
      </w:r>
      <w:r w:rsidR="00126A1E">
        <w:rPr>
          <w:rFonts w:eastAsia="Times New Roman" w:cs="Times New Roman"/>
          <w:szCs w:val="19"/>
          <w:lang w:eastAsia="pl-PL"/>
        </w:rPr>
        <w:t xml:space="preserve"> o </w:t>
      </w:r>
      <w:r w:rsidR="002A0741">
        <w:rPr>
          <w:rFonts w:eastAsia="Times New Roman" w:cs="Times New Roman"/>
          <w:szCs w:val="19"/>
          <w:lang w:eastAsia="pl-PL"/>
        </w:rPr>
        <w:t>2,9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2A0741">
        <w:rPr>
          <w:rFonts w:eastAsia="Times New Roman" w:cs="Times New Roman"/>
          <w:szCs w:val="19"/>
          <w:lang w:eastAsia="pl-PL"/>
        </w:rPr>
        <w:t>alności – o 1,8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3A3E62AE" w:rsidR="00846E02" w:rsidRPr="00CB4299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5E6AF0F">
                <wp:simplePos x="0" y="0"/>
                <wp:positionH relativeFrom="column">
                  <wp:posOffset>5212080</wp:posOffset>
                </wp:positionH>
                <wp:positionV relativeFrom="paragraph">
                  <wp:posOffset>812800</wp:posOffset>
                </wp:positionV>
                <wp:extent cx="1724660" cy="1057275"/>
                <wp:effectExtent l="0" t="0" r="0" b="0"/>
                <wp:wrapTight wrapText="bothSides">
                  <wp:wrapPolygon edited="0">
                    <wp:start x="716" y="0"/>
                    <wp:lineTo x="716" y="21016"/>
                    <wp:lineTo x="20757" y="21016"/>
                    <wp:lineTo x="20757" y="0"/>
                    <wp:lineTo x="716" y="0"/>
                  </wp:wrapPolygon>
                </wp:wrapTight>
                <wp:docPr id="2" name="Pole tekstowe 2" descr="W 2024 r. wynik finansowy netto przedsiębiorstw niefinansowych był niższy o 24,0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2BBBEBA" w:rsidR="00D616D2" w:rsidRPr="00846E02" w:rsidRDefault="005D7B3F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</w:t>
                            </w:r>
                            <w:r w:rsidR="001C4DF4">
                              <w:rPr>
                                <w:bCs w:val="0"/>
                              </w:rPr>
                              <w:t>2024</w:t>
                            </w:r>
                            <w:r w:rsidR="001C3034">
                              <w:rPr>
                                <w:bCs w:val="0"/>
                              </w:rPr>
                              <w:t xml:space="preserve"> r.</w:t>
                            </w:r>
                            <w:r w:rsidR="00A31794">
                              <w:rPr>
                                <w:bCs w:val="0"/>
                              </w:rPr>
                              <w:t xml:space="preserve"> wynik finansowy netto </w:t>
                            </w:r>
                            <w:r w:rsidR="00E06F14">
                              <w:rPr>
                                <w:bCs w:val="0"/>
                              </w:rPr>
                              <w:t>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 xml:space="preserve">niefinansowych był niższy o </w:t>
                            </w:r>
                            <w:r w:rsidR="00803C4E">
                              <w:rPr>
                                <w:bCs w:val="0"/>
                              </w:rPr>
                              <w:t>24,0</w:t>
                            </w:r>
                            <w:r w:rsidR="00846E02" w:rsidRPr="00CB4299">
                              <w:rPr>
                                <w:bCs w:val="0"/>
                              </w:rPr>
                              <w:t>%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4 r. wynik finansowy netto przedsiębiorstw niefinansowych był niższy o 24,0% niż przed rokiem" style="position:absolute;margin-left:410.4pt;margin-top:64pt;width:135.8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" filled="f" stroked="f">
                <v:textbox>
                  <w:txbxContent>
                    <w:p w14:paraId="66113316" w14:textId="22BBBEBA" w:rsidR="00D616D2" w:rsidRPr="00846E02" w:rsidRDefault="005D7B3F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91E88">
                        <w:rPr>
                          <w:bCs w:val="0"/>
                        </w:rPr>
                        <w:t xml:space="preserve"> </w:t>
                      </w:r>
                      <w:r w:rsidR="001C4DF4">
                        <w:rPr>
                          <w:bCs w:val="0"/>
                        </w:rPr>
                        <w:t>2024</w:t>
                      </w:r>
                      <w:r w:rsidR="001C3034">
                        <w:rPr>
                          <w:bCs w:val="0"/>
                        </w:rPr>
                        <w:t xml:space="preserve"> r.</w:t>
                      </w:r>
                      <w:r w:rsidR="00A31794">
                        <w:rPr>
                          <w:bCs w:val="0"/>
                        </w:rPr>
                        <w:t xml:space="preserve"> wynik finansowy netto </w:t>
                      </w:r>
                      <w:r w:rsidR="00E06F14">
                        <w:rPr>
                          <w:bCs w:val="0"/>
                        </w:rPr>
                        <w:t>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 xml:space="preserve">niefinansowych był niższy o </w:t>
                      </w:r>
                      <w:r w:rsidR="00803C4E">
                        <w:rPr>
                          <w:bCs w:val="0"/>
                        </w:rPr>
                        <w:t>24,0</w:t>
                      </w:r>
                      <w:r w:rsidR="00846E02" w:rsidRPr="00CB4299">
                        <w:rPr>
                          <w:bCs w:val="0"/>
                        </w:rPr>
                        <w:t>%</w:t>
                      </w:r>
                      <w:r w:rsidR="00846E02" w:rsidRPr="00846E02">
                        <w:rPr>
                          <w:bCs w:val="0"/>
                        </w:rPr>
                        <w:t xml:space="preserve">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 xml:space="preserve">Wynik finansowy ze sprzedaży </w:t>
      </w:r>
      <w:r w:rsidR="00846E02" w:rsidRPr="00CB4299">
        <w:rPr>
          <w:rFonts w:eastAsia="Times New Roman" w:cs="Times New Roman"/>
          <w:szCs w:val="19"/>
          <w:lang w:eastAsia="pl-PL"/>
        </w:rPr>
        <w:t>produktów, to</w:t>
      </w:r>
      <w:r w:rsidR="00CE101E" w:rsidRPr="00CB4299">
        <w:rPr>
          <w:rFonts w:eastAsia="Times New Roman" w:cs="Times New Roman"/>
          <w:szCs w:val="19"/>
          <w:lang w:eastAsia="pl-PL"/>
        </w:rPr>
        <w:t xml:space="preserve">warów i materiałów </w:t>
      </w:r>
      <w:r w:rsidR="00F11F49" w:rsidRPr="00CB4299">
        <w:rPr>
          <w:rFonts w:eastAsia="Times New Roman" w:cs="Times New Roman"/>
          <w:szCs w:val="19"/>
          <w:lang w:eastAsia="pl-PL"/>
        </w:rPr>
        <w:t>wyni</w:t>
      </w:r>
      <w:r w:rsidR="003A3C39">
        <w:rPr>
          <w:rFonts w:eastAsia="Times New Roman" w:cs="Times New Roman"/>
          <w:szCs w:val="19"/>
          <w:lang w:eastAsia="pl-PL"/>
        </w:rPr>
        <w:t>ósł 218,6</w:t>
      </w:r>
      <w:r w:rsidR="000A7803" w:rsidRPr="00CB4299">
        <w:rPr>
          <w:rFonts w:eastAsia="Times New Roman" w:cs="Times New Roman"/>
          <w:szCs w:val="19"/>
          <w:lang w:eastAsia="pl-PL"/>
        </w:rPr>
        <w:t xml:space="preserve"> ml</w:t>
      </w:r>
      <w:r w:rsidR="00191E88" w:rsidRPr="00CB4299">
        <w:rPr>
          <w:rFonts w:eastAsia="Times New Roman" w:cs="Times New Roman"/>
          <w:szCs w:val="19"/>
          <w:lang w:eastAsia="pl-PL"/>
        </w:rPr>
        <w:t>d</w:t>
      </w:r>
      <w:r w:rsidR="00B25AD4">
        <w:rPr>
          <w:rFonts w:eastAsia="Times New Roman" w:cs="Times New Roman"/>
          <w:szCs w:val="19"/>
          <w:lang w:eastAsia="pl-PL"/>
        </w:rPr>
        <w:t xml:space="preserve"> zł i był niższy o 22</w:t>
      </w:r>
      <w:r w:rsidR="003A3C39">
        <w:rPr>
          <w:rFonts w:eastAsia="Times New Roman" w:cs="Times New Roman"/>
          <w:szCs w:val="19"/>
          <w:lang w:eastAsia="pl-PL"/>
        </w:rPr>
        <w:t>,1</w:t>
      </w:r>
      <w:r w:rsidR="0057774C" w:rsidRPr="00CB4299">
        <w:rPr>
          <w:rFonts w:eastAsia="Times New Roman" w:cs="Times New Roman"/>
          <w:szCs w:val="19"/>
          <w:lang w:eastAsia="pl-PL"/>
        </w:rPr>
        <w:t>%</w:t>
      </w:r>
      <w:r w:rsidR="00B16D33">
        <w:rPr>
          <w:rFonts w:eastAsia="Times New Roman" w:cs="Times New Roman"/>
          <w:szCs w:val="19"/>
          <w:lang w:eastAsia="pl-PL"/>
        </w:rPr>
        <w:t xml:space="preserve"> niż </w:t>
      </w:r>
      <w:r w:rsidR="00B16D33" w:rsidRPr="00B16D33">
        <w:rPr>
          <w:rFonts w:eastAsia="Times New Roman" w:cs="Times New Roman"/>
          <w:szCs w:val="19"/>
          <w:lang w:eastAsia="pl-PL"/>
        </w:rPr>
        <w:t xml:space="preserve">w </w:t>
      </w:r>
      <w:r w:rsidR="001C3034">
        <w:rPr>
          <w:rFonts w:eastAsia="Times New Roman" w:cs="Times New Roman"/>
          <w:szCs w:val="19"/>
          <w:lang w:eastAsia="pl-PL"/>
        </w:rPr>
        <w:t>roku poprzednim.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Wynik finansowy z pozostałej działalności operacyjnej u</w:t>
      </w:r>
      <w:r w:rsidR="00370F01" w:rsidRPr="00CB4299">
        <w:rPr>
          <w:rFonts w:eastAsia="Times New Roman" w:cs="Times New Roman"/>
          <w:szCs w:val="19"/>
          <w:lang w:eastAsia="pl-PL"/>
        </w:rPr>
        <w:t>kształtował się na pozio</w:t>
      </w:r>
      <w:r w:rsidR="00C15797">
        <w:rPr>
          <w:rFonts w:eastAsia="Times New Roman" w:cs="Times New Roman"/>
          <w:szCs w:val="19"/>
          <w:lang w:eastAsia="pl-PL"/>
        </w:rPr>
        <w:t>mie 2,1</w:t>
      </w:r>
      <w:r w:rsidR="004850D8" w:rsidRPr="00CB4299">
        <w:rPr>
          <w:rFonts w:eastAsia="Times New Roman" w:cs="Times New Roman"/>
          <w:szCs w:val="19"/>
          <w:lang w:eastAsia="pl-PL"/>
        </w:rPr>
        <w:t xml:space="preserve"> mld zł i był</w:t>
      </w:r>
      <w:r w:rsidR="00C15797">
        <w:rPr>
          <w:rFonts w:eastAsia="Times New Roman" w:cs="Times New Roman"/>
          <w:szCs w:val="19"/>
          <w:lang w:eastAsia="pl-PL"/>
        </w:rPr>
        <w:t xml:space="preserve"> niższy o 9,1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mld zł niż </w:t>
      </w:r>
      <w:r w:rsidR="002A65A4" w:rsidRPr="00CB4299">
        <w:rPr>
          <w:rFonts w:eastAsia="Times New Roman" w:cs="Times New Roman"/>
          <w:szCs w:val="19"/>
          <w:lang w:eastAsia="pl-PL"/>
        </w:rPr>
        <w:t>prze</w:t>
      </w:r>
      <w:r w:rsidR="00C15797">
        <w:rPr>
          <w:rFonts w:eastAsia="Times New Roman" w:cs="Times New Roman"/>
          <w:szCs w:val="19"/>
          <w:lang w:eastAsia="pl-PL"/>
        </w:rPr>
        <w:t xml:space="preserve">d rokiem. </w:t>
      </w:r>
      <w:r w:rsidR="008470AD">
        <w:rPr>
          <w:rFonts w:eastAsia="Times New Roman" w:cs="Times New Roman"/>
          <w:szCs w:val="19"/>
          <w:lang w:eastAsia="pl-PL"/>
        </w:rPr>
        <w:t>Wynik</w:t>
      </w:r>
      <w:r w:rsidR="00AA1F7D" w:rsidRPr="00CB4299">
        <w:rPr>
          <w:rFonts w:eastAsia="Times New Roman" w:cs="Times New Roman"/>
          <w:szCs w:val="19"/>
          <w:lang w:eastAsia="pl-PL"/>
        </w:rPr>
        <w:t xml:space="preserve"> na operacjach finansowych </w:t>
      </w:r>
      <w:r w:rsidR="008470AD">
        <w:rPr>
          <w:rFonts w:eastAsia="Times New Roman" w:cs="Times New Roman"/>
          <w:szCs w:val="19"/>
          <w:lang w:eastAsia="pl-PL"/>
        </w:rPr>
        <w:t xml:space="preserve">był </w:t>
      </w:r>
      <w:r w:rsidR="001C3034">
        <w:rPr>
          <w:rFonts w:eastAsia="Times New Roman" w:cs="Times New Roman"/>
          <w:szCs w:val="19"/>
          <w:lang w:eastAsia="pl-PL"/>
        </w:rPr>
        <w:t>mniej negatywny niż rok wcześniej</w:t>
      </w:r>
      <w:r w:rsidR="008470AD">
        <w:rPr>
          <w:rFonts w:eastAsia="Times New Roman" w:cs="Times New Roman"/>
          <w:szCs w:val="19"/>
          <w:lang w:eastAsia="pl-PL"/>
        </w:rPr>
        <w:t xml:space="preserve"> </w:t>
      </w:r>
      <w:r w:rsidR="00AA1F7D" w:rsidRPr="00CB4299">
        <w:rPr>
          <w:rFonts w:eastAsia="Times New Roman" w:cs="Times New Roman"/>
          <w:szCs w:val="19"/>
          <w:lang w:eastAsia="pl-PL"/>
        </w:rPr>
        <w:t>(</w:t>
      </w:r>
      <w:r w:rsidR="00C15797">
        <w:rPr>
          <w:rFonts w:eastAsia="Times New Roman" w:cs="Times New Roman"/>
          <w:szCs w:val="19"/>
          <w:lang w:eastAsia="pl-PL"/>
        </w:rPr>
        <w:t>minus 2,2</w:t>
      </w:r>
      <w:r w:rsidR="000C136B" w:rsidRPr="00CB4299">
        <w:rPr>
          <w:rFonts w:eastAsia="Times New Roman" w:cs="Times New Roman"/>
          <w:szCs w:val="19"/>
          <w:lang w:eastAsia="pl-PL"/>
        </w:rPr>
        <w:t xml:space="preserve"> mld </w:t>
      </w:r>
      <w:r w:rsidR="007C21A1">
        <w:rPr>
          <w:rFonts w:eastAsia="Times New Roman" w:cs="Times New Roman"/>
          <w:szCs w:val="19"/>
          <w:lang w:eastAsia="pl-PL"/>
        </w:rPr>
        <w:t xml:space="preserve">zł wobec </w:t>
      </w:r>
      <w:r w:rsidR="00C15797">
        <w:rPr>
          <w:rFonts w:eastAsia="Times New Roman" w:cs="Times New Roman"/>
          <w:szCs w:val="19"/>
          <w:lang w:eastAsia="pl-PL"/>
        </w:rPr>
        <w:t>minus 7,6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m</w:t>
      </w:r>
      <w:r w:rsidR="00E26E99" w:rsidRPr="00CB4299">
        <w:rPr>
          <w:rFonts w:eastAsia="Times New Roman" w:cs="Times New Roman"/>
          <w:szCs w:val="19"/>
          <w:lang w:eastAsia="pl-PL"/>
        </w:rPr>
        <w:t xml:space="preserve">ld zł w </w:t>
      </w:r>
      <w:r w:rsidR="00D471C1" w:rsidRPr="00CB4299">
        <w:rPr>
          <w:rFonts w:eastAsia="Times New Roman" w:cs="Times New Roman"/>
          <w:szCs w:val="19"/>
          <w:lang w:eastAsia="pl-PL"/>
        </w:rPr>
        <w:t>2023</w:t>
      </w:r>
      <w:r w:rsidR="001C3034">
        <w:rPr>
          <w:rFonts w:eastAsia="Times New Roman" w:cs="Times New Roman"/>
          <w:szCs w:val="19"/>
          <w:lang w:eastAsia="pl-PL"/>
        </w:rPr>
        <w:t xml:space="preserve"> r.</w:t>
      </w:r>
      <w:r w:rsidR="00846E02" w:rsidRPr="00CB4299">
        <w:rPr>
          <w:rFonts w:eastAsia="Times New Roman" w:cs="Times New Roman"/>
          <w:szCs w:val="19"/>
          <w:lang w:eastAsia="pl-PL"/>
        </w:rPr>
        <w:t>).</w:t>
      </w:r>
    </w:p>
    <w:p w14:paraId="6189446F" w14:textId="0EEFC1E4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4299">
        <w:rPr>
          <w:rFonts w:eastAsia="Times New Roman" w:cs="Times New Roman"/>
          <w:szCs w:val="19"/>
          <w:lang w:eastAsia="pl-PL"/>
        </w:rPr>
        <w:t>Wyni</w:t>
      </w:r>
      <w:r w:rsidR="001F10BB" w:rsidRPr="00CB4299">
        <w:rPr>
          <w:rFonts w:eastAsia="Times New Roman" w:cs="Times New Roman"/>
          <w:szCs w:val="19"/>
          <w:lang w:eastAsia="pl-PL"/>
        </w:rPr>
        <w:t>k finansowy br</w:t>
      </w:r>
      <w:r w:rsidR="00177529">
        <w:rPr>
          <w:rFonts w:eastAsia="Times New Roman" w:cs="Times New Roman"/>
          <w:szCs w:val="19"/>
          <w:lang w:eastAsia="pl-PL"/>
        </w:rPr>
        <w:t>utto wyniósł 218,4</w:t>
      </w:r>
      <w:r w:rsidR="001F10BB" w:rsidRPr="00CB4299">
        <w:rPr>
          <w:rFonts w:eastAsia="Times New Roman" w:cs="Times New Roman"/>
          <w:szCs w:val="19"/>
          <w:lang w:eastAsia="pl-PL"/>
        </w:rPr>
        <w:t xml:space="preserve"> mld zł </w:t>
      </w:r>
      <w:r w:rsidR="0057774C" w:rsidRPr="00CB4299">
        <w:rPr>
          <w:rFonts w:eastAsia="Times New Roman" w:cs="Times New Roman"/>
          <w:szCs w:val="19"/>
          <w:lang w:eastAsia="pl-PL"/>
        </w:rPr>
        <w:t>(</w:t>
      </w:r>
      <w:r w:rsidR="00177529">
        <w:rPr>
          <w:rFonts w:eastAsia="Times New Roman" w:cs="Times New Roman"/>
          <w:szCs w:val="19"/>
          <w:lang w:eastAsia="pl-PL"/>
        </w:rPr>
        <w:t>wobec 284</w:t>
      </w:r>
      <w:r w:rsidR="008B75D4">
        <w:rPr>
          <w:rFonts w:eastAsia="Times New Roman" w:cs="Times New Roman"/>
          <w:szCs w:val="19"/>
          <w:lang w:eastAsia="pl-PL"/>
        </w:rPr>
        <w:t>,1</w:t>
      </w:r>
      <w:r w:rsidRPr="00CB4299">
        <w:rPr>
          <w:rFonts w:eastAsia="Times New Roman" w:cs="Times New Roman"/>
          <w:szCs w:val="19"/>
          <w:lang w:eastAsia="pl-PL"/>
        </w:rPr>
        <w:t xml:space="preserve"> mld zł </w:t>
      </w:r>
      <w:r w:rsidR="001C3034">
        <w:rPr>
          <w:rFonts w:eastAsia="Times New Roman" w:cs="Times New Roman"/>
          <w:szCs w:val="19"/>
          <w:lang w:eastAsia="pl-PL"/>
        </w:rPr>
        <w:t>w 2023 r.</w:t>
      </w:r>
      <w:r w:rsidR="0057774C" w:rsidRPr="00CB4299">
        <w:rPr>
          <w:rFonts w:eastAsia="Times New Roman" w:cs="Times New Roman"/>
          <w:szCs w:val="19"/>
          <w:lang w:eastAsia="pl-PL"/>
        </w:rPr>
        <w:t>)</w:t>
      </w:r>
      <w:r w:rsidRPr="00CB4299">
        <w:rPr>
          <w:rFonts w:eastAsia="Times New Roman" w:cs="Times New Roman"/>
          <w:szCs w:val="19"/>
          <w:lang w:eastAsia="pl-PL"/>
        </w:rPr>
        <w:t>, a jego obciążenia uk</w:t>
      </w:r>
      <w:r w:rsidR="00177529">
        <w:rPr>
          <w:rFonts w:eastAsia="Times New Roman" w:cs="Times New Roman"/>
          <w:szCs w:val="19"/>
          <w:lang w:eastAsia="pl-PL"/>
        </w:rPr>
        <w:t>ształtowały się na poziomie 44,7</w:t>
      </w:r>
      <w:r w:rsidRPr="00CB4299">
        <w:rPr>
          <w:rFonts w:eastAsia="Times New Roman" w:cs="Times New Roman"/>
          <w:szCs w:val="19"/>
          <w:lang w:eastAsia="pl-PL"/>
        </w:rPr>
        <w:t xml:space="preserve"> mld zł (w</w:t>
      </w:r>
      <w:r w:rsidR="00177529">
        <w:rPr>
          <w:rFonts w:eastAsia="Times New Roman" w:cs="Times New Roman"/>
          <w:szCs w:val="19"/>
          <w:lang w:eastAsia="pl-PL"/>
        </w:rPr>
        <w:t>obec 55,5</w:t>
      </w:r>
      <w:r w:rsidRPr="00CB4299">
        <w:rPr>
          <w:rFonts w:eastAsia="Times New Roman" w:cs="Times New Roman"/>
          <w:szCs w:val="19"/>
          <w:lang w:eastAsia="pl-PL"/>
        </w:rPr>
        <w:t xml:space="preserve"> mld zł</w:t>
      </w:r>
      <w:r w:rsidR="00E87AAD" w:rsidRPr="00CB4299">
        <w:rPr>
          <w:rFonts w:eastAsia="Times New Roman" w:cs="Times New Roman"/>
          <w:szCs w:val="19"/>
          <w:lang w:eastAsia="pl-PL"/>
        </w:rPr>
        <w:t xml:space="preserve"> przed rokiem</w:t>
      </w:r>
      <w:r w:rsidRPr="00CB4299">
        <w:rPr>
          <w:rFonts w:eastAsia="Times New Roman" w:cs="Times New Roman"/>
          <w:szCs w:val="19"/>
          <w:lang w:eastAsia="pl-PL"/>
        </w:rPr>
        <w:t>). Wyn</w:t>
      </w:r>
      <w:r w:rsidR="0074565A" w:rsidRPr="00CB4299">
        <w:rPr>
          <w:rFonts w:eastAsia="Times New Roman" w:cs="Times New Roman"/>
          <w:szCs w:val="19"/>
          <w:lang w:eastAsia="pl-PL"/>
        </w:rPr>
        <w:t>ik finansowy netto wyn</w:t>
      </w:r>
      <w:r w:rsidR="00BB5F38" w:rsidRPr="00CB4299">
        <w:rPr>
          <w:rFonts w:eastAsia="Times New Roman" w:cs="Times New Roman"/>
          <w:szCs w:val="19"/>
          <w:lang w:eastAsia="pl-PL"/>
        </w:rPr>
        <w:t xml:space="preserve">iósł </w:t>
      </w:r>
      <w:r w:rsidR="00177529">
        <w:rPr>
          <w:rFonts w:eastAsia="Times New Roman" w:cs="Times New Roman"/>
          <w:szCs w:val="19"/>
          <w:lang w:eastAsia="pl-PL"/>
        </w:rPr>
        <w:t>173,7</w:t>
      </w:r>
      <w:r w:rsidR="002837B0" w:rsidRPr="00CB4299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177529">
        <w:rPr>
          <w:rFonts w:eastAsia="Times New Roman" w:cs="Times New Roman"/>
          <w:szCs w:val="19"/>
          <w:lang w:eastAsia="pl-PL"/>
        </w:rPr>
        <w:t>24,0</w:t>
      </w:r>
      <w:r w:rsidR="001C3034">
        <w:rPr>
          <w:rFonts w:eastAsia="Times New Roman" w:cs="Times New Roman"/>
          <w:szCs w:val="19"/>
          <w:lang w:eastAsia="pl-PL"/>
        </w:rPr>
        <w:t>% niż rok wcześniej</w:t>
      </w:r>
      <w:r w:rsidR="00436653" w:rsidRPr="00CB4299">
        <w:rPr>
          <w:rFonts w:eastAsia="Times New Roman" w:cs="Times New Roman"/>
          <w:szCs w:val="19"/>
          <w:lang w:eastAsia="pl-PL"/>
        </w:rPr>
        <w:t xml:space="preserve">. Zysk netto wyniósł </w:t>
      </w:r>
      <w:r w:rsidR="00D87767">
        <w:rPr>
          <w:rFonts w:eastAsia="Times New Roman" w:cs="Times New Roman"/>
          <w:szCs w:val="19"/>
          <w:lang w:eastAsia="pl-PL"/>
        </w:rPr>
        <w:t>242,7 mld zł i był niższy o 41,8</w:t>
      </w:r>
      <w:r w:rsidR="00A159F5" w:rsidRPr="00CB4299">
        <w:rPr>
          <w:rFonts w:eastAsia="Times New Roman" w:cs="Times New Roman"/>
          <w:szCs w:val="19"/>
          <w:lang w:eastAsia="pl-PL"/>
        </w:rPr>
        <w:t xml:space="preserve"> </w:t>
      </w:r>
      <w:r w:rsidRPr="00CB4299">
        <w:rPr>
          <w:rFonts w:eastAsia="Times New Roman" w:cs="Times New Roman"/>
          <w:szCs w:val="19"/>
          <w:lang w:eastAsia="pl-PL"/>
        </w:rPr>
        <w:t>mld zł od uzysk</w:t>
      </w:r>
      <w:r w:rsidR="00436653" w:rsidRPr="00CB4299">
        <w:rPr>
          <w:rFonts w:eastAsia="Times New Roman" w:cs="Times New Roman"/>
          <w:szCs w:val="19"/>
          <w:lang w:eastAsia="pl-PL"/>
        </w:rPr>
        <w:t>anego w</w:t>
      </w:r>
      <w:r w:rsidRPr="00CB4299">
        <w:rPr>
          <w:rFonts w:eastAsia="Times New Roman" w:cs="Times New Roman"/>
          <w:szCs w:val="19"/>
          <w:lang w:eastAsia="pl-PL"/>
        </w:rPr>
        <w:t xml:space="preserve"> </w:t>
      </w:r>
      <w:r w:rsidR="001E15B3" w:rsidRPr="00CB4299">
        <w:rPr>
          <w:rFonts w:eastAsia="Times New Roman" w:cs="Times New Roman"/>
          <w:szCs w:val="19"/>
          <w:lang w:eastAsia="pl-PL"/>
        </w:rPr>
        <w:t>2023</w:t>
      </w:r>
      <w:r w:rsidR="001C3034">
        <w:rPr>
          <w:rFonts w:eastAsia="Times New Roman" w:cs="Times New Roman"/>
          <w:szCs w:val="19"/>
          <w:lang w:eastAsia="pl-PL"/>
        </w:rPr>
        <w:t xml:space="preserve"> r.</w:t>
      </w:r>
      <w:r w:rsidR="00D87767">
        <w:rPr>
          <w:rFonts w:eastAsia="Times New Roman" w:cs="Times New Roman"/>
          <w:szCs w:val="19"/>
          <w:lang w:eastAsia="pl-PL"/>
        </w:rPr>
        <w:t>, a strata netto wyniosła 69,0</w:t>
      </w:r>
      <w:r w:rsidR="00230BD4" w:rsidRPr="00CB4299">
        <w:rPr>
          <w:rFonts w:eastAsia="Times New Roman" w:cs="Times New Roman"/>
          <w:szCs w:val="19"/>
          <w:lang w:eastAsia="pl-PL"/>
        </w:rPr>
        <w:t xml:space="preserve"> mld zł i zwiększyła się o </w:t>
      </w:r>
      <w:r w:rsidR="00A62C01">
        <w:rPr>
          <w:rFonts w:eastAsia="Times New Roman" w:cs="Times New Roman"/>
          <w:szCs w:val="19"/>
          <w:lang w:eastAsia="pl-PL"/>
        </w:rPr>
        <w:t>13,0</w:t>
      </w:r>
      <w:r w:rsidRPr="00CB4299">
        <w:rPr>
          <w:rFonts w:eastAsia="Times New Roman" w:cs="Times New Roman"/>
          <w:szCs w:val="19"/>
          <w:lang w:eastAsia="pl-PL"/>
        </w:rPr>
        <w:t xml:space="preserve"> mld zł w skal</w:t>
      </w:r>
      <w:r w:rsidR="009145CF" w:rsidRPr="00CB4299">
        <w:rPr>
          <w:rFonts w:eastAsia="Times New Roman" w:cs="Times New Roman"/>
          <w:szCs w:val="19"/>
          <w:lang w:eastAsia="pl-PL"/>
        </w:rPr>
        <w:t>i r</w:t>
      </w:r>
      <w:r w:rsidR="009145CF">
        <w:rPr>
          <w:rFonts w:eastAsia="Times New Roman" w:cs="Times New Roman"/>
          <w:szCs w:val="19"/>
          <w:lang w:eastAsia="pl-PL"/>
        </w:rPr>
        <w:t xml:space="preserve">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F75117">
        <w:rPr>
          <w:rFonts w:eastAsia="Times New Roman" w:cs="Times New Roman"/>
          <w:szCs w:val="19"/>
          <w:lang w:eastAsia="pl-PL"/>
        </w:rPr>
        <w:t xml:space="preserve"> 77,2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B25067">
        <w:rPr>
          <w:rFonts w:eastAsia="Times New Roman" w:cs="Times New Roman"/>
          <w:szCs w:val="19"/>
          <w:lang w:eastAsia="pl-PL"/>
        </w:rPr>
        <w:t xml:space="preserve">gółu </w:t>
      </w:r>
      <w:r w:rsidR="00F75117">
        <w:rPr>
          <w:rFonts w:eastAsia="Times New Roman" w:cs="Times New Roman"/>
          <w:szCs w:val="19"/>
          <w:lang w:eastAsia="pl-PL"/>
        </w:rPr>
        <w:t>przedsiębiorstw (wobec 80,8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F75117">
        <w:rPr>
          <w:rFonts w:eastAsia="Times New Roman" w:cs="Times New Roman"/>
          <w:szCs w:val="19"/>
          <w:lang w:eastAsia="pl-PL"/>
        </w:rPr>
        <w:t>zez nie przychody stanowiły 82,9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F75117">
        <w:rPr>
          <w:rFonts w:eastAsia="Times New Roman" w:cs="Times New Roman"/>
          <w:szCs w:val="19"/>
          <w:lang w:eastAsia="pl-PL"/>
        </w:rPr>
        <w:t>nych przedsiębiorstw (wobec 83,3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 xml:space="preserve">łowym </w:t>
      </w:r>
      <w:r w:rsidR="00F75117">
        <w:rPr>
          <w:rFonts w:eastAsia="Times New Roman" w:cs="Times New Roman"/>
          <w:szCs w:val="19"/>
          <w:lang w:eastAsia="pl-PL"/>
        </w:rPr>
        <w:t>zysk netto odnotowało 74,8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1C3034">
        <w:rPr>
          <w:rFonts w:eastAsia="Times New Roman" w:cs="Times New Roman"/>
          <w:szCs w:val="19"/>
          <w:lang w:eastAsia="pl-PL"/>
        </w:rPr>
        <w:t xml:space="preserve"> (</w:t>
      </w:r>
      <w:r w:rsidR="00F75117">
        <w:rPr>
          <w:rFonts w:eastAsia="Times New Roman" w:cs="Times New Roman"/>
          <w:szCs w:val="19"/>
          <w:lang w:eastAsia="pl-PL"/>
        </w:rPr>
        <w:t>80</w:t>
      </w:r>
      <w:r w:rsidR="00246CAB">
        <w:rPr>
          <w:rFonts w:eastAsia="Times New Roman" w:cs="Times New Roman"/>
          <w:szCs w:val="19"/>
          <w:lang w:eastAsia="pl-PL"/>
        </w:rPr>
        <w:t>,1</w:t>
      </w:r>
      <w:r w:rsidRPr="003F7993">
        <w:rPr>
          <w:rFonts w:eastAsia="Times New Roman" w:cs="Times New Roman"/>
          <w:szCs w:val="19"/>
          <w:lang w:eastAsia="pl-PL"/>
        </w:rPr>
        <w:t>%</w:t>
      </w:r>
      <w:r w:rsidR="001C3034">
        <w:rPr>
          <w:rFonts w:eastAsia="Times New Roman" w:cs="Times New Roman"/>
          <w:szCs w:val="19"/>
          <w:lang w:eastAsia="pl-PL"/>
        </w:rPr>
        <w:t xml:space="preserve"> rok wcześniej</w:t>
      </w:r>
      <w:r w:rsidRPr="003F7993">
        <w:rPr>
          <w:rFonts w:eastAsia="Times New Roman" w:cs="Times New Roman"/>
          <w:szCs w:val="19"/>
          <w:lang w:eastAsia="pl-PL"/>
        </w:rPr>
        <w:t xml:space="preserve">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5A2B33">
        <w:rPr>
          <w:rFonts w:eastAsia="Times New Roman" w:cs="Times New Roman"/>
          <w:szCs w:val="19"/>
          <w:lang w:eastAsia="pl-PL"/>
        </w:rPr>
        <w:t xml:space="preserve"> sekcji wyniósł</w:t>
      </w:r>
      <w:r w:rsidR="003C4460">
        <w:rPr>
          <w:rFonts w:eastAsia="Times New Roman" w:cs="Times New Roman"/>
          <w:szCs w:val="19"/>
          <w:lang w:eastAsia="pl-PL"/>
        </w:rPr>
        <w:t xml:space="preserve"> </w:t>
      </w:r>
      <w:r w:rsidR="00F75117">
        <w:rPr>
          <w:rFonts w:eastAsia="Times New Roman" w:cs="Times New Roman"/>
          <w:szCs w:val="19"/>
          <w:lang w:eastAsia="pl-PL"/>
        </w:rPr>
        <w:t>83,7</w:t>
      </w:r>
      <w:r w:rsidR="001C3034">
        <w:rPr>
          <w:rFonts w:eastAsia="Times New Roman" w:cs="Times New Roman"/>
          <w:szCs w:val="19"/>
          <w:lang w:eastAsia="pl-PL"/>
        </w:rPr>
        <w:t xml:space="preserve">% (wobec </w:t>
      </w:r>
      <w:r w:rsidR="00F75117">
        <w:rPr>
          <w:rFonts w:eastAsia="Times New Roman" w:cs="Times New Roman"/>
          <w:szCs w:val="19"/>
          <w:lang w:eastAsia="pl-PL"/>
        </w:rPr>
        <w:t>84,7</w:t>
      </w:r>
      <w:r w:rsidR="001C3034">
        <w:rPr>
          <w:rFonts w:eastAsia="Times New Roman" w:cs="Times New Roman"/>
          <w:szCs w:val="19"/>
          <w:lang w:eastAsia="pl-PL"/>
        </w:rPr>
        <w:t>% w poprzednim roku</w:t>
      </w:r>
      <w:r w:rsidRPr="00782DC6">
        <w:rPr>
          <w:rFonts w:eastAsia="Times New Roman" w:cs="Times New Roman"/>
          <w:szCs w:val="19"/>
          <w:lang w:eastAsia="pl-PL"/>
        </w:rPr>
        <w:t>).</w:t>
      </w:r>
    </w:p>
    <w:p w14:paraId="7ED9935B" w14:textId="79C32790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9929D5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7A36E1">
        <w:rPr>
          <w:rFonts w:eastAsia="Times New Roman" w:cs="Times New Roman"/>
          <w:b/>
          <w:szCs w:val="19"/>
          <w:lang w:eastAsia="pl-PL"/>
        </w:rPr>
        <w:t>w latach 2005</w:t>
      </w:r>
      <w:r w:rsidR="007A36E1" w:rsidRPr="007A36E1">
        <w:rPr>
          <w:rFonts w:eastAsia="Times New Roman" w:cs="Times New Roman"/>
          <w:b/>
          <w:szCs w:val="19"/>
          <w:lang w:eastAsia="pl-PL"/>
        </w:rPr>
        <w:t>–</w:t>
      </w:r>
      <w:r w:rsidR="0006389B">
        <w:rPr>
          <w:rFonts w:eastAsia="Times New Roman" w:cs="Times New Roman"/>
          <w:b/>
          <w:szCs w:val="19"/>
          <w:lang w:eastAsia="pl-PL"/>
        </w:rPr>
        <w:t>2024</w:t>
      </w:r>
    </w:p>
    <w:p w14:paraId="38FD6AA7" w14:textId="490E21F2" w:rsidR="00136008" w:rsidRDefault="00E93FBD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801B960" wp14:editId="6BB2E528">
            <wp:extent cx="4944110" cy="3011805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32D12C69" w:rsidR="00136008" w:rsidRPr="00480B4F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01-12</w:t>
            </w:r>
            <w:r w:rsidR="006C1E2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57D51FF6" w:rsidR="00136008" w:rsidRPr="00480B4F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01-12</w:t>
            </w:r>
            <w:r w:rsidR="006C1E2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5085E6E3" w:rsidR="00136008" w:rsidRPr="002F2DC7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>
              <w:rPr>
                <w:rFonts w:eastAsia="Times New Roman" w:cs="Calibri"/>
                <w:spacing w:val="-4"/>
                <w:szCs w:val="19"/>
                <w:lang w:eastAsia="pl-PL"/>
              </w:rPr>
              <w:t>01-12</w:t>
            </w:r>
            <w:r w:rsidR="006C1E21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2023</w:t>
            </w:r>
            <w:r w:rsidR="00136008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972737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D0D08F4" w14:textId="77777777" w:rsidR="00FE3029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Przychody ogółem (przychody </w:t>
            </w:r>
          </w:p>
          <w:p w14:paraId="7115354A" w14:textId="081D6956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3848BFD5" w:rsidR="00972737" w:rsidRPr="00480B4F" w:rsidRDefault="00972737" w:rsidP="00972737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5 289 216,3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03BB206C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5 133 029,9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303A6EC2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97,0</w:t>
            </w:r>
          </w:p>
        </w:tc>
      </w:tr>
      <w:tr w:rsidR="00972737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972737" w:rsidRPr="00480B4F" w:rsidRDefault="00972737" w:rsidP="00972737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45BCCBBC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5 110 498,2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29171475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4 960 631,4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2C42814E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97,1</w:t>
            </w:r>
          </w:p>
        </w:tc>
      </w:tr>
      <w:tr w:rsidR="00972737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2B92AD33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5 005 122,7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0D3AD8CF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4 914 664,2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75741DF6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98,2</w:t>
            </w:r>
          </w:p>
        </w:tc>
      </w:tr>
      <w:tr w:rsidR="00972737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972737" w:rsidRPr="00480B4F" w:rsidRDefault="00972737" w:rsidP="00972737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79007101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4 830 058,9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06B20629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4 742 079,1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69744272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98,2</w:t>
            </w:r>
          </w:p>
        </w:tc>
      </w:tr>
      <w:tr w:rsidR="00972737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48F8CBAD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280 439,3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2952F18A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218 552,3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6C5CB2CD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77,9</w:t>
            </w:r>
          </w:p>
        </w:tc>
      </w:tr>
      <w:tr w:rsidR="00972737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46C178AB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11 234,2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188A0896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2 062,2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564861BC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18,4</w:t>
            </w:r>
          </w:p>
        </w:tc>
      </w:tr>
      <w:tr w:rsidR="00972737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2064FAD4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-7 579,8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1728077B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-2 248,8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2D68471A" w:rsidR="00972737" w:rsidRPr="00CB4299" w:rsidRDefault="00FE3029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.</w:t>
            </w:r>
          </w:p>
        </w:tc>
      </w:tr>
      <w:tr w:rsidR="00972737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33C8AD8D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284 093,6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61D31F6F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218 365,7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27BCC78C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76,9</w:t>
            </w:r>
          </w:p>
        </w:tc>
      </w:tr>
      <w:tr w:rsidR="00972737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02331F92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228 567,9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33F35A81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173 704,2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558F324E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76,0</w:t>
            </w:r>
          </w:p>
        </w:tc>
      </w:tr>
      <w:tr w:rsidR="00972737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4AD7B3C3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284 520,9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465088E2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242 709,2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0E8B547B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85,3</w:t>
            </w:r>
          </w:p>
        </w:tc>
      </w:tr>
      <w:tr w:rsidR="00972737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972737" w:rsidRPr="00480B4F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0A7531F2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55 953,0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DBC9F9A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69 004,9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7483877C" w:rsidR="00972737" w:rsidRPr="00480B4F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123,3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0EFC2B76" w:rsidR="00136008" w:rsidRPr="00EF1EBD" w:rsidRDefault="00FE3029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w </w:t>
            </w:r>
            <w:r w:rsidR="00136008"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972737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972737" w:rsidRPr="00EF1EBD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183A18A2" w:rsidR="00972737" w:rsidRPr="00EF1EBD" w:rsidRDefault="00972737" w:rsidP="00972737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476901A2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06FA7968" w:rsidR="00972737" w:rsidRPr="00EF1EBD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972737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972737" w:rsidRPr="00EF1EBD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51F17132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5BD330CB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51EC95C5" w:rsidR="00972737" w:rsidRPr="00EF1EBD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972737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972737" w:rsidRPr="00EF1EBD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3BD83074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5AEC848B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6F50B9EE" w:rsidR="00972737" w:rsidRPr="00EF1EBD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972737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972737" w:rsidRPr="00EF1EBD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74CCFDD7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7E77F21E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364F04D3" w:rsidR="00972737" w:rsidRPr="00EF1EBD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972737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972737" w:rsidRPr="00EF1EBD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6F62301B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37E7C3C6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05FC3EA7" w:rsidR="00972737" w:rsidRPr="00EF1EBD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972737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972737" w:rsidRPr="00EF1EBD" w:rsidRDefault="00972737" w:rsidP="0097273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4504F1DA" w:rsidR="00972737" w:rsidRPr="00EF1EBD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62DE8C89" w:rsidR="00972737" w:rsidRPr="00CB4299" w:rsidRDefault="00972737" w:rsidP="0097273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4157F00D" w:rsidR="00972737" w:rsidRPr="00EF1EBD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</w:tbl>
    <w:p w14:paraId="5D7D67AA" w14:textId="0B5E36BF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6E8F0024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18,1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28C4CB7B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18,1</w:t>
                            </w:r>
                            <w:r w:rsidR="008623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7720" id="Pole tekstowe 5" o:spid="_x0000_s1028" type="#_x0000_t202" alt="Największe pogorszenie wskaźnika rentowności obrotu netto odnotowano w górnictwie i wydobywaniu (o 18,1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APbsEH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58783D6" w14:textId="28C4CB7B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18,1</w:t>
                      </w:r>
                      <w:r w:rsidR="008623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AC3E88">
        <w:rPr>
          <w:b w:val="0"/>
        </w:rPr>
        <w:t>przedsięb</w:t>
      </w:r>
      <w:r w:rsidR="00A45D11">
        <w:rPr>
          <w:b w:val="0"/>
        </w:rPr>
        <w:t>iorstw wyniósł 95,7% (wobec 94,6</w:t>
      </w:r>
      <w:r w:rsidR="00F143B9">
        <w:rPr>
          <w:b w:val="0"/>
        </w:rPr>
        <w:t>% w 2023 r.</w:t>
      </w:r>
      <w:r>
        <w:rPr>
          <w:b w:val="0"/>
        </w:rPr>
        <w:t>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672243">
        <w:rPr>
          <w:b w:val="0"/>
        </w:rPr>
        <w:t>utto pogorszył</w:t>
      </w:r>
      <w:r w:rsidR="00AC3E88">
        <w:rPr>
          <w:b w:val="0"/>
        </w:rPr>
        <w:t xml:space="preserve"> się z 5,5% do 4,4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A45D11">
        <w:rPr>
          <w:b w:val="0"/>
        </w:rPr>
        <w:t xml:space="preserve"> z 5,4</w:t>
      </w:r>
      <w:r w:rsidR="00147650">
        <w:rPr>
          <w:b w:val="0"/>
        </w:rPr>
        <w:t>% do</w:t>
      </w:r>
      <w:r w:rsidR="00240D44">
        <w:rPr>
          <w:b w:val="0"/>
        </w:rPr>
        <w:t xml:space="preserve"> 4</w:t>
      </w:r>
      <w:r w:rsidR="00AC3E88">
        <w:rPr>
          <w:b w:val="0"/>
        </w:rPr>
        <w:t>,3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A45D11">
        <w:rPr>
          <w:b w:val="0"/>
        </w:rPr>
        <w:t>z 4,3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240D44">
        <w:rPr>
          <w:b w:val="0"/>
        </w:rPr>
        <w:t>3</w:t>
      </w:r>
      <w:r w:rsidR="00A45D11">
        <w:rPr>
          <w:b w:val="0"/>
        </w:rPr>
        <w:t>,4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37ED276D" w14:textId="587AFAC8" w:rsidR="00D07127" w:rsidRDefault="007F341C" w:rsidP="00BC1B0E">
      <w:pPr>
        <w:pStyle w:val="LID"/>
        <w:spacing w:line="288" w:lineRule="auto"/>
        <w:rPr>
          <w:b w:val="0"/>
        </w:rPr>
      </w:pPr>
      <w:r w:rsidRPr="007F341C">
        <w:rPr>
          <w:b w:val="0"/>
        </w:rPr>
        <w:t>Pogorszenie wskaźnika rentowności obrotu netto odnotowano m.in. w górnictwie i wydobywaniu (z 7,9% do minus 10,2%), budownictwie (z 7,6% do 5,3%), obsłudze rynku nieruchomości (z 7,8% do 5,6%), działalności profesjonalnej, naukowej i technicznej (z 7,8% do 6,2%), handlu; naprawie pojazdów samochodowych (z 3,6% do 2,4%), transporcie i gospodarce magazynowej (z 4,2% do 3,4%), zakwaterowaniu i gastronomii (z 9,6% do 9,2%), przetwórstwie przemysłowym (z 4,1% do 3,7%) oraz w wytwarzaniu i zaopatrywaniu w energię elektryczną, gaz, parę wodną i gorącą wodę (z 3,4% do 3,1%).</w:t>
      </w:r>
      <w:r w:rsidR="00D07127">
        <w:rPr>
          <w:b w:val="0"/>
        </w:rPr>
        <w:t xml:space="preserve"> </w:t>
      </w:r>
      <w:r w:rsidR="00D07127" w:rsidRPr="00D07127">
        <w:rPr>
          <w:b w:val="0"/>
        </w:rPr>
        <w:t>Poprawę wskaźnika rentowności obrotu netto odnotowano m.in. w pozostałej działalności usługowej (z 6,6% do 8,3%), dostawie wody; gospodarowaniu ściekami i odpadami; rekultywacji (z 4,8% do 6,3%), administrowaniu i działalności wspierającej (z 6,0% do 6,5%) oraz w informacji i komunikacji (z 7,7% do 8,1%).</w:t>
      </w:r>
    </w:p>
    <w:p w14:paraId="7DF9C437" w14:textId="21D0BD59" w:rsidR="00136008" w:rsidRDefault="00136008" w:rsidP="00600561">
      <w:pPr>
        <w:pStyle w:val="LID"/>
        <w:spacing w:line="288" w:lineRule="auto"/>
        <w:rPr>
          <w:b w:val="0"/>
        </w:rPr>
      </w:pPr>
      <w:r w:rsidRPr="00CB4299">
        <w:rPr>
          <w:b w:val="0"/>
        </w:rPr>
        <w:t>Wskaźnik płynności finansowej I stopnia wynió</w:t>
      </w:r>
      <w:r w:rsidR="00E450E8">
        <w:rPr>
          <w:b w:val="0"/>
        </w:rPr>
        <w:t>sł 44,6</w:t>
      </w:r>
      <w:r w:rsidR="00BF2477" w:rsidRPr="00CB4299">
        <w:rPr>
          <w:b w:val="0"/>
        </w:rPr>
        <w:t xml:space="preserve">% (wobec </w:t>
      </w:r>
      <w:r w:rsidR="00E450E8">
        <w:rPr>
          <w:b w:val="0"/>
        </w:rPr>
        <w:t>39</w:t>
      </w:r>
      <w:r w:rsidR="00DE0422">
        <w:rPr>
          <w:b w:val="0"/>
        </w:rPr>
        <w:t>,7</w:t>
      </w:r>
      <w:r w:rsidRPr="00CB4299">
        <w:rPr>
          <w:b w:val="0"/>
        </w:rPr>
        <w:t xml:space="preserve">% </w:t>
      </w:r>
      <w:r w:rsidR="006D0344">
        <w:rPr>
          <w:b w:val="0"/>
        </w:rPr>
        <w:t>w 2023 r.</w:t>
      </w:r>
      <w:r w:rsidRPr="00CB4299">
        <w:rPr>
          <w:b w:val="0"/>
        </w:rPr>
        <w:t>), a płynn</w:t>
      </w:r>
      <w:r w:rsidR="00E23D97" w:rsidRPr="00CB4299">
        <w:rPr>
          <w:b w:val="0"/>
        </w:rPr>
        <w:t>ości finansowej II stopn</w:t>
      </w:r>
      <w:r w:rsidR="00E450E8">
        <w:rPr>
          <w:b w:val="0"/>
        </w:rPr>
        <w:t>ia 107,5% (wobec 107,2</w:t>
      </w:r>
      <w:r w:rsidRPr="00CB4299">
        <w:rPr>
          <w:b w:val="0"/>
        </w:rPr>
        <w:t>%</w:t>
      </w:r>
      <w:r w:rsidRPr="00583934">
        <w:rPr>
          <w:b w:val="0"/>
        </w:rPr>
        <w:t xml:space="preserve">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E450E8">
        <w:rPr>
          <w:b w:val="0"/>
        </w:rPr>
        <w:t>yskało 58,5</w:t>
      </w:r>
      <w:r>
        <w:rPr>
          <w:b w:val="0"/>
        </w:rPr>
        <w:t>% bada</w:t>
      </w:r>
      <w:r w:rsidR="00DE0422">
        <w:rPr>
          <w:b w:val="0"/>
        </w:rPr>
        <w:t>nych p</w:t>
      </w:r>
      <w:r w:rsidR="00E450E8">
        <w:rPr>
          <w:b w:val="0"/>
        </w:rPr>
        <w:t>rzedsiębiorstw (wobec 58,7</w:t>
      </w:r>
      <w:r w:rsidR="006D0344">
        <w:rPr>
          <w:b w:val="0"/>
        </w:rPr>
        <w:t xml:space="preserve">% rok </w:t>
      </w:r>
      <w:r w:rsidR="006D0344">
        <w:rPr>
          <w:b w:val="0"/>
        </w:rPr>
        <w:lastRenderedPageBreak/>
        <w:t>wcześniej</w:t>
      </w:r>
      <w:r w:rsidRPr="006A4389">
        <w:rPr>
          <w:b w:val="0"/>
        </w:rPr>
        <w:t xml:space="preserve">). </w:t>
      </w:r>
      <w:r w:rsidRPr="00736490">
        <w:rPr>
          <w:b w:val="0"/>
        </w:rPr>
        <w:t xml:space="preserve">Wskaźnik płynności </w:t>
      </w:r>
      <w:r w:rsidR="005530B6">
        <w:rPr>
          <w:b w:val="0"/>
        </w:rPr>
        <w:t xml:space="preserve">finansowej </w:t>
      </w:r>
      <w:r w:rsidRPr="00736490">
        <w:rPr>
          <w:b w:val="0"/>
        </w:rPr>
        <w:t>II stopnia w przedziale</w:t>
      </w:r>
      <w:r w:rsidR="00BF2477">
        <w:rPr>
          <w:b w:val="0"/>
        </w:rPr>
        <w:t xml:space="preserve"> o</w:t>
      </w:r>
      <w:r w:rsidR="00E450E8">
        <w:rPr>
          <w:b w:val="0"/>
        </w:rPr>
        <w:t>d 100% do 130% odnotowało 11,5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E450E8">
        <w:rPr>
          <w:b w:val="0"/>
        </w:rPr>
        <w:t>wobec 11,8</w:t>
      </w:r>
      <w:r w:rsidR="00F9478F">
        <w:rPr>
          <w:b w:val="0"/>
        </w:rPr>
        <w:t>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430950DD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5FFCCA69" w:rsidR="00BA1968" w:rsidRDefault="008E66BD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7504" behindDoc="0" locked="0" layoutInCell="1" allowOverlap="1" wp14:anchorId="16ED8D8D" wp14:editId="7249F006">
            <wp:simplePos x="0" y="0"/>
            <wp:positionH relativeFrom="margin">
              <wp:align>left</wp:align>
            </wp:positionH>
            <wp:positionV relativeFrom="paragraph">
              <wp:posOffset>74046</wp:posOffset>
            </wp:positionV>
            <wp:extent cx="5084445" cy="3560445"/>
            <wp:effectExtent l="0" t="0" r="1905" b="190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0AC9840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1043BC1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58A614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565D7C9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0117B65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4DA055A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5CCB82B2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3E954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4B19B80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6427D44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70C4E21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5B6F074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6B7876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52FE56D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04E08BE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0A99C7D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5088E28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6F506ADD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443101B0" w:rsidR="00BA1968" w:rsidRDefault="00BA1968" w:rsidP="00BA1968">
      <w:pPr>
        <w:pStyle w:val="LID"/>
        <w:contextualSpacing/>
      </w:pPr>
    </w:p>
    <w:p w14:paraId="75E9B077" w14:textId="14E8B539" w:rsidR="00F27C4F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7B2560">
        <w:rPr>
          <w:b w:val="0"/>
        </w:rPr>
        <w:t>usług obcych (o 1,8 p.</w:t>
      </w:r>
      <w:r w:rsidR="00F27C4F">
        <w:rPr>
          <w:b w:val="0"/>
        </w:rPr>
        <w:t>proc.),</w:t>
      </w:r>
    </w:p>
    <w:p w14:paraId="2AA7E20E" w14:textId="7B5048BA" w:rsidR="005B6111" w:rsidRDefault="001706F1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>wynagrodzeń</w:t>
      </w:r>
      <w:r w:rsidR="005B6111">
        <w:rPr>
          <w:b w:val="0"/>
        </w:rPr>
        <w:t xml:space="preserve"> </w:t>
      </w:r>
      <w:r w:rsidR="00F27C4F">
        <w:rPr>
          <w:b w:val="0"/>
        </w:rPr>
        <w:t>(o 1</w:t>
      </w:r>
      <w:r w:rsidR="000D289E">
        <w:rPr>
          <w:b w:val="0"/>
        </w:rPr>
        <w:t>,</w:t>
      </w:r>
      <w:r w:rsidR="00F27C4F">
        <w:rPr>
          <w:b w:val="0"/>
        </w:rPr>
        <w:t>6</w:t>
      </w:r>
      <w:r w:rsidR="007B2560">
        <w:rPr>
          <w:b w:val="0"/>
        </w:rPr>
        <w:t xml:space="preserve"> p.</w:t>
      </w:r>
      <w:r w:rsidR="00DA432B">
        <w:rPr>
          <w:b w:val="0"/>
        </w:rPr>
        <w:t xml:space="preserve">proc.), </w:t>
      </w:r>
      <w:r w:rsidR="00840EE8">
        <w:rPr>
          <w:b w:val="0"/>
        </w:rPr>
        <w:t>pozostałyc</w:t>
      </w:r>
      <w:r w:rsidR="007B2560">
        <w:rPr>
          <w:b w:val="0"/>
        </w:rPr>
        <w:t>h kosztów rodzajowych (o 0,7 p.</w:t>
      </w:r>
      <w:r w:rsidR="00840EE8">
        <w:rPr>
          <w:b w:val="0"/>
        </w:rPr>
        <w:t xml:space="preserve">proc.), </w:t>
      </w:r>
      <w:r w:rsidR="00840EE8" w:rsidRPr="005641B7">
        <w:rPr>
          <w:b w:val="0"/>
        </w:rPr>
        <w:t>ubezpieczeń społecznych i innych świadczeń</w:t>
      </w:r>
      <w:r w:rsidR="00840EE8">
        <w:rPr>
          <w:b w:val="0"/>
        </w:rPr>
        <w:t xml:space="preserve"> (o 0,4</w:t>
      </w:r>
      <w:r w:rsidR="007B2560">
        <w:rPr>
          <w:b w:val="0"/>
        </w:rPr>
        <w:t xml:space="preserve"> p.</w:t>
      </w:r>
      <w:r w:rsidR="00F27C4F">
        <w:rPr>
          <w:b w:val="0"/>
        </w:rPr>
        <w:t>pr</w:t>
      </w:r>
      <w:r w:rsidR="007B2560">
        <w:rPr>
          <w:b w:val="0"/>
        </w:rPr>
        <w:t>oc.) oraz amortyzacji (o 0,3 p.</w:t>
      </w:r>
      <w:r w:rsidR="00F27C4F">
        <w:rPr>
          <w:b w:val="0"/>
        </w:rPr>
        <w:t xml:space="preserve">proc.). </w:t>
      </w:r>
      <w:r w:rsidR="000E7C5A" w:rsidRPr="00A9459D">
        <w:rPr>
          <w:b w:val="0"/>
        </w:rPr>
        <w:t>Zmniejszył się udział</w:t>
      </w:r>
      <w:r w:rsidR="000E7C5A">
        <w:rPr>
          <w:b w:val="0"/>
        </w:rPr>
        <w:t xml:space="preserve"> zużycia materiałów</w:t>
      </w:r>
      <w:r w:rsidR="000E7C5A" w:rsidRPr="00A9459D">
        <w:rPr>
          <w:b w:val="0"/>
        </w:rPr>
        <w:t xml:space="preserve"> (</w:t>
      </w:r>
      <w:r w:rsidR="00F27C4F">
        <w:rPr>
          <w:b w:val="0"/>
        </w:rPr>
        <w:t>o 4,0</w:t>
      </w:r>
      <w:r w:rsidR="007B2560">
        <w:rPr>
          <w:b w:val="0"/>
        </w:rPr>
        <w:t xml:space="preserve"> p.</w:t>
      </w:r>
      <w:r w:rsidR="006946B9">
        <w:rPr>
          <w:b w:val="0"/>
        </w:rPr>
        <w:t>pr</w:t>
      </w:r>
      <w:r w:rsidR="00F27C4F">
        <w:rPr>
          <w:b w:val="0"/>
        </w:rPr>
        <w:t>oc.),</w:t>
      </w:r>
      <w:r w:rsidR="00DA432B">
        <w:rPr>
          <w:b w:val="0"/>
        </w:rPr>
        <w:t xml:space="preserve"> zużycia energii (o 0,5</w:t>
      </w:r>
      <w:r w:rsidR="007B2560">
        <w:rPr>
          <w:b w:val="0"/>
        </w:rPr>
        <w:t xml:space="preserve"> p.</w:t>
      </w:r>
      <w:r w:rsidR="006946B9">
        <w:rPr>
          <w:b w:val="0"/>
        </w:rPr>
        <w:t>proc.)</w:t>
      </w:r>
      <w:r w:rsidR="00F27C4F">
        <w:rPr>
          <w:b w:val="0"/>
        </w:rPr>
        <w:t xml:space="preserve"> oraz </w:t>
      </w:r>
      <w:r w:rsidR="00F27C4F" w:rsidRPr="005641B7">
        <w:rPr>
          <w:b w:val="0"/>
        </w:rPr>
        <w:t>podatkó</w:t>
      </w:r>
      <w:r w:rsidR="00F27C4F">
        <w:rPr>
          <w:b w:val="0"/>
        </w:rPr>
        <w:t xml:space="preserve">w i </w:t>
      </w:r>
      <w:r w:rsidR="007B2560">
        <w:rPr>
          <w:b w:val="0"/>
        </w:rPr>
        <w:t>opłat (o 0,3 p.</w:t>
      </w:r>
      <w:r w:rsidR="00F27C4F">
        <w:rPr>
          <w:b w:val="0"/>
        </w:rPr>
        <w:t>proc.).</w:t>
      </w:r>
    </w:p>
    <w:p w14:paraId="602073DE" w14:textId="1EA67E50" w:rsidR="00BA1968" w:rsidRDefault="00BA1968" w:rsidP="00BA1968">
      <w:pPr>
        <w:pStyle w:val="LID"/>
        <w:contextualSpacing/>
      </w:pPr>
    </w:p>
    <w:p w14:paraId="5809FF43" w14:textId="5EE59491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BC58FB">
        <w:t>2024</w:t>
      </w:r>
      <w:r w:rsidR="00CB6C3A">
        <w:t xml:space="preserve"> r.</w:t>
      </w:r>
    </w:p>
    <w:p w14:paraId="12929199" w14:textId="215717EF" w:rsidR="00BA1968" w:rsidRDefault="00AE5E64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6480" behindDoc="0" locked="0" layoutInCell="1" allowOverlap="1" wp14:anchorId="5A1C798D" wp14:editId="411A9B82">
            <wp:simplePos x="0" y="0"/>
            <wp:positionH relativeFrom="margin">
              <wp:align>right</wp:align>
            </wp:positionH>
            <wp:positionV relativeFrom="paragraph">
              <wp:posOffset>53810</wp:posOffset>
            </wp:positionV>
            <wp:extent cx="5096510" cy="3450590"/>
            <wp:effectExtent l="0" t="0" r="889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351ACF4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2E59532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4BD2EE4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6C6B156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195D0829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60040BAF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spadek nakładów inwestycyjnych badanych przedsiębiorstw o 7,8% w stosunku do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2814DCCD" w:rsidR="00E40D45" w:rsidRDefault="00796F6F" w:rsidP="00796F6F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Nakłady inwestycyjne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były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017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7,8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%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niższe niż w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A320" id="_x0000_s1029" type="#_x0000_t202" alt="Odnotowano spadek nakładów inwestycyjnych badanych przedsiębiorstw o 7,8% w stosunku do 2023 r.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" filled="f" stroked="f">
                <v:textbox>
                  <w:txbxContent>
                    <w:p w14:paraId="308632EC" w14:textId="2814DCCD" w:rsidR="00E40D45" w:rsidRDefault="00796F6F" w:rsidP="00796F6F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Nakłady inwestycyjne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były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017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7,8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%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niższe niż w 2023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3259D3">
        <w:rPr>
          <w:b w:val="0"/>
        </w:rPr>
        <w:t>54,6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446176">
        <w:rPr>
          <w:b w:val="0"/>
        </w:rPr>
        <w:t xml:space="preserve"> </w:t>
      </w:r>
      <w:r w:rsidR="00400163">
        <w:rPr>
          <w:b w:val="0"/>
        </w:rPr>
        <w:t>2024</w:t>
      </w:r>
      <w:r w:rsidR="00BB5A5F">
        <w:rPr>
          <w:b w:val="0"/>
        </w:rPr>
        <w:t xml:space="preserve"> r.</w:t>
      </w:r>
      <w:r w:rsidR="00E40D45" w:rsidRPr="008C358E">
        <w:rPr>
          <w:b w:val="0"/>
        </w:rPr>
        <w:t xml:space="preserve"> przychody netto ze sprzedaży produktów, towarów i m</w:t>
      </w:r>
      <w:r w:rsidR="003259D3">
        <w:rPr>
          <w:b w:val="0"/>
        </w:rPr>
        <w:t>ateriałów na eksport (wobec 55,1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FF71EE">
        <w:rPr>
          <w:b w:val="0"/>
        </w:rPr>
        <w:t xml:space="preserve"> był o 5,9</w:t>
      </w:r>
      <w:r w:rsidR="00E40D45" w:rsidRPr="00E2185D">
        <w:rPr>
          <w:b w:val="0"/>
        </w:rPr>
        <w:t xml:space="preserve">% </w:t>
      </w:r>
      <w:r w:rsidR="00722C74">
        <w:rPr>
          <w:b w:val="0"/>
        </w:rPr>
        <w:t>ni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FF71EE">
        <w:rPr>
          <w:b w:val="0"/>
        </w:rPr>
        <w:t>w zmniejszył się z 24,2% do 23,4</w:t>
      </w:r>
      <w:r w:rsidR="00E40D45" w:rsidRPr="00A67E22">
        <w:rPr>
          <w:b w:val="0"/>
        </w:rPr>
        <w:t xml:space="preserve">%. Spośród jednostek eksportujących, zysk netto wykazało </w:t>
      </w:r>
      <w:r w:rsidR="00230642">
        <w:rPr>
          <w:b w:val="0"/>
        </w:rPr>
        <w:t>76,4</w:t>
      </w:r>
      <w:r w:rsidR="00E40D45" w:rsidRPr="00A67E22">
        <w:rPr>
          <w:b w:val="0"/>
        </w:rPr>
        <w:t xml:space="preserve">% przedsiębiorstw wobec </w:t>
      </w:r>
      <w:r w:rsidR="00230642">
        <w:rPr>
          <w:b w:val="0"/>
        </w:rPr>
        <w:t>80</w:t>
      </w:r>
      <w:r w:rsidR="00B4052C">
        <w:rPr>
          <w:b w:val="0"/>
        </w:rPr>
        <w:t>,8</w:t>
      </w:r>
      <w:r w:rsidR="00E40D45" w:rsidRPr="00A67E22">
        <w:rPr>
          <w:b w:val="0"/>
        </w:rPr>
        <w:t>% przed rokiem. Podstawowe relacje ekonomiczno-finansowe eksporterów</w:t>
      </w:r>
      <w:r w:rsidR="00D55DD3" w:rsidRPr="00A67E22">
        <w:rPr>
          <w:b w:val="0"/>
        </w:rPr>
        <w:t xml:space="preserve"> </w:t>
      </w:r>
      <w:r w:rsidR="00AB3BF7" w:rsidRPr="00A67E22">
        <w:rPr>
          <w:b w:val="0"/>
        </w:rPr>
        <w:t xml:space="preserve">uległy pogorszeniu i były </w:t>
      </w:r>
      <w:r w:rsidR="00BB5A5F">
        <w:rPr>
          <w:b w:val="0"/>
        </w:rPr>
        <w:t>słabsze niż</w:t>
      </w:r>
      <w:r w:rsidR="00AB3BF7" w:rsidRPr="00A67E22">
        <w:rPr>
          <w:b w:val="0"/>
        </w:rPr>
        <w:t xml:space="preserve"> </w:t>
      </w:r>
      <w:r w:rsidR="009417CB">
        <w:rPr>
          <w:b w:val="0"/>
        </w:rPr>
        <w:t xml:space="preserve">dla </w:t>
      </w:r>
      <w:r w:rsidR="00E40D45" w:rsidRPr="00A67E22">
        <w:rPr>
          <w:b w:val="0"/>
        </w:rPr>
        <w:t>ogółu badanych przedsiębiorstw.</w:t>
      </w:r>
    </w:p>
    <w:p w14:paraId="1BDC0FD0" w14:textId="30CBD62F" w:rsidR="00E40D45" w:rsidRPr="007F48B8" w:rsidRDefault="007F71DE" w:rsidP="00AB4FBD">
      <w:pPr>
        <w:pStyle w:val="LID"/>
        <w:rPr>
          <w:b w:val="0"/>
        </w:rPr>
      </w:pPr>
      <w:r>
        <w:rPr>
          <w:b w:val="0"/>
        </w:rPr>
        <w:t>Nakłady</w:t>
      </w:r>
      <w:r w:rsidR="00375A14" w:rsidRPr="00375A14">
        <w:rPr>
          <w:b w:val="0"/>
        </w:rPr>
        <w:t xml:space="preserve"> </w:t>
      </w:r>
      <w:r w:rsidR="00385634" w:rsidRPr="00385634">
        <w:rPr>
          <w:b w:val="0"/>
        </w:rPr>
        <w:t>inwest</w:t>
      </w:r>
      <w:r w:rsidR="00BC30D8">
        <w:rPr>
          <w:b w:val="0"/>
        </w:rPr>
        <w:t>ycyjne badanych przedsiębiorstw</w:t>
      </w:r>
      <w:r w:rsidR="00385634" w:rsidRPr="00385634">
        <w:rPr>
          <w:b w:val="0"/>
        </w:rPr>
        <w:t xml:space="preserve"> </w:t>
      </w:r>
      <w:r w:rsidR="0041661C">
        <w:rPr>
          <w:b w:val="0"/>
        </w:rPr>
        <w:t xml:space="preserve">w </w:t>
      </w:r>
      <w:r w:rsidR="0041661C" w:rsidRPr="0041661C">
        <w:rPr>
          <w:b w:val="0"/>
        </w:rPr>
        <w:t xml:space="preserve">2024 r. wyniosły 210,0 mld zł i były (w cenach stałych) o 7,8% niższe niż </w:t>
      </w:r>
      <w:r w:rsidR="00BB5A5F">
        <w:rPr>
          <w:b w:val="0"/>
        </w:rPr>
        <w:t>rok wcześniej</w:t>
      </w:r>
      <w:r w:rsidR="0041661C" w:rsidRPr="0041661C">
        <w:rPr>
          <w:b w:val="0"/>
        </w:rPr>
        <w:t xml:space="preserve"> (kiedy notowano wzrost o 10,2%). Nakłady na budynki i budowle zmniejszyły się o 13,4% (wobec wzrostu przed ro</w:t>
      </w:r>
      <w:r w:rsidR="0041661C">
        <w:rPr>
          <w:b w:val="0"/>
        </w:rPr>
        <w:t>kiem o 2,5%). Nakłady na zakupy</w:t>
      </w:r>
      <w:r w:rsidR="007828BB">
        <w:rPr>
          <w:b w:val="0"/>
        </w:rPr>
        <w:t xml:space="preserve"> obniżyły się o 4,3%</w:t>
      </w:r>
      <w:r w:rsidR="0041661C" w:rsidRPr="0041661C">
        <w:rPr>
          <w:b w:val="0"/>
        </w:rPr>
        <w:t xml:space="preserve"> (wobec</w:t>
      </w:r>
      <w:r w:rsidR="002252AA">
        <w:rPr>
          <w:b w:val="0"/>
        </w:rPr>
        <w:t xml:space="preserve"> wzrostu </w:t>
      </w:r>
      <w:r w:rsidR="00BB5A5F">
        <w:rPr>
          <w:b w:val="0"/>
        </w:rPr>
        <w:t xml:space="preserve">w 2023 r. </w:t>
      </w:r>
      <w:r w:rsidR="002252AA">
        <w:rPr>
          <w:b w:val="0"/>
        </w:rPr>
        <w:t>o 15,1%),</w:t>
      </w:r>
      <w:r w:rsidR="0041661C" w:rsidRPr="0041661C">
        <w:rPr>
          <w:b w:val="0"/>
        </w:rPr>
        <w:t xml:space="preserve"> w tym na maszyny, urządzenia techniczne i narzędzia – o 4,9% (wobec wzrostu </w:t>
      </w:r>
      <w:r w:rsidR="008470AD">
        <w:rPr>
          <w:b w:val="0"/>
        </w:rPr>
        <w:t>o 14,2%), a na środki transportu –</w:t>
      </w:r>
      <w:r w:rsidR="0041661C" w:rsidRPr="0041661C">
        <w:rPr>
          <w:b w:val="0"/>
        </w:rPr>
        <w:t xml:space="preserve"> o 2,4% (wobec wzrostu o 18,0%).</w:t>
      </w:r>
    </w:p>
    <w:p w14:paraId="227CE102" w14:textId="65D376FC" w:rsidR="00BA1968" w:rsidRPr="00A42C8E" w:rsidRDefault="00A42C8E" w:rsidP="00A42C8E">
      <w:r>
        <w:t xml:space="preserve">Spadek nakładów (w cenach bieżących) notowano m.in. w obsłudze rynku nieruchomości (o 26,9% wobec wzrostu </w:t>
      </w:r>
      <w:r w:rsidR="008822DA">
        <w:t>przed rokie</w:t>
      </w:r>
      <w:bookmarkStart w:id="0" w:name="_GoBack"/>
      <w:bookmarkEnd w:id="0"/>
      <w:r w:rsidR="008822DA">
        <w:t xml:space="preserve">m </w:t>
      </w:r>
      <w:r w:rsidR="005551A4">
        <w:t>o 47,3%</w:t>
      </w:r>
      <w:r>
        <w:t>), w transporcie i gospodarce magazynowej (o 21,8% wobec wzrostu</w:t>
      </w:r>
      <w:r w:rsidR="005551A4">
        <w:t xml:space="preserve"> </w:t>
      </w:r>
      <w:r>
        <w:t>o 11,5%)</w:t>
      </w:r>
      <w:r w:rsidR="00D734A0">
        <w:t>,</w:t>
      </w:r>
      <w:r>
        <w:t xml:space="preserve"> w dostawie wody; gospodarowaniu ściekami i odpadami, rekultywacji (o 18,2% wobec w</w:t>
      </w:r>
      <w:r w:rsidR="002A564A">
        <w:t>zrostu o 6,0%), w i</w:t>
      </w:r>
      <w:r>
        <w:t>nformacji i komunikacji (o 10,7% wobec spadku</w:t>
      </w:r>
      <w:r w:rsidR="008507AD">
        <w:t xml:space="preserve"> </w:t>
      </w:r>
      <w:r w:rsidR="005551A4">
        <w:t>o 1,5%</w:t>
      </w:r>
      <w:r>
        <w:t xml:space="preserve">) oraz w przetwórstwie przemysłowym (o 8,3% wobec wzrostu o 9,9%). Wzrost nakładów notowano m.in. w działalności profesjonalnej, naukowej i technicznej (o 62,4% wobec spadku </w:t>
      </w:r>
      <w:r w:rsidR="005551A4">
        <w:t>o 3,3%</w:t>
      </w:r>
      <w:r>
        <w:t>), w budownictwie (o 23,8% wobec wzrostu</w:t>
      </w:r>
      <w:r w:rsidR="005551A4">
        <w:t xml:space="preserve"> </w:t>
      </w:r>
      <w:r>
        <w:t>o 35,9%) oraz w administrowaniu i działalności wspierającej (o 11,6% wobec wzrostu o 10,9%).</w:t>
      </w:r>
    </w:p>
    <w:p w14:paraId="1C663285" w14:textId="7BA6C74E" w:rsidR="007F7A8F" w:rsidRPr="00553C9F" w:rsidRDefault="00C10B01" w:rsidP="007F7A8F">
      <w:pPr>
        <w:pStyle w:val="LID"/>
        <w:ind w:left="851" w:hanging="851"/>
        <w:contextualSpacing/>
      </w:pPr>
      <w:r>
        <w:t>Wykres 4. Nakłady inwestycyjne</w:t>
      </w:r>
      <w:r w:rsidR="007F7A8F" w:rsidRPr="007F48B8">
        <w:t xml:space="preserve"> – </w:t>
      </w:r>
      <w:r w:rsidR="00D15D16">
        <w:t xml:space="preserve">zmiana </w:t>
      </w:r>
      <w:r w:rsidR="007F7A8F" w:rsidRPr="00553C9F">
        <w:t>w stosunku do analogicznego okresu roku poprzedniego</w:t>
      </w:r>
    </w:p>
    <w:p w14:paraId="2BD0D7BA" w14:textId="535EC936" w:rsidR="00BA1968" w:rsidRDefault="00E40DBE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097294A" wp14:editId="7E927350">
            <wp:extent cx="5090795" cy="3084830"/>
            <wp:effectExtent l="0" t="0" r="0" b="127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51AB001F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>
        <w:rPr>
          <w:rFonts w:eastAsia="Times New Roman" w:cs="Times New Roman"/>
          <w:szCs w:val="19"/>
          <w:lang w:eastAsia="pl-PL"/>
        </w:rPr>
        <w:t>dotyczą 17</w:t>
      </w:r>
      <w:r w:rsidR="005E24B5">
        <w:rPr>
          <w:rFonts w:eastAsia="Times New Roman" w:cs="Times New Roman"/>
          <w:szCs w:val="19"/>
          <w:lang w:eastAsia="pl-PL"/>
        </w:rPr>
        <w:t xml:space="preserve"> </w:t>
      </w:r>
      <w:r w:rsidR="00C874F4">
        <w:rPr>
          <w:rFonts w:eastAsia="Times New Roman" w:cs="Times New Roman"/>
          <w:szCs w:val="19"/>
          <w:lang w:eastAsia="pl-PL"/>
        </w:rPr>
        <w:t>751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5299494D" w14:textId="77777777" w:rsidR="00CD320E" w:rsidRDefault="00DE2400" w:rsidP="00CD32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>Wydział Współpracy z Mediami</w:t>
            </w:r>
          </w:p>
          <w:p w14:paraId="5D9DDE05" w14:textId="77777777" w:rsidR="00CD320E" w:rsidRDefault="00CD320E" w:rsidP="00CD320E">
            <w:r>
              <w:t>Tel. komórkowy: +48 695 255 032</w:t>
            </w:r>
          </w:p>
          <w:p w14:paraId="0C5B57DC" w14:textId="77777777" w:rsidR="00CD320E" w:rsidRDefault="00CD320E" w:rsidP="00CD320E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C5B201B" w14:textId="0E7E37D1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1887971E" w:rsidR="00CD320E" w:rsidRPr="00CD320E" w:rsidRDefault="00CD320E" w:rsidP="00CD320E"/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41EB318B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07C73DA1" w14:textId="50A82A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709BB15D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4F64A033" w:rsidR="00FD1E89" w:rsidRPr="00FA5E94" w:rsidRDefault="008822DA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25CA461F" w:rsidR="00FD1E89" w:rsidRPr="00FA5E94" w:rsidRDefault="008822DA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428C9DD5" w:rsidR="00FD1E89" w:rsidRPr="00FA5E94" w:rsidRDefault="008822DA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8822DA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8822DA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2C21AC42" w:rsidR="00FA5E94" w:rsidRPr="00FA5E94" w:rsidRDefault="008822DA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8822DA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8822DA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8822DA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5C90" w14:textId="77777777" w:rsidR="00877B8B" w:rsidRDefault="00877B8B" w:rsidP="000662E2">
      <w:pPr>
        <w:spacing w:after="0" w:line="240" w:lineRule="auto"/>
      </w:pPr>
      <w:r>
        <w:separator/>
      </w:r>
    </w:p>
  </w:endnote>
  <w:endnote w:type="continuationSeparator" w:id="0">
    <w:p w14:paraId="4FEF5E6D" w14:textId="77777777" w:rsidR="00877B8B" w:rsidRDefault="00877B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DB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DB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DB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825F7" w14:textId="77777777" w:rsidR="00877B8B" w:rsidRDefault="00877B8B" w:rsidP="000662E2">
      <w:pPr>
        <w:spacing w:after="0" w:line="240" w:lineRule="auto"/>
      </w:pPr>
      <w:r>
        <w:separator/>
      </w:r>
    </w:p>
  </w:footnote>
  <w:footnote w:type="continuationSeparator" w:id="0">
    <w:p w14:paraId="29D7038A" w14:textId="77777777" w:rsidR="00877B8B" w:rsidRDefault="00877B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66F013E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6CAA00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3C5D951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1507A">
                            <w:t>4.03.2025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.03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e0HAIAABE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YQNe0HAIAABE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71967FEA" w14:textId="13C5D951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81507A">
                      <w:t>4.03.2025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279A2"/>
    <w:rsid w:val="00040632"/>
    <w:rsid w:val="00041673"/>
    <w:rsid w:val="0004582E"/>
    <w:rsid w:val="000470AA"/>
    <w:rsid w:val="00050EF3"/>
    <w:rsid w:val="000545E7"/>
    <w:rsid w:val="000547D4"/>
    <w:rsid w:val="00057CA1"/>
    <w:rsid w:val="0006389B"/>
    <w:rsid w:val="000647A9"/>
    <w:rsid w:val="00065FF6"/>
    <w:rsid w:val="000662E2"/>
    <w:rsid w:val="00066883"/>
    <w:rsid w:val="000677E1"/>
    <w:rsid w:val="00071B39"/>
    <w:rsid w:val="0007228D"/>
    <w:rsid w:val="00074CCB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C135D"/>
    <w:rsid w:val="000C136B"/>
    <w:rsid w:val="000C18BE"/>
    <w:rsid w:val="000C6B65"/>
    <w:rsid w:val="000C78F5"/>
    <w:rsid w:val="000D1D43"/>
    <w:rsid w:val="000D225C"/>
    <w:rsid w:val="000D289E"/>
    <w:rsid w:val="000D2A5C"/>
    <w:rsid w:val="000D39F0"/>
    <w:rsid w:val="000E0918"/>
    <w:rsid w:val="000E1FB7"/>
    <w:rsid w:val="000E24B1"/>
    <w:rsid w:val="000E70A9"/>
    <w:rsid w:val="000E79A9"/>
    <w:rsid w:val="000E7C5A"/>
    <w:rsid w:val="000F1D9C"/>
    <w:rsid w:val="000F34EA"/>
    <w:rsid w:val="001011C3"/>
    <w:rsid w:val="001017AC"/>
    <w:rsid w:val="001029F4"/>
    <w:rsid w:val="00103124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6A1E"/>
    <w:rsid w:val="00130296"/>
    <w:rsid w:val="00134145"/>
    <w:rsid w:val="001346D8"/>
    <w:rsid w:val="00135EC3"/>
    <w:rsid w:val="00136008"/>
    <w:rsid w:val="00136736"/>
    <w:rsid w:val="00136740"/>
    <w:rsid w:val="00136D67"/>
    <w:rsid w:val="00137D3A"/>
    <w:rsid w:val="001423B6"/>
    <w:rsid w:val="00142C8A"/>
    <w:rsid w:val="001438FB"/>
    <w:rsid w:val="001448A7"/>
    <w:rsid w:val="00145AB6"/>
    <w:rsid w:val="001465CB"/>
    <w:rsid w:val="00146621"/>
    <w:rsid w:val="00146D29"/>
    <w:rsid w:val="001471B6"/>
    <w:rsid w:val="00147650"/>
    <w:rsid w:val="00150487"/>
    <w:rsid w:val="00150A63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20FC"/>
    <w:rsid w:val="00172818"/>
    <w:rsid w:val="00174882"/>
    <w:rsid w:val="00174B11"/>
    <w:rsid w:val="00177514"/>
    <w:rsid w:val="00177529"/>
    <w:rsid w:val="00180C00"/>
    <w:rsid w:val="00183708"/>
    <w:rsid w:val="00183E9E"/>
    <w:rsid w:val="001843B1"/>
    <w:rsid w:val="00191E88"/>
    <w:rsid w:val="001951DA"/>
    <w:rsid w:val="0019780D"/>
    <w:rsid w:val="001A0234"/>
    <w:rsid w:val="001A0E5C"/>
    <w:rsid w:val="001A1039"/>
    <w:rsid w:val="001A1641"/>
    <w:rsid w:val="001A4114"/>
    <w:rsid w:val="001A6107"/>
    <w:rsid w:val="001A6375"/>
    <w:rsid w:val="001B053D"/>
    <w:rsid w:val="001B26F9"/>
    <w:rsid w:val="001B3369"/>
    <w:rsid w:val="001B3E7F"/>
    <w:rsid w:val="001C07C3"/>
    <w:rsid w:val="001C1489"/>
    <w:rsid w:val="001C3034"/>
    <w:rsid w:val="001C3269"/>
    <w:rsid w:val="001C445B"/>
    <w:rsid w:val="001C4DF4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15B3"/>
    <w:rsid w:val="001E5B2D"/>
    <w:rsid w:val="001E7332"/>
    <w:rsid w:val="001F080F"/>
    <w:rsid w:val="001F10BB"/>
    <w:rsid w:val="001F6FB0"/>
    <w:rsid w:val="0020041B"/>
    <w:rsid w:val="00200E19"/>
    <w:rsid w:val="0020156C"/>
    <w:rsid w:val="002016A2"/>
    <w:rsid w:val="00202F30"/>
    <w:rsid w:val="00207B7B"/>
    <w:rsid w:val="00211583"/>
    <w:rsid w:val="00215766"/>
    <w:rsid w:val="00216634"/>
    <w:rsid w:val="002213A2"/>
    <w:rsid w:val="00223BEB"/>
    <w:rsid w:val="002252AA"/>
    <w:rsid w:val="00230642"/>
    <w:rsid w:val="00230BD4"/>
    <w:rsid w:val="00233E64"/>
    <w:rsid w:val="00236438"/>
    <w:rsid w:val="00240D44"/>
    <w:rsid w:val="00242D31"/>
    <w:rsid w:val="00246CAB"/>
    <w:rsid w:val="00250763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7D9F"/>
    <w:rsid w:val="00272F9B"/>
    <w:rsid w:val="00273D09"/>
    <w:rsid w:val="00276811"/>
    <w:rsid w:val="00282699"/>
    <w:rsid w:val="002837B0"/>
    <w:rsid w:val="0028500C"/>
    <w:rsid w:val="00285054"/>
    <w:rsid w:val="00291478"/>
    <w:rsid w:val="002926DF"/>
    <w:rsid w:val="00296697"/>
    <w:rsid w:val="002979F7"/>
    <w:rsid w:val="002A0741"/>
    <w:rsid w:val="002A151C"/>
    <w:rsid w:val="002A50A6"/>
    <w:rsid w:val="002A564A"/>
    <w:rsid w:val="002A5B61"/>
    <w:rsid w:val="002A65A4"/>
    <w:rsid w:val="002B0472"/>
    <w:rsid w:val="002B04F2"/>
    <w:rsid w:val="002B2537"/>
    <w:rsid w:val="002B48D0"/>
    <w:rsid w:val="002B6B12"/>
    <w:rsid w:val="002C1699"/>
    <w:rsid w:val="002C21F0"/>
    <w:rsid w:val="002C4E59"/>
    <w:rsid w:val="002C567C"/>
    <w:rsid w:val="002D01DF"/>
    <w:rsid w:val="002D03BA"/>
    <w:rsid w:val="002D425F"/>
    <w:rsid w:val="002D713A"/>
    <w:rsid w:val="002E11B7"/>
    <w:rsid w:val="002E14C8"/>
    <w:rsid w:val="002E248C"/>
    <w:rsid w:val="002E2B73"/>
    <w:rsid w:val="002E3EB3"/>
    <w:rsid w:val="002E6140"/>
    <w:rsid w:val="002E6985"/>
    <w:rsid w:val="002E71B6"/>
    <w:rsid w:val="002F2328"/>
    <w:rsid w:val="002F2DC7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550E"/>
    <w:rsid w:val="00317F4D"/>
    <w:rsid w:val="003204A4"/>
    <w:rsid w:val="00322EDD"/>
    <w:rsid w:val="003235B9"/>
    <w:rsid w:val="00324C78"/>
    <w:rsid w:val="003259D3"/>
    <w:rsid w:val="00325CDD"/>
    <w:rsid w:val="003270D2"/>
    <w:rsid w:val="00327A28"/>
    <w:rsid w:val="0033030B"/>
    <w:rsid w:val="003309FA"/>
    <w:rsid w:val="00332320"/>
    <w:rsid w:val="003325FE"/>
    <w:rsid w:val="00332AA3"/>
    <w:rsid w:val="00340972"/>
    <w:rsid w:val="00340E2C"/>
    <w:rsid w:val="00341885"/>
    <w:rsid w:val="0034626A"/>
    <w:rsid w:val="00347587"/>
    <w:rsid w:val="00347D72"/>
    <w:rsid w:val="00353F45"/>
    <w:rsid w:val="00357611"/>
    <w:rsid w:val="00361319"/>
    <w:rsid w:val="00361629"/>
    <w:rsid w:val="00362C07"/>
    <w:rsid w:val="00363492"/>
    <w:rsid w:val="0036432A"/>
    <w:rsid w:val="00364664"/>
    <w:rsid w:val="00364AF9"/>
    <w:rsid w:val="00365C16"/>
    <w:rsid w:val="00367237"/>
    <w:rsid w:val="0037077F"/>
    <w:rsid w:val="00370F01"/>
    <w:rsid w:val="0037191E"/>
    <w:rsid w:val="00372411"/>
    <w:rsid w:val="00373882"/>
    <w:rsid w:val="00373F1B"/>
    <w:rsid w:val="00375A14"/>
    <w:rsid w:val="00375BB7"/>
    <w:rsid w:val="003843DB"/>
    <w:rsid w:val="00385634"/>
    <w:rsid w:val="00385D4F"/>
    <w:rsid w:val="0038653E"/>
    <w:rsid w:val="00391D23"/>
    <w:rsid w:val="00393761"/>
    <w:rsid w:val="00394E26"/>
    <w:rsid w:val="00396691"/>
    <w:rsid w:val="00396698"/>
    <w:rsid w:val="00397D18"/>
    <w:rsid w:val="003A1B36"/>
    <w:rsid w:val="003A3874"/>
    <w:rsid w:val="003A3C39"/>
    <w:rsid w:val="003A4407"/>
    <w:rsid w:val="003A49D1"/>
    <w:rsid w:val="003A719E"/>
    <w:rsid w:val="003B08A6"/>
    <w:rsid w:val="003B099C"/>
    <w:rsid w:val="003B1454"/>
    <w:rsid w:val="003B18B6"/>
    <w:rsid w:val="003B793A"/>
    <w:rsid w:val="003C161B"/>
    <w:rsid w:val="003C4460"/>
    <w:rsid w:val="003C59E0"/>
    <w:rsid w:val="003C655D"/>
    <w:rsid w:val="003C6962"/>
    <w:rsid w:val="003C6C8D"/>
    <w:rsid w:val="003D0D30"/>
    <w:rsid w:val="003D161F"/>
    <w:rsid w:val="003D2656"/>
    <w:rsid w:val="003D2F72"/>
    <w:rsid w:val="003D4A8F"/>
    <w:rsid w:val="003D4F7C"/>
    <w:rsid w:val="003D4F95"/>
    <w:rsid w:val="003D5F42"/>
    <w:rsid w:val="003D60A9"/>
    <w:rsid w:val="003E3C57"/>
    <w:rsid w:val="003E4367"/>
    <w:rsid w:val="003E4655"/>
    <w:rsid w:val="003E4658"/>
    <w:rsid w:val="003F089E"/>
    <w:rsid w:val="003F47E7"/>
    <w:rsid w:val="003F4C97"/>
    <w:rsid w:val="003F666D"/>
    <w:rsid w:val="003F74C2"/>
    <w:rsid w:val="003F7993"/>
    <w:rsid w:val="003F7FE6"/>
    <w:rsid w:val="00400163"/>
    <w:rsid w:val="00400193"/>
    <w:rsid w:val="00403044"/>
    <w:rsid w:val="004038E2"/>
    <w:rsid w:val="00407264"/>
    <w:rsid w:val="00413738"/>
    <w:rsid w:val="0041661C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327C"/>
    <w:rsid w:val="00435E2B"/>
    <w:rsid w:val="00436653"/>
    <w:rsid w:val="00437395"/>
    <w:rsid w:val="00440316"/>
    <w:rsid w:val="00441285"/>
    <w:rsid w:val="00441A92"/>
    <w:rsid w:val="004440F0"/>
    <w:rsid w:val="00445047"/>
    <w:rsid w:val="00446176"/>
    <w:rsid w:val="00446186"/>
    <w:rsid w:val="00446749"/>
    <w:rsid w:val="0045002B"/>
    <w:rsid w:val="00451EF6"/>
    <w:rsid w:val="00453EB7"/>
    <w:rsid w:val="00461329"/>
    <w:rsid w:val="00462193"/>
    <w:rsid w:val="00462414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1DAD"/>
    <w:rsid w:val="004837DC"/>
    <w:rsid w:val="00483E9F"/>
    <w:rsid w:val="004850D8"/>
    <w:rsid w:val="00485A2C"/>
    <w:rsid w:val="00493E20"/>
    <w:rsid w:val="0049621B"/>
    <w:rsid w:val="004A1D19"/>
    <w:rsid w:val="004A4106"/>
    <w:rsid w:val="004B5C2A"/>
    <w:rsid w:val="004B62A1"/>
    <w:rsid w:val="004C1895"/>
    <w:rsid w:val="004C4F63"/>
    <w:rsid w:val="004C6D40"/>
    <w:rsid w:val="004D4336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2E33"/>
    <w:rsid w:val="005171F1"/>
    <w:rsid w:val="0051730C"/>
    <w:rsid w:val="005203F1"/>
    <w:rsid w:val="00521BC3"/>
    <w:rsid w:val="00523AD1"/>
    <w:rsid w:val="0052403C"/>
    <w:rsid w:val="00531570"/>
    <w:rsid w:val="00531873"/>
    <w:rsid w:val="00533632"/>
    <w:rsid w:val="00534013"/>
    <w:rsid w:val="00534157"/>
    <w:rsid w:val="00534624"/>
    <w:rsid w:val="005356BD"/>
    <w:rsid w:val="00535DD3"/>
    <w:rsid w:val="00540C5C"/>
    <w:rsid w:val="00541E6E"/>
    <w:rsid w:val="0054251F"/>
    <w:rsid w:val="00545AA7"/>
    <w:rsid w:val="005479FE"/>
    <w:rsid w:val="005520D8"/>
    <w:rsid w:val="005530B6"/>
    <w:rsid w:val="00553C9F"/>
    <w:rsid w:val="00554191"/>
    <w:rsid w:val="005551A4"/>
    <w:rsid w:val="00555CFB"/>
    <w:rsid w:val="00556ADB"/>
    <w:rsid w:val="00556CF1"/>
    <w:rsid w:val="00556CF6"/>
    <w:rsid w:val="00563A53"/>
    <w:rsid w:val="005641B7"/>
    <w:rsid w:val="00564C2C"/>
    <w:rsid w:val="005654AA"/>
    <w:rsid w:val="00572449"/>
    <w:rsid w:val="00572A63"/>
    <w:rsid w:val="00573E8B"/>
    <w:rsid w:val="005762A7"/>
    <w:rsid w:val="0057774C"/>
    <w:rsid w:val="005809D0"/>
    <w:rsid w:val="00583FD0"/>
    <w:rsid w:val="0058423A"/>
    <w:rsid w:val="00587B47"/>
    <w:rsid w:val="00587CEE"/>
    <w:rsid w:val="005907AA"/>
    <w:rsid w:val="00590D7D"/>
    <w:rsid w:val="005916D7"/>
    <w:rsid w:val="0059427F"/>
    <w:rsid w:val="005A0DE6"/>
    <w:rsid w:val="005A1228"/>
    <w:rsid w:val="005A1386"/>
    <w:rsid w:val="005A2B33"/>
    <w:rsid w:val="005A3DD0"/>
    <w:rsid w:val="005A41AE"/>
    <w:rsid w:val="005A698C"/>
    <w:rsid w:val="005B2597"/>
    <w:rsid w:val="005B39F0"/>
    <w:rsid w:val="005B49A0"/>
    <w:rsid w:val="005B567F"/>
    <w:rsid w:val="005B6111"/>
    <w:rsid w:val="005C04A4"/>
    <w:rsid w:val="005C0CAC"/>
    <w:rsid w:val="005C21E4"/>
    <w:rsid w:val="005C6C04"/>
    <w:rsid w:val="005C6F35"/>
    <w:rsid w:val="005D062E"/>
    <w:rsid w:val="005D1BD8"/>
    <w:rsid w:val="005D2F6B"/>
    <w:rsid w:val="005D4795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159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6199"/>
    <w:rsid w:val="00621F67"/>
    <w:rsid w:val="00625810"/>
    <w:rsid w:val="00627266"/>
    <w:rsid w:val="0062769C"/>
    <w:rsid w:val="00633014"/>
    <w:rsid w:val="0063437B"/>
    <w:rsid w:val="0064017E"/>
    <w:rsid w:val="006443F0"/>
    <w:rsid w:val="00647330"/>
    <w:rsid w:val="00651763"/>
    <w:rsid w:val="00654BB6"/>
    <w:rsid w:val="00654DD9"/>
    <w:rsid w:val="00656298"/>
    <w:rsid w:val="00660DB0"/>
    <w:rsid w:val="00661FD4"/>
    <w:rsid w:val="006638A4"/>
    <w:rsid w:val="00663A20"/>
    <w:rsid w:val="0066421C"/>
    <w:rsid w:val="00664AB5"/>
    <w:rsid w:val="00665D9F"/>
    <w:rsid w:val="006673CA"/>
    <w:rsid w:val="0067004F"/>
    <w:rsid w:val="00672243"/>
    <w:rsid w:val="006722E3"/>
    <w:rsid w:val="00673C26"/>
    <w:rsid w:val="00674DE5"/>
    <w:rsid w:val="00677ACA"/>
    <w:rsid w:val="006812AF"/>
    <w:rsid w:val="00682D82"/>
    <w:rsid w:val="0068327D"/>
    <w:rsid w:val="00686CEC"/>
    <w:rsid w:val="00691534"/>
    <w:rsid w:val="00692695"/>
    <w:rsid w:val="00693880"/>
    <w:rsid w:val="006946B9"/>
    <w:rsid w:val="00694AF0"/>
    <w:rsid w:val="00694D3F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1E21"/>
    <w:rsid w:val="006C674F"/>
    <w:rsid w:val="006D0344"/>
    <w:rsid w:val="006D1507"/>
    <w:rsid w:val="006D32E0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AE4"/>
    <w:rsid w:val="006E6F41"/>
    <w:rsid w:val="006E6F4C"/>
    <w:rsid w:val="006E73E6"/>
    <w:rsid w:val="006F0BE9"/>
    <w:rsid w:val="006F0DA5"/>
    <w:rsid w:val="006F221F"/>
    <w:rsid w:val="006F3782"/>
    <w:rsid w:val="007037E7"/>
    <w:rsid w:val="00710695"/>
    <w:rsid w:val="00714656"/>
    <w:rsid w:val="007153E3"/>
    <w:rsid w:val="007211B1"/>
    <w:rsid w:val="00722C74"/>
    <w:rsid w:val="00722D35"/>
    <w:rsid w:val="00722E7B"/>
    <w:rsid w:val="00723C06"/>
    <w:rsid w:val="00724476"/>
    <w:rsid w:val="00725A18"/>
    <w:rsid w:val="007277DA"/>
    <w:rsid w:val="00730B7A"/>
    <w:rsid w:val="00731D27"/>
    <w:rsid w:val="00736490"/>
    <w:rsid w:val="007365A2"/>
    <w:rsid w:val="007430E6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8BB"/>
    <w:rsid w:val="00782DC6"/>
    <w:rsid w:val="007839AC"/>
    <w:rsid w:val="00783CA4"/>
    <w:rsid w:val="007842FB"/>
    <w:rsid w:val="00786124"/>
    <w:rsid w:val="00787060"/>
    <w:rsid w:val="00787992"/>
    <w:rsid w:val="00792FA4"/>
    <w:rsid w:val="0079514B"/>
    <w:rsid w:val="00795252"/>
    <w:rsid w:val="00796F6F"/>
    <w:rsid w:val="007973C9"/>
    <w:rsid w:val="007A1BE8"/>
    <w:rsid w:val="007A2DC1"/>
    <w:rsid w:val="007A36E1"/>
    <w:rsid w:val="007A3970"/>
    <w:rsid w:val="007A58D5"/>
    <w:rsid w:val="007B2560"/>
    <w:rsid w:val="007B58EB"/>
    <w:rsid w:val="007B6630"/>
    <w:rsid w:val="007C21A1"/>
    <w:rsid w:val="007C48EE"/>
    <w:rsid w:val="007C7D79"/>
    <w:rsid w:val="007D0869"/>
    <w:rsid w:val="007D14C4"/>
    <w:rsid w:val="007D2027"/>
    <w:rsid w:val="007D3319"/>
    <w:rsid w:val="007D335D"/>
    <w:rsid w:val="007D3B37"/>
    <w:rsid w:val="007D605C"/>
    <w:rsid w:val="007E2CD4"/>
    <w:rsid w:val="007E2D98"/>
    <w:rsid w:val="007E3010"/>
    <w:rsid w:val="007E3314"/>
    <w:rsid w:val="007E3514"/>
    <w:rsid w:val="007E4415"/>
    <w:rsid w:val="007E4B03"/>
    <w:rsid w:val="007E6E53"/>
    <w:rsid w:val="007E7211"/>
    <w:rsid w:val="007E7E95"/>
    <w:rsid w:val="007F324B"/>
    <w:rsid w:val="007F341C"/>
    <w:rsid w:val="007F411C"/>
    <w:rsid w:val="007F48B8"/>
    <w:rsid w:val="007F4CBF"/>
    <w:rsid w:val="007F58C0"/>
    <w:rsid w:val="007F5FE4"/>
    <w:rsid w:val="007F71DE"/>
    <w:rsid w:val="007F7A8F"/>
    <w:rsid w:val="00803C4E"/>
    <w:rsid w:val="0080553C"/>
    <w:rsid w:val="00805B46"/>
    <w:rsid w:val="00805DB4"/>
    <w:rsid w:val="00811368"/>
    <w:rsid w:val="00812EAA"/>
    <w:rsid w:val="0081507A"/>
    <w:rsid w:val="00815A32"/>
    <w:rsid w:val="00817BB3"/>
    <w:rsid w:val="00820E10"/>
    <w:rsid w:val="0082105D"/>
    <w:rsid w:val="0082178F"/>
    <w:rsid w:val="00821CD9"/>
    <w:rsid w:val="00821DA7"/>
    <w:rsid w:val="008223FC"/>
    <w:rsid w:val="0082252F"/>
    <w:rsid w:val="00823593"/>
    <w:rsid w:val="00824D0D"/>
    <w:rsid w:val="00825DC2"/>
    <w:rsid w:val="0082710C"/>
    <w:rsid w:val="00827362"/>
    <w:rsid w:val="00827374"/>
    <w:rsid w:val="00831AE5"/>
    <w:rsid w:val="00834897"/>
    <w:rsid w:val="00834AD3"/>
    <w:rsid w:val="00840EE8"/>
    <w:rsid w:val="00842817"/>
    <w:rsid w:val="00843795"/>
    <w:rsid w:val="00844FAB"/>
    <w:rsid w:val="0084593E"/>
    <w:rsid w:val="00846E02"/>
    <w:rsid w:val="00846E71"/>
    <w:rsid w:val="008470AD"/>
    <w:rsid w:val="00847F0F"/>
    <w:rsid w:val="00850751"/>
    <w:rsid w:val="008507AD"/>
    <w:rsid w:val="00852448"/>
    <w:rsid w:val="00853F23"/>
    <w:rsid w:val="00854F2A"/>
    <w:rsid w:val="008623F2"/>
    <w:rsid w:val="00867F32"/>
    <w:rsid w:val="00873000"/>
    <w:rsid w:val="00875E1E"/>
    <w:rsid w:val="008762BD"/>
    <w:rsid w:val="00877B8B"/>
    <w:rsid w:val="00877F6C"/>
    <w:rsid w:val="008821B2"/>
    <w:rsid w:val="008822DA"/>
    <w:rsid w:val="0088258A"/>
    <w:rsid w:val="008834E3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6A49"/>
    <w:rsid w:val="00897877"/>
    <w:rsid w:val="008A17B6"/>
    <w:rsid w:val="008A26D9"/>
    <w:rsid w:val="008A4630"/>
    <w:rsid w:val="008A5D49"/>
    <w:rsid w:val="008A73BD"/>
    <w:rsid w:val="008A7B5B"/>
    <w:rsid w:val="008A7C8C"/>
    <w:rsid w:val="008A7F75"/>
    <w:rsid w:val="008B0E9B"/>
    <w:rsid w:val="008B12D2"/>
    <w:rsid w:val="008B75D4"/>
    <w:rsid w:val="008B7B93"/>
    <w:rsid w:val="008C0C29"/>
    <w:rsid w:val="008C1CCF"/>
    <w:rsid w:val="008C2DD9"/>
    <w:rsid w:val="008C7E50"/>
    <w:rsid w:val="008D02DA"/>
    <w:rsid w:val="008D313B"/>
    <w:rsid w:val="008D5177"/>
    <w:rsid w:val="008D68DF"/>
    <w:rsid w:val="008D76BC"/>
    <w:rsid w:val="008E097C"/>
    <w:rsid w:val="008E66BD"/>
    <w:rsid w:val="008E6E90"/>
    <w:rsid w:val="008E70E9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157C4"/>
    <w:rsid w:val="0092013C"/>
    <w:rsid w:val="00920935"/>
    <w:rsid w:val="00920AAE"/>
    <w:rsid w:val="009227A6"/>
    <w:rsid w:val="00923B3A"/>
    <w:rsid w:val="0092777D"/>
    <w:rsid w:val="009278C4"/>
    <w:rsid w:val="0093019B"/>
    <w:rsid w:val="00933EC1"/>
    <w:rsid w:val="0093678A"/>
    <w:rsid w:val="009417CB"/>
    <w:rsid w:val="009446AD"/>
    <w:rsid w:val="00944F18"/>
    <w:rsid w:val="00945B28"/>
    <w:rsid w:val="009472EF"/>
    <w:rsid w:val="0095003E"/>
    <w:rsid w:val="00950796"/>
    <w:rsid w:val="00951992"/>
    <w:rsid w:val="009524AB"/>
    <w:rsid w:val="009530DB"/>
    <w:rsid w:val="00953676"/>
    <w:rsid w:val="00953E79"/>
    <w:rsid w:val="00956874"/>
    <w:rsid w:val="00956F30"/>
    <w:rsid w:val="00961210"/>
    <w:rsid w:val="0096263D"/>
    <w:rsid w:val="0096690E"/>
    <w:rsid w:val="00966940"/>
    <w:rsid w:val="00966C9A"/>
    <w:rsid w:val="009705EE"/>
    <w:rsid w:val="00971F43"/>
    <w:rsid w:val="00972737"/>
    <w:rsid w:val="0097309E"/>
    <w:rsid w:val="0097435F"/>
    <w:rsid w:val="00976AC9"/>
    <w:rsid w:val="0097711E"/>
    <w:rsid w:val="00977927"/>
    <w:rsid w:val="0098135C"/>
    <w:rsid w:val="0098156A"/>
    <w:rsid w:val="009819BE"/>
    <w:rsid w:val="009830EF"/>
    <w:rsid w:val="0099184B"/>
    <w:rsid w:val="00991BAC"/>
    <w:rsid w:val="009929D5"/>
    <w:rsid w:val="009950C6"/>
    <w:rsid w:val="00995F6D"/>
    <w:rsid w:val="00996BED"/>
    <w:rsid w:val="0099757D"/>
    <w:rsid w:val="009A2927"/>
    <w:rsid w:val="009A4A0E"/>
    <w:rsid w:val="009A63AF"/>
    <w:rsid w:val="009A68C8"/>
    <w:rsid w:val="009A6EA0"/>
    <w:rsid w:val="009B1484"/>
    <w:rsid w:val="009B425E"/>
    <w:rsid w:val="009B4B76"/>
    <w:rsid w:val="009B5572"/>
    <w:rsid w:val="009B56A5"/>
    <w:rsid w:val="009B7F8F"/>
    <w:rsid w:val="009C1335"/>
    <w:rsid w:val="009C1AB2"/>
    <w:rsid w:val="009C2E1A"/>
    <w:rsid w:val="009C3C29"/>
    <w:rsid w:val="009C4A79"/>
    <w:rsid w:val="009C58FF"/>
    <w:rsid w:val="009C5FD8"/>
    <w:rsid w:val="009C61B6"/>
    <w:rsid w:val="009C7251"/>
    <w:rsid w:val="009D05F6"/>
    <w:rsid w:val="009E2E91"/>
    <w:rsid w:val="009E3427"/>
    <w:rsid w:val="009E3BFF"/>
    <w:rsid w:val="009E4516"/>
    <w:rsid w:val="009E4D7B"/>
    <w:rsid w:val="009E5988"/>
    <w:rsid w:val="009F1580"/>
    <w:rsid w:val="009F33A8"/>
    <w:rsid w:val="00A01B40"/>
    <w:rsid w:val="00A01D40"/>
    <w:rsid w:val="00A031F5"/>
    <w:rsid w:val="00A033EC"/>
    <w:rsid w:val="00A03BD3"/>
    <w:rsid w:val="00A04526"/>
    <w:rsid w:val="00A05BC0"/>
    <w:rsid w:val="00A06450"/>
    <w:rsid w:val="00A070F2"/>
    <w:rsid w:val="00A12EAC"/>
    <w:rsid w:val="00A139F5"/>
    <w:rsid w:val="00A144A0"/>
    <w:rsid w:val="00A159F5"/>
    <w:rsid w:val="00A20B1F"/>
    <w:rsid w:val="00A22B05"/>
    <w:rsid w:val="00A25FCE"/>
    <w:rsid w:val="00A26BE1"/>
    <w:rsid w:val="00A30A27"/>
    <w:rsid w:val="00A31794"/>
    <w:rsid w:val="00A32E16"/>
    <w:rsid w:val="00A365F4"/>
    <w:rsid w:val="00A42C8E"/>
    <w:rsid w:val="00A438FA"/>
    <w:rsid w:val="00A45D11"/>
    <w:rsid w:val="00A47D80"/>
    <w:rsid w:val="00A53132"/>
    <w:rsid w:val="00A563F2"/>
    <w:rsid w:val="00A566E8"/>
    <w:rsid w:val="00A62C01"/>
    <w:rsid w:val="00A63DEF"/>
    <w:rsid w:val="00A656A7"/>
    <w:rsid w:val="00A66347"/>
    <w:rsid w:val="00A67E22"/>
    <w:rsid w:val="00A71B63"/>
    <w:rsid w:val="00A756D0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163E"/>
    <w:rsid w:val="00AB3BF7"/>
    <w:rsid w:val="00AB4FBD"/>
    <w:rsid w:val="00AB64F3"/>
    <w:rsid w:val="00AB675D"/>
    <w:rsid w:val="00AB6B93"/>
    <w:rsid w:val="00AB6D25"/>
    <w:rsid w:val="00AB737E"/>
    <w:rsid w:val="00AC3E88"/>
    <w:rsid w:val="00AC6DA9"/>
    <w:rsid w:val="00AD0E56"/>
    <w:rsid w:val="00AD1712"/>
    <w:rsid w:val="00AD7D05"/>
    <w:rsid w:val="00AD7D8E"/>
    <w:rsid w:val="00AE02BB"/>
    <w:rsid w:val="00AE1A1C"/>
    <w:rsid w:val="00AE1AC8"/>
    <w:rsid w:val="00AE21A9"/>
    <w:rsid w:val="00AE229B"/>
    <w:rsid w:val="00AE2D4B"/>
    <w:rsid w:val="00AE3D6B"/>
    <w:rsid w:val="00AE4F99"/>
    <w:rsid w:val="00AE5E64"/>
    <w:rsid w:val="00AF1ADD"/>
    <w:rsid w:val="00AF4696"/>
    <w:rsid w:val="00AF5213"/>
    <w:rsid w:val="00B00C56"/>
    <w:rsid w:val="00B03B2C"/>
    <w:rsid w:val="00B0695A"/>
    <w:rsid w:val="00B10993"/>
    <w:rsid w:val="00B119E8"/>
    <w:rsid w:val="00B11B69"/>
    <w:rsid w:val="00B12205"/>
    <w:rsid w:val="00B14349"/>
    <w:rsid w:val="00B14952"/>
    <w:rsid w:val="00B16871"/>
    <w:rsid w:val="00B16D33"/>
    <w:rsid w:val="00B17CDE"/>
    <w:rsid w:val="00B2287E"/>
    <w:rsid w:val="00B2368A"/>
    <w:rsid w:val="00B25067"/>
    <w:rsid w:val="00B25AD4"/>
    <w:rsid w:val="00B25B45"/>
    <w:rsid w:val="00B31E5A"/>
    <w:rsid w:val="00B32F30"/>
    <w:rsid w:val="00B32F8B"/>
    <w:rsid w:val="00B34D0E"/>
    <w:rsid w:val="00B4052C"/>
    <w:rsid w:val="00B41803"/>
    <w:rsid w:val="00B423D1"/>
    <w:rsid w:val="00B44E2C"/>
    <w:rsid w:val="00B47359"/>
    <w:rsid w:val="00B47DE7"/>
    <w:rsid w:val="00B50BCA"/>
    <w:rsid w:val="00B52640"/>
    <w:rsid w:val="00B54A91"/>
    <w:rsid w:val="00B56E7C"/>
    <w:rsid w:val="00B61841"/>
    <w:rsid w:val="00B61BD5"/>
    <w:rsid w:val="00B644CF"/>
    <w:rsid w:val="00B653AB"/>
    <w:rsid w:val="00B65F9E"/>
    <w:rsid w:val="00B66B19"/>
    <w:rsid w:val="00B67BFF"/>
    <w:rsid w:val="00B67C6F"/>
    <w:rsid w:val="00B7386E"/>
    <w:rsid w:val="00B7572E"/>
    <w:rsid w:val="00B762AC"/>
    <w:rsid w:val="00B81EC1"/>
    <w:rsid w:val="00B82ECB"/>
    <w:rsid w:val="00B84320"/>
    <w:rsid w:val="00B84C43"/>
    <w:rsid w:val="00B8626A"/>
    <w:rsid w:val="00B90BDB"/>
    <w:rsid w:val="00B91424"/>
    <w:rsid w:val="00B914E9"/>
    <w:rsid w:val="00B92903"/>
    <w:rsid w:val="00B935C9"/>
    <w:rsid w:val="00B956EE"/>
    <w:rsid w:val="00B962CB"/>
    <w:rsid w:val="00B97589"/>
    <w:rsid w:val="00BA0078"/>
    <w:rsid w:val="00BA1968"/>
    <w:rsid w:val="00BA2BA1"/>
    <w:rsid w:val="00BA3447"/>
    <w:rsid w:val="00BA3562"/>
    <w:rsid w:val="00BA372C"/>
    <w:rsid w:val="00BA536A"/>
    <w:rsid w:val="00BA75E2"/>
    <w:rsid w:val="00BB062C"/>
    <w:rsid w:val="00BB4BF3"/>
    <w:rsid w:val="00BB4F09"/>
    <w:rsid w:val="00BB54B5"/>
    <w:rsid w:val="00BB56D5"/>
    <w:rsid w:val="00BB5A5F"/>
    <w:rsid w:val="00BB5F38"/>
    <w:rsid w:val="00BB79E6"/>
    <w:rsid w:val="00BC049B"/>
    <w:rsid w:val="00BC0891"/>
    <w:rsid w:val="00BC1B0E"/>
    <w:rsid w:val="00BC2717"/>
    <w:rsid w:val="00BC30D8"/>
    <w:rsid w:val="00BC3D97"/>
    <w:rsid w:val="00BC58FB"/>
    <w:rsid w:val="00BC5E8A"/>
    <w:rsid w:val="00BD1051"/>
    <w:rsid w:val="00BD142C"/>
    <w:rsid w:val="00BD45FD"/>
    <w:rsid w:val="00BD4E33"/>
    <w:rsid w:val="00BD6CE9"/>
    <w:rsid w:val="00BE2213"/>
    <w:rsid w:val="00BE4524"/>
    <w:rsid w:val="00BE57F8"/>
    <w:rsid w:val="00BE5C69"/>
    <w:rsid w:val="00BF0619"/>
    <w:rsid w:val="00BF0E3F"/>
    <w:rsid w:val="00BF21F6"/>
    <w:rsid w:val="00BF2477"/>
    <w:rsid w:val="00BF35B3"/>
    <w:rsid w:val="00C01F60"/>
    <w:rsid w:val="00C030DE"/>
    <w:rsid w:val="00C051A8"/>
    <w:rsid w:val="00C10B01"/>
    <w:rsid w:val="00C11C57"/>
    <w:rsid w:val="00C131D4"/>
    <w:rsid w:val="00C138B5"/>
    <w:rsid w:val="00C15797"/>
    <w:rsid w:val="00C16BFF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464AF"/>
    <w:rsid w:val="00C501DD"/>
    <w:rsid w:val="00C5077C"/>
    <w:rsid w:val="00C52613"/>
    <w:rsid w:val="00C54145"/>
    <w:rsid w:val="00C57012"/>
    <w:rsid w:val="00C572B8"/>
    <w:rsid w:val="00C60599"/>
    <w:rsid w:val="00C62238"/>
    <w:rsid w:val="00C6351A"/>
    <w:rsid w:val="00C64A37"/>
    <w:rsid w:val="00C7158E"/>
    <w:rsid w:val="00C7250B"/>
    <w:rsid w:val="00C7346B"/>
    <w:rsid w:val="00C77C0E"/>
    <w:rsid w:val="00C81C45"/>
    <w:rsid w:val="00C8476E"/>
    <w:rsid w:val="00C86901"/>
    <w:rsid w:val="00C874F4"/>
    <w:rsid w:val="00C91149"/>
    <w:rsid w:val="00C91687"/>
    <w:rsid w:val="00C91D88"/>
    <w:rsid w:val="00C924A8"/>
    <w:rsid w:val="00C94432"/>
    <w:rsid w:val="00C945FE"/>
    <w:rsid w:val="00C96ECF"/>
    <w:rsid w:val="00C96FAA"/>
    <w:rsid w:val="00C97129"/>
    <w:rsid w:val="00C975EB"/>
    <w:rsid w:val="00C97A04"/>
    <w:rsid w:val="00CA107B"/>
    <w:rsid w:val="00CA431D"/>
    <w:rsid w:val="00CA484D"/>
    <w:rsid w:val="00CA4FB6"/>
    <w:rsid w:val="00CB2F90"/>
    <w:rsid w:val="00CB4299"/>
    <w:rsid w:val="00CB47C4"/>
    <w:rsid w:val="00CB65D5"/>
    <w:rsid w:val="00CB6AD4"/>
    <w:rsid w:val="00CB6C3A"/>
    <w:rsid w:val="00CC020C"/>
    <w:rsid w:val="00CC051D"/>
    <w:rsid w:val="00CC4CD8"/>
    <w:rsid w:val="00CC739E"/>
    <w:rsid w:val="00CD1EBB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3A3F"/>
    <w:rsid w:val="00CE6B42"/>
    <w:rsid w:val="00CF18EE"/>
    <w:rsid w:val="00CF30BD"/>
    <w:rsid w:val="00CF4099"/>
    <w:rsid w:val="00CF6937"/>
    <w:rsid w:val="00D00796"/>
    <w:rsid w:val="00D01848"/>
    <w:rsid w:val="00D0375A"/>
    <w:rsid w:val="00D07127"/>
    <w:rsid w:val="00D10A04"/>
    <w:rsid w:val="00D10E71"/>
    <w:rsid w:val="00D15B67"/>
    <w:rsid w:val="00D15D16"/>
    <w:rsid w:val="00D16455"/>
    <w:rsid w:val="00D16CE6"/>
    <w:rsid w:val="00D16FA9"/>
    <w:rsid w:val="00D2095E"/>
    <w:rsid w:val="00D223FE"/>
    <w:rsid w:val="00D22FB5"/>
    <w:rsid w:val="00D261A2"/>
    <w:rsid w:val="00D308F3"/>
    <w:rsid w:val="00D33104"/>
    <w:rsid w:val="00D33455"/>
    <w:rsid w:val="00D35DA0"/>
    <w:rsid w:val="00D36272"/>
    <w:rsid w:val="00D3774D"/>
    <w:rsid w:val="00D41854"/>
    <w:rsid w:val="00D4271A"/>
    <w:rsid w:val="00D471C1"/>
    <w:rsid w:val="00D5328F"/>
    <w:rsid w:val="00D54DD4"/>
    <w:rsid w:val="00D55DD3"/>
    <w:rsid w:val="00D56F40"/>
    <w:rsid w:val="00D579C6"/>
    <w:rsid w:val="00D603E9"/>
    <w:rsid w:val="00D6114D"/>
    <w:rsid w:val="00D616D2"/>
    <w:rsid w:val="00D62B26"/>
    <w:rsid w:val="00D63B42"/>
    <w:rsid w:val="00D63B5F"/>
    <w:rsid w:val="00D64926"/>
    <w:rsid w:val="00D654E1"/>
    <w:rsid w:val="00D67567"/>
    <w:rsid w:val="00D6767A"/>
    <w:rsid w:val="00D70EF7"/>
    <w:rsid w:val="00D71F51"/>
    <w:rsid w:val="00D733C8"/>
    <w:rsid w:val="00D734A0"/>
    <w:rsid w:val="00D743A1"/>
    <w:rsid w:val="00D7673F"/>
    <w:rsid w:val="00D776FE"/>
    <w:rsid w:val="00D77B72"/>
    <w:rsid w:val="00D77E00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87767"/>
    <w:rsid w:val="00D9217E"/>
    <w:rsid w:val="00D948AC"/>
    <w:rsid w:val="00D94EED"/>
    <w:rsid w:val="00D96026"/>
    <w:rsid w:val="00D972F6"/>
    <w:rsid w:val="00DA331D"/>
    <w:rsid w:val="00DA432B"/>
    <w:rsid w:val="00DA58B9"/>
    <w:rsid w:val="00DA785D"/>
    <w:rsid w:val="00DA7C1C"/>
    <w:rsid w:val="00DB147A"/>
    <w:rsid w:val="00DB1B7A"/>
    <w:rsid w:val="00DB3126"/>
    <w:rsid w:val="00DB706E"/>
    <w:rsid w:val="00DB7CAC"/>
    <w:rsid w:val="00DC5A9A"/>
    <w:rsid w:val="00DC60A8"/>
    <w:rsid w:val="00DC6708"/>
    <w:rsid w:val="00DD011A"/>
    <w:rsid w:val="00DD3FF1"/>
    <w:rsid w:val="00DE0422"/>
    <w:rsid w:val="00DE2400"/>
    <w:rsid w:val="00DE2CEB"/>
    <w:rsid w:val="00DE458B"/>
    <w:rsid w:val="00DE58F1"/>
    <w:rsid w:val="00DE6B58"/>
    <w:rsid w:val="00DF201C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3877"/>
    <w:rsid w:val="00E1731E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0DBE"/>
    <w:rsid w:val="00E41DE9"/>
    <w:rsid w:val="00E42FF9"/>
    <w:rsid w:val="00E43455"/>
    <w:rsid w:val="00E44790"/>
    <w:rsid w:val="00E450E8"/>
    <w:rsid w:val="00E45817"/>
    <w:rsid w:val="00E47130"/>
    <w:rsid w:val="00E4714C"/>
    <w:rsid w:val="00E515B4"/>
    <w:rsid w:val="00E5178D"/>
    <w:rsid w:val="00E51AEB"/>
    <w:rsid w:val="00E522A7"/>
    <w:rsid w:val="00E5349E"/>
    <w:rsid w:val="00E53C78"/>
    <w:rsid w:val="00E54452"/>
    <w:rsid w:val="00E575B4"/>
    <w:rsid w:val="00E63B0C"/>
    <w:rsid w:val="00E6400D"/>
    <w:rsid w:val="00E65E0B"/>
    <w:rsid w:val="00E664C5"/>
    <w:rsid w:val="00E671A2"/>
    <w:rsid w:val="00E67A77"/>
    <w:rsid w:val="00E714AA"/>
    <w:rsid w:val="00E749AE"/>
    <w:rsid w:val="00E765D5"/>
    <w:rsid w:val="00E76720"/>
    <w:rsid w:val="00E76D26"/>
    <w:rsid w:val="00E76EB4"/>
    <w:rsid w:val="00E76EE5"/>
    <w:rsid w:val="00E777A6"/>
    <w:rsid w:val="00E80544"/>
    <w:rsid w:val="00E85248"/>
    <w:rsid w:val="00E8733E"/>
    <w:rsid w:val="00E87AAD"/>
    <w:rsid w:val="00E921CE"/>
    <w:rsid w:val="00E93580"/>
    <w:rsid w:val="00E93FBD"/>
    <w:rsid w:val="00E95036"/>
    <w:rsid w:val="00E95B8E"/>
    <w:rsid w:val="00EA59ED"/>
    <w:rsid w:val="00EA6761"/>
    <w:rsid w:val="00EA6895"/>
    <w:rsid w:val="00EA69DB"/>
    <w:rsid w:val="00EB011C"/>
    <w:rsid w:val="00EB0830"/>
    <w:rsid w:val="00EB11D0"/>
    <w:rsid w:val="00EB1390"/>
    <w:rsid w:val="00EB2C71"/>
    <w:rsid w:val="00EB3333"/>
    <w:rsid w:val="00EB4340"/>
    <w:rsid w:val="00EB4B4A"/>
    <w:rsid w:val="00EB556D"/>
    <w:rsid w:val="00EB5A7D"/>
    <w:rsid w:val="00EB6532"/>
    <w:rsid w:val="00EB73BC"/>
    <w:rsid w:val="00EC0073"/>
    <w:rsid w:val="00EC0527"/>
    <w:rsid w:val="00EC0E84"/>
    <w:rsid w:val="00EC1D77"/>
    <w:rsid w:val="00EC329B"/>
    <w:rsid w:val="00ED1D4D"/>
    <w:rsid w:val="00ED4C6D"/>
    <w:rsid w:val="00ED55C0"/>
    <w:rsid w:val="00ED682B"/>
    <w:rsid w:val="00ED75DA"/>
    <w:rsid w:val="00EE09B7"/>
    <w:rsid w:val="00EE41D5"/>
    <w:rsid w:val="00EE481C"/>
    <w:rsid w:val="00EE6552"/>
    <w:rsid w:val="00EE6872"/>
    <w:rsid w:val="00EF1172"/>
    <w:rsid w:val="00EF1EBD"/>
    <w:rsid w:val="00EF1FDB"/>
    <w:rsid w:val="00EF6434"/>
    <w:rsid w:val="00EF6FD4"/>
    <w:rsid w:val="00F01205"/>
    <w:rsid w:val="00F0166F"/>
    <w:rsid w:val="00F037A4"/>
    <w:rsid w:val="00F049AB"/>
    <w:rsid w:val="00F05479"/>
    <w:rsid w:val="00F06A18"/>
    <w:rsid w:val="00F07B1D"/>
    <w:rsid w:val="00F11016"/>
    <w:rsid w:val="00F11F49"/>
    <w:rsid w:val="00F142DB"/>
    <w:rsid w:val="00F143B9"/>
    <w:rsid w:val="00F208A9"/>
    <w:rsid w:val="00F225D2"/>
    <w:rsid w:val="00F22694"/>
    <w:rsid w:val="00F27C4F"/>
    <w:rsid w:val="00F27C8F"/>
    <w:rsid w:val="00F30587"/>
    <w:rsid w:val="00F32749"/>
    <w:rsid w:val="00F37172"/>
    <w:rsid w:val="00F41ABE"/>
    <w:rsid w:val="00F41AE5"/>
    <w:rsid w:val="00F43F4B"/>
    <w:rsid w:val="00F4477E"/>
    <w:rsid w:val="00F4541D"/>
    <w:rsid w:val="00F46269"/>
    <w:rsid w:val="00F51BEF"/>
    <w:rsid w:val="00F5416E"/>
    <w:rsid w:val="00F60BA8"/>
    <w:rsid w:val="00F63C8F"/>
    <w:rsid w:val="00F67D8F"/>
    <w:rsid w:val="00F712CE"/>
    <w:rsid w:val="00F71FAF"/>
    <w:rsid w:val="00F75117"/>
    <w:rsid w:val="00F802BE"/>
    <w:rsid w:val="00F80E93"/>
    <w:rsid w:val="00F81ED7"/>
    <w:rsid w:val="00F82A7A"/>
    <w:rsid w:val="00F85164"/>
    <w:rsid w:val="00F86024"/>
    <w:rsid w:val="00F8611A"/>
    <w:rsid w:val="00F869C1"/>
    <w:rsid w:val="00F86B86"/>
    <w:rsid w:val="00F87591"/>
    <w:rsid w:val="00F87A3A"/>
    <w:rsid w:val="00F93103"/>
    <w:rsid w:val="00F9478F"/>
    <w:rsid w:val="00F957F5"/>
    <w:rsid w:val="00F96046"/>
    <w:rsid w:val="00FA337E"/>
    <w:rsid w:val="00FA5128"/>
    <w:rsid w:val="00FA5E94"/>
    <w:rsid w:val="00FA62BC"/>
    <w:rsid w:val="00FA6429"/>
    <w:rsid w:val="00FA6511"/>
    <w:rsid w:val="00FA6A83"/>
    <w:rsid w:val="00FB3156"/>
    <w:rsid w:val="00FB42D4"/>
    <w:rsid w:val="00FB5252"/>
    <w:rsid w:val="00FB5906"/>
    <w:rsid w:val="00FB6382"/>
    <w:rsid w:val="00FB762F"/>
    <w:rsid w:val="00FC2AED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196E"/>
    <w:rsid w:val="00FE3029"/>
    <w:rsid w:val="00FE36CF"/>
    <w:rsid w:val="00FE7E43"/>
    <w:rsid w:val="00FE7F55"/>
    <w:rsid w:val="00FF0246"/>
    <w:rsid w:val="00FF20D4"/>
    <w:rsid w:val="00FF6C4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styczniu-2025-r-,1,153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4-roku,12,57.html" TargetMode="External"/><Relationship Id="rId30" Type="http://schemas.openxmlformats.org/officeDocument/2006/relationships/hyperlink" Target="https://dbw.stat.gov.pl/dashboard/111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12025,4,158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B62D11DF-2E0E-4579-BC80-74E23051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5</Pages>
  <Words>1719</Words>
  <Characters>10316</Characters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2022-03-21T10:42:00Z</dcterms:created>
  <dcterms:modified xsi:type="dcterms:W3CDTF">2025-03-21T12:46:00Z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