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B21CE" w14:textId="4BF67D2A" w:rsidR="00EF6FC5" w:rsidRPr="007A5771" w:rsidRDefault="00EF6FC5" w:rsidP="00EF6FC5">
      <w:pPr>
        <w:pStyle w:val="Tytuinfomacjisygnalnej"/>
      </w:pPr>
      <w:r w:rsidRPr="007A5771">
        <w:t xml:space="preserve">Wskaźniki cen produkcji sprzedanej przemysłu </w:t>
      </w:r>
      <w:r w:rsidR="001D54A4">
        <w:t>w </w:t>
      </w:r>
      <w:r w:rsidR="00820C92">
        <w:t>kwietniu</w:t>
      </w:r>
      <w:r w:rsidR="005228C2">
        <w:t xml:space="preserve"> </w:t>
      </w:r>
      <w:r w:rsidR="003D63D6">
        <w:t>2025</w:t>
      </w:r>
      <w:r w:rsidRPr="007A5771">
        <w:t xml:space="preserve"> r.</w:t>
      </w:r>
    </w:p>
    <w:p w14:paraId="7F4CB67F" w14:textId="77777777" w:rsidR="00EF6FC5" w:rsidRDefault="00EF6FC5" w:rsidP="00792D90">
      <w:pPr>
        <w:pStyle w:val="Przypis"/>
        <w:rPr>
          <w:lang w:val="pl-PL"/>
        </w:rPr>
      </w:pPr>
    </w:p>
    <w:p w14:paraId="3D021E19" w14:textId="06BDB232"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16D4EE2D" wp14:editId="1B70E612">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1,4% spadek cen producentów w przemyśle w porównaniu z kwietni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768EBDB" w14:textId="585FC25C"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5228C2">
                              <w:rPr>
                                <w:rStyle w:val="WartowskanikaZnak"/>
                                <w:sz w:val="72"/>
                                <w:szCs w:val="72"/>
                              </w:rPr>
                              <w:t>1,</w:t>
                            </w:r>
                            <w:r w:rsidR="00F62FFE">
                              <w:rPr>
                                <w:rStyle w:val="WartowskanikaZnak"/>
                                <w:sz w:val="72"/>
                                <w:szCs w:val="72"/>
                              </w:rPr>
                              <w:t>4</w:t>
                            </w:r>
                            <w:r w:rsidR="004B4292" w:rsidRPr="00883E43">
                              <w:rPr>
                                <w:rStyle w:val="WartowskanikaZnak"/>
                                <w:sz w:val="72"/>
                                <w:szCs w:val="72"/>
                              </w:rPr>
                              <w:t>%</w:t>
                            </w:r>
                          </w:p>
                          <w:p w14:paraId="1F2D15F0" w14:textId="339A68FC"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820C92">
                              <w:rPr>
                                <w:szCs w:val="20"/>
                              </w:rPr>
                              <w:t>kwietniem</w:t>
                            </w:r>
                            <w:r w:rsidR="005228C2">
                              <w:rPr>
                                <w:szCs w:val="20"/>
                              </w:rPr>
                              <w:t xml:space="preserve"> </w:t>
                            </w:r>
                            <w:r w:rsidR="003D63D6">
                              <w:rPr>
                                <w:szCs w:val="20"/>
                              </w:rPr>
                              <w:t>202</w:t>
                            </w:r>
                            <w:r w:rsidR="008C64D4">
                              <w:rPr>
                                <w:szCs w:val="20"/>
                              </w:rPr>
                              <w:t>4</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6D4EE2D" id="Pole tekstowe 2" o:spid="_x0000_s1026" alt="1,4% spadek cen producentów w przemyśle w porównaniu z kwietniem 2024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c4dAIAAH8EAAAOAAAAZHJzL2Uyb0RvYy54bWysVF1uEzEQfkfiDiMjeILsD0l/QjdVaSlC&#10;KlBROIBje7NWvJ7FdrKbXoVjcATEvRg7aRuVN8Q+WB7PzOdvPs/syenQGlgr5zXaihWjnIGyAqW2&#10;i4p9+3r56oiBD9xKbtCqim2UZ6ezp09O+m6qSmzQSOWAQKyf9l3FmhC6aZZ50aiW+xF2ypKzRtfy&#10;QKZbZNLxntBbk5V5fpD16GTnUCjv6fRi62SzhF/XSoTPde1VAFMx4hbS6tI6j2s2O+HTheNdo8WO&#10;Bv8HFi3Xli69h7rggcPK6b+gWi0ceqzDSGCbYV1roVINVE2RP6rmpuGdSrWQOL67l8n/P1jxaX3t&#10;QMuKHTCwvKUnukajIKilD9grKBlI5QVJVrwcPwffcamWIJQFUl2uaBN+/eyhJ/NWtZvfPyiZDHR0&#10;arnVK7iFZa9VsFq1UOblGNzoxbPh7E3Uvu/8lCjcdEQiDG9xoGuSjr67QrH0YPG84XahzpzDvlFc&#10;Uu1FzMz2Urc4PoLM+48oqQi+CpiAhtq18WFIaiB06oHN/burIYCgw7LMx/nRhIEgX/G6yA/GqTMy&#10;Pr1L75wP7xW2VKanJnK4svILdVe6g6+vfIic+PQuLl7p0Wh5qY1JhlvMz42DNY+dmBcXh4epjEdh&#10;xkJfseNJOUnIFmN+atJWB5oUo9uKHeXx2/Zu1OSdlSkkcG22e2Ji7E6kqMtWoTDMBwqMys1Rbkgu&#10;h9uJoAmmTYPulkFP01Ax/33FnWJgPliS/LgYkyQQkjGeHJZkuH3PfN/DrSCoigUG2+15SCMXdbB4&#10;Rk9T66TXA5MdV+ryJONuIuMY7dsp6uG/MfsDAAD//wMAUEsDBBQABgAIAAAAIQBBmQrt3gAAAAgB&#10;AAAPAAAAZHJzL2Rvd25yZXYueG1sTI/BTsMwEETvSPyDtUhcotYmjUqVxqkoUjjQEym9u7EbR8Tr&#10;KHab8PcsJzjOzmjmbbGbXc9uZgydRwlPSwHMYON1h62Ez2O12AALUaFWvUcj4dsE2JX3d4XKtZ/w&#10;w9zq2DIqwZArCTbGIec8NNY4FZZ+MEjexY9ORZJjy/WoJip3PU+FWHOnOqQFqwbzak3zVV+dhP14&#10;OdRiNQe7P74fkqpKTm9TIuXjw/yyBRbNHP/C8ItP6FAS09lfUQfWS1ikGSXpvgZG9irLnoGdJaRi&#10;I4CXBf//QPkDAAD//wMAUEsBAi0AFAAGAAgAAAAhALaDOJL+AAAA4QEAABMAAAAAAAAAAAAAAAAA&#10;AAAAAFtDb250ZW50X1R5cGVzXS54bWxQSwECLQAUAAYACAAAACEAOP0h/9YAAACUAQAACwAAAAAA&#10;AAAAAAAAAAAvAQAAX3JlbHMvLnJlbHNQSwECLQAUAAYACAAAACEAFW9XOHQCAAB/BAAADgAAAAAA&#10;AAAAAAAAAAAuAgAAZHJzL2Uyb0RvYy54bWxQSwECLQAUAAYACAAAACEAQZkK7d4AAAAIAQAADwAA&#10;AAAAAAAAAAAAAADOBAAAZHJzL2Rvd25yZXYueG1sUEsFBgAAAAAEAAQA8wAAANkFAAAAAA==&#10;" fillcolor="#001d77" stroked="f">
                <v:stroke joinstyle="miter"/>
                <v:textbox>
                  <w:txbxContent>
                    <w:p w14:paraId="4768EBDB" w14:textId="585FC25C"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5228C2">
                        <w:rPr>
                          <w:rStyle w:val="WartowskanikaZnak"/>
                          <w:sz w:val="72"/>
                          <w:szCs w:val="72"/>
                        </w:rPr>
                        <w:t>1,</w:t>
                      </w:r>
                      <w:r w:rsidR="00F62FFE">
                        <w:rPr>
                          <w:rStyle w:val="WartowskanikaZnak"/>
                          <w:sz w:val="72"/>
                          <w:szCs w:val="72"/>
                        </w:rPr>
                        <w:t>4</w:t>
                      </w:r>
                      <w:r w:rsidR="004B4292" w:rsidRPr="00883E43">
                        <w:rPr>
                          <w:rStyle w:val="WartowskanikaZnak"/>
                          <w:sz w:val="72"/>
                          <w:szCs w:val="72"/>
                        </w:rPr>
                        <w:t>%</w:t>
                      </w:r>
                    </w:p>
                    <w:p w14:paraId="1F2D15F0" w14:textId="339A68FC"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820C92">
                        <w:rPr>
                          <w:szCs w:val="20"/>
                        </w:rPr>
                        <w:t>kwietniem</w:t>
                      </w:r>
                      <w:r w:rsidR="005228C2">
                        <w:rPr>
                          <w:szCs w:val="20"/>
                        </w:rPr>
                        <w:t xml:space="preserve"> </w:t>
                      </w:r>
                      <w:r w:rsidR="003D63D6">
                        <w:rPr>
                          <w:szCs w:val="20"/>
                        </w:rPr>
                        <w:t>202</w:t>
                      </w:r>
                      <w:r w:rsidR="008C64D4">
                        <w:rPr>
                          <w:szCs w:val="20"/>
                        </w:rPr>
                        <w:t>4</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BB7A57">
        <w:rPr>
          <w:rFonts w:eastAsia="Times New Roman" w:cs="Times New Roman"/>
          <w:bCs/>
        </w:rPr>
        <w:t xml:space="preserve">w </w:t>
      </w:r>
      <w:r w:rsidR="00820C92">
        <w:rPr>
          <w:rFonts w:eastAsia="Times New Roman" w:cs="Times New Roman"/>
          <w:bCs/>
        </w:rPr>
        <w:t>kwietniu</w:t>
      </w:r>
      <w:r w:rsidR="005228C2">
        <w:rPr>
          <w:rFonts w:eastAsia="Times New Roman" w:cs="Times New Roman"/>
          <w:bCs/>
        </w:rPr>
        <w:t xml:space="preserve"> </w:t>
      </w:r>
      <w:r w:rsidR="003D63D6">
        <w:rPr>
          <w:rFonts w:eastAsia="Times New Roman" w:cs="Times New Roman"/>
          <w:bCs/>
        </w:rPr>
        <w:t>2025</w:t>
      </w:r>
      <w:r w:rsidR="00883E43" w:rsidRPr="0088650D">
        <w:rPr>
          <w:rFonts w:eastAsia="Times New Roman" w:cs="Times New Roman"/>
          <w:bCs/>
        </w:rPr>
        <w:t xml:space="preserve"> r. ceny produkcji sprzedanej przemysłu </w:t>
      </w:r>
      <w:r w:rsidR="00227625">
        <w:rPr>
          <w:spacing w:val="-6"/>
        </w:rPr>
        <w:t>spadły</w:t>
      </w:r>
      <w:r w:rsidR="00BB7A57">
        <w:rPr>
          <w:spacing w:val="-6"/>
        </w:rPr>
        <w:t xml:space="preserve"> </w:t>
      </w:r>
      <w:r w:rsidR="00227625">
        <w:rPr>
          <w:spacing w:val="-6"/>
        </w:rPr>
        <w:t xml:space="preserve">zarówno </w:t>
      </w:r>
      <w:r w:rsidR="000429DE">
        <w:rPr>
          <w:spacing w:val="-6"/>
        </w:rPr>
        <w:t>w</w:t>
      </w:r>
      <w:r w:rsidR="00E907F1">
        <w:rPr>
          <w:spacing w:val="-6"/>
        </w:rPr>
        <w:t xml:space="preserve"> porównaniu </w:t>
      </w:r>
      <w:r w:rsidR="00FB0C8B">
        <w:rPr>
          <w:spacing w:val="-6"/>
        </w:rPr>
        <w:t xml:space="preserve">z </w:t>
      </w:r>
      <w:r w:rsidR="00820C92">
        <w:rPr>
          <w:spacing w:val="-6"/>
        </w:rPr>
        <w:t>marcem</w:t>
      </w:r>
      <w:r w:rsidR="003B7760">
        <w:rPr>
          <w:rFonts w:eastAsia="Times New Roman" w:cs="Times New Roman"/>
          <w:bCs/>
        </w:rPr>
        <w:t xml:space="preserve"> </w:t>
      </w:r>
      <w:r w:rsidR="005228C2">
        <w:rPr>
          <w:rFonts w:eastAsia="Times New Roman" w:cs="Times New Roman"/>
          <w:bCs/>
        </w:rPr>
        <w:t>2025 </w:t>
      </w:r>
      <w:r w:rsidR="00883E43" w:rsidRPr="00370072">
        <w:rPr>
          <w:rFonts w:eastAsia="Times New Roman" w:cs="Times New Roman"/>
          <w:bCs/>
        </w:rPr>
        <w:t>r</w:t>
      </w:r>
      <w:r w:rsidR="00883E43" w:rsidRPr="0052591A">
        <w:rPr>
          <w:rFonts w:eastAsia="Times New Roman" w:cs="Times New Roman"/>
          <w:bCs/>
        </w:rPr>
        <w:t>.</w:t>
      </w:r>
      <w:r w:rsidR="00E907F1" w:rsidRPr="00E907F1">
        <w:rPr>
          <w:spacing w:val="-6"/>
        </w:rPr>
        <w:t xml:space="preserve"> </w:t>
      </w:r>
      <w:r w:rsidR="001702B9">
        <w:rPr>
          <w:spacing w:val="-6"/>
        </w:rPr>
        <w:t>(</w:t>
      </w:r>
      <w:r w:rsidR="00E907F1">
        <w:rPr>
          <w:spacing w:val="-6"/>
        </w:rPr>
        <w:t>o 0,</w:t>
      </w:r>
      <w:r w:rsidR="00BD472C">
        <w:rPr>
          <w:spacing w:val="-6"/>
        </w:rPr>
        <w:t>2</w:t>
      </w:r>
      <w:r w:rsidR="00E907F1">
        <w:rPr>
          <w:spacing w:val="-6"/>
        </w:rPr>
        <w:t>%</w:t>
      </w:r>
      <w:r w:rsidR="001702B9">
        <w:rPr>
          <w:spacing w:val="-6"/>
        </w:rPr>
        <w:t>)</w:t>
      </w:r>
      <w:r w:rsidR="00883E43" w:rsidRPr="0052591A">
        <w:rPr>
          <w:rFonts w:eastAsia="Times New Roman" w:cs="Times New Roman"/>
          <w:bCs/>
        </w:rPr>
        <w:t>,</w:t>
      </w:r>
      <w:r w:rsidR="00883E43" w:rsidRPr="0088650D">
        <w:rPr>
          <w:rFonts w:eastAsia="Times New Roman" w:cs="Times New Roman"/>
          <w:bCs/>
        </w:rPr>
        <w:t xml:space="preserve"> </w:t>
      </w:r>
      <w:r w:rsidR="00227625">
        <w:rPr>
          <w:rFonts w:eastAsia="Times New Roman" w:cs="Times New Roman"/>
          <w:bCs/>
        </w:rPr>
        <w:t>jak</w:t>
      </w:r>
      <w:r w:rsidR="002C7B43">
        <w:rPr>
          <w:rFonts w:eastAsia="Times New Roman" w:cs="Times New Roman"/>
          <w:bCs/>
        </w:rPr>
        <w:t> </w:t>
      </w:r>
      <w:r w:rsidR="00227625">
        <w:rPr>
          <w:rFonts w:eastAsia="Times New Roman" w:cs="Times New Roman"/>
          <w:bCs/>
        </w:rPr>
        <w:t>i</w:t>
      </w:r>
      <w:r w:rsidR="002C7B43">
        <w:rPr>
          <w:rFonts w:eastAsia="Times New Roman" w:cs="Times New Roman"/>
          <w:bCs/>
        </w:rPr>
        <w:t> </w:t>
      </w:r>
      <w:r w:rsidR="00A27168">
        <w:rPr>
          <w:rFonts w:eastAsia="Times New Roman" w:cs="Times New Roman"/>
          <w:bCs/>
        </w:rPr>
        <w:t>z</w:t>
      </w:r>
      <w:r w:rsidR="002C7B43">
        <w:rPr>
          <w:rFonts w:eastAsia="Times New Roman" w:cs="Times New Roman"/>
          <w:bCs/>
        </w:rPr>
        <w:t> </w:t>
      </w:r>
      <w:r w:rsidR="00820C92">
        <w:rPr>
          <w:rFonts w:eastAsia="Times New Roman" w:cs="Times New Roman"/>
          <w:bCs/>
        </w:rPr>
        <w:t>kwietniem</w:t>
      </w:r>
      <w:r w:rsidR="006D75E2">
        <w:rPr>
          <w:rFonts w:eastAsia="Times New Roman" w:cs="Times New Roman"/>
          <w:bCs/>
        </w:rPr>
        <w:t xml:space="preserve"> 2024 r.</w:t>
      </w:r>
      <w:r w:rsidR="00095C4A">
        <w:rPr>
          <w:rFonts w:eastAsia="Times New Roman" w:cs="Times New Roman"/>
          <w:bCs/>
        </w:rPr>
        <w:t xml:space="preserve"> </w:t>
      </w:r>
      <w:r w:rsidR="001702B9">
        <w:rPr>
          <w:rFonts w:eastAsia="Times New Roman" w:cs="Times New Roman"/>
          <w:bCs/>
        </w:rPr>
        <w:t>(</w:t>
      </w:r>
      <w:r w:rsidR="004E74D9">
        <w:rPr>
          <w:rFonts w:eastAsia="Times New Roman" w:cs="Times New Roman"/>
          <w:bCs/>
        </w:rPr>
        <w:t>o</w:t>
      </w:r>
      <w:r w:rsidR="00E907F1">
        <w:rPr>
          <w:rFonts w:eastAsia="Times New Roman" w:cs="Times New Roman"/>
          <w:bCs/>
        </w:rPr>
        <w:t> </w:t>
      </w:r>
      <w:r w:rsidR="005228C2">
        <w:rPr>
          <w:rFonts w:eastAsia="Times New Roman" w:cs="Times New Roman"/>
          <w:bCs/>
        </w:rPr>
        <w:t>1,</w:t>
      </w:r>
      <w:r w:rsidR="00BD472C">
        <w:rPr>
          <w:rFonts w:eastAsia="Times New Roman" w:cs="Times New Roman"/>
          <w:bCs/>
        </w:rPr>
        <w:t>4</w:t>
      </w:r>
      <w:r w:rsidR="00883E43" w:rsidRPr="003B7240">
        <w:rPr>
          <w:rFonts w:eastAsia="Times New Roman" w:cs="Times New Roman"/>
          <w:bCs/>
        </w:rPr>
        <w:t>%</w:t>
      </w:r>
      <w:r w:rsidR="001702B9">
        <w:rPr>
          <w:rFonts w:eastAsia="Times New Roman" w:cs="Times New Roman"/>
          <w:bCs/>
        </w:rPr>
        <w:t>)</w:t>
      </w:r>
      <w:r w:rsidR="00883E43" w:rsidRPr="003B7240">
        <w:rPr>
          <w:rFonts w:eastAsia="Times New Roman" w:cs="Times New Roman"/>
          <w:bCs/>
        </w:rPr>
        <w:t>.</w:t>
      </w:r>
      <w:r w:rsidR="00CB6AD4" w:rsidRPr="00883E43">
        <w:rPr>
          <w:shd w:val="clear" w:color="auto" w:fill="FFFFFF"/>
        </w:rPr>
        <w:br/>
      </w:r>
    </w:p>
    <w:p w14:paraId="15497795" w14:textId="77777777" w:rsidR="00DE6B58" w:rsidRPr="0066387C" w:rsidRDefault="00DE6B58" w:rsidP="00216634">
      <w:pPr>
        <w:spacing w:line="288" w:lineRule="auto"/>
        <w:rPr>
          <w:rFonts w:eastAsia="Times New Roman" w:cs="Times New Roman"/>
          <w:szCs w:val="19"/>
          <w:lang w:eastAsia="pl-PL"/>
        </w:rPr>
      </w:pPr>
    </w:p>
    <w:p w14:paraId="3E7D4215" w14:textId="77777777" w:rsidR="00883E43" w:rsidRPr="0066387C" w:rsidRDefault="00883E43" w:rsidP="00216634">
      <w:pPr>
        <w:spacing w:line="288" w:lineRule="auto"/>
        <w:rPr>
          <w:rFonts w:eastAsia="Times New Roman" w:cs="Times New Roman"/>
          <w:szCs w:val="19"/>
          <w:lang w:eastAsia="pl-PL"/>
        </w:rPr>
      </w:pPr>
    </w:p>
    <w:p w14:paraId="665CE6E2" w14:textId="77777777" w:rsidR="00883E43" w:rsidRPr="00EF3A1D" w:rsidRDefault="00883E43" w:rsidP="00883E43"/>
    <w:p w14:paraId="15126257" w14:textId="1EC6ACC2" w:rsidR="00883E43" w:rsidRDefault="00883E43" w:rsidP="00C57AAC">
      <w:pPr>
        <w:spacing w:line="240" w:lineRule="auto"/>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p>
    <w:tbl>
      <w:tblPr>
        <w:tblStyle w:val="Tabela-Siatka1"/>
        <w:tblW w:w="763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
        <w:tblDescription w:val="Wskaźniki cen produkcji sprzedanej przemysłu w różnych okresach odniesienia: marzec 2025 r. do lutego 2025 r., marzec 2025 r. do analogicznego okresu roku ubiegłego tj. marca 2024 r., kwiecień 2025 r. do analogicznego okresu roku ubiegłego tj. kwietnia 2024 r., kwiecień 2025 r. do marca 2025 r., kwiecień 2025 r. do grudnia 2024 r., narastająco styczeń - kwiecień 2025 r. do stycznia - kwietnia 2024 r."/>
      </w:tblPr>
      <w:tblGrid>
        <w:gridCol w:w="2191"/>
        <w:gridCol w:w="907"/>
        <w:gridCol w:w="907"/>
        <w:gridCol w:w="907"/>
        <w:gridCol w:w="907"/>
        <w:gridCol w:w="907"/>
        <w:gridCol w:w="908"/>
      </w:tblGrid>
      <w:tr w:rsidR="0045581E" w:rsidRPr="00774298" w14:paraId="0B4823E1" w14:textId="77777777" w:rsidTr="000F41EB">
        <w:tc>
          <w:tcPr>
            <w:tcW w:w="2191" w:type="dxa"/>
            <w:vMerge w:val="restart"/>
            <w:tcBorders>
              <w:top w:val="single" w:sz="4" w:space="0" w:color="auto"/>
            </w:tcBorders>
            <w:vAlign w:val="center"/>
          </w:tcPr>
          <w:p w14:paraId="7C4D2369" w14:textId="57F7409E" w:rsidR="0045581E" w:rsidRDefault="002E4BDC" w:rsidP="00717D68">
            <w:pPr>
              <w:jc w:val="center"/>
              <w:rPr>
                <w:shd w:val="clear" w:color="auto" w:fill="FFFFFF"/>
              </w:rPr>
            </w:pPr>
            <w:r w:rsidRPr="009C7251">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vAlign w:val="center"/>
          </w:tcPr>
          <w:p w14:paraId="365468A2" w14:textId="352A0F84" w:rsidR="0045581E" w:rsidRPr="00774298" w:rsidRDefault="0045581E" w:rsidP="00152CEF">
            <w:pPr>
              <w:jc w:val="center"/>
              <w:rPr>
                <w:shd w:val="clear" w:color="auto" w:fill="FFFFFF"/>
              </w:rPr>
            </w:pPr>
            <w:r>
              <w:rPr>
                <w:color w:val="000000" w:themeColor="text1"/>
                <w:sz w:val="16"/>
                <w:szCs w:val="16"/>
              </w:rPr>
              <w:t>0</w:t>
            </w:r>
            <w:r w:rsidR="00820C92">
              <w:rPr>
                <w:color w:val="000000" w:themeColor="text1"/>
                <w:sz w:val="16"/>
                <w:szCs w:val="16"/>
              </w:rPr>
              <w:t>3</w:t>
            </w:r>
            <w:r w:rsidRPr="00774298">
              <w:rPr>
                <w:color w:val="000000" w:themeColor="text1"/>
                <w:sz w:val="16"/>
                <w:szCs w:val="16"/>
              </w:rPr>
              <w:t xml:space="preserve"> 202</w:t>
            </w:r>
            <w:r>
              <w:rPr>
                <w:color w:val="000000" w:themeColor="text1"/>
                <w:sz w:val="16"/>
                <w:szCs w:val="16"/>
              </w:rPr>
              <w:t>5</w:t>
            </w:r>
          </w:p>
        </w:tc>
        <w:tc>
          <w:tcPr>
            <w:tcW w:w="2721" w:type="dxa"/>
            <w:gridSpan w:val="3"/>
            <w:tcBorders>
              <w:top w:val="single" w:sz="4" w:space="0" w:color="auto"/>
              <w:bottom w:val="single" w:sz="4" w:space="0" w:color="001D77"/>
            </w:tcBorders>
            <w:vAlign w:val="center"/>
          </w:tcPr>
          <w:p w14:paraId="0A5DAC64" w14:textId="5AE8CAEB" w:rsidR="0045581E" w:rsidRPr="00774298" w:rsidRDefault="0045581E">
            <w:pPr>
              <w:jc w:val="center"/>
              <w:rPr>
                <w:color w:val="000000" w:themeColor="text1"/>
                <w:sz w:val="16"/>
                <w:szCs w:val="16"/>
              </w:rPr>
            </w:pPr>
            <w:r>
              <w:rPr>
                <w:color w:val="000000" w:themeColor="text1"/>
                <w:sz w:val="16"/>
                <w:szCs w:val="16"/>
              </w:rPr>
              <w:t>0</w:t>
            </w:r>
            <w:r w:rsidR="00820C92">
              <w:rPr>
                <w:color w:val="000000" w:themeColor="text1"/>
                <w:sz w:val="16"/>
                <w:szCs w:val="16"/>
              </w:rPr>
              <w:t>4</w:t>
            </w:r>
            <w:r w:rsidRPr="00774298">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tcPr>
          <w:p w14:paraId="4F8D410E" w14:textId="14583501" w:rsidR="0045581E" w:rsidRDefault="0045581E" w:rsidP="00717D68">
            <w:pPr>
              <w:jc w:val="center"/>
              <w:rPr>
                <w:color w:val="000000" w:themeColor="text1"/>
                <w:sz w:val="16"/>
                <w:szCs w:val="16"/>
              </w:rPr>
            </w:pPr>
            <w:r>
              <w:rPr>
                <w:color w:val="000000" w:themeColor="text1"/>
                <w:sz w:val="16"/>
                <w:szCs w:val="16"/>
              </w:rPr>
              <w:t>01</w:t>
            </w:r>
            <w:r w:rsidR="00DA4649">
              <w:rPr>
                <w:color w:val="000000" w:themeColor="text1"/>
                <w:sz w:val="16"/>
                <w:szCs w:val="16"/>
              </w:rPr>
              <w:t>‒</w:t>
            </w:r>
            <w:r>
              <w:rPr>
                <w:color w:val="000000" w:themeColor="text1"/>
                <w:sz w:val="16"/>
                <w:szCs w:val="16"/>
              </w:rPr>
              <w:t>0</w:t>
            </w:r>
            <w:r w:rsidR="00820C92">
              <w:rPr>
                <w:color w:val="000000" w:themeColor="text1"/>
                <w:sz w:val="16"/>
                <w:szCs w:val="16"/>
              </w:rPr>
              <w:t>4</w:t>
            </w:r>
            <w:r w:rsidRPr="00774298">
              <w:rPr>
                <w:color w:val="000000" w:themeColor="text1"/>
                <w:sz w:val="16"/>
                <w:szCs w:val="16"/>
              </w:rPr>
              <w:t xml:space="preserve"> 202</w:t>
            </w:r>
            <w:r>
              <w:rPr>
                <w:color w:val="000000" w:themeColor="text1"/>
                <w:sz w:val="16"/>
                <w:szCs w:val="16"/>
              </w:rPr>
              <w:t>5</w:t>
            </w:r>
          </w:p>
        </w:tc>
      </w:tr>
      <w:tr w:rsidR="0045581E" w:rsidRPr="00774298" w14:paraId="1B0CB28A" w14:textId="77777777" w:rsidTr="0045581E">
        <w:tc>
          <w:tcPr>
            <w:tcW w:w="2191" w:type="dxa"/>
            <w:vMerge/>
            <w:tcBorders>
              <w:bottom w:val="single" w:sz="12" w:space="0" w:color="001D77"/>
            </w:tcBorders>
          </w:tcPr>
          <w:p w14:paraId="3176FB98" w14:textId="77777777" w:rsidR="0045581E" w:rsidRDefault="0045581E" w:rsidP="00717D68">
            <w:pPr>
              <w:jc w:val="center"/>
              <w:rPr>
                <w:shd w:val="clear" w:color="auto" w:fill="FFFFFF"/>
              </w:rPr>
            </w:pPr>
          </w:p>
        </w:tc>
        <w:tc>
          <w:tcPr>
            <w:tcW w:w="907" w:type="dxa"/>
            <w:tcBorders>
              <w:top w:val="single" w:sz="4" w:space="0" w:color="001D77"/>
              <w:bottom w:val="single" w:sz="12" w:space="0" w:color="001D77"/>
            </w:tcBorders>
            <w:vAlign w:val="center"/>
          </w:tcPr>
          <w:p w14:paraId="3C9EBAC7" w14:textId="61586B67" w:rsidR="0045581E" w:rsidRPr="00211BF5" w:rsidRDefault="00FB0C8B" w:rsidP="00717D68">
            <w:pPr>
              <w:jc w:val="center"/>
              <w:rPr>
                <w:color w:val="000000" w:themeColor="text1"/>
                <w:sz w:val="16"/>
                <w:szCs w:val="16"/>
              </w:rPr>
            </w:pPr>
            <w:r>
              <w:rPr>
                <w:color w:val="000000" w:themeColor="text1"/>
                <w:sz w:val="16"/>
                <w:szCs w:val="16"/>
              </w:rPr>
              <w:t>0</w:t>
            </w:r>
            <w:r w:rsidR="00820C92">
              <w:rPr>
                <w:color w:val="000000" w:themeColor="text1"/>
                <w:sz w:val="16"/>
                <w:szCs w:val="16"/>
              </w:rPr>
              <w:t>2</w:t>
            </w:r>
            <w:r>
              <w:rPr>
                <w:color w:val="000000" w:themeColor="text1"/>
                <w:sz w:val="16"/>
                <w:szCs w:val="16"/>
              </w:rPr>
              <w:t xml:space="preserve"> 2025</w:t>
            </w:r>
            <w:r w:rsidR="0045581E" w:rsidRPr="00211BF5">
              <w:rPr>
                <w:color w:val="000000" w:themeColor="text1"/>
                <w:sz w:val="16"/>
                <w:szCs w:val="16"/>
              </w:rPr>
              <w:t>=100</w:t>
            </w:r>
          </w:p>
        </w:tc>
        <w:tc>
          <w:tcPr>
            <w:tcW w:w="1814" w:type="dxa"/>
            <w:gridSpan w:val="2"/>
            <w:tcBorders>
              <w:top w:val="single" w:sz="4" w:space="0" w:color="001D77"/>
              <w:bottom w:val="single" w:sz="12" w:space="0" w:color="001D77"/>
            </w:tcBorders>
            <w:vAlign w:val="center"/>
          </w:tcPr>
          <w:p w14:paraId="307045DA" w14:textId="77777777" w:rsidR="0045581E" w:rsidRPr="00774298" w:rsidRDefault="0045581E" w:rsidP="00717D68">
            <w:pPr>
              <w:spacing w:after="0"/>
              <w:jc w:val="center"/>
              <w:rPr>
                <w:color w:val="000000" w:themeColor="text1"/>
                <w:sz w:val="16"/>
                <w:szCs w:val="16"/>
              </w:rPr>
            </w:pPr>
            <w:r w:rsidRPr="00774298">
              <w:rPr>
                <w:color w:val="000000" w:themeColor="text1"/>
                <w:sz w:val="16"/>
                <w:szCs w:val="16"/>
              </w:rPr>
              <w:t>analogiczny okres</w:t>
            </w:r>
          </w:p>
          <w:p w14:paraId="5E3482B4" w14:textId="20E016E1" w:rsidR="0045581E" w:rsidRPr="00211BF5" w:rsidRDefault="0045581E" w:rsidP="00717D68">
            <w:pPr>
              <w:spacing w:before="0"/>
              <w:jc w:val="center"/>
              <w:rPr>
                <w:color w:val="000000" w:themeColor="text1"/>
                <w:sz w:val="16"/>
                <w:szCs w:val="16"/>
              </w:rPr>
            </w:pPr>
            <w:r w:rsidRPr="00774298">
              <w:rPr>
                <w:color w:val="000000" w:themeColor="text1"/>
                <w:sz w:val="16"/>
                <w:szCs w:val="16"/>
              </w:rPr>
              <w:t>20</w:t>
            </w:r>
            <w:r>
              <w:rPr>
                <w:color w:val="000000" w:themeColor="text1"/>
                <w:sz w:val="16"/>
                <w:szCs w:val="16"/>
              </w:rPr>
              <w:t>24</w:t>
            </w:r>
            <w:r w:rsidRPr="00774298">
              <w:rPr>
                <w:color w:val="000000" w:themeColor="text1"/>
                <w:sz w:val="16"/>
                <w:szCs w:val="16"/>
              </w:rPr>
              <w:t>=100</w:t>
            </w:r>
          </w:p>
        </w:tc>
        <w:tc>
          <w:tcPr>
            <w:tcW w:w="907" w:type="dxa"/>
            <w:tcBorders>
              <w:top w:val="single" w:sz="4" w:space="0" w:color="001D77"/>
              <w:bottom w:val="single" w:sz="12" w:space="0" w:color="001D77"/>
            </w:tcBorders>
            <w:vAlign w:val="center"/>
          </w:tcPr>
          <w:p w14:paraId="1F870A4F" w14:textId="7C4AC66F" w:rsidR="0045581E" w:rsidRPr="00211BF5" w:rsidRDefault="0045581E" w:rsidP="00717D68">
            <w:pPr>
              <w:jc w:val="center"/>
              <w:rPr>
                <w:color w:val="000000" w:themeColor="text1"/>
                <w:sz w:val="16"/>
                <w:szCs w:val="16"/>
              </w:rPr>
            </w:pPr>
            <w:r>
              <w:rPr>
                <w:color w:val="000000" w:themeColor="text1"/>
                <w:sz w:val="16"/>
                <w:szCs w:val="16"/>
              </w:rPr>
              <w:t>0</w:t>
            </w:r>
            <w:r w:rsidR="00820C92">
              <w:rPr>
                <w:color w:val="000000" w:themeColor="text1"/>
                <w:sz w:val="16"/>
                <w:szCs w:val="16"/>
              </w:rPr>
              <w:t>3</w:t>
            </w:r>
            <w:r>
              <w:rPr>
                <w:color w:val="000000" w:themeColor="text1"/>
                <w:sz w:val="16"/>
                <w:szCs w:val="16"/>
              </w:rPr>
              <w:t xml:space="preserve"> </w:t>
            </w:r>
            <w:r w:rsidRPr="00482FEF">
              <w:rPr>
                <w:color w:val="000000" w:themeColor="text1"/>
                <w:sz w:val="16"/>
                <w:szCs w:val="16"/>
              </w:rPr>
              <w:t>202</w:t>
            </w:r>
            <w:r>
              <w:rPr>
                <w:color w:val="000000" w:themeColor="text1"/>
                <w:sz w:val="16"/>
                <w:szCs w:val="16"/>
              </w:rPr>
              <w:t>5</w:t>
            </w:r>
            <w:r w:rsidRPr="00482FEF">
              <w:rPr>
                <w:color w:val="000000" w:themeColor="text1"/>
                <w:sz w:val="16"/>
                <w:szCs w:val="16"/>
              </w:rPr>
              <w:t>=100</w:t>
            </w:r>
          </w:p>
        </w:tc>
        <w:tc>
          <w:tcPr>
            <w:tcW w:w="907" w:type="dxa"/>
            <w:tcBorders>
              <w:top w:val="single" w:sz="4" w:space="0" w:color="001D77"/>
              <w:bottom w:val="single" w:sz="12" w:space="0" w:color="001D77"/>
            </w:tcBorders>
            <w:vAlign w:val="center"/>
          </w:tcPr>
          <w:p w14:paraId="1AA34727" w14:textId="18EBAC8E" w:rsidR="0045581E" w:rsidRPr="00C57AAC" w:rsidRDefault="0045581E" w:rsidP="00717D68">
            <w:pPr>
              <w:jc w:val="center"/>
              <w:rPr>
                <w:color w:val="000000" w:themeColor="text1"/>
                <w:sz w:val="16"/>
                <w:szCs w:val="16"/>
              </w:rPr>
            </w:pPr>
            <w:r w:rsidRPr="00211BF5">
              <w:rPr>
                <w:color w:val="000000" w:themeColor="text1"/>
                <w:sz w:val="16"/>
                <w:szCs w:val="16"/>
              </w:rPr>
              <w:t>12 2024=100</w:t>
            </w:r>
          </w:p>
        </w:tc>
        <w:tc>
          <w:tcPr>
            <w:tcW w:w="908" w:type="dxa"/>
            <w:tcBorders>
              <w:top w:val="single" w:sz="4" w:space="0" w:color="001D77"/>
              <w:bottom w:val="single" w:sz="12" w:space="0" w:color="001D77"/>
            </w:tcBorders>
          </w:tcPr>
          <w:p w14:paraId="74DE2D5E" w14:textId="3680A564" w:rsidR="0045581E" w:rsidRDefault="0045581E" w:rsidP="00717D68">
            <w:pPr>
              <w:jc w:val="center"/>
              <w:rPr>
                <w:color w:val="000000" w:themeColor="text1"/>
                <w:sz w:val="16"/>
                <w:szCs w:val="16"/>
              </w:rPr>
            </w:pPr>
            <w:r>
              <w:rPr>
                <w:color w:val="000000" w:themeColor="text1"/>
                <w:sz w:val="16"/>
                <w:szCs w:val="16"/>
              </w:rPr>
              <w:t>01</w:t>
            </w:r>
            <w:r w:rsidR="00DA4649">
              <w:rPr>
                <w:color w:val="000000" w:themeColor="text1"/>
                <w:sz w:val="16"/>
                <w:szCs w:val="16"/>
              </w:rPr>
              <w:t>‒</w:t>
            </w:r>
            <w:r>
              <w:rPr>
                <w:color w:val="000000" w:themeColor="text1"/>
                <w:sz w:val="16"/>
                <w:szCs w:val="16"/>
              </w:rPr>
              <w:t>0</w:t>
            </w:r>
            <w:r w:rsidR="00820C92">
              <w:rPr>
                <w:color w:val="000000" w:themeColor="text1"/>
                <w:sz w:val="16"/>
                <w:szCs w:val="16"/>
              </w:rPr>
              <w:t>4</w:t>
            </w:r>
            <w:r w:rsidRPr="00774298">
              <w:rPr>
                <w:color w:val="000000" w:themeColor="text1"/>
                <w:sz w:val="16"/>
                <w:szCs w:val="16"/>
              </w:rPr>
              <w:t xml:space="preserve"> 20</w:t>
            </w:r>
            <w:r>
              <w:rPr>
                <w:color w:val="000000" w:themeColor="text1"/>
                <w:sz w:val="16"/>
                <w:szCs w:val="16"/>
              </w:rPr>
              <w:t>24</w:t>
            </w:r>
            <w:r w:rsidRPr="00774298">
              <w:rPr>
                <w:color w:val="000000" w:themeColor="text1"/>
                <w:sz w:val="16"/>
                <w:szCs w:val="16"/>
              </w:rPr>
              <w:t>=100</w:t>
            </w:r>
          </w:p>
        </w:tc>
      </w:tr>
      <w:tr w:rsidR="00820C92" w:rsidRPr="00991B7A" w14:paraId="79D117C4" w14:textId="77777777" w:rsidTr="00CD311A">
        <w:tc>
          <w:tcPr>
            <w:tcW w:w="2191" w:type="dxa"/>
          </w:tcPr>
          <w:p w14:paraId="21275DD9" w14:textId="77777777" w:rsidR="00820C92" w:rsidRPr="000F41EB" w:rsidRDefault="00820C92" w:rsidP="00820C92">
            <w:pPr>
              <w:rPr>
                <w:b/>
                <w:shd w:val="clear" w:color="auto" w:fill="FFFFFF"/>
              </w:rPr>
            </w:pPr>
            <w:r w:rsidRPr="000F41EB">
              <w:rPr>
                <w:b/>
                <w:color w:val="000000" w:themeColor="text1"/>
                <w:sz w:val="16"/>
                <w:szCs w:val="16"/>
              </w:rPr>
              <w:t>Ogółem</w:t>
            </w:r>
          </w:p>
        </w:tc>
        <w:tc>
          <w:tcPr>
            <w:tcW w:w="907" w:type="dxa"/>
            <w:vAlign w:val="center"/>
          </w:tcPr>
          <w:p w14:paraId="7E480979" w14:textId="5D73E622" w:rsidR="00820C92" w:rsidRPr="000F41EB" w:rsidRDefault="00820C92" w:rsidP="00820C92">
            <w:pPr>
              <w:jc w:val="right"/>
              <w:rPr>
                <w:rFonts w:cs="Arial"/>
                <w:b/>
                <w:color w:val="000000" w:themeColor="text1"/>
                <w:sz w:val="16"/>
                <w:szCs w:val="16"/>
              </w:rPr>
            </w:pPr>
            <w:r w:rsidRPr="000F41EB">
              <w:rPr>
                <w:rFonts w:cs="Arial"/>
                <w:b/>
                <w:color w:val="000000" w:themeColor="text1"/>
                <w:sz w:val="16"/>
                <w:szCs w:val="16"/>
              </w:rPr>
              <w:t>99,</w:t>
            </w:r>
            <w:r w:rsidR="00BD472C">
              <w:rPr>
                <w:rFonts w:cs="Arial"/>
                <w:b/>
                <w:color w:val="000000" w:themeColor="text1"/>
                <w:sz w:val="16"/>
                <w:szCs w:val="16"/>
              </w:rPr>
              <w:t>8*</w:t>
            </w:r>
          </w:p>
        </w:tc>
        <w:tc>
          <w:tcPr>
            <w:tcW w:w="907" w:type="dxa"/>
            <w:vAlign w:val="center"/>
          </w:tcPr>
          <w:p w14:paraId="2CA05747" w14:textId="75E4A6E9" w:rsidR="00820C92" w:rsidRPr="000F41EB" w:rsidRDefault="00BD472C" w:rsidP="00820C92">
            <w:pPr>
              <w:jc w:val="right"/>
              <w:rPr>
                <w:rFonts w:cs="Arial"/>
                <w:b/>
                <w:color w:val="000000" w:themeColor="text1"/>
                <w:sz w:val="16"/>
                <w:szCs w:val="16"/>
              </w:rPr>
            </w:pPr>
            <w:r>
              <w:rPr>
                <w:rFonts w:cs="Arial"/>
                <w:b/>
                <w:color w:val="000000" w:themeColor="text1"/>
                <w:sz w:val="16"/>
                <w:szCs w:val="16"/>
              </w:rPr>
              <w:t>99,0*</w:t>
            </w:r>
          </w:p>
        </w:tc>
        <w:tc>
          <w:tcPr>
            <w:tcW w:w="907" w:type="dxa"/>
            <w:vAlign w:val="center"/>
          </w:tcPr>
          <w:p w14:paraId="1E40FD10" w14:textId="722FF52F" w:rsidR="00820C92" w:rsidRPr="000F41EB" w:rsidRDefault="00BD472C" w:rsidP="00820C92">
            <w:pPr>
              <w:jc w:val="right"/>
              <w:rPr>
                <w:rFonts w:cs="Arial"/>
                <w:b/>
                <w:color w:val="000000" w:themeColor="text1"/>
                <w:sz w:val="16"/>
                <w:szCs w:val="16"/>
              </w:rPr>
            </w:pPr>
            <w:r>
              <w:rPr>
                <w:rFonts w:cs="Arial"/>
                <w:b/>
                <w:color w:val="000000" w:themeColor="text1"/>
                <w:sz w:val="16"/>
                <w:szCs w:val="16"/>
              </w:rPr>
              <w:t>98,6</w:t>
            </w:r>
          </w:p>
        </w:tc>
        <w:tc>
          <w:tcPr>
            <w:tcW w:w="907" w:type="dxa"/>
            <w:vAlign w:val="center"/>
          </w:tcPr>
          <w:p w14:paraId="3E39001E" w14:textId="23D79F20" w:rsidR="00820C92" w:rsidRPr="000F41EB" w:rsidRDefault="00BD472C" w:rsidP="00820C92">
            <w:pPr>
              <w:jc w:val="right"/>
              <w:rPr>
                <w:rFonts w:cs="Arial"/>
                <w:b/>
                <w:color w:val="000000" w:themeColor="text1"/>
                <w:sz w:val="16"/>
                <w:szCs w:val="16"/>
              </w:rPr>
            </w:pPr>
            <w:r>
              <w:rPr>
                <w:rFonts w:cs="Arial"/>
                <w:b/>
                <w:color w:val="000000" w:themeColor="text1"/>
                <w:sz w:val="16"/>
                <w:szCs w:val="16"/>
              </w:rPr>
              <w:t>99,8</w:t>
            </w:r>
          </w:p>
        </w:tc>
        <w:tc>
          <w:tcPr>
            <w:tcW w:w="907" w:type="dxa"/>
            <w:vAlign w:val="center"/>
          </w:tcPr>
          <w:p w14:paraId="2BC6464F" w14:textId="41374A12" w:rsidR="00820C92" w:rsidRPr="000F41EB" w:rsidRDefault="00BD472C" w:rsidP="00820C92">
            <w:pPr>
              <w:jc w:val="right"/>
              <w:rPr>
                <w:rFonts w:cs="Arial"/>
                <w:b/>
                <w:color w:val="000000" w:themeColor="text1"/>
                <w:sz w:val="16"/>
                <w:szCs w:val="16"/>
              </w:rPr>
            </w:pPr>
            <w:r>
              <w:rPr>
                <w:rFonts w:cs="Arial"/>
                <w:b/>
                <w:color w:val="000000" w:themeColor="text1"/>
                <w:sz w:val="16"/>
                <w:szCs w:val="16"/>
              </w:rPr>
              <w:t>99,2</w:t>
            </w:r>
          </w:p>
        </w:tc>
        <w:tc>
          <w:tcPr>
            <w:tcW w:w="908" w:type="dxa"/>
            <w:vAlign w:val="center"/>
          </w:tcPr>
          <w:p w14:paraId="0DAC6EB1" w14:textId="7C8BAE2A" w:rsidR="00820C92" w:rsidRPr="000F41EB" w:rsidRDefault="00BD472C" w:rsidP="00820C92">
            <w:pPr>
              <w:jc w:val="right"/>
              <w:rPr>
                <w:rFonts w:cs="Arial"/>
                <w:b/>
                <w:color w:val="000000" w:themeColor="text1"/>
                <w:sz w:val="16"/>
                <w:szCs w:val="16"/>
              </w:rPr>
            </w:pPr>
            <w:r>
              <w:rPr>
                <w:rFonts w:cs="Arial"/>
                <w:b/>
                <w:color w:val="000000" w:themeColor="text1"/>
                <w:sz w:val="16"/>
                <w:szCs w:val="16"/>
              </w:rPr>
              <w:t>98,8</w:t>
            </w:r>
          </w:p>
        </w:tc>
      </w:tr>
      <w:tr w:rsidR="00820C92" w:rsidRPr="00991B7A" w14:paraId="4D791048" w14:textId="77777777" w:rsidTr="00CD311A">
        <w:tc>
          <w:tcPr>
            <w:tcW w:w="2191" w:type="dxa"/>
          </w:tcPr>
          <w:p w14:paraId="126D012B" w14:textId="77777777" w:rsidR="00820C92" w:rsidRDefault="00820C92" w:rsidP="00820C92">
            <w:pPr>
              <w:rPr>
                <w:shd w:val="clear" w:color="auto" w:fill="FFFFFF"/>
              </w:rPr>
            </w:pPr>
            <w:r w:rsidRPr="001717B6">
              <w:rPr>
                <w:color w:val="000000" w:themeColor="text1"/>
                <w:sz w:val="16"/>
                <w:szCs w:val="16"/>
                <w:lang w:val="en-US"/>
              </w:rPr>
              <w:t>Górnictwo i wydobywanie</w:t>
            </w:r>
          </w:p>
        </w:tc>
        <w:tc>
          <w:tcPr>
            <w:tcW w:w="907" w:type="dxa"/>
            <w:vAlign w:val="center"/>
          </w:tcPr>
          <w:p w14:paraId="7AD28D7C" w14:textId="5CBD7C7F" w:rsidR="00820C92" w:rsidRPr="00991B7A" w:rsidRDefault="00820C92" w:rsidP="00820C92">
            <w:pPr>
              <w:jc w:val="right"/>
              <w:rPr>
                <w:rFonts w:cs="Arial"/>
                <w:color w:val="000000" w:themeColor="text1"/>
                <w:sz w:val="16"/>
                <w:szCs w:val="16"/>
              </w:rPr>
            </w:pPr>
            <w:r>
              <w:rPr>
                <w:rFonts w:cs="Arial"/>
                <w:color w:val="000000" w:themeColor="text1"/>
                <w:sz w:val="16"/>
                <w:szCs w:val="16"/>
              </w:rPr>
              <w:t>100,</w:t>
            </w:r>
            <w:r w:rsidR="00BD472C">
              <w:rPr>
                <w:rFonts w:cs="Arial"/>
                <w:color w:val="000000" w:themeColor="text1"/>
                <w:sz w:val="16"/>
                <w:szCs w:val="16"/>
              </w:rPr>
              <w:t>2*</w:t>
            </w:r>
          </w:p>
        </w:tc>
        <w:tc>
          <w:tcPr>
            <w:tcW w:w="907" w:type="dxa"/>
            <w:vAlign w:val="center"/>
          </w:tcPr>
          <w:p w14:paraId="7A8AB718" w14:textId="2827DFCB" w:rsidR="00820C92" w:rsidRPr="00991B7A" w:rsidRDefault="00820C92" w:rsidP="00820C92">
            <w:pPr>
              <w:jc w:val="right"/>
              <w:rPr>
                <w:rFonts w:cs="Arial"/>
                <w:color w:val="000000" w:themeColor="text1"/>
                <w:sz w:val="16"/>
                <w:szCs w:val="16"/>
              </w:rPr>
            </w:pPr>
            <w:r>
              <w:rPr>
                <w:rFonts w:cs="Arial"/>
                <w:color w:val="000000" w:themeColor="text1"/>
                <w:sz w:val="16"/>
                <w:szCs w:val="16"/>
              </w:rPr>
              <w:t>9</w:t>
            </w:r>
            <w:r w:rsidR="00BD472C">
              <w:rPr>
                <w:rFonts w:cs="Arial"/>
                <w:color w:val="000000" w:themeColor="text1"/>
                <w:sz w:val="16"/>
                <w:szCs w:val="16"/>
              </w:rPr>
              <w:t>8,0*</w:t>
            </w:r>
          </w:p>
        </w:tc>
        <w:tc>
          <w:tcPr>
            <w:tcW w:w="907" w:type="dxa"/>
            <w:vAlign w:val="center"/>
          </w:tcPr>
          <w:p w14:paraId="369F0709" w14:textId="28DEFE25" w:rsidR="00820C92" w:rsidRPr="00991B7A" w:rsidRDefault="00BD472C" w:rsidP="00820C92">
            <w:pPr>
              <w:jc w:val="right"/>
              <w:rPr>
                <w:rFonts w:cs="Arial"/>
                <w:color w:val="000000" w:themeColor="text1"/>
                <w:sz w:val="16"/>
                <w:szCs w:val="16"/>
              </w:rPr>
            </w:pPr>
            <w:r>
              <w:rPr>
                <w:rFonts w:cs="Arial"/>
                <w:color w:val="000000" w:themeColor="text1"/>
                <w:sz w:val="16"/>
                <w:szCs w:val="16"/>
              </w:rPr>
              <w:t>91,6</w:t>
            </w:r>
          </w:p>
        </w:tc>
        <w:tc>
          <w:tcPr>
            <w:tcW w:w="907" w:type="dxa"/>
            <w:vAlign w:val="center"/>
          </w:tcPr>
          <w:p w14:paraId="0DDDACBB" w14:textId="7F554629" w:rsidR="00820C92" w:rsidRPr="00991B7A" w:rsidRDefault="00BD472C" w:rsidP="00820C92">
            <w:pPr>
              <w:jc w:val="right"/>
              <w:rPr>
                <w:rFonts w:cs="Arial"/>
                <w:color w:val="000000" w:themeColor="text1"/>
                <w:sz w:val="16"/>
                <w:szCs w:val="16"/>
              </w:rPr>
            </w:pPr>
            <w:r>
              <w:rPr>
                <w:rFonts w:cs="Arial"/>
                <w:color w:val="000000" w:themeColor="text1"/>
                <w:sz w:val="16"/>
                <w:szCs w:val="16"/>
              </w:rPr>
              <w:t>97,5</w:t>
            </w:r>
          </w:p>
        </w:tc>
        <w:tc>
          <w:tcPr>
            <w:tcW w:w="907" w:type="dxa"/>
            <w:vAlign w:val="center"/>
          </w:tcPr>
          <w:p w14:paraId="0C3827DA" w14:textId="032140B3" w:rsidR="00820C92" w:rsidRPr="00991B7A" w:rsidRDefault="00BD472C" w:rsidP="00820C92">
            <w:pPr>
              <w:jc w:val="right"/>
              <w:rPr>
                <w:rFonts w:cs="Arial"/>
                <w:color w:val="000000" w:themeColor="text1"/>
                <w:sz w:val="16"/>
                <w:szCs w:val="16"/>
              </w:rPr>
            </w:pPr>
            <w:r>
              <w:rPr>
                <w:rFonts w:cs="Arial"/>
                <w:color w:val="000000" w:themeColor="text1"/>
                <w:sz w:val="16"/>
                <w:szCs w:val="16"/>
              </w:rPr>
              <w:t>96,6</w:t>
            </w:r>
          </w:p>
        </w:tc>
        <w:tc>
          <w:tcPr>
            <w:tcW w:w="908" w:type="dxa"/>
            <w:vAlign w:val="center"/>
          </w:tcPr>
          <w:p w14:paraId="1484CA39" w14:textId="0270F257" w:rsidR="00820C92" w:rsidRDefault="00BD472C" w:rsidP="00820C92">
            <w:pPr>
              <w:jc w:val="right"/>
              <w:rPr>
                <w:rFonts w:cs="Arial"/>
                <w:color w:val="000000" w:themeColor="text1"/>
                <w:sz w:val="16"/>
                <w:szCs w:val="16"/>
              </w:rPr>
            </w:pPr>
            <w:r>
              <w:rPr>
                <w:rFonts w:cs="Arial"/>
                <w:color w:val="000000" w:themeColor="text1"/>
                <w:sz w:val="16"/>
                <w:szCs w:val="16"/>
              </w:rPr>
              <w:t>96,5</w:t>
            </w:r>
          </w:p>
        </w:tc>
      </w:tr>
      <w:tr w:rsidR="00820C92" w:rsidRPr="00991B7A" w14:paraId="7E7FEB3D" w14:textId="77777777" w:rsidTr="00CD311A">
        <w:tc>
          <w:tcPr>
            <w:tcW w:w="2191" w:type="dxa"/>
          </w:tcPr>
          <w:p w14:paraId="5BF3231B" w14:textId="77777777" w:rsidR="00820C92" w:rsidRDefault="00820C92" w:rsidP="00820C92">
            <w:pPr>
              <w:rPr>
                <w:shd w:val="clear" w:color="auto" w:fill="FFFFFF"/>
              </w:rPr>
            </w:pPr>
            <w:r w:rsidRPr="001717B6">
              <w:rPr>
                <w:color w:val="000000" w:themeColor="text1"/>
                <w:sz w:val="16"/>
                <w:szCs w:val="16"/>
                <w:lang w:val="en-US"/>
              </w:rPr>
              <w:t>Przetwórstwo przemysłowe</w:t>
            </w:r>
          </w:p>
        </w:tc>
        <w:tc>
          <w:tcPr>
            <w:tcW w:w="907" w:type="dxa"/>
            <w:vAlign w:val="center"/>
          </w:tcPr>
          <w:p w14:paraId="199699F4" w14:textId="12A04538" w:rsidR="00820C92" w:rsidRPr="00991B7A" w:rsidRDefault="00820C92" w:rsidP="00820C92">
            <w:pPr>
              <w:jc w:val="right"/>
              <w:rPr>
                <w:rFonts w:cs="Arial"/>
                <w:color w:val="000000" w:themeColor="text1"/>
                <w:sz w:val="16"/>
                <w:szCs w:val="16"/>
              </w:rPr>
            </w:pPr>
            <w:r>
              <w:rPr>
                <w:rFonts w:cs="Arial"/>
                <w:color w:val="000000" w:themeColor="text1"/>
                <w:sz w:val="16"/>
                <w:szCs w:val="16"/>
              </w:rPr>
              <w:t>99,8</w:t>
            </w:r>
          </w:p>
        </w:tc>
        <w:tc>
          <w:tcPr>
            <w:tcW w:w="907" w:type="dxa"/>
            <w:vAlign w:val="center"/>
          </w:tcPr>
          <w:p w14:paraId="419CE2A2" w14:textId="0D31035F" w:rsidR="00820C92" w:rsidRPr="00991B7A" w:rsidRDefault="00820C92" w:rsidP="00820C92">
            <w:pPr>
              <w:jc w:val="right"/>
              <w:rPr>
                <w:rFonts w:cs="Arial"/>
                <w:color w:val="000000" w:themeColor="text1"/>
                <w:sz w:val="16"/>
                <w:szCs w:val="16"/>
              </w:rPr>
            </w:pPr>
            <w:r>
              <w:rPr>
                <w:rFonts w:cs="Arial"/>
                <w:color w:val="000000" w:themeColor="text1"/>
                <w:sz w:val="16"/>
                <w:szCs w:val="16"/>
              </w:rPr>
              <w:t>98,7</w:t>
            </w:r>
          </w:p>
        </w:tc>
        <w:tc>
          <w:tcPr>
            <w:tcW w:w="907" w:type="dxa"/>
            <w:vAlign w:val="center"/>
          </w:tcPr>
          <w:p w14:paraId="3AAF3526" w14:textId="20A14A2F" w:rsidR="00820C92" w:rsidRPr="00991B7A" w:rsidRDefault="00BD472C" w:rsidP="00820C92">
            <w:pPr>
              <w:jc w:val="right"/>
              <w:rPr>
                <w:rFonts w:cs="Arial"/>
                <w:color w:val="000000" w:themeColor="text1"/>
                <w:sz w:val="16"/>
                <w:szCs w:val="16"/>
              </w:rPr>
            </w:pPr>
            <w:r>
              <w:rPr>
                <w:rFonts w:cs="Arial"/>
                <w:color w:val="000000" w:themeColor="text1"/>
                <w:sz w:val="16"/>
                <w:szCs w:val="16"/>
              </w:rPr>
              <w:t>98,6</w:t>
            </w:r>
          </w:p>
        </w:tc>
        <w:tc>
          <w:tcPr>
            <w:tcW w:w="907" w:type="dxa"/>
            <w:vAlign w:val="center"/>
          </w:tcPr>
          <w:p w14:paraId="6E96B38A" w14:textId="5057A863" w:rsidR="00820C92" w:rsidRPr="00991B7A" w:rsidRDefault="00BD472C" w:rsidP="00820C92">
            <w:pPr>
              <w:jc w:val="right"/>
              <w:rPr>
                <w:rFonts w:cs="Arial"/>
                <w:color w:val="000000" w:themeColor="text1"/>
                <w:sz w:val="16"/>
                <w:szCs w:val="16"/>
              </w:rPr>
            </w:pPr>
            <w:r>
              <w:rPr>
                <w:rFonts w:cs="Arial"/>
                <w:color w:val="000000" w:themeColor="text1"/>
                <w:sz w:val="16"/>
                <w:szCs w:val="16"/>
              </w:rPr>
              <w:t>100,0</w:t>
            </w:r>
          </w:p>
        </w:tc>
        <w:tc>
          <w:tcPr>
            <w:tcW w:w="907" w:type="dxa"/>
            <w:vAlign w:val="center"/>
          </w:tcPr>
          <w:p w14:paraId="2672B2F0" w14:textId="444FA7EA" w:rsidR="00820C92" w:rsidRPr="00991B7A" w:rsidRDefault="00BD472C" w:rsidP="00820C92">
            <w:pPr>
              <w:jc w:val="right"/>
              <w:rPr>
                <w:rFonts w:cs="Arial"/>
                <w:color w:val="000000" w:themeColor="text1"/>
                <w:sz w:val="16"/>
                <w:szCs w:val="16"/>
              </w:rPr>
            </w:pPr>
            <w:r>
              <w:rPr>
                <w:rFonts w:cs="Arial"/>
                <w:color w:val="000000" w:themeColor="text1"/>
                <w:sz w:val="16"/>
                <w:szCs w:val="16"/>
              </w:rPr>
              <w:t>99,2</w:t>
            </w:r>
          </w:p>
        </w:tc>
        <w:tc>
          <w:tcPr>
            <w:tcW w:w="908" w:type="dxa"/>
            <w:vAlign w:val="center"/>
          </w:tcPr>
          <w:p w14:paraId="0FB62B33" w14:textId="3511106F" w:rsidR="00820C92" w:rsidRDefault="00BD472C" w:rsidP="00820C92">
            <w:pPr>
              <w:jc w:val="right"/>
              <w:rPr>
                <w:rFonts w:cs="Arial"/>
                <w:color w:val="000000" w:themeColor="text1"/>
                <w:sz w:val="16"/>
                <w:szCs w:val="16"/>
              </w:rPr>
            </w:pPr>
            <w:r>
              <w:rPr>
                <w:rFonts w:cs="Arial"/>
                <w:color w:val="000000" w:themeColor="text1"/>
                <w:sz w:val="16"/>
                <w:szCs w:val="16"/>
              </w:rPr>
              <w:t>98,7</w:t>
            </w:r>
          </w:p>
        </w:tc>
      </w:tr>
      <w:tr w:rsidR="00820C92" w:rsidRPr="00991B7A" w14:paraId="6FAC3E13" w14:textId="77777777" w:rsidTr="00CD311A">
        <w:tc>
          <w:tcPr>
            <w:tcW w:w="2191" w:type="dxa"/>
          </w:tcPr>
          <w:p w14:paraId="66250EC4" w14:textId="599140C5" w:rsidR="00820C92" w:rsidRPr="00D97063" w:rsidRDefault="00820C92" w:rsidP="00820C92">
            <w:pPr>
              <w:rPr>
                <w:shd w:val="clear" w:color="auto" w:fill="FFFFFF"/>
              </w:rPr>
            </w:pPr>
            <w:r w:rsidRPr="007237A7">
              <w:rPr>
                <w:color w:val="000000" w:themeColor="text1"/>
                <w:sz w:val="16"/>
                <w:szCs w:val="16"/>
              </w:rPr>
              <w:t>Wytwarzanie i</w:t>
            </w:r>
            <w:r>
              <w:rPr>
                <w:color w:val="000000" w:themeColor="text1"/>
                <w:sz w:val="16"/>
                <w:szCs w:val="16"/>
              </w:rPr>
              <w:t> </w:t>
            </w:r>
            <w:r w:rsidRPr="007237A7">
              <w:rPr>
                <w:color w:val="000000" w:themeColor="text1"/>
                <w:sz w:val="16"/>
                <w:szCs w:val="16"/>
              </w:rPr>
              <w:t>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45581E">
              <w:rPr>
                <w:rFonts w:cstheme="majorBidi"/>
                <w:color w:val="000000" w:themeColor="text1"/>
                <w:sz w:val="16"/>
                <w:szCs w:val="16"/>
                <w:vertAlign w:val="superscript"/>
              </w:rPr>
              <w:t>a</w:t>
            </w:r>
            <w:proofErr w:type="spellEnd"/>
          </w:p>
        </w:tc>
        <w:tc>
          <w:tcPr>
            <w:tcW w:w="907" w:type="dxa"/>
            <w:vAlign w:val="center"/>
          </w:tcPr>
          <w:p w14:paraId="36B459AF" w14:textId="7380BEAE" w:rsidR="00820C92" w:rsidRPr="00991B7A" w:rsidRDefault="00BD472C" w:rsidP="00820C92">
            <w:pPr>
              <w:jc w:val="right"/>
              <w:rPr>
                <w:rFonts w:cs="Arial"/>
                <w:color w:val="000000" w:themeColor="text1"/>
                <w:sz w:val="16"/>
                <w:szCs w:val="16"/>
              </w:rPr>
            </w:pPr>
            <w:r>
              <w:rPr>
                <w:rFonts w:cs="Arial"/>
                <w:color w:val="000000" w:themeColor="text1"/>
                <w:sz w:val="16"/>
                <w:szCs w:val="16"/>
              </w:rPr>
              <w:t>99,3*</w:t>
            </w:r>
          </w:p>
        </w:tc>
        <w:tc>
          <w:tcPr>
            <w:tcW w:w="907" w:type="dxa"/>
            <w:vAlign w:val="center"/>
          </w:tcPr>
          <w:p w14:paraId="3FE1584E" w14:textId="7E00D082" w:rsidR="00820C92" w:rsidRPr="00991B7A" w:rsidRDefault="00BD472C" w:rsidP="00820C92">
            <w:pPr>
              <w:jc w:val="right"/>
              <w:rPr>
                <w:rFonts w:cs="Arial"/>
                <w:color w:val="000000" w:themeColor="text1"/>
                <w:sz w:val="16"/>
                <w:szCs w:val="16"/>
              </w:rPr>
            </w:pPr>
            <w:r>
              <w:rPr>
                <w:rFonts w:cs="Arial"/>
                <w:color w:val="000000" w:themeColor="text1"/>
                <w:sz w:val="16"/>
                <w:szCs w:val="16"/>
              </w:rPr>
              <w:t>101,0*</w:t>
            </w:r>
          </w:p>
        </w:tc>
        <w:tc>
          <w:tcPr>
            <w:tcW w:w="907" w:type="dxa"/>
            <w:vAlign w:val="center"/>
          </w:tcPr>
          <w:p w14:paraId="430577FC" w14:textId="29ED147B" w:rsidR="00820C92" w:rsidRPr="00991B7A" w:rsidRDefault="00BD472C" w:rsidP="00820C92">
            <w:pPr>
              <w:jc w:val="right"/>
              <w:rPr>
                <w:rFonts w:cs="Arial"/>
                <w:color w:val="000000" w:themeColor="text1"/>
                <w:sz w:val="16"/>
                <w:szCs w:val="16"/>
              </w:rPr>
            </w:pPr>
            <w:r>
              <w:rPr>
                <w:rFonts w:cs="Arial"/>
                <w:color w:val="000000" w:themeColor="text1"/>
                <w:sz w:val="16"/>
                <w:szCs w:val="16"/>
              </w:rPr>
              <w:t>100,4</w:t>
            </w:r>
          </w:p>
        </w:tc>
        <w:tc>
          <w:tcPr>
            <w:tcW w:w="907" w:type="dxa"/>
            <w:vAlign w:val="center"/>
          </w:tcPr>
          <w:p w14:paraId="43D8DB9C" w14:textId="513478DF" w:rsidR="00820C92" w:rsidRPr="00991B7A" w:rsidRDefault="00BD472C" w:rsidP="00820C92">
            <w:pPr>
              <w:jc w:val="right"/>
              <w:rPr>
                <w:rFonts w:cs="Arial"/>
                <w:color w:val="000000" w:themeColor="text1"/>
                <w:sz w:val="16"/>
                <w:szCs w:val="16"/>
              </w:rPr>
            </w:pPr>
            <w:r>
              <w:rPr>
                <w:rFonts w:cs="Arial"/>
                <w:color w:val="000000" w:themeColor="text1"/>
                <w:sz w:val="16"/>
                <w:szCs w:val="16"/>
              </w:rPr>
              <w:t>99,1</w:t>
            </w:r>
          </w:p>
        </w:tc>
        <w:tc>
          <w:tcPr>
            <w:tcW w:w="907" w:type="dxa"/>
            <w:vAlign w:val="center"/>
          </w:tcPr>
          <w:p w14:paraId="716DBA13" w14:textId="27568EFA" w:rsidR="00820C92" w:rsidRPr="00991B7A" w:rsidRDefault="00BD472C" w:rsidP="00820C92">
            <w:pPr>
              <w:jc w:val="right"/>
              <w:rPr>
                <w:rFonts w:cs="Arial"/>
                <w:color w:val="000000" w:themeColor="text1"/>
                <w:sz w:val="16"/>
                <w:szCs w:val="16"/>
              </w:rPr>
            </w:pPr>
            <w:r>
              <w:rPr>
                <w:rFonts w:cs="Arial"/>
                <w:color w:val="000000" w:themeColor="text1"/>
                <w:sz w:val="16"/>
                <w:szCs w:val="16"/>
              </w:rPr>
              <w:t>99,5</w:t>
            </w:r>
          </w:p>
        </w:tc>
        <w:tc>
          <w:tcPr>
            <w:tcW w:w="908" w:type="dxa"/>
            <w:vAlign w:val="center"/>
          </w:tcPr>
          <w:p w14:paraId="4CF8A4B8" w14:textId="5C01B89B" w:rsidR="00820C92" w:rsidRDefault="00BD472C" w:rsidP="00820C92">
            <w:pPr>
              <w:jc w:val="right"/>
              <w:rPr>
                <w:rFonts w:cs="Arial"/>
                <w:color w:val="000000" w:themeColor="text1"/>
                <w:sz w:val="16"/>
                <w:szCs w:val="16"/>
              </w:rPr>
            </w:pPr>
            <w:r>
              <w:rPr>
                <w:rFonts w:cs="Arial"/>
                <w:color w:val="000000" w:themeColor="text1"/>
                <w:sz w:val="16"/>
                <w:szCs w:val="16"/>
              </w:rPr>
              <w:t>100,2</w:t>
            </w:r>
          </w:p>
        </w:tc>
      </w:tr>
      <w:tr w:rsidR="00820C92" w:rsidRPr="00991B7A" w14:paraId="045E56B2" w14:textId="77777777" w:rsidTr="00CD311A">
        <w:tc>
          <w:tcPr>
            <w:tcW w:w="2191" w:type="dxa"/>
          </w:tcPr>
          <w:p w14:paraId="1DE14641" w14:textId="346EAD1E" w:rsidR="00820C92" w:rsidRDefault="00820C92" w:rsidP="00820C92">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45581E">
              <w:rPr>
                <w:rFonts w:cstheme="majorBidi"/>
                <w:color w:val="000000" w:themeColor="text1"/>
                <w:sz w:val="16"/>
                <w:szCs w:val="16"/>
                <w:vertAlign w:val="superscript"/>
              </w:rPr>
              <w:t>a</w:t>
            </w:r>
            <w:proofErr w:type="spellEnd"/>
          </w:p>
        </w:tc>
        <w:tc>
          <w:tcPr>
            <w:tcW w:w="907" w:type="dxa"/>
            <w:vAlign w:val="center"/>
          </w:tcPr>
          <w:p w14:paraId="6650F963" w14:textId="12C35DA7" w:rsidR="00820C92" w:rsidRPr="00991B7A" w:rsidRDefault="00820C92" w:rsidP="00820C92">
            <w:pPr>
              <w:jc w:val="right"/>
              <w:rPr>
                <w:rFonts w:cs="Arial"/>
                <w:color w:val="000000" w:themeColor="text1"/>
                <w:sz w:val="16"/>
                <w:szCs w:val="16"/>
              </w:rPr>
            </w:pPr>
            <w:r>
              <w:rPr>
                <w:rFonts w:cs="Arial"/>
                <w:color w:val="000000" w:themeColor="text1"/>
                <w:sz w:val="16"/>
                <w:szCs w:val="16"/>
              </w:rPr>
              <w:t>100,</w:t>
            </w:r>
            <w:r w:rsidR="00FE76E4">
              <w:rPr>
                <w:rFonts w:cs="Arial"/>
                <w:color w:val="000000" w:themeColor="text1"/>
                <w:sz w:val="16"/>
                <w:szCs w:val="16"/>
              </w:rPr>
              <w:t>2*</w:t>
            </w:r>
          </w:p>
        </w:tc>
        <w:tc>
          <w:tcPr>
            <w:tcW w:w="907" w:type="dxa"/>
            <w:vAlign w:val="center"/>
          </w:tcPr>
          <w:p w14:paraId="4B7C39A2" w14:textId="4C1FF418" w:rsidR="00820C92" w:rsidRPr="00991B7A" w:rsidRDefault="00820C92" w:rsidP="00820C92">
            <w:pPr>
              <w:jc w:val="right"/>
              <w:rPr>
                <w:rFonts w:cs="Arial"/>
                <w:color w:val="000000" w:themeColor="text1"/>
                <w:sz w:val="16"/>
                <w:szCs w:val="16"/>
              </w:rPr>
            </w:pPr>
            <w:r>
              <w:rPr>
                <w:rFonts w:cs="Arial"/>
                <w:color w:val="000000" w:themeColor="text1"/>
                <w:sz w:val="16"/>
                <w:szCs w:val="16"/>
              </w:rPr>
              <w:t>102,</w:t>
            </w:r>
            <w:r w:rsidR="00FE76E4">
              <w:rPr>
                <w:rFonts w:cs="Arial"/>
                <w:color w:val="000000" w:themeColor="text1"/>
                <w:sz w:val="16"/>
                <w:szCs w:val="16"/>
              </w:rPr>
              <w:t>6*</w:t>
            </w:r>
          </w:p>
        </w:tc>
        <w:tc>
          <w:tcPr>
            <w:tcW w:w="907" w:type="dxa"/>
            <w:vAlign w:val="center"/>
          </w:tcPr>
          <w:p w14:paraId="77BBE08D" w14:textId="2BD7B56B" w:rsidR="00820C92" w:rsidRPr="00991B7A" w:rsidRDefault="00FE76E4" w:rsidP="00820C92">
            <w:pPr>
              <w:jc w:val="right"/>
              <w:rPr>
                <w:rFonts w:cs="Arial"/>
                <w:color w:val="000000" w:themeColor="text1"/>
                <w:sz w:val="16"/>
                <w:szCs w:val="16"/>
              </w:rPr>
            </w:pPr>
            <w:r>
              <w:rPr>
                <w:rFonts w:cs="Arial"/>
                <w:color w:val="000000" w:themeColor="text1"/>
                <w:sz w:val="16"/>
                <w:szCs w:val="16"/>
              </w:rPr>
              <w:t>103,0</w:t>
            </w:r>
          </w:p>
        </w:tc>
        <w:tc>
          <w:tcPr>
            <w:tcW w:w="907" w:type="dxa"/>
            <w:vAlign w:val="center"/>
          </w:tcPr>
          <w:p w14:paraId="7DA28638" w14:textId="6F08EB04" w:rsidR="00820C92" w:rsidRPr="00991B7A" w:rsidRDefault="00FE76E4" w:rsidP="00820C92">
            <w:pPr>
              <w:jc w:val="right"/>
              <w:rPr>
                <w:rFonts w:cs="Arial"/>
                <w:color w:val="000000" w:themeColor="text1"/>
                <w:sz w:val="16"/>
                <w:szCs w:val="16"/>
              </w:rPr>
            </w:pPr>
            <w:r>
              <w:rPr>
                <w:rFonts w:cs="Arial"/>
                <w:color w:val="000000" w:themeColor="text1"/>
                <w:sz w:val="16"/>
                <w:szCs w:val="16"/>
              </w:rPr>
              <w:t>100,2</w:t>
            </w:r>
          </w:p>
        </w:tc>
        <w:tc>
          <w:tcPr>
            <w:tcW w:w="907" w:type="dxa"/>
            <w:shd w:val="clear" w:color="auto" w:fill="auto"/>
            <w:vAlign w:val="center"/>
          </w:tcPr>
          <w:p w14:paraId="5F03FC11" w14:textId="652D6070" w:rsidR="00820C92" w:rsidRPr="00991B7A" w:rsidRDefault="00FE76E4" w:rsidP="00820C92">
            <w:pPr>
              <w:jc w:val="right"/>
              <w:rPr>
                <w:rFonts w:cs="Arial"/>
                <w:color w:val="000000" w:themeColor="text1"/>
                <w:sz w:val="16"/>
                <w:szCs w:val="16"/>
              </w:rPr>
            </w:pPr>
            <w:r>
              <w:rPr>
                <w:rFonts w:cs="Arial"/>
                <w:color w:val="000000" w:themeColor="text1"/>
                <w:sz w:val="16"/>
                <w:szCs w:val="16"/>
              </w:rPr>
              <w:t>101,2</w:t>
            </w:r>
          </w:p>
        </w:tc>
        <w:tc>
          <w:tcPr>
            <w:tcW w:w="908" w:type="dxa"/>
            <w:vAlign w:val="center"/>
          </w:tcPr>
          <w:p w14:paraId="690B0B9F" w14:textId="625C25F3" w:rsidR="00820C92" w:rsidRDefault="00FE76E4" w:rsidP="00820C92">
            <w:pPr>
              <w:jc w:val="right"/>
              <w:rPr>
                <w:rFonts w:cs="Arial"/>
                <w:color w:val="000000" w:themeColor="text1"/>
                <w:sz w:val="16"/>
                <w:szCs w:val="16"/>
              </w:rPr>
            </w:pPr>
            <w:r>
              <w:rPr>
                <w:rFonts w:cs="Arial"/>
                <w:color w:val="000000" w:themeColor="text1"/>
                <w:sz w:val="16"/>
                <w:szCs w:val="16"/>
              </w:rPr>
              <w:t>102,6</w:t>
            </w:r>
          </w:p>
        </w:tc>
      </w:tr>
    </w:tbl>
    <w:p w14:paraId="1735F440" w14:textId="77777777" w:rsidR="00883E43" w:rsidRDefault="00883E43" w:rsidP="00883E43">
      <w:pPr>
        <w:rPr>
          <w:b/>
          <w:shd w:val="clear" w:color="auto" w:fill="FFFFFF"/>
        </w:rPr>
      </w:pPr>
    </w:p>
    <w:p w14:paraId="5F6CFCD2" w14:textId="3556B305" w:rsidR="00883E43" w:rsidRPr="00FB0C8B" w:rsidRDefault="00883E43" w:rsidP="00211BF5">
      <w:pPr>
        <w:pStyle w:val="Przypis"/>
        <w:rPr>
          <w:lang w:val="pl-PL"/>
        </w:rPr>
      </w:pPr>
      <w:r w:rsidRPr="00FB0C8B">
        <w:rPr>
          <w:lang w:val="pl-PL"/>
        </w:rPr>
        <w:t>a</w:t>
      </w:r>
      <w:r w:rsidRPr="00FB0C8B">
        <w:rPr>
          <w:i/>
          <w:vertAlign w:val="superscript"/>
          <w:lang w:val="pl-PL"/>
        </w:rPr>
        <w:t xml:space="preserve"> </w:t>
      </w:r>
      <w:r w:rsidRPr="00FB0C8B">
        <w:rPr>
          <w:lang w:val="pl-PL"/>
        </w:rPr>
        <w:t>Nazwa skrócona według PKD 2007</w:t>
      </w:r>
      <w:r w:rsidR="00702990" w:rsidRPr="00FB0C8B">
        <w:rPr>
          <w:lang w:val="pl-PL"/>
        </w:rPr>
        <w:t>.</w:t>
      </w:r>
    </w:p>
    <w:p w14:paraId="732BFB0C" w14:textId="77777777" w:rsidR="00883E43" w:rsidRPr="00FB0C8B" w:rsidRDefault="00883E43" w:rsidP="00211BF5">
      <w:pPr>
        <w:pStyle w:val="Przypis"/>
        <w:rPr>
          <w:lang w:val="pl-PL"/>
        </w:rPr>
      </w:pPr>
      <w:r w:rsidRPr="00FB0C8B">
        <w:rPr>
          <w:lang w:val="pl-PL"/>
        </w:rPr>
        <w:t>* Dane zmienione w stosunku do wcześniej opublikowanych.</w:t>
      </w:r>
    </w:p>
    <w:p w14:paraId="794AF7BD" w14:textId="77777777" w:rsidR="00883E43" w:rsidRDefault="00883E43" w:rsidP="00883E43">
      <w:pPr>
        <w:rPr>
          <w:lang w:eastAsia="pl-PL"/>
        </w:rPr>
      </w:pPr>
    </w:p>
    <w:p w14:paraId="4C0EFB94" w14:textId="77777777" w:rsidR="00883E43" w:rsidRDefault="00883E43" w:rsidP="00883E43">
      <w:pPr>
        <w:rPr>
          <w:lang w:eastAsia="pl-PL"/>
        </w:rPr>
      </w:pPr>
    </w:p>
    <w:p w14:paraId="75D64896" w14:textId="77777777" w:rsidR="00883E43" w:rsidRDefault="00883E43" w:rsidP="00883E43">
      <w:pPr>
        <w:rPr>
          <w:lang w:eastAsia="pl-PL"/>
        </w:rPr>
      </w:pPr>
    </w:p>
    <w:p w14:paraId="38AB8AF1" w14:textId="77777777" w:rsidR="00883E43" w:rsidRDefault="00883E43" w:rsidP="00883E43">
      <w:pPr>
        <w:rPr>
          <w:lang w:eastAsia="pl-PL"/>
        </w:rPr>
      </w:pPr>
    </w:p>
    <w:p w14:paraId="27FE217C" w14:textId="77777777" w:rsidR="00883E43" w:rsidRDefault="00883E43" w:rsidP="00883E43">
      <w:pPr>
        <w:rPr>
          <w:lang w:eastAsia="pl-PL"/>
        </w:rPr>
      </w:pPr>
    </w:p>
    <w:p w14:paraId="5B575508" w14:textId="77777777" w:rsidR="00883E43" w:rsidRDefault="00883E43" w:rsidP="00883E43">
      <w:pPr>
        <w:rPr>
          <w:lang w:eastAsia="pl-PL"/>
        </w:rPr>
      </w:pPr>
    </w:p>
    <w:p w14:paraId="100CD843" w14:textId="32185092" w:rsidR="00304048" w:rsidRDefault="00304048" w:rsidP="00304048">
      <w:pPr>
        <w:spacing w:after="0"/>
        <w:ind w:left="851" w:hanging="851"/>
        <w:rPr>
          <w:rFonts w:ascii="Fira Sans SemiBold" w:eastAsia="Times New Roman" w:hAnsi="Fira Sans SemiBold" w:cs="Times New Roman"/>
          <w:b/>
          <w:bCs/>
          <w:noProof/>
          <w:szCs w:val="24"/>
          <w:lang w:eastAsia="pl-PL"/>
        </w:rPr>
      </w:pPr>
      <w:r w:rsidRPr="0062216D">
        <w:rPr>
          <w:rFonts w:ascii="Fira Sans SemiBold" w:eastAsia="Times New Roman" w:hAnsi="Fira Sans SemiBold" w:cs="Times New Roman"/>
          <w:b/>
          <w:bCs/>
          <w:noProof/>
          <w:szCs w:val="24"/>
          <w:lang w:eastAsia="pl-PL"/>
        </w:rPr>
        <w:lastRenderedPageBreak/>
        <mc:AlternateContent>
          <mc:Choice Requires="wps">
            <w:drawing>
              <wp:anchor distT="45720" distB="45720" distL="114300" distR="114300" simplePos="0" relativeHeight="251858944" behindDoc="0" locked="0" layoutInCell="1" allowOverlap="1" wp14:anchorId="797A64FE" wp14:editId="4636D0AA">
                <wp:simplePos x="0" y="0"/>
                <wp:positionH relativeFrom="column">
                  <wp:posOffset>68580</wp:posOffset>
                </wp:positionH>
                <wp:positionV relativeFrom="paragraph">
                  <wp:posOffset>421640</wp:posOffset>
                </wp:positionV>
                <wp:extent cx="213360" cy="259080"/>
                <wp:effectExtent l="0" t="0" r="0" b="0"/>
                <wp:wrapSquare wrapText="bothSides"/>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9080"/>
                        </a:xfrm>
                        <a:prstGeom prst="rect">
                          <a:avLst/>
                        </a:prstGeom>
                        <a:noFill/>
                        <a:ln w="9525">
                          <a:noFill/>
                          <a:miter lim="800000"/>
                          <a:headEnd/>
                          <a:tailEnd/>
                        </a:ln>
                      </wps:spPr>
                      <wps:txbx>
                        <w:txbxContent>
                          <w:p w14:paraId="2DCC4200" w14:textId="77777777" w:rsidR="00304048" w:rsidRPr="0062216D" w:rsidRDefault="00304048" w:rsidP="00304048">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A64FE" id="_x0000_t202" coordsize="21600,21600" o:spt="202" path="m,l,21600r21600,l21600,xe">
                <v:stroke joinstyle="miter"/>
                <v:path gradientshapeok="t" o:connecttype="rect"/>
              </v:shapetype>
              <v:shape id="Pole tekstowe 27" o:spid="_x0000_s1027" type="#_x0000_t202" style="position:absolute;left:0;text-align:left;margin-left:5.4pt;margin-top:33.2pt;width:16.8pt;height:20.4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e2EQIAAP8DAAAOAAAAZHJzL2Uyb0RvYy54bWysU8FuGyEQvVfqPyDu9a43dmKvjKM0aapK&#10;aRsp7QdglvWiAEMBe9f9+gys41jtrSoHBAzzmPfmsboejCZ76YMCy+h0UlIirYBG2S2jP3/cf1hQ&#10;EiK3DddgJaMHGej1+v27Ve9qWUEHupGeIIgNde8Y7WJ0dVEE0UnDwwSctBhswRseceu3ReN5j+hG&#10;F1VZXhY9+MZ5EDIEPL0bg3Sd8dtWivi9bYOMRDOKtcU8+zxv0lysV7zeeu46JY5l8H+ownBl8dET&#10;1B2PnOy8+gvKKOEhQBsnAkwBbauEzByQzbT8g81Tx53MXFCc4E4yhf8HK77tHz1RDaPVFSWWG+zR&#10;I2hJonwOEXpJ8BxF6l2o8e6Tw9tx+AgDNjsTDu4BxHMgFm47brfyxnvoO8kbLHKaMouz1BEnJJBN&#10;/xUafIzvImSgofUmKYiaEETHZh1ODZJDJAIPq+nFxSVGBIaq+bJc5AYWvH5Ndj7EzxIMSQtGPfY/&#10;g/P9Q4ipGF6/XklvWbhXWmcPaEt6Rpfzap4TziJGRbSoVobRRZnGaJrE8ZNtcnLkSo9rfEDbI+nE&#10;c2Qch82QRc6KJEE20BxQBQ+jI/EH4aID/5uSHt3IaPi1415Sor9YVHI5nc2SffNmNr+qcOPPI5vz&#10;CLcCoRiNlIzL25gtP1K+QcVbldV4q+RYMrosi3T8EcnG5/t86+3frl8AAAD//wMAUEsDBBQABgAI&#10;AAAAIQCut2nt2wAAAAgBAAAPAAAAZHJzL2Rvd25yZXYueG1sTI9BT8MwDIXvSPyHyEjcWMJUCpSm&#10;EwJxBTFg0m5e47UVjVM12Vr+Pd4JTtbzs56/V65m36sjjbELbOF6YUAR18F13Fj4/Hi5ugMVE7LD&#10;PjBZ+KEIq+r8rMTChYnf6bhOjZIQjgVaaFMaCq1j3ZLHuAgDsXj7MHpMIsdGuxEnCfe9XhqTa48d&#10;y4cWB3pqqf5eH7yFr9f9dpOZt+bZ3wxTmI1mf6+tvbyYHx9AJZrT3zGc8AUdKmHahQO7qHrRRsiT&#10;hTzPQImfZTJ3p/3tEnRV6v8Fql8AAAD//wMAUEsBAi0AFAAGAAgAAAAhALaDOJL+AAAA4QEAABMA&#10;AAAAAAAAAAAAAAAAAAAAAFtDb250ZW50X1R5cGVzXS54bWxQSwECLQAUAAYACAAAACEAOP0h/9YA&#10;AACUAQAACwAAAAAAAAAAAAAAAAAvAQAAX3JlbHMvLnJlbHNQSwECLQAUAAYACAAAACEA1aCnthEC&#10;AAD/AwAADgAAAAAAAAAAAAAAAAAuAgAAZHJzL2Uyb0RvYy54bWxQSwECLQAUAAYACAAAACEArrdp&#10;7dsAAAAIAQAADwAAAAAAAAAAAAAAAABrBAAAZHJzL2Rvd25yZXYueG1sUEsFBgAAAAAEAAQA8wAA&#10;AHMFAAAAAA==&#10;" filled="f" stroked="f">
                <v:textbox>
                  <w:txbxContent>
                    <w:p w14:paraId="2DCC4200" w14:textId="77777777" w:rsidR="00304048" w:rsidRPr="0062216D" w:rsidRDefault="00304048" w:rsidP="00304048">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Pr>
          <w:noProof/>
          <w:lang w:eastAsia="pl-PL"/>
        </w:rPr>
        <w:drawing>
          <wp:anchor distT="0" distB="0" distL="114300" distR="114300" simplePos="0" relativeHeight="251857920" behindDoc="0" locked="0" layoutInCell="1" allowOverlap="1" wp14:anchorId="69ADB16D" wp14:editId="7A1B2A8C">
            <wp:simplePos x="0" y="0"/>
            <wp:positionH relativeFrom="margin">
              <wp:align>left</wp:align>
            </wp:positionH>
            <wp:positionV relativeFrom="paragraph">
              <wp:posOffset>429491</wp:posOffset>
            </wp:positionV>
            <wp:extent cx="5122545" cy="2988310"/>
            <wp:effectExtent l="0" t="0" r="1905" b="2540"/>
            <wp:wrapTopAndBottom/>
            <wp:docPr id="29" name="Wykres 29" descr="Wykres 1. Zmiany cen produkcji sprzedanej przemysłu 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66387C">
        <w:rPr>
          <w:rFonts w:ascii="Fira Sans SemiBold" w:eastAsia="Times New Roman" w:hAnsi="Fira Sans SemiBold" w:cs="Times New Roman"/>
          <w:b/>
          <w:bCs/>
          <w:noProof/>
          <w:szCs w:val="24"/>
          <w:lang w:eastAsia="pl-PL"/>
        </w:rPr>
        <w:t xml:space="preserve">Wykres </w:t>
      </w:r>
      <w:r w:rsidR="000427C1">
        <w:rPr>
          <w:rFonts w:ascii="Fira Sans SemiBold" w:eastAsia="Times New Roman" w:hAnsi="Fira Sans SemiBold" w:cs="Times New Roman"/>
          <w:b/>
          <w:bCs/>
          <w:noProof/>
          <w:szCs w:val="24"/>
          <w:lang w:eastAsia="pl-PL"/>
        </w:rPr>
        <w:t>1</w:t>
      </w:r>
      <w:r w:rsidRPr="0066387C">
        <w:rPr>
          <w:rFonts w:ascii="Fira Sans SemiBold" w:eastAsia="Times New Roman" w:hAnsi="Fira Sans SemiBold" w:cs="Times New Roman"/>
          <w:b/>
          <w:bCs/>
          <w:noProof/>
          <w:szCs w:val="24"/>
          <w:lang w:eastAsia="pl-PL"/>
        </w:rPr>
        <w:t xml:space="preserve">. Zmiany cen produkcji sprzedanej przemysłu </w:t>
      </w:r>
      <w:r w:rsidR="00525EF1">
        <w:rPr>
          <w:rFonts w:ascii="Fira Sans SemiBold" w:eastAsia="Times New Roman" w:hAnsi="Fira Sans SemiBold" w:cs="Times New Roman"/>
          <w:b/>
          <w:bCs/>
          <w:noProof/>
          <w:szCs w:val="24"/>
          <w:lang w:eastAsia="pl-PL"/>
        </w:rPr>
        <w:t xml:space="preserve">w </w:t>
      </w:r>
      <w:r w:rsidR="00F54511">
        <w:rPr>
          <w:rFonts w:ascii="Fira Sans SemiBold" w:eastAsia="Times New Roman" w:hAnsi="Fira Sans SemiBold" w:cs="Times New Roman"/>
          <w:b/>
          <w:bCs/>
          <w:noProof/>
          <w:szCs w:val="24"/>
          <w:lang w:eastAsia="pl-PL"/>
        </w:rPr>
        <w:t>stosunku do poprzedniego miesi</w:t>
      </w:r>
      <w:r w:rsidR="00C57AAC">
        <w:rPr>
          <w:rFonts w:ascii="Fira Sans SemiBold" w:eastAsia="Times New Roman" w:hAnsi="Fira Sans SemiBold" w:cs="Times New Roman"/>
          <w:b/>
          <w:bCs/>
          <w:noProof/>
          <w:szCs w:val="24"/>
          <w:lang w:eastAsia="pl-PL"/>
        </w:rPr>
        <w:t>ą</w:t>
      </w:r>
      <w:r w:rsidR="00F54511">
        <w:rPr>
          <w:rFonts w:ascii="Fira Sans SemiBold" w:eastAsia="Times New Roman" w:hAnsi="Fira Sans SemiBold" w:cs="Times New Roman"/>
          <w:b/>
          <w:bCs/>
          <w:noProof/>
          <w:szCs w:val="24"/>
          <w:lang w:eastAsia="pl-PL"/>
        </w:rPr>
        <w:t>ca</w:t>
      </w:r>
    </w:p>
    <w:p w14:paraId="57D14925" w14:textId="180667B4" w:rsidR="00304048" w:rsidRPr="00C57AAC" w:rsidRDefault="007A1F3A" w:rsidP="00C57AAC">
      <w:pPr>
        <w:spacing w:after="0"/>
        <w:rPr>
          <w:rFonts w:ascii="Fira Sans SemiBold" w:eastAsia="Times New Roman" w:hAnsi="Fira Sans SemiBold" w:cs="Times New Roman"/>
          <w:bCs/>
          <w:strike/>
          <w:noProof/>
          <w:szCs w:val="24"/>
          <w:lang w:eastAsia="pl-PL"/>
        </w:rPr>
      </w:pPr>
      <w:r w:rsidRPr="00C57AAC">
        <w:rPr>
          <w:b/>
          <w:strike/>
          <w:noProof/>
          <w:spacing w:val="-2"/>
          <w:szCs w:val="19"/>
          <w:lang w:eastAsia="pl-PL"/>
        </w:rPr>
        <mc:AlternateContent>
          <mc:Choice Requires="wps">
            <w:drawing>
              <wp:anchor distT="45720" distB="45720" distL="114300" distR="114300" simplePos="0" relativeHeight="251856896" behindDoc="1" locked="0" layoutInCell="1" allowOverlap="1" wp14:anchorId="12F0033C" wp14:editId="1A5D6AF2">
                <wp:simplePos x="0" y="0"/>
                <wp:positionH relativeFrom="column">
                  <wp:posOffset>5346065</wp:posOffset>
                </wp:positionH>
                <wp:positionV relativeFrom="paragraph">
                  <wp:posOffset>1038860</wp:posOffset>
                </wp:positionV>
                <wp:extent cx="1663700" cy="1009650"/>
                <wp:effectExtent l="0" t="0" r="0" b="0"/>
                <wp:wrapTight wrapText="bothSides">
                  <wp:wrapPolygon edited="0">
                    <wp:start x="742" y="0"/>
                    <wp:lineTo x="742" y="21192"/>
                    <wp:lineTo x="20776" y="21192"/>
                    <wp:lineTo x="20776" y="0"/>
                    <wp:lineTo x="742" y="0"/>
                  </wp:wrapPolygon>
                </wp:wrapTight>
                <wp:docPr id="24" name="Pole tekstowe 24" descr="W kwietniu 2025 r. ceny produkcji sprzedanej przemysłu spadły w porównaniu z poprzednim miesiącem o 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09650"/>
                        </a:xfrm>
                        <a:prstGeom prst="rect">
                          <a:avLst/>
                        </a:prstGeom>
                        <a:noFill/>
                        <a:ln w="9525">
                          <a:noFill/>
                          <a:miter lim="800000"/>
                          <a:headEnd/>
                          <a:tailEnd/>
                        </a:ln>
                      </wps:spPr>
                      <wps:txbx>
                        <w:txbxContent>
                          <w:p w14:paraId="18A93112" w14:textId="28D0108A" w:rsidR="00304048" w:rsidRPr="00DC2453" w:rsidRDefault="00B42609" w:rsidP="00304048">
                            <w:pPr>
                              <w:pStyle w:val="tekstzboku"/>
                            </w:pPr>
                            <w:r>
                              <w:t>W</w:t>
                            </w:r>
                            <w:r w:rsidRPr="00C61C5D">
                              <w:t xml:space="preserve"> </w:t>
                            </w:r>
                            <w:r w:rsidR="00820C92">
                              <w:t>kwietniu</w:t>
                            </w:r>
                            <w:r w:rsidRPr="00C61C5D">
                              <w:t xml:space="preserve"> 2025 r. </w:t>
                            </w:r>
                            <w:r w:rsidR="00304048" w:rsidRPr="00C61C5D">
                              <w:t xml:space="preserve">ceny produkcji sprzedanej przemysłu spadły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o 0,</w:t>
                            </w:r>
                            <w:r w:rsidR="00FE76E4">
                              <w:t>2</w:t>
                            </w:r>
                            <w:r w:rsidR="00304048" w:rsidRPr="00C61C5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0033C" id="Pole tekstowe 24" o:spid="_x0000_s1028" type="#_x0000_t202" alt="W kwietniu 2025 r. ceny produkcji sprzedanej przemysłu spadły w porównaniu z poprzednim miesiącem o 0,2%" style="position:absolute;margin-left:420.95pt;margin-top:81.8pt;width:131pt;height:79.5pt;z-index:-25145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hPcAIAAHYEAAAOAAAAZHJzL2Uyb0RvYy54bWysVM1uEzEQviPxDpYlbpDdLEnarrqpSktR&#10;pQKVCuLs2LNZN+sfbKe7ybEST8QjQN+LsTctEdwQe7A8Hs/n+b6Z2eOTXrXkDpyXRld0PMopAc2N&#10;kHpZ0c+fLl4dUuID04K1RkNFN+Dpyfz5s+POllCYxrQCHEEQ7cvOVrQJwZZZ5nkDivmRsaDRWRun&#10;WEDTLTPhWIfoqs2KPJ9lnXHCOsPBezw9H5x0nvDrGnj4WNceAmkrirmFtLq0LuKazY9ZuXTMNpLv&#10;0mD/kIViUuOjT1DnLDCydvIvKCW5M97UYcSNykxdSw6JA7IZ53+wuWmYhcQFxfH2SSb//2D5h7tr&#10;R6SoaDGhRDOFNbo2LZAAKx9MBySeC/AcRftCVp2EoOWaFHkxJW5EOOgNQf3FesVvJfHWbUEwDbd4&#10;uAW18Q/3azxl4uF+QzpijfvxvdMsQmzRSte1VERJ8PLnNw6KGJK/LF7EynTWl5jgjcUUQ//G9Nhh&#10;SWVvrwxfeaLNWcP0Ek6dM10DTKAy4xiZ7YUOOD6CLLr3RiBDtg4mAfW1U7FsWAiC6Nghm6eugD4Q&#10;Hp+czV4f5Oji6Bvn+dFsmvomY+VjuHU+vAOjkLTHFnPYdgme3V35ENNh5eOV+Jo2F7JtU+u1mnQV&#10;PZoW0xSw51Ey4GS0UlX0MI/f0KuR5VstUnBgsh32+ECrd7Qj04Fz6Bf9UNtHNRdGbFAHZ4ZBwMHF&#10;TWPclpIOh6Ci/uuaOaCkvdSo5dF4MolTk4zJ9KBAw+17FvsepjlCVTRQMmzPQpq0gfIpal7LpEYs&#10;zpDJLmVs7iTSbhDj9Ozb6dbv38X8FwAAAP//AwBQSwMEFAAGAAgAAAAhAIozLM/fAAAADAEAAA8A&#10;AABkcnMvZG93bnJldi54bWxMj8FOwzAMhu9IvENkJG4saTuqrTSdEIgriAGTdssar61onKrJ1vL2&#10;eCc42v+n35/Lzex6ccYxdJ40JAsFAqn2tqNGw+fHy90KRIiGrOk9oYYfDLCprq9KU1g/0Tuet7ER&#10;XEKhMBraGIdCylC36ExY+AGJs6MfnYk8jo20o5m43PUyVSqXznTEF1oz4FOL9ff25DR8vR73u6V6&#10;a57d/TD5WUlya6n17c38+AAi4hz/YLjoszpU7HTwJ7JB9BpWy2TNKAd5loO4EInKeHXQkKVpDrIq&#10;5f8nql8AAAD//wMAUEsBAi0AFAAGAAgAAAAhALaDOJL+AAAA4QEAABMAAAAAAAAAAAAAAAAAAAAA&#10;AFtDb250ZW50X1R5cGVzXS54bWxQSwECLQAUAAYACAAAACEAOP0h/9YAAACUAQAACwAAAAAAAAAA&#10;AAAAAAAvAQAAX3JlbHMvLnJlbHNQSwECLQAUAAYACAAAACEAqlZIT3ACAAB2BAAADgAAAAAAAAAA&#10;AAAAAAAuAgAAZHJzL2Uyb0RvYy54bWxQSwECLQAUAAYACAAAACEAijMsz98AAAAMAQAADwAAAAAA&#10;AAAAAAAAAADKBAAAZHJzL2Rvd25yZXYueG1sUEsFBgAAAAAEAAQA8wAAANYFAAAAAA==&#10;" filled="f" stroked="f">
                <v:textbox>
                  <w:txbxContent>
                    <w:p w14:paraId="18A93112" w14:textId="28D0108A" w:rsidR="00304048" w:rsidRPr="00DC2453" w:rsidRDefault="00B42609" w:rsidP="00304048">
                      <w:pPr>
                        <w:pStyle w:val="tekstzboku"/>
                      </w:pPr>
                      <w:r>
                        <w:t>W</w:t>
                      </w:r>
                      <w:r w:rsidRPr="00C61C5D">
                        <w:t xml:space="preserve"> </w:t>
                      </w:r>
                      <w:r w:rsidR="00820C92">
                        <w:t>kwietniu</w:t>
                      </w:r>
                      <w:r w:rsidRPr="00C61C5D">
                        <w:t xml:space="preserve"> 2025 r. </w:t>
                      </w:r>
                      <w:r w:rsidR="00304048" w:rsidRPr="00C61C5D">
                        <w:t xml:space="preserve">ceny produkcji sprzedanej przemysłu spadły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o 0,</w:t>
                      </w:r>
                      <w:r w:rsidR="00FE76E4">
                        <w:t>2</w:t>
                      </w:r>
                      <w:r w:rsidR="00304048" w:rsidRPr="00C61C5D">
                        <w:t>%</w:t>
                      </w:r>
                    </w:p>
                  </w:txbxContent>
                </v:textbox>
                <w10:wrap type="tight"/>
              </v:shape>
            </w:pict>
          </mc:Fallback>
        </mc:AlternateContent>
      </w:r>
    </w:p>
    <w:p w14:paraId="0D592132" w14:textId="7FA0C1D7"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A8523A">
        <w:rPr>
          <w:rFonts w:ascii="Fira Sans" w:hAnsi="Fira Sans"/>
          <w:b/>
          <w:szCs w:val="19"/>
        </w:rPr>
        <w:t xml:space="preserve">w </w:t>
      </w:r>
      <w:r w:rsidR="00820C92">
        <w:rPr>
          <w:rFonts w:ascii="Fira Sans" w:hAnsi="Fira Sans"/>
          <w:b/>
          <w:szCs w:val="19"/>
        </w:rPr>
        <w:t>kwietniu</w:t>
      </w:r>
      <w:r w:rsidR="00F837A0">
        <w:rPr>
          <w:rFonts w:ascii="Fira Sans" w:hAnsi="Fira Sans"/>
          <w:b/>
          <w:szCs w:val="19"/>
        </w:rPr>
        <w:t xml:space="preserve"> </w:t>
      </w:r>
      <w:r w:rsidR="000047E7">
        <w:rPr>
          <w:rFonts w:ascii="Fira Sans" w:hAnsi="Fira Sans"/>
          <w:b/>
          <w:szCs w:val="19"/>
        </w:rPr>
        <w:t>2025</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2C7B43">
        <w:rPr>
          <w:rFonts w:ascii="Fira Sans" w:hAnsi="Fira Sans"/>
          <w:b/>
          <w:szCs w:val="19"/>
        </w:rPr>
        <w:t>z poprzednim miesiącem</w:t>
      </w:r>
    </w:p>
    <w:p w14:paraId="2F5B207B" w14:textId="242887A2" w:rsidR="00FB1CDE" w:rsidRDefault="00C04C07" w:rsidP="002D6A72">
      <w:pPr>
        <w:jc w:val="both"/>
        <w:rPr>
          <w:spacing w:val="-6"/>
          <w:shd w:val="clear" w:color="auto" w:fill="FFFFFF"/>
        </w:rPr>
      </w:pPr>
      <w:r w:rsidRPr="00DE402D">
        <w:rPr>
          <w:spacing w:val="-6"/>
          <w:shd w:val="clear" w:color="auto" w:fill="FFFFFF"/>
        </w:rPr>
        <w:t xml:space="preserve">Według wstępnych danych </w:t>
      </w:r>
      <w:r w:rsidRPr="007E26DF">
        <w:rPr>
          <w:spacing w:val="-6"/>
          <w:shd w:val="clear" w:color="auto" w:fill="FFFFFF"/>
        </w:rPr>
        <w:t xml:space="preserve">ceny </w:t>
      </w:r>
      <w:r w:rsidRPr="000F41EB">
        <w:rPr>
          <w:spacing w:val="-6"/>
          <w:shd w:val="clear" w:color="auto" w:fill="FFFFFF"/>
        </w:rPr>
        <w:t>produkcji sprzedanej przemysłu</w:t>
      </w:r>
      <w:r w:rsidRPr="00DE402D">
        <w:rPr>
          <w:spacing w:val="-6"/>
          <w:shd w:val="clear" w:color="auto" w:fill="FFFFFF"/>
        </w:rPr>
        <w:t xml:space="preserve"> </w:t>
      </w:r>
      <w:r w:rsidR="00A8523A">
        <w:rPr>
          <w:spacing w:val="-6"/>
          <w:shd w:val="clear" w:color="auto" w:fill="FFFFFF"/>
        </w:rPr>
        <w:t xml:space="preserve">w </w:t>
      </w:r>
      <w:r w:rsidR="00820C92">
        <w:rPr>
          <w:spacing w:val="-6"/>
          <w:shd w:val="clear" w:color="auto" w:fill="FFFFFF"/>
        </w:rPr>
        <w:t>kwietniu</w:t>
      </w:r>
      <w:r w:rsidR="00F837A0">
        <w:rPr>
          <w:spacing w:val="-6"/>
          <w:shd w:val="clear" w:color="auto" w:fill="FFFFFF"/>
        </w:rPr>
        <w:t xml:space="preserve"> </w:t>
      </w:r>
      <w:r w:rsidRPr="00DE402D">
        <w:rPr>
          <w:spacing w:val="-6"/>
          <w:shd w:val="clear" w:color="auto" w:fill="FFFFFF"/>
        </w:rPr>
        <w:t>202</w:t>
      </w:r>
      <w:r w:rsidR="000047E7">
        <w:rPr>
          <w:spacing w:val="-6"/>
          <w:shd w:val="clear" w:color="auto" w:fill="FFFFFF"/>
        </w:rPr>
        <w:t>5</w:t>
      </w:r>
      <w:r w:rsidRPr="00DE402D">
        <w:rPr>
          <w:spacing w:val="-6"/>
          <w:shd w:val="clear" w:color="auto" w:fill="FFFFFF"/>
        </w:rPr>
        <w:t xml:space="preserve"> r. </w:t>
      </w:r>
      <w:r w:rsidR="004E327C">
        <w:rPr>
          <w:spacing w:val="-6"/>
          <w:shd w:val="clear" w:color="auto" w:fill="FFFFFF"/>
        </w:rPr>
        <w:t>spadły</w:t>
      </w:r>
      <w:r w:rsidR="002D6A72">
        <w:rPr>
          <w:spacing w:val="-6"/>
          <w:shd w:val="clear" w:color="auto" w:fill="FFFFFF"/>
        </w:rPr>
        <w:t xml:space="preserve"> </w:t>
      </w:r>
      <w:r w:rsidR="00A55249" w:rsidRPr="00A55249">
        <w:rPr>
          <w:spacing w:val="-6"/>
          <w:shd w:val="clear" w:color="auto" w:fill="FFFFFF"/>
        </w:rPr>
        <w:t>w</w:t>
      </w:r>
      <w:r w:rsidR="000E6798">
        <w:rPr>
          <w:spacing w:val="-6"/>
          <w:shd w:val="clear" w:color="auto" w:fill="FFFFFF"/>
        </w:rPr>
        <w:t> </w:t>
      </w:r>
      <w:r w:rsidR="00A55249" w:rsidRPr="00A55249">
        <w:rPr>
          <w:spacing w:val="-6"/>
          <w:shd w:val="clear" w:color="auto" w:fill="FFFFFF"/>
        </w:rPr>
        <w:t xml:space="preserve">porównaniu </w:t>
      </w:r>
      <w:r w:rsidR="001C294A">
        <w:rPr>
          <w:spacing w:val="-6"/>
          <w:shd w:val="clear" w:color="auto" w:fill="FFFFFF"/>
        </w:rPr>
        <w:t xml:space="preserve">z </w:t>
      </w:r>
      <w:r w:rsidR="00820C92">
        <w:rPr>
          <w:spacing w:val="-6"/>
          <w:shd w:val="clear" w:color="auto" w:fill="FFFFFF"/>
        </w:rPr>
        <w:t>marcem</w:t>
      </w:r>
      <w:r w:rsidR="00F837A0">
        <w:rPr>
          <w:spacing w:val="-6"/>
          <w:shd w:val="clear" w:color="auto" w:fill="FFFFFF"/>
        </w:rPr>
        <w:t xml:space="preserve"> 2025 r.</w:t>
      </w:r>
      <w:r w:rsidR="00D261D9" w:rsidRPr="00A55249">
        <w:rPr>
          <w:spacing w:val="-6"/>
          <w:shd w:val="clear" w:color="auto" w:fill="FFFFFF"/>
        </w:rPr>
        <w:t xml:space="preserve"> o 0,</w:t>
      </w:r>
      <w:r w:rsidR="00FE76E4">
        <w:rPr>
          <w:spacing w:val="-6"/>
          <w:shd w:val="clear" w:color="auto" w:fill="FFFFFF"/>
        </w:rPr>
        <w:t>2</w:t>
      </w:r>
      <w:r w:rsidR="00D261D9" w:rsidRPr="00A55249">
        <w:rPr>
          <w:spacing w:val="-6"/>
          <w:shd w:val="clear" w:color="auto" w:fill="FFFFFF"/>
        </w:rPr>
        <w:t>%</w:t>
      </w:r>
      <w:r w:rsidR="00D261D9">
        <w:rPr>
          <w:spacing w:val="-6"/>
          <w:shd w:val="clear" w:color="auto" w:fill="FFFFFF"/>
        </w:rPr>
        <w:t xml:space="preserve">. </w:t>
      </w:r>
      <w:r w:rsidR="00CF653A">
        <w:rPr>
          <w:spacing w:val="-6"/>
          <w:shd w:val="clear" w:color="auto" w:fill="FFFFFF"/>
        </w:rPr>
        <w:t>S</w:t>
      </w:r>
      <w:r w:rsidR="004E327C">
        <w:rPr>
          <w:spacing w:val="-6"/>
          <w:shd w:val="clear" w:color="auto" w:fill="FFFFFF"/>
        </w:rPr>
        <w:t>padek</w:t>
      </w:r>
      <w:r w:rsidR="000429DE">
        <w:rPr>
          <w:spacing w:val="-6"/>
          <w:shd w:val="clear" w:color="auto" w:fill="FFFFFF"/>
        </w:rPr>
        <w:t xml:space="preserve"> </w:t>
      </w:r>
      <w:r w:rsidR="000429DE">
        <w:rPr>
          <w:bCs/>
          <w:spacing w:val="-6"/>
          <w:shd w:val="clear" w:color="auto" w:fill="FFFFFF"/>
        </w:rPr>
        <w:t xml:space="preserve">cen </w:t>
      </w:r>
      <w:r w:rsidR="00082237">
        <w:rPr>
          <w:bCs/>
          <w:spacing w:val="-6"/>
          <w:shd w:val="clear" w:color="auto" w:fill="FFFFFF"/>
        </w:rPr>
        <w:t xml:space="preserve">notowano </w:t>
      </w:r>
      <w:r w:rsidR="001F2115">
        <w:rPr>
          <w:spacing w:val="-6"/>
          <w:shd w:val="clear" w:color="auto" w:fill="FFFFFF"/>
        </w:rPr>
        <w:t xml:space="preserve">w sekcji </w:t>
      </w:r>
      <w:r w:rsidR="00FE76E4" w:rsidRPr="001D3D02">
        <w:rPr>
          <w:b/>
          <w:shd w:val="clear" w:color="auto" w:fill="FFFFFF"/>
        </w:rPr>
        <w:t>górnictw</w:t>
      </w:r>
      <w:r w:rsidR="00FE76E4">
        <w:rPr>
          <w:b/>
          <w:shd w:val="clear" w:color="auto" w:fill="FFFFFF"/>
        </w:rPr>
        <w:t>o</w:t>
      </w:r>
      <w:r w:rsidR="00FE76E4" w:rsidRPr="001D3D02">
        <w:rPr>
          <w:b/>
          <w:shd w:val="clear" w:color="auto" w:fill="FFFFFF"/>
        </w:rPr>
        <w:t xml:space="preserve"> i</w:t>
      </w:r>
      <w:r w:rsidR="00FE76E4">
        <w:rPr>
          <w:b/>
          <w:shd w:val="clear" w:color="auto" w:fill="FFFFFF"/>
        </w:rPr>
        <w:t> </w:t>
      </w:r>
      <w:r w:rsidR="00FE76E4" w:rsidRPr="006D26F7">
        <w:rPr>
          <w:b/>
          <w:shd w:val="clear" w:color="auto" w:fill="FFFFFF"/>
        </w:rPr>
        <w:t>wydobywani</w:t>
      </w:r>
      <w:r w:rsidR="00FE76E4">
        <w:rPr>
          <w:b/>
          <w:shd w:val="clear" w:color="auto" w:fill="FFFFFF"/>
        </w:rPr>
        <w:t>e</w:t>
      </w:r>
      <w:r w:rsidR="00FE76E4" w:rsidRPr="007E26DF">
        <w:rPr>
          <w:shd w:val="clear" w:color="auto" w:fill="FFFFFF"/>
        </w:rPr>
        <w:t xml:space="preserve"> </w:t>
      </w:r>
      <w:r w:rsidR="00FE76E4" w:rsidRPr="00EE4781">
        <w:rPr>
          <w:shd w:val="clear" w:color="auto" w:fill="FFFFFF"/>
        </w:rPr>
        <w:t>–</w:t>
      </w:r>
      <w:r w:rsidR="00FE76E4" w:rsidRPr="00EE4781">
        <w:t xml:space="preserve"> </w:t>
      </w:r>
      <w:r w:rsidR="00FE76E4" w:rsidRPr="00EE4781">
        <w:rPr>
          <w:bCs/>
          <w:shd w:val="clear" w:color="auto" w:fill="FFFFFF"/>
        </w:rPr>
        <w:t xml:space="preserve">o </w:t>
      </w:r>
      <w:r w:rsidR="00FE76E4">
        <w:rPr>
          <w:bCs/>
          <w:shd w:val="clear" w:color="auto" w:fill="FFFFFF"/>
        </w:rPr>
        <w:t>2,5</w:t>
      </w:r>
      <w:r w:rsidR="00FE76E4" w:rsidRPr="00EE4781">
        <w:rPr>
          <w:bCs/>
          <w:shd w:val="clear" w:color="auto" w:fill="FFFFFF"/>
        </w:rPr>
        <w:t xml:space="preserve">% </w:t>
      </w:r>
      <w:r w:rsidR="00FE76E4">
        <w:rPr>
          <w:bCs/>
          <w:shd w:val="clear" w:color="auto" w:fill="FFFFFF"/>
        </w:rPr>
        <w:t>(</w:t>
      </w:r>
      <w:r w:rsidR="00FE76E4">
        <w:rPr>
          <w:shd w:val="clear" w:color="auto" w:fill="FFFFFF"/>
        </w:rPr>
        <w:t>w tym w górnictwie rud metali – o 4,9%, a także w wydobywaniu węgla kamiennego i </w:t>
      </w:r>
      <w:r w:rsidR="00FE76E4" w:rsidRPr="00665010">
        <w:rPr>
          <w:shd w:val="clear" w:color="auto" w:fill="FFFFFF"/>
        </w:rPr>
        <w:t>węgla brunatnego (lignitu)</w:t>
      </w:r>
      <w:r w:rsidR="00FE76E4">
        <w:rPr>
          <w:shd w:val="clear" w:color="auto" w:fill="FFFFFF"/>
        </w:rPr>
        <w:t xml:space="preserve"> – o 1,1%) oraz w sekcji </w:t>
      </w:r>
      <w:r w:rsidR="001F2115" w:rsidRPr="00B84F73">
        <w:rPr>
          <w:b/>
          <w:bCs/>
          <w:spacing w:val="-6"/>
          <w:shd w:val="clear" w:color="auto" w:fill="FFFFFF"/>
        </w:rPr>
        <w:t>wytwarzani</w:t>
      </w:r>
      <w:r w:rsidR="001F2115">
        <w:rPr>
          <w:b/>
          <w:bCs/>
          <w:spacing w:val="-6"/>
          <w:shd w:val="clear" w:color="auto" w:fill="FFFFFF"/>
        </w:rPr>
        <w:t>e</w:t>
      </w:r>
      <w:r w:rsidR="001F2115" w:rsidRPr="00B84F73">
        <w:rPr>
          <w:b/>
          <w:bCs/>
          <w:spacing w:val="-6"/>
          <w:shd w:val="clear" w:color="auto" w:fill="FFFFFF"/>
        </w:rPr>
        <w:t xml:space="preserve"> i</w:t>
      </w:r>
      <w:r w:rsidR="002C7B43">
        <w:rPr>
          <w:b/>
          <w:bCs/>
          <w:spacing w:val="-6"/>
          <w:shd w:val="clear" w:color="auto" w:fill="FFFFFF"/>
        </w:rPr>
        <w:t> </w:t>
      </w:r>
      <w:r w:rsidR="001F2115" w:rsidRPr="00B84F73">
        <w:rPr>
          <w:b/>
          <w:bCs/>
          <w:spacing w:val="-6"/>
          <w:shd w:val="clear" w:color="auto" w:fill="FFFFFF"/>
        </w:rPr>
        <w:t>zaopatrywani</w:t>
      </w:r>
      <w:r w:rsidR="001F2115">
        <w:rPr>
          <w:b/>
          <w:bCs/>
          <w:spacing w:val="-6"/>
          <w:shd w:val="clear" w:color="auto" w:fill="FFFFFF"/>
        </w:rPr>
        <w:t>e</w:t>
      </w:r>
      <w:r w:rsidR="001F2115" w:rsidRPr="00B84F73">
        <w:rPr>
          <w:b/>
          <w:bCs/>
          <w:spacing w:val="-6"/>
          <w:shd w:val="clear" w:color="auto" w:fill="FFFFFF"/>
        </w:rPr>
        <w:t xml:space="preserve"> w energię elektryczną, gaz, parę wodną i</w:t>
      </w:r>
      <w:r w:rsidR="001F2115">
        <w:rPr>
          <w:b/>
          <w:bCs/>
          <w:spacing w:val="-6"/>
          <w:shd w:val="clear" w:color="auto" w:fill="FFFFFF"/>
        </w:rPr>
        <w:t> </w:t>
      </w:r>
      <w:r w:rsidR="001F2115" w:rsidRPr="00B84F73">
        <w:rPr>
          <w:b/>
          <w:bCs/>
          <w:spacing w:val="-6"/>
          <w:shd w:val="clear" w:color="auto" w:fill="FFFFFF"/>
        </w:rPr>
        <w:t>gorącą wodę</w:t>
      </w:r>
      <w:r w:rsidR="001F2115">
        <w:rPr>
          <w:b/>
          <w:bCs/>
          <w:spacing w:val="-6"/>
          <w:shd w:val="clear" w:color="auto" w:fill="FFFFFF"/>
        </w:rPr>
        <w:t xml:space="preserve"> </w:t>
      </w:r>
      <w:r w:rsidR="002C7B43" w:rsidRPr="00C57AAC">
        <w:rPr>
          <w:bCs/>
          <w:spacing w:val="-6"/>
          <w:shd w:val="clear" w:color="auto" w:fill="FFFFFF"/>
        </w:rPr>
        <w:t>–</w:t>
      </w:r>
      <w:r w:rsidR="001F2115" w:rsidRPr="00C57AAC">
        <w:rPr>
          <w:bCs/>
          <w:spacing w:val="-6"/>
          <w:shd w:val="clear" w:color="auto" w:fill="FFFFFF"/>
        </w:rPr>
        <w:t xml:space="preserve"> o </w:t>
      </w:r>
      <w:r w:rsidR="00FE76E4">
        <w:rPr>
          <w:bCs/>
          <w:spacing w:val="-6"/>
          <w:shd w:val="clear" w:color="auto" w:fill="FFFFFF"/>
        </w:rPr>
        <w:t>0,9</w:t>
      </w:r>
      <w:r w:rsidR="001F2115" w:rsidRPr="00C57AAC">
        <w:rPr>
          <w:bCs/>
          <w:spacing w:val="-6"/>
          <w:shd w:val="clear" w:color="auto" w:fill="FFFFFF"/>
        </w:rPr>
        <w:t>%</w:t>
      </w:r>
      <w:r w:rsidR="00867273">
        <w:rPr>
          <w:spacing w:val="-6"/>
          <w:shd w:val="clear" w:color="auto" w:fill="FFFFFF"/>
        </w:rPr>
        <w:t>.</w:t>
      </w:r>
    </w:p>
    <w:p w14:paraId="0D72BC11" w14:textId="1AE0D5FD" w:rsidR="002C7B43" w:rsidRDefault="00402DC5" w:rsidP="002D6A72">
      <w:pPr>
        <w:jc w:val="both"/>
        <w:rPr>
          <w:spacing w:val="-6"/>
        </w:rPr>
      </w:pPr>
      <w:r>
        <w:rPr>
          <w:shd w:val="clear" w:color="auto" w:fill="FFFFFF"/>
        </w:rPr>
        <w:t>Wzrost cen zanotowano</w:t>
      </w:r>
      <w:r w:rsidR="002C7B43">
        <w:rPr>
          <w:shd w:val="clear" w:color="auto" w:fill="FFFFFF"/>
        </w:rPr>
        <w:t xml:space="preserve"> natomiast </w:t>
      </w:r>
      <w:r w:rsidR="00D56EC0">
        <w:rPr>
          <w:shd w:val="clear" w:color="auto" w:fill="FFFFFF"/>
        </w:rPr>
        <w:t>w sekcji</w:t>
      </w:r>
      <w:r w:rsidR="0038690E" w:rsidRPr="0038690E">
        <w:rPr>
          <w:b/>
          <w:shd w:val="clear" w:color="auto" w:fill="FFFFFF"/>
        </w:rPr>
        <w:t xml:space="preserve"> </w:t>
      </w:r>
      <w:r w:rsidR="0038690E" w:rsidRPr="00A52D3D">
        <w:rPr>
          <w:b/>
          <w:shd w:val="clear" w:color="auto" w:fill="FFFFFF"/>
        </w:rPr>
        <w:t>dostaw</w:t>
      </w:r>
      <w:r w:rsidR="0038690E">
        <w:rPr>
          <w:b/>
          <w:shd w:val="clear" w:color="auto" w:fill="FFFFFF"/>
        </w:rPr>
        <w:t>a</w:t>
      </w:r>
      <w:r w:rsidR="0038690E" w:rsidRPr="00A52D3D">
        <w:rPr>
          <w:b/>
          <w:shd w:val="clear" w:color="auto" w:fill="FFFFFF"/>
        </w:rPr>
        <w:t xml:space="preserve"> wody; gospodarowani</w:t>
      </w:r>
      <w:r w:rsidR="0038690E">
        <w:rPr>
          <w:b/>
          <w:shd w:val="clear" w:color="auto" w:fill="FFFFFF"/>
        </w:rPr>
        <w:t>e</w:t>
      </w:r>
      <w:r w:rsidR="0038690E" w:rsidRPr="00A52D3D">
        <w:rPr>
          <w:b/>
          <w:shd w:val="clear" w:color="auto" w:fill="FFFFFF"/>
        </w:rPr>
        <w:t xml:space="preserve"> ściekami i</w:t>
      </w:r>
      <w:r w:rsidR="00FE76E4">
        <w:rPr>
          <w:b/>
          <w:shd w:val="clear" w:color="auto" w:fill="FFFFFF"/>
        </w:rPr>
        <w:t> </w:t>
      </w:r>
      <w:r w:rsidR="0038690E" w:rsidRPr="00A52D3D">
        <w:rPr>
          <w:b/>
          <w:shd w:val="clear" w:color="auto" w:fill="FFFFFF"/>
        </w:rPr>
        <w:t>odpadami; rekultywacj</w:t>
      </w:r>
      <w:r w:rsidR="0038690E">
        <w:rPr>
          <w:b/>
          <w:shd w:val="clear" w:color="auto" w:fill="FFFFFF"/>
        </w:rPr>
        <w:t>a</w:t>
      </w:r>
      <w:r w:rsidR="0038690E" w:rsidRPr="007E26DF">
        <w:rPr>
          <w:shd w:val="clear" w:color="auto" w:fill="FFFFFF"/>
        </w:rPr>
        <w:t xml:space="preserve"> </w:t>
      </w:r>
      <w:r w:rsidR="0038690E" w:rsidRPr="00CF653A">
        <w:rPr>
          <w:shd w:val="clear" w:color="auto" w:fill="FFFFFF"/>
        </w:rPr>
        <w:t xml:space="preserve">– o </w:t>
      </w:r>
      <w:r w:rsidR="0038690E">
        <w:rPr>
          <w:shd w:val="clear" w:color="auto" w:fill="FFFFFF"/>
        </w:rPr>
        <w:t>0,</w:t>
      </w:r>
      <w:r w:rsidR="00FE76E4">
        <w:rPr>
          <w:shd w:val="clear" w:color="auto" w:fill="FFFFFF"/>
        </w:rPr>
        <w:t>2</w:t>
      </w:r>
      <w:r w:rsidR="0038690E" w:rsidRPr="00CF653A">
        <w:rPr>
          <w:shd w:val="clear" w:color="auto" w:fill="FFFFFF"/>
        </w:rPr>
        <w:t>%</w:t>
      </w:r>
      <w:r w:rsidR="00FE76E4">
        <w:rPr>
          <w:shd w:val="clear" w:color="auto" w:fill="FFFFFF"/>
        </w:rPr>
        <w:t>. W</w:t>
      </w:r>
      <w:r w:rsidR="002C7B43">
        <w:rPr>
          <w:shd w:val="clear" w:color="auto" w:fill="FFFFFF"/>
        </w:rPr>
        <w:t xml:space="preserve"> sekcji</w:t>
      </w:r>
      <w:r w:rsidR="002C7B43" w:rsidRPr="00A52D3D">
        <w:rPr>
          <w:shd w:val="clear" w:color="auto" w:fill="FFFFFF"/>
        </w:rPr>
        <w:t xml:space="preserve"> </w:t>
      </w:r>
      <w:r w:rsidR="00FE76E4" w:rsidRPr="001F2115">
        <w:rPr>
          <w:b/>
          <w:spacing w:val="-6"/>
          <w:shd w:val="clear" w:color="auto" w:fill="FFFFFF"/>
        </w:rPr>
        <w:t>przetwórstwo przemysłowe</w:t>
      </w:r>
      <w:r w:rsidR="00FE76E4" w:rsidRPr="007E26DF">
        <w:rPr>
          <w:spacing w:val="-6"/>
          <w:shd w:val="clear" w:color="auto" w:fill="FFFFFF"/>
        </w:rPr>
        <w:t xml:space="preserve"> </w:t>
      </w:r>
      <w:r w:rsidR="00FE76E4">
        <w:rPr>
          <w:spacing w:val="-6"/>
          <w:shd w:val="clear" w:color="auto" w:fill="FFFFFF"/>
        </w:rPr>
        <w:t>ceny utrzymały się na poziomie zbliżonym do notowanych w poprzednim miesiącu.</w:t>
      </w:r>
    </w:p>
    <w:p w14:paraId="2B869C84" w14:textId="146210B5" w:rsidR="008E374E" w:rsidRPr="00C57AAC" w:rsidRDefault="004E0DA6" w:rsidP="00C57AAC">
      <w:pPr>
        <w:pStyle w:val="Tytuwykresu0"/>
        <w:spacing w:after="0"/>
        <w:ind w:left="851" w:hanging="851"/>
      </w:pPr>
      <w:bookmarkStart w:id="0" w:name="_Hlk156312737"/>
      <w:r w:rsidRPr="00C57AAC">
        <w:t>Wykres</w:t>
      </w:r>
      <w:r w:rsidR="00D86077" w:rsidRPr="00C57AAC">
        <w:t xml:space="preserve"> </w:t>
      </w:r>
      <w:r w:rsidR="000427C1" w:rsidRPr="00C57AAC">
        <w:t>2</w:t>
      </w:r>
      <w:r w:rsidR="00D86077" w:rsidRPr="00C57AAC">
        <w:t>.</w:t>
      </w:r>
      <w:r w:rsidRPr="00C57AAC">
        <w:t xml:space="preserve"> </w:t>
      </w:r>
      <w:r w:rsidR="00CF0A53" w:rsidRPr="00C57AAC">
        <w:t xml:space="preserve">Zmiany cen w </w:t>
      </w:r>
      <w:r w:rsidR="00D8306C" w:rsidRPr="00C57AAC">
        <w:t>sekcji przetwórstwo</w:t>
      </w:r>
      <w:r w:rsidR="00CF0A53" w:rsidRPr="00C57AAC">
        <w:t xml:space="preserve"> przemysłowe według działów </w:t>
      </w:r>
      <w:r w:rsidR="00082237" w:rsidRPr="00C57AAC">
        <w:t xml:space="preserve">w </w:t>
      </w:r>
      <w:r w:rsidR="00820C92">
        <w:t>kwietniu</w:t>
      </w:r>
      <w:r w:rsidR="005D0A2E" w:rsidRPr="00C57AAC">
        <w:t xml:space="preserve"> </w:t>
      </w:r>
      <w:r w:rsidR="009A6731" w:rsidRPr="00C57AAC">
        <w:t>2025</w:t>
      </w:r>
      <w:r w:rsidR="006A3BF8" w:rsidRPr="00C57AAC">
        <w:t> </w:t>
      </w:r>
      <w:r w:rsidR="00CF0A53" w:rsidRPr="00C57AAC">
        <w:t>r.</w:t>
      </w:r>
    </w:p>
    <w:p w14:paraId="5EF19604" w14:textId="5BA9222D" w:rsidR="008E374E" w:rsidRPr="00C57AAC" w:rsidRDefault="00867273" w:rsidP="00C57AAC">
      <w:pPr>
        <w:spacing w:before="0" w:line="240" w:lineRule="auto"/>
        <w:ind w:left="851"/>
        <w:rPr>
          <w:rFonts w:ascii="Fira Sans SemiBold" w:eastAsia="Times New Roman" w:hAnsi="Fira Sans SemiBold" w:cs="Times New Roman"/>
          <w:b/>
          <w:bCs/>
          <w:noProof/>
          <w:szCs w:val="24"/>
          <w:lang w:eastAsia="pl-PL"/>
        </w:rPr>
      </w:pPr>
      <w:r w:rsidRPr="00C57AAC">
        <w:rPr>
          <w:noProof/>
        </w:rPr>
        <w:drawing>
          <wp:anchor distT="0" distB="0" distL="114300" distR="114300" simplePos="0" relativeHeight="251843584" behindDoc="0" locked="0" layoutInCell="1" allowOverlap="1" wp14:anchorId="07D8D077" wp14:editId="4264353C">
            <wp:simplePos x="0" y="0"/>
            <wp:positionH relativeFrom="column">
              <wp:posOffset>45474</wp:posOffset>
            </wp:positionH>
            <wp:positionV relativeFrom="paragraph">
              <wp:posOffset>282555</wp:posOffset>
            </wp:positionV>
            <wp:extent cx="5166360" cy="2988310"/>
            <wp:effectExtent l="0" t="0" r="0" b="2540"/>
            <wp:wrapTopAndBottom/>
            <wp:docPr id="3" name="Wykres 3" descr="Wykres 2. Zmiany cen w sekcji przetwórstwo przemysłowe według działów w kwietniu 2025 r. w porównaniu z poprzednim miesiąc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C57AAC" w:rsidRPr="00C57AAC">
        <w:rPr>
          <w:rFonts w:ascii="Fira Sans SemiBold" w:eastAsia="Times New Roman" w:hAnsi="Fira Sans SemiBold" w:cs="Times New Roman"/>
          <w:b/>
          <w:bCs/>
          <w:noProof/>
          <w:szCs w:val="24"/>
          <w:lang w:eastAsia="pl-PL"/>
        </w:rPr>
        <w:t xml:space="preserve">w porównaniu z poprzednim </w:t>
      </w:r>
      <w:r w:rsidR="008E374E" w:rsidRPr="00C57AAC">
        <w:rPr>
          <w:rFonts w:ascii="Fira Sans SemiBold" w:eastAsia="Times New Roman" w:hAnsi="Fira Sans SemiBold" w:cs="Times New Roman"/>
          <w:b/>
          <w:bCs/>
          <w:noProof/>
          <w:szCs w:val="24"/>
          <w:lang w:eastAsia="pl-PL"/>
        </w:rPr>
        <w:t>miesiąc</w:t>
      </w:r>
      <w:r w:rsidR="00C57AAC" w:rsidRPr="00C57AAC">
        <w:rPr>
          <w:rFonts w:ascii="Fira Sans SemiBold" w:eastAsia="Times New Roman" w:hAnsi="Fira Sans SemiBold" w:cs="Times New Roman"/>
          <w:b/>
          <w:bCs/>
          <w:noProof/>
          <w:szCs w:val="24"/>
          <w:lang w:eastAsia="pl-PL"/>
        </w:rPr>
        <w:t>em</w:t>
      </w:r>
    </w:p>
    <w:bookmarkEnd w:id="0"/>
    <w:p w14:paraId="0E894299" w14:textId="53E04D7C" w:rsidR="00611E2F" w:rsidRDefault="0038690E" w:rsidP="008E374E">
      <w:pPr>
        <w:rPr>
          <w:bCs/>
          <w:shd w:val="clear" w:color="auto" w:fill="FFFFFF"/>
        </w:rPr>
      </w:pPr>
      <w:r w:rsidRPr="00C57AAC">
        <w:rPr>
          <w:rFonts w:ascii="Fira Sans SemiBold" w:eastAsia="Times New Roman" w:hAnsi="Fira Sans SemiBold" w:cs="Times New Roman"/>
          <w:b/>
          <w:bCs/>
          <w:noProof/>
          <w:szCs w:val="24"/>
          <w:lang w:eastAsia="pl-PL"/>
        </w:rPr>
        <mc:AlternateContent>
          <mc:Choice Requires="wps">
            <w:drawing>
              <wp:anchor distT="45720" distB="45720" distL="114300" distR="114300" simplePos="0" relativeHeight="251759616" behindDoc="1" locked="0" layoutInCell="1" allowOverlap="1" wp14:anchorId="680702BF" wp14:editId="22CADDBB">
                <wp:simplePos x="0" y="0"/>
                <wp:positionH relativeFrom="column">
                  <wp:posOffset>5255895</wp:posOffset>
                </wp:positionH>
                <wp:positionV relativeFrom="paragraph">
                  <wp:posOffset>575945</wp:posOffset>
                </wp:positionV>
                <wp:extent cx="1801495" cy="1280160"/>
                <wp:effectExtent l="0" t="0" r="0" b="0"/>
                <wp:wrapTight wrapText="bothSides">
                  <wp:wrapPolygon edited="0">
                    <wp:start x="685" y="0"/>
                    <wp:lineTo x="685" y="21214"/>
                    <wp:lineTo x="20785" y="21214"/>
                    <wp:lineTo x="20785" y="0"/>
                    <wp:lineTo x="685" y="0"/>
                  </wp:wrapPolygon>
                </wp:wrapTight>
                <wp:docPr id="4" name="Pole tekstowe 4" descr="Spośród działów przetwórstwa przemysłowego w kwietniu 2025 r. w stosunku do poprzedniego miesiąca najbardziej obniżono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80160"/>
                        </a:xfrm>
                        <a:prstGeom prst="rect">
                          <a:avLst/>
                        </a:prstGeom>
                        <a:noFill/>
                        <a:ln w="9525">
                          <a:noFill/>
                          <a:miter lim="800000"/>
                          <a:headEnd/>
                          <a:tailEnd/>
                        </a:ln>
                      </wps:spPr>
                      <wps:txbx>
                        <w:txbxContent>
                          <w:p w14:paraId="2754B820" w14:textId="7C9AA8B9" w:rsidR="00E564B6" w:rsidRPr="005546DA" w:rsidRDefault="00883E43" w:rsidP="00E564B6">
                            <w:pPr>
                              <w:pStyle w:val="tekstzboku"/>
                              <w:rPr>
                                <w:iCs/>
                              </w:rPr>
                            </w:pPr>
                            <w:r w:rsidRPr="008E374E">
                              <w:rPr>
                                <w:iCs/>
                              </w:rPr>
                              <w:t xml:space="preserve">Spośród działów przetwórstwa przemysłowego </w:t>
                            </w:r>
                            <w:r w:rsidR="00FB24A6" w:rsidRPr="008E374E">
                              <w:rPr>
                                <w:iCs/>
                              </w:rPr>
                              <w:t xml:space="preserve">w </w:t>
                            </w:r>
                            <w:r w:rsidR="00820C92">
                              <w:rPr>
                                <w:iCs/>
                              </w:rPr>
                              <w:t>kwietniu</w:t>
                            </w:r>
                            <w:r w:rsidR="001F2115" w:rsidRPr="008E374E">
                              <w:rPr>
                                <w:iCs/>
                              </w:rPr>
                              <w:t xml:space="preserve"> </w:t>
                            </w:r>
                            <w:r w:rsidR="009A6731" w:rsidRPr="008E374E">
                              <w:rPr>
                                <w:iCs/>
                              </w:rPr>
                              <w:t>2025</w:t>
                            </w:r>
                            <w:r w:rsidR="00AD2909" w:rsidRPr="008E374E">
                              <w:rPr>
                                <w:iCs/>
                              </w:rPr>
                              <w:t> </w:t>
                            </w:r>
                            <w:r w:rsidR="00E315B8" w:rsidRPr="008E374E">
                              <w:rPr>
                                <w:iCs/>
                              </w:rPr>
                              <w:t>r.</w:t>
                            </w:r>
                            <w:r w:rsidRPr="008E374E">
                              <w:rPr>
                                <w:iCs/>
                              </w:rPr>
                              <w:t xml:space="preserve"> w</w:t>
                            </w:r>
                            <w:r w:rsidR="005B3FDB" w:rsidRPr="008E374E">
                              <w:t> </w:t>
                            </w:r>
                            <w:r w:rsidRPr="008E374E">
                              <w:rPr>
                                <w:iCs/>
                              </w:rPr>
                              <w:t xml:space="preserve">stosunku do </w:t>
                            </w:r>
                            <w:r w:rsidR="00CC579C" w:rsidRPr="008E374E">
                              <w:rPr>
                                <w:iCs/>
                              </w:rPr>
                              <w:t xml:space="preserve">poprzedniego </w:t>
                            </w:r>
                            <w:r w:rsidRPr="008E374E">
                              <w:rPr>
                                <w:iCs/>
                              </w:rPr>
                              <w:t xml:space="preserve">miesiąca najbardziej </w:t>
                            </w:r>
                            <w:r w:rsidR="00304048" w:rsidRPr="008E374E">
                              <w:rPr>
                                <w:iCs/>
                              </w:rPr>
                              <w:t xml:space="preserve">obniżono </w:t>
                            </w:r>
                            <w:r w:rsidR="00277508" w:rsidRPr="008E374E">
                              <w:rPr>
                                <w:iCs/>
                              </w:rPr>
                              <w:t xml:space="preserve">ceny produkcji </w:t>
                            </w:r>
                            <w:r w:rsidR="0038690E">
                              <w:rPr>
                                <w:iCs/>
                              </w:rPr>
                              <w:t>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702BF" id="Pole tekstowe 4" o:spid="_x0000_s1029" type="#_x0000_t202" alt="Spośród działów przetwórstwa przemysłowego w kwietniu 2025 r. w stosunku do poprzedniego miesiąca najbardziej obniżono ceny produkcji koksu i produktów rafinacji ropy naftowej" style="position:absolute;margin-left:413.85pt;margin-top:45.35pt;width:141.85pt;height:100.8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jtnAIAAMAEAAAOAAAAZHJzL2Uyb0RvYy54bWysVM1uEzEQviPxDiPf6SYhKW3UTVVaipD4&#10;qVR4AMf2Zp3seoztrZMeK/EUPEav3Erei7E3LRHcEHuwPB7PN/N9ntmT03XbwI1yXqMp2fBgwEAZ&#10;gVKbRcm+fL58ccTAB24kb9Cokm2UZ6ez589Oop2qEdbYSOWAQIyfRluyOgQ7LQovatVyf4BWGXJW&#10;6FoeyHSLQjoeCb1titFgcFhEdNI6FMp7Or3onWyW8atKifCpqrwK0JSMagt5dXmdp7WYnfDpwnFb&#10;a7Erg/9DFS3XhpI+QV3wwKFz+i+oVguHHqtwILAtsKq0UJkDsRkO/mBzXXOrMhcSx9snmfz/gxUf&#10;b64caFmyMQPDW3qiK2wUBLXyAaMCOpbKC5Ls2uL2u3u4lyBvNd/ePdxHsO5Whfhw73yIPFvtxm/v&#10;KHCBEGEVtQpGdzAajCbgDuiIUH1nVh1IBIspXhqdbrdaef3zm+BUxnLOHSVRS8C50dsfaBCEMhvK&#10;gLJbiaWGFa58B3p3ElIxjlfa8OR0aDcEUyUGy/TG0fopUb22RDasX+OaejW/l7fvUaw8GDyvuVmo&#10;M+cw1opL0niYIou90B7HJ5B5/ICSxOJdwAy0rlybGoCeFAidem3z1F9qHUCklEeD4fh4wkCQbzgi&#10;6zB3YMGnj+GWlHyrsCVenprVUQNneH7z3odUDp8+XknZDF7qpslN3BiIJTuejCY5YM/T6kAz1ui2&#10;ZEeD9PVdn1i+MTIHB66bfk8JGrOjnZj2nMN6vs5d8vJRzTnKDengsB8p+gXQpkZ3yyDSOJXMf+24&#10;Uwyad4a0PB6Ox2n+sjGevBqR4fY9830PN4KgShYY9NvzkGe2p3xGmlc6q5Eep69kVzKNSRZpN9Jp&#10;DvftfOv3j2f2CwAA//8DAFBLAwQUAAYACAAAACEAM8uN/t4AAAALAQAADwAAAGRycy9kb3ducmV2&#10;LnhtbEyPwU7DMAyG70i8Q2QkbiyhDLaWuhMCcQVtsEncstZrKxqnarK1vD3eCXyxLH/6/TlfTa5T&#10;JxpC6xnhdmZAEZe+arlG+Px4vVmCCtFyZTvPhPBDAVbF5UVus8qPvKbTJtZKQjhkFqGJsc+0DmVD&#10;zoaZ74lld/CDs1HGodbVYEcJd51OjHnQzrYsFxrb03ND5ffm6BC2b4ev3dy81y/uvh/9ZDS7VCNe&#10;X01Pj6AiTfEPhrO+qEMhTnt/5CqoDmGZLBaCIqRG+hmQmoPaIyRpcge6yPX/H4pfAAAA//8DAFBL&#10;AQItABQABgAIAAAAIQC2gziS/gAAAOEBAAATAAAAAAAAAAAAAAAAAAAAAABbQ29udGVudF9UeXBl&#10;c10ueG1sUEsBAi0AFAAGAAgAAAAhADj9If/WAAAAlAEAAAsAAAAAAAAAAAAAAAAALwEAAF9yZWxz&#10;Ly5yZWxzUEsBAi0AFAAGAAgAAAAhAN/LeO2cAgAAwAQAAA4AAAAAAAAAAAAAAAAALgIAAGRycy9l&#10;Mm9Eb2MueG1sUEsBAi0AFAAGAAgAAAAhADPLjf7eAAAACwEAAA8AAAAAAAAAAAAAAAAA9gQAAGRy&#10;cy9kb3ducmV2LnhtbFBLBQYAAAAABAAEAPMAAAABBgAAAAA=&#10;" filled="f" stroked="f">
                <v:textbox>
                  <w:txbxContent>
                    <w:p w14:paraId="2754B820" w14:textId="7C9AA8B9" w:rsidR="00E564B6" w:rsidRPr="005546DA" w:rsidRDefault="00883E43" w:rsidP="00E564B6">
                      <w:pPr>
                        <w:pStyle w:val="tekstzboku"/>
                        <w:rPr>
                          <w:iCs/>
                        </w:rPr>
                      </w:pPr>
                      <w:r w:rsidRPr="008E374E">
                        <w:rPr>
                          <w:iCs/>
                        </w:rPr>
                        <w:t xml:space="preserve">Spośród działów przetwórstwa przemysłowego </w:t>
                      </w:r>
                      <w:r w:rsidR="00FB24A6" w:rsidRPr="008E374E">
                        <w:rPr>
                          <w:iCs/>
                        </w:rPr>
                        <w:t xml:space="preserve">w </w:t>
                      </w:r>
                      <w:r w:rsidR="00820C92">
                        <w:rPr>
                          <w:iCs/>
                        </w:rPr>
                        <w:t>kwietniu</w:t>
                      </w:r>
                      <w:r w:rsidR="001F2115" w:rsidRPr="008E374E">
                        <w:rPr>
                          <w:iCs/>
                        </w:rPr>
                        <w:t xml:space="preserve"> </w:t>
                      </w:r>
                      <w:r w:rsidR="009A6731" w:rsidRPr="008E374E">
                        <w:rPr>
                          <w:iCs/>
                        </w:rPr>
                        <w:t>2025</w:t>
                      </w:r>
                      <w:r w:rsidR="00AD2909" w:rsidRPr="008E374E">
                        <w:rPr>
                          <w:iCs/>
                        </w:rPr>
                        <w:t> </w:t>
                      </w:r>
                      <w:r w:rsidR="00E315B8" w:rsidRPr="008E374E">
                        <w:rPr>
                          <w:iCs/>
                        </w:rPr>
                        <w:t>r.</w:t>
                      </w:r>
                      <w:r w:rsidRPr="008E374E">
                        <w:rPr>
                          <w:iCs/>
                        </w:rPr>
                        <w:t xml:space="preserve"> w</w:t>
                      </w:r>
                      <w:r w:rsidR="005B3FDB" w:rsidRPr="008E374E">
                        <w:t> </w:t>
                      </w:r>
                      <w:r w:rsidRPr="008E374E">
                        <w:rPr>
                          <w:iCs/>
                        </w:rPr>
                        <w:t xml:space="preserve">stosunku do </w:t>
                      </w:r>
                      <w:r w:rsidR="00CC579C" w:rsidRPr="008E374E">
                        <w:rPr>
                          <w:iCs/>
                        </w:rPr>
                        <w:t xml:space="preserve">poprzedniego </w:t>
                      </w:r>
                      <w:r w:rsidRPr="008E374E">
                        <w:rPr>
                          <w:iCs/>
                        </w:rPr>
                        <w:t xml:space="preserve">miesiąca najbardziej </w:t>
                      </w:r>
                      <w:r w:rsidR="00304048" w:rsidRPr="008E374E">
                        <w:rPr>
                          <w:iCs/>
                        </w:rPr>
                        <w:t xml:space="preserve">obniżono </w:t>
                      </w:r>
                      <w:r w:rsidR="00277508" w:rsidRPr="008E374E">
                        <w:rPr>
                          <w:iCs/>
                        </w:rPr>
                        <w:t xml:space="preserve">ceny produkcji </w:t>
                      </w:r>
                      <w:r w:rsidR="0038690E">
                        <w:rPr>
                          <w:iCs/>
                        </w:rPr>
                        <w:t>koksu i produktów rafinacji ropy naftowej</w:t>
                      </w:r>
                    </w:p>
                  </w:txbxContent>
                </v:textbox>
                <w10:wrap type="tight"/>
              </v:shape>
            </w:pict>
          </mc:Fallback>
        </mc:AlternateContent>
      </w:r>
      <w:r w:rsidR="00611E2F">
        <w:rPr>
          <w:bCs/>
          <w:shd w:val="clear" w:color="auto" w:fill="FFFFFF"/>
        </w:rPr>
        <w:br w:type="page"/>
      </w:r>
    </w:p>
    <w:p w14:paraId="5B2B781A" w14:textId="37CAAEC0" w:rsidR="000427C1" w:rsidRDefault="000427C1" w:rsidP="000427C1">
      <w:pPr>
        <w:pStyle w:val="Tytuwykresu0"/>
        <w:ind w:left="851" w:hanging="851"/>
      </w:pPr>
      <w:r>
        <w:lastRenderedPageBreak/>
        <w:t>W</w:t>
      </w:r>
      <w:r w:rsidRPr="00CD555D">
        <w:t xml:space="preserve">ykres </w:t>
      </w:r>
      <w:r>
        <w:t>3</w:t>
      </w:r>
      <w:r w:rsidRPr="00CD555D">
        <w:t>.</w:t>
      </w:r>
      <w:r w:rsidRPr="001D4B5F">
        <w:t xml:space="preserve"> Zmiany cen produkcji sprzedanej przemysłu</w:t>
      </w:r>
      <w:r w:rsidR="00C57AAC">
        <w:t xml:space="preserve"> w porównaniu z analogicznym okresem poprzedniego roku</w:t>
      </w:r>
    </w:p>
    <w:p w14:paraId="2DAB64EC" w14:textId="4C308409" w:rsidR="000427C1" w:rsidRDefault="0038690E" w:rsidP="002C7B43">
      <w:pPr>
        <w:pStyle w:val="Tytuwykresu0"/>
        <w:spacing w:before="120"/>
        <w:ind w:left="851"/>
        <w:rPr>
          <w:szCs w:val="19"/>
        </w:rPr>
      </w:pPr>
      <w:r w:rsidRPr="00823593">
        <w:rPr>
          <w:b w:val="0"/>
          <w:spacing w:val="-2"/>
          <w:szCs w:val="19"/>
        </w:rPr>
        <mc:AlternateContent>
          <mc:Choice Requires="wps">
            <w:drawing>
              <wp:anchor distT="45720" distB="45720" distL="114300" distR="114300" simplePos="0" relativeHeight="251860992" behindDoc="1" locked="0" layoutInCell="1" allowOverlap="1" wp14:anchorId="5E277A7C" wp14:editId="094C25A1">
                <wp:simplePos x="0" y="0"/>
                <wp:positionH relativeFrom="column">
                  <wp:posOffset>5287010</wp:posOffset>
                </wp:positionH>
                <wp:positionV relativeFrom="paragraph">
                  <wp:posOffset>774065</wp:posOffset>
                </wp:positionV>
                <wp:extent cx="1725295" cy="988060"/>
                <wp:effectExtent l="0" t="0" r="0" b="2540"/>
                <wp:wrapTight wrapText="bothSides">
                  <wp:wrapPolygon edited="0">
                    <wp:start x="715" y="0"/>
                    <wp:lineTo x="715" y="21239"/>
                    <wp:lineTo x="20749" y="21239"/>
                    <wp:lineTo x="20749" y="0"/>
                    <wp:lineTo x="715" y="0"/>
                  </wp:wrapPolygon>
                </wp:wrapTight>
                <wp:docPr id="31" name="Pole tekstowe 31" descr="W kwietniu 2025 r. obserwowano spadek cen produkcji sprzedanej przemysłu w skali roku 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8060"/>
                        </a:xfrm>
                        <a:prstGeom prst="rect">
                          <a:avLst/>
                        </a:prstGeom>
                        <a:noFill/>
                        <a:ln w="9525">
                          <a:noFill/>
                          <a:miter lim="800000"/>
                          <a:headEnd/>
                          <a:tailEnd/>
                        </a:ln>
                      </wps:spPr>
                      <wps:txbx>
                        <w:txbxContent>
                          <w:p w14:paraId="237C519A" w14:textId="7A9EEFFF" w:rsidR="000427C1" w:rsidRPr="005C0F80" w:rsidRDefault="000427C1" w:rsidP="000427C1">
                            <w:pPr>
                              <w:pStyle w:val="tekstzboku"/>
                              <w:rPr>
                                <w:iCs/>
                              </w:rPr>
                            </w:pPr>
                            <w:r>
                              <w:rPr>
                                <w:iCs/>
                              </w:rPr>
                              <w:t xml:space="preserve">W </w:t>
                            </w:r>
                            <w:r w:rsidR="00820C92">
                              <w:rPr>
                                <w:iCs/>
                              </w:rPr>
                              <w:t>kwietniu</w:t>
                            </w:r>
                            <w:r>
                              <w:rPr>
                                <w:iCs/>
                              </w:rPr>
                              <w:t xml:space="preserve"> 2025 r. obserwowano spadek cen produkcji sprzedanej przemysłu w skali roku o</w:t>
                            </w:r>
                            <w:r w:rsidR="002C7B43">
                              <w:rPr>
                                <w:iCs/>
                              </w:rPr>
                              <w:t> </w:t>
                            </w:r>
                            <w:r>
                              <w:rPr>
                                <w:iCs/>
                              </w:rPr>
                              <w:t>1,</w:t>
                            </w:r>
                            <w:r w:rsidR="00FF2393">
                              <w:rPr>
                                <w:iCs/>
                              </w:rPr>
                              <w:t>4</w:t>
                            </w:r>
                            <w:r>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77A7C" id="Pole tekstowe 31" o:spid="_x0000_s1030" type="#_x0000_t202" alt="W kwietniu 2025 r. obserwowano spadek cen produkcji sprzedanej przemysłu w skali roku o 1,4%" style="position:absolute;left:0;text-align:left;margin-left:416.3pt;margin-top:60.95pt;width:135.85pt;height:77.8pt;z-index:-25145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0QKYQIAAGYEAAAOAAAAZHJzL2Uyb0RvYy54bWysVFFv0zAQfkfiP5ws8QZNG9qtq5ZOY2No&#10;0oBJA/HsOpfGS+ILtrOke+S/8b84O92o4A3RB8v25T7f9913PT0bmhoe0DpNJhOzyVQAGkW5NttM&#10;fP1y9WYpwHlpclmTwUzs0Imz9csXp327wpRKqnO0wCDGrfo2E6X37SpJnCqxkW5CLRoOFmQb6flo&#10;t0luZc/oTZ2k0+lR0pPNW0sKnePbyzEo1hG/KFD5z0Xh0EOdCa7Nx9XGdRPWZH0qV1sr21KrfRny&#10;H6popDb86DPUpfQSOqv/gmq0suSo8BNFTUJFoRVGDsxmNv2DzV0pW4xcWBzXPsvk/h+s+vRwa0Hn&#10;mXg7E2Bkwz26pRrBY+U89QjhPkenWLRvUPUavdEdpNN0AXYCtHFoe+qlIXCtzLEChQa4I3lXqXvN&#10;l/YRc2nwni8fsdm5nz866MFVstZgqeqAYPZ6/iq0om/diiu6a7kmP7yjgS0VZXXtDanKgaGLUpot&#10;nltLfYkyZylmITM5SB1xXADZ9B8pZ0qy8xSBhsI2oU+sPDA6W2L3bAMcPKjw5HG6SE8WAhTHTpbL&#10;6VH0SSJXT9mtdf4DUsOUHFvKss0iuny4cT5UI1dPn4THDF3puo5Wqw30DLpIFzHhINJoz5NQ6yYT&#10;y2n4jd4MJN+bPCZ7qetxzw/UZs86EB0p+2EzxF7On8TcUL5jGSyNxudB5U1J9lFAz6bPhPveSYsC&#10;6mvDUp7M5vMwJfEwXxynfLCHkc1hRBrFUJnwAsbthY+TNVI+Z8kLHdUIvRkr2ZfMZo4i7QcvTMvh&#10;OX71++9h/QsAAP//AwBQSwMEFAAGAAgAAAAhAM5bf6nfAAAADAEAAA8AAABkcnMvZG93bnJldi54&#10;bWxMj8tOwzAQRfdI/IM1SOyonfQdMqkQiC2oBSp158bTJCIeR7HbhL/HXcFydI/uPZNvRtuKC/W+&#10;cYyQTBQI4tKZhiuEz4/XhxUIHzQb3TomhB/ysClub3KdGTfwli67UIlYwj7TCHUIXSalL2uy2k9c&#10;Rxyzk+utDvHsK2l6PcRy28pUqYW0uuG4UOuOnmsqv3dni/D1djrsZ+q9erHzbnCjkmzXEvH+bnx6&#10;BBFoDH8wXPWjOhTR6ejObLxoEVbTdBHRGKTJGsSVSNRsCuKIkC6Xc5BFLv8/UfwCAAD//wMAUEsB&#10;Ai0AFAAGAAgAAAAhALaDOJL+AAAA4QEAABMAAAAAAAAAAAAAAAAAAAAAAFtDb250ZW50X1R5cGVz&#10;XS54bWxQSwECLQAUAAYACAAAACEAOP0h/9YAAACUAQAACwAAAAAAAAAAAAAAAAAvAQAAX3JlbHMv&#10;LnJlbHNQSwECLQAUAAYACAAAACEAgatECmECAABmBAAADgAAAAAAAAAAAAAAAAAuAgAAZHJzL2Uy&#10;b0RvYy54bWxQSwECLQAUAAYACAAAACEAzlt/qd8AAAAMAQAADwAAAAAAAAAAAAAAAAC7BAAAZHJz&#10;L2Rvd25yZXYueG1sUEsFBgAAAAAEAAQA8wAAAMcFAAAAAA==&#10;" filled="f" stroked="f">
                <v:textbox>
                  <w:txbxContent>
                    <w:p w14:paraId="237C519A" w14:textId="7A9EEFFF" w:rsidR="000427C1" w:rsidRPr="005C0F80" w:rsidRDefault="000427C1" w:rsidP="000427C1">
                      <w:pPr>
                        <w:pStyle w:val="tekstzboku"/>
                        <w:rPr>
                          <w:iCs/>
                        </w:rPr>
                      </w:pPr>
                      <w:r>
                        <w:rPr>
                          <w:iCs/>
                        </w:rPr>
                        <w:t xml:space="preserve">W </w:t>
                      </w:r>
                      <w:r w:rsidR="00820C92">
                        <w:rPr>
                          <w:iCs/>
                        </w:rPr>
                        <w:t>kwietniu</w:t>
                      </w:r>
                      <w:r>
                        <w:rPr>
                          <w:iCs/>
                        </w:rPr>
                        <w:t xml:space="preserve"> 2025 r. obserwowano spadek cen produkcji sprzedanej przemysłu w skali roku o</w:t>
                      </w:r>
                      <w:r w:rsidR="002C7B43">
                        <w:rPr>
                          <w:iCs/>
                        </w:rPr>
                        <w:t> </w:t>
                      </w:r>
                      <w:r>
                        <w:rPr>
                          <w:iCs/>
                        </w:rPr>
                        <w:t>1,</w:t>
                      </w:r>
                      <w:r w:rsidR="00FF2393">
                        <w:rPr>
                          <w:iCs/>
                        </w:rPr>
                        <w:t>4</w:t>
                      </w:r>
                      <w:r>
                        <w:rPr>
                          <w:iCs/>
                        </w:rPr>
                        <w:t>%</w:t>
                      </w:r>
                    </w:p>
                  </w:txbxContent>
                </v:textbox>
                <w10:wrap type="tight"/>
              </v:shape>
            </w:pict>
          </mc:Fallback>
        </mc:AlternateContent>
      </w:r>
      <w:r w:rsidR="005637E5">
        <mc:AlternateContent>
          <mc:Choice Requires="wps">
            <w:drawing>
              <wp:anchor distT="45720" distB="45720" distL="114300" distR="114300" simplePos="0" relativeHeight="251863040" behindDoc="0" locked="0" layoutInCell="1" allowOverlap="1" wp14:anchorId="2353424B" wp14:editId="6FC3E48B">
                <wp:simplePos x="0" y="0"/>
                <wp:positionH relativeFrom="column">
                  <wp:posOffset>75582</wp:posOffset>
                </wp:positionH>
                <wp:positionV relativeFrom="paragraph">
                  <wp:posOffset>77778</wp:posOffset>
                </wp:positionV>
                <wp:extent cx="228600" cy="243840"/>
                <wp:effectExtent l="0" t="0" r="0" b="381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3840"/>
                        </a:xfrm>
                        <a:prstGeom prst="rect">
                          <a:avLst/>
                        </a:prstGeom>
                        <a:noFill/>
                        <a:ln w="9525">
                          <a:noFill/>
                          <a:miter lim="800000"/>
                          <a:headEnd/>
                          <a:tailEnd/>
                        </a:ln>
                      </wps:spPr>
                      <wps:txbx>
                        <w:txbxContent>
                          <w:p w14:paraId="5A36E2C0" w14:textId="77777777" w:rsidR="000427C1" w:rsidRPr="0062216D" w:rsidRDefault="000427C1" w:rsidP="000427C1">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3424B" id="_x0000_s1031" type="#_x0000_t202" style="position:absolute;left:0;text-align:left;margin-left:5.95pt;margin-top:6.1pt;width:18pt;height:19.2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s4EQIAAP4DAAAOAAAAZHJzL2Uyb0RvYy54bWysU8Fu2zAMvQ/YPwi6L3bcpEuNKEXXrsOA&#10;bivQ7gMUWY6FSqImKbGzry8lJ1mw3ob5IIgm+cj3SC2vB6PJTvqgwDI6nZSUSCugUXbD6M/n+w8L&#10;SkLktuEarGR0LwO9Xr1/t+xdLSvoQDfSEwSxoe4do12Mri6KIDppeJiAkxadLXjDI5p+UzSe94hu&#10;dFGV5WXRg2+cByFDwL93o5OuMn7bShF/tG2QkWhGsbeYT5/PdTqL1ZLXG89dp8ShDf4PXRiuLBY9&#10;Qd3xyMnWqzdQRgkPAdo4EWAKaFslZOaAbKblX2yeOu5k5oLiBHeSKfw/WPF99+iJahi9QHksNzij&#10;R9CSRPkSIvSSVEmj3oUaQ58cBsfhEww468w3uAcQL4FYuO243cgb76HvJG+wx2nKLM5SR5yQQNb9&#10;N2iwFt9GyEBD600SECUhiI7N7E/zkUMkAn9W1eKyRI9AVzW7WMzy/ApeH5OdD/GLBEPShVGP48/g&#10;fPcQYmqG18eQVMvCvdI6r4C2pGf0al7Nc8KZx6iIG6qVYXRRpm/cmcTxs21ycuRKj3csoO2BdOI5&#10;Mo7Desgaz49arqHZowoexoXEB4SXDvxvSnpcRkbDry33khL91aKSV9MZciUxG7P5xwoNf+5Zn3u4&#10;FQjFaKRkvN7GvPEj5RtUvFVZjTSasZNDy7hkWaTDg0hbfG7nqD/PdvUKAAD//wMAUEsDBBQABgAI&#10;AAAAIQA8sFGb2gAAAAcBAAAPAAAAZHJzL2Rvd25yZXYueG1sTI5BS8NAEIXvgv9hGcGb3W1oq43Z&#10;FFG8KlYt9DbNTpNgdjZkt038944nPQ0f7/HmKzaT79SZhtgGtjCfGVDEVXAt1xY+3p9v7kDFhOyw&#10;C0wWvinCpry8KDB3YeQ3Om9TrWSEY44WmpT6XOtYNeQxzkJPLNkxDB6T4FBrN+Ao477TmTEr7bFl&#10;+dBgT48NVV/bk7fw+XLc7xbmtX7yy34Mk9Hs19ra66vp4R5Uoin9leFXX9ShFKdDOLGLqhOer6Up&#10;N8tASb64FT5YWJoV6LLQ//3LHwAAAP//AwBQSwECLQAUAAYACAAAACEAtoM4kv4AAADhAQAAEwAA&#10;AAAAAAAAAAAAAAAAAAAAW0NvbnRlbnRfVHlwZXNdLnhtbFBLAQItABQABgAIAAAAIQA4/SH/1gAA&#10;AJQBAAALAAAAAAAAAAAAAAAAAC8BAABfcmVscy8ucmVsc1BLAQItABQABgAIAAAAIQBDSOs4EQIA&#10;AP4DAAAOAAAAAAAAAAAAAAAAAC4CAABkcnMvZTJvRG9jLnhtbFBLAQItABQABgAIAAAAIQA8sFGb&#10;2gAAAAcBAAAPAAAAAAAAAAAAAAAAAGsEAABkcnMvZG93bnJldi54bWxQSwUGAAAAAAQABADzAAAA&#10;cgUAAAAA&#10;" filled="f" stroked="f">
                <v:textbox>
                  <w:txbxContent>
                    <w:p w14:paraId="5A36E2C0" w14:textId="77777777" w:rsidR="000427C1" w:rsidRPr="0062216D" w:rsidRDefault="000427C1" w:rsidP="000427C1">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5637E5">
        <w:drawing>
          <wp:anchor distT="0" distB="0" distL="114300" distR="114300" simplePos="0" relativeHeight="251862016" behindDoc="0" locked="0" layoutInCell="1" allowOverlap="1" wp14:anchorId="754E0D73" wp14:editId="4EAF1D2D">
            <wp:simplePos x="0" y="0"/>
            <wp:positionH relativeFrom="margin">
              <wp:align>left</wp:align>
            </wp:positionH>
            <wp:positionV relativeFrom="paragraph">
              <wp:posOffset>258188</wp:posOffset>
            </wp:positionV>
            <wp:extent cx="5006975" cy="2580640"/>
            <wp:effectExtent l="0" t="0" r="3175" b="0"/>
            <wp:wrapTopAndBottom/>
            <wp:docPr id="32" name="Wykres 32" descr="Wykres 3. Zmiany cen produkcji sprzedanej przemysłu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34B85A8" w14:textId="75AEC10A" w:rsidR="000427C1" w:rsidRDefault="000427C1" w:rsidP="000427C1"/>
    <w:p w14:paraId="16255F37" w14:textId="4AFE9FDA" w:rsidR="002C7B43" w:rsidRPr="00811F7F" w:rsidRDefault="002C7B43" w:rsidP="002C7B43">
      <w:r w:rsidRPr="00F7077B">
        <w:rPr>
          <w:rFonts w:eastAsia="Times New Roman" w:cs="Times New Roman"/>
          <w:b/>
          <w:bCs/>
          <w:color w:val="001D77"/>
          <w:szCs w:val="19"/>
          <w:lang w:eastAsia="pl-PL"/>
        </w:rPr>
        <w:t xml:space="preserve">Zmiany cen produkcji sprzedanej przemysłu </w:t>
      </w:r>
      <w:r>
        <w:rPr>
          <w:rFonts w:eastAsia="Times New Roman" w:cs="Times New Roman"/>
          <w:b/>
          <w:bCs/>
          <w:color w:val="001D77"/>
          <w:szCs w:val="19"/>
          <w:lang w:eastAsia="pl-PL"/>
        </w:rPr>
        <w:t xml:space="preserve">w </w:t>
      </w:r>
      <w:r w:rsidR="00820C92">
        <w:rPr>
          <w:rFonts w:eastAsia="Times New Roman" w:cs="Times New Roman"/>
          <w:b/>
          <w:bCs/>
          <w:color w:val="001D77"/>
          <w:szCs w:val="19"/>
          <w:lang w:eastAsia="pl-PL"/>
        </w:rPr>
        <w:t>kwietniu</w:t>
      </w:r>
      <w:r>
        <w:rPr>
          <w:rFonts w:eastAsia="Times New Roman" w:cs="Times New Roman"/>
          <w:b/>
          <w:bCs/>
          <w:color w:val="001D77"/>
          <w:szCs w:val="19"/>
          <w:lang w:eastAsia="pl-PL"/>
        </w:rPr>
        <w:t xml:space="preserve"> 2025 r</w:t>
      </w:r>
      <w:r w:rsidRPr="00F7077B">
        <w:rPr>
          <w:rFonts w:eastAsia="Times New Roman" w:cs="Times New Roman"/>
          <w:b/>
          <w:bCs/>
          <w:color w:val="001D77"/>
          <w:szCs w:val="19"/>
          <w:lang w:eastAsia="pl-PL"/>
        </w:rPr>
        <w:t xml:space="preserve">. w porównaniu </w:t>
      </w:r>
      <w:r>
        <w:rPr>
          <w:rFonts w:eastAsia="Times New Roman" w:cs="Times New Roman"/>
          <w:b/>
          <w:bCs/>
          <w:color w:val="001D77"/>
          <w:szCs w:val="19"/>
          <w:lang w:eastAsia="pl-PL"/>
        </w:rPr>
        <w:t>z</w:t>
      </w:r>
      <w:r w:rsidR="00FF2393">
        <w:rPr>
          <w:rFonts w:eastAsia="Times New Roman" w:cs="Times New Roman"/>
          <w:b/>
          <w:bCs/>
          <w:color w:val="001D77"/>
          <w:szCs w:val="19"/>
          <w:lang w:eastAsia="pl-PL"/>
        </w:rPr>
        <w:t> </w:t>
      </w:r>
      <w:r>
        <w:rPr>
          <w:rFonts w:eastAsia="Times New Roman" w:cs="Times New Roman"/>
          <w:b/>
          <w:bCs/>
          <w:color w:val="001D77"/>
          <w:szCs w:val="19"/>
          <w:lang w:eastAsia="pl-PL"/>
        </w:rPr>
        <w:t xml:space="preserve"> analogicznym miesiącem </w:t>
      </w:r>
      <w:r w:rsidR="00375446">
        <w:rPr>
          <w:rFonts w:eastAsia="Times New Roman" w:cs="Times New Roman"/>
          <w:b/>
          <w:bCs/>
          <w:color w:val="001D77"/>
          <w:szCs w:val="19"/>
          <w:lang w:eastAsia="pl-PL"/>
        </w:rPr>
        <w:t xml:space="preserve">ub. </w:t>
      </w:r>
      <w:r>
        <w:rPr>
          <w:rFonts w:eastAsia="Times New Roman" w:cs="Times New Roman"/>
          <w:b/>
          <w:bCs/>
          <w:color w:val="001D77"/>
          <w:szCs w:val="19"/>
          <w:lang w:eastAsia="pl-PL"/>
        </w:rPr>
        <w:t>roku</w:t>
      </w:r>
    </w:p>
    <w:p w14:paraId="6A2E1056" w14:textId="0E68722F" w:rsidR="002C7B43" w:rsidRDefault="002C7B43" w:rsidP="000F41EB">
      <w:pPr>
        <w:spacing w:after="0"/>
        <w:rPr>
          <w:shd w:val="clear" w:color="auto" w:fill="FFFFFF"/>
        </w:rPr>
      </w:pPr>
      <w:r>
        <w:rPr>
          <w:shd w:val="clear" w:color="auto" w:fill="FFFFFF"/>
        </w:rPr>
        <w:t xml:space="preserve">W </w:t>
      </w:r>
      <w:r w:rsidR="00820C92">
        <w:rPr>
          <w:shd w:val="clear" w:color="auto" w:fill="FFFFFF"/>
        </w:rPr>
        <w:t>kwietniu</w:t>
      </w:r>
      <w:r>
        <w:rPr>
          <w:shd w:val="clear" w:color="auto" w:fill="FFFFFF"/>
        </w:rPr>
        <w:t xml:space="preserve"> 2025</w:t>
      </w:r>
      <w:r w:rsidRPr="007969A7">
        <w:rPr>
          <w:shd w:val="clear" w:color="auto" w:fill="FFFFFF"/>
        </w:rPr>
        <w:t xml:space="preserve"> r.</w:t>
      </w:r>
      <w:r w:rsidRPr="000377B7">
        <w:rPr>
          <w:shd w:val="clear" w:color="auto" w:fill="FFFFFF"/>
        </w:rPr>
        <w:t xml:space="preserve"> </w:t>
      </w:r>
      <w:r w:rsidRPr="000F41EB">
        <w:rPr>
          <w:shd w:val="clear" w:color="auto" w:fill="FFFFFF"/>
        </w:rPr>
        <w:t>ceny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Pr>
          <w:shd w:val="clear" w:color="auto" w:fill="FFFFFF"/>
        </w:rPr>
        <w:t>analogicznym miesiącem ub. roku obniżono</w:t>
      </w:r>
      <w:r w:rsidRPr="00F411EC">
        <w:rPr>
          <w:shd w:val="clear" w:color="auto" w:fill="FFFFFF"/>
        </w:rPr>
        <w:t xml:space="preserve"> </w:t>
      </w:r>
      <w:r w:rsidRPr="00295375">
        <w:rPr>
          <w:shd w:val="clear" w:color="auto" w:fill="FFFFFF"/>
        </w:rPr>
        <w:t xml:space="preserve">o </w:t>
      </w:r>
      <w:r w:rsidR="00FF2393">
        <w:rPr>
          <w:shd w:val="clear" w:color="auto" w:fill="FFFFFF"/>
        </w:rPr>
        <w:t>1</w:t>
      </w:r>
      <w:r>
        <w:rPr>
          <w:shd w:val="clear" w:color="auto" w:fill="FFFFFF"/>
        </w:rPr>
        <w:t>,</w:t>
      </w:r>
      <w:r w:rsidR="00FF2393">
        <w:rPr>
          <w:shd w:val="clear" w:color="auto" w:fill="FFFFFF"/>
        </w:rPr>
        <w:t>4</w:t>
      </w:r>
      <w:r w:rsidRPr="00295375">
        <w:rPr>
          <w:shd w:val="clear" w:color="auto" w:fill="FFFFFF"/>
        </w:rPr>
        <w:t>%.</w:t>
      </w:r>
      <w:r w:rsidRPr="0066182F">
        <w:rPr>
          <w:shd w:val="clear" w:color="auto" w:fill="FFFFFF"/>
        </w:rPr>
        <w:t xml:space="preserve"> </w:t>
      </w:r>
      <w:r>
        <w:rPr>
          <w:shd w:val="clear" w:color="auto" w:fill="FFFFFF"/>
        </w:rPr>
        <w:t>Spośród sekcji największy spadek cen odnotowano w </w:t>
      </w:r>
      <w:r w:rsidR="0038690E" w:rsidRPr="00B84F73">
        <w:rPr>
          <w:b/>
          <w:shd w:val="clear" w:color="auto" w:fill="FFFFFF"/>
        </w:rPr>
        <w:t>górnictw</w:t>
      </w:r>
      <w:r w:rsidR="0038690E">
        <w:rPr>
          <w:b/>
          <w:shd w:val="clear" w:color="auto" w:fill="FFFFFF"/>
        </w:rPr>
        <w:t>ie</w:t>
      </w:r>
      <w:r w:rsidR="0038690E" w:rsidRPr="00B84F73">
        <w:rPr>
          <w:b/>
          <w:shd w:val="clear" w:color="auto" w:fill="FFFFFF"/>
        </w:rPr>
        <w:t xml:space="preserve"> i wydobywani</w:t>
      </w:r>
      <w:r w:rsidR="0038690E">
        <w:rPr>
          <w:b/>
          <w:shd w:val="clear" w:color="auto" w:fill="FFFFFF"/>
        </w:rPr>
        <w:t>u</w:t>
      </w:r>
      <w:r w:rsidR="00152CEF">
        <w:rPr>
          <w:b/>
          <w:shd w:val="clear" w:color="auto" w:fill="FFFFFF"/>
        </w:rPr>
        <w:t xml:space="preserve"> </w:t>
      </w:r>
      <w:r>
        <w:rPr>
          <w:shd w:val="clear" w:color="auto" w:fill="FFFFFF"/>
        </w:rPr>
        <w:t xml:space="preserve">– o </w:t>
      </w:r>
      <w:r w:rsidR="00FF2393">
        <w:rPr>
          <w:shd w:val="clear" w:color="auto" w:fill="FFFFFF"/>
        </w:rPr>
        <w:t>8,4</w:t>
      </w:r>
      <w:r>
        <w:rPr>
          <w:shd w:val="clear" w:color="auto" w:fill="FFFFFF"/>
        </w:rPr>
        <w:t xml:space="preserve">% </w:t>
      </w:r>
      <w:r w:rsidR="0038690E">
        <w:rPr>
          <w:shd w:val="clear" w:color="auto" w:fill="FFFFFF"/>
        </w:rPr>
        <w:t xml:space="preserve">(w tym w </w:t>
      </w:r>
      <w:r w:rsidR="0038690E" w:rsidRPr="00B43AD5">
        <w:rPr>
          <w:shd w:val="clear" w:color="auto" w:fill="FFFFFF"/>
        </w:rPr>
        <w:t>wydobywani</w:t>
      </w:r>
      <w:r w:rsidR="0038690E">
        <w:rPr>
          <w:shd w:val="clear" w:color="auto" w:fill="FFFFFF"/>
        </w:rPr>
        <w:t>u</w:t>
      </w:r>
      <w:r w:rsidR="0038690E" w:rsidRPr="00B43AD5">
        <w:rPr>
          <w:shd w:val="clear" w:color="auto" w:fill="FFFFFF"/>
        </w:rPr>
        <w:t xml:space="preserve"> węgla kamiennego i węgla brunatnego (lignitu) </w:t>
      </w:r>
      <w:r w:rsidR="0038690E">
        <w:rPr>
          <w:shd w:val="clear" w:color="auto" w:fill="FFFFFF"/>
        </w:rPr>
        <w:t xml:space="preserve">ceny spadły </w:t>
      </w:r>
      <w:r w:rsidR="0038690E" w:rsidRPr="00B43AD5">
        <w:rPr>
          <w:shd w:val="clear" w:color="auto" w:fill="FFFFFF"/>
        </w:rPr>
        <w:t xml:space="preserve">o </w:t>
      </w:r>
      <w:r w:rsidR="00FF2393">
        <w:rPr>
          <w:shd w:val="clear" w:color="auto" w:fill="FFFFFF"/>
        </w:rPr>
        <w:t>20</w:t>
      </w:r>
      <w:r w:rsidR="0038690E">
        <w:rPr>
          <w:shd w:val="clear" w:color="auto" w:fill="FFFFFF"/>
        </w:rPr>
        <w:t>,4</w:t>
      </w:r>
      <w:r w:rsidR="0038690E" w:rsidRPr="00B43AD5">
        <w:rPr>
          <w:shd w:val="clear" w:color="auto" w:fill="FFFFFF"/>
        </w:rPr>
        <w:t>%</w:t>
      </w:r>
      <w:r w:rsidR="0038690E">
        <w:rPr>
          <w:shd w:val="clear" w:color="auto" w:fill="FFFFFF"/>
        </w:rPr>
        <w:t xml:space="preserve">, </w:t>
      </w:r>
      <w:r w:rsidR="00FF2393">
        <w:rPr>
          <w:shd w:val="clear" w:color="auto" w:fill="FFFFFF"/>
        </w:rPr>
        <w:t xml:space="preserve">a </w:t>
      </w:r>
      <w:r w:rsidR="0038690E">
        <w:rPr>
          <w:shd w:val="clear" w:color="auto" w:fill="FFFFFF"/>
        </w:rPr>
        <w:t xml:space="preserve">w </w:t>
      </w:r>
      <w:r w:rsidR="0038690E" w:rsidRPr="00B43AD5">
        <w:rPr>
          <w:shd w:val="clear" w:color="auto" w:fill="FFFFFF"/>
        </w:rPr>
        <w:t>górnictwie rud metali</w:t>
      </w:r>
      <w:r w:rsidR="0038690E">
        <w:rPr>
          <w:shd w:val="clear" w:color="auto" w:fill="FFFFFF"/>
        </w:rPr>
        <w:t xml:space="preserve"> – o </w:t>
      </w:r>
      <w:r w:rsidR="00FF2393">
        <w:rPr>
          <w:shd w:val="clear" w:color="auto" w:fill="FFFFFF"/>
        </w:rPr>
        <w:t>1,7</w:t>
      </w:r>
      <w:r w:rsidR="0038690E">
        <w:rPr>
          <w:shd w:val="clear" w:color="auto" w:fill="FFFFFF"/>
        </w:rPr>
        <w:t xml:space="preserve">%) </w:t>
      </w:r>
      <w:r>
        <w:rPr>
          <w:shd w:val="clear" w:color="auto" w:fill="FFFFFF"/>
        </w:rPr>
        <w:t>oraz w</w:t>
      </w:r>
      <w:r w:rsidR="00867273">
        <w:rPr>
          <w:shd w:val="clear" w:color="auto" w:fill="FFFFFF"/>
        </w:rPr>
        <w:t> </w:t>
      </w:r>
      <w:r w:rsidR="0038690E" w:rsidRPr="00B4064D">
        <w:rPr>
          <w:b/>
          <w:shd w:val="clear" w:color="auto" w:fill="FFFFFF"/>
        </w:rPr>
        <w:t>przetwórstw</w:t>
      </w:r>
      <w:r w:rsidR="0038690E">
        <w:rPr>
          <w:b/>
          <w:shd w:val="clear" w:color="auto" w:fill="FFFFFF"/>
        </w:rPr>
        <w:t>ie</w:t>
      </w:r>
      <w:r w:rsidR="0038690E" w:rsidRPr="00B4064D">
        <w:rPr>
          <w:b/>
          <w:shd w:val="clear" w:color="auto" w:fill="FFFFFF"/>
        </w:rPr>
        <w:t xml:space="preserve"> </w:t>
      </w:r>
      <w:r w:rsidR="0038690E" w:rsidRPr="00C378CF">
        <w:rPr>
          <w:b/>
          <w:shd w:val="clear" w:color="auto" w:fill="FFFFFF"/>
        </w:rPr>
        <w:t>przemysłow</w:t>
      </w:r>
      <w:r w:rsidR="0038690E">
        <w:rPr>
          <w:b/>
          <w:shd w:val="clear" w:color="auto" w:fill="FFFFFF"/>
        </w:rPr>
        <w:t>ym</w:t>
      </w:r>
      <w:r w:rsidR="0038690E">
        <w:rPr>
          <w:shd w:val="clear" w:color="auto" w:fill="FFFFFF"/>
        </w:rPr>
        <w:t xml:space="preserve"> </w:t>
      </w:r>
      <w:r>
        <w:rPr>
          <w:shd w:val="clear" w:color="auto" w:fill="FFFFFF"/>
        </w:rPr>
        <w:t xml:space="preserve">– </w:t>
      </w:r>
      <w:r w:rsidRPr="00B84F73">
        <w:rPr>
          <w:shd w:val="clear" w:color="auto" w:fill="FFFFFF"/>
        </w:rPr>
        <w:t xml:space="preserve">o </w:t>
      </w:r>
      <w:r>
        <w:rPr>
          <w:shd w:val="clear" w:color="auto" w:fill="FFFFFF"/>
        </w:rPr>
        <w:t>1,</w:t>
      </w:r>
      <w:r w:rsidR="00FF2393">
        <w:rPr>
          <w:shd w:val="clear" w:color="auto" w:fill="FFFFFF"/>
        </w:rPr>
        <w:t>4</w:t>
      </w:r>
      <w:r w:rsidRPr="00B84F73">
        <w:rPr>
          <w:shd w:val="clear" w:color="auto" w:fill="FFFFFF"/>
        </w:rPr>
        <w:t>%</w:t>
      </w:r>
      <w:r w:rsidR="0038690E">
        <w:rPr>
          <w:shd w:val="clear" w:color="auto" w:fill="FFFFFF"/>
        </w:rPr>
        <w:t>.</w:t>
      </w:r>
    </w:p>
    <w:p w14:paraId="18496F96" w14:textId="759ED5B7" w:rsidR="002C7B43" w:rsidRDefault="002C7B43" w:rsidP="000F41EB">
      <w:pPr>
        <w:spacing w:after="0"/>
        <w:rPr>
          <w:shd w:val="clear" w:color="auto" w:fill="FFFFFF"/>
        </w:rPr>
      </w:pPr>
      <w:r>
        <w:rPr>
          <w:bCs/>
          <w:shd w:val="clear" w:color="auto" w:fill="FFFFFF"/>
        </w:rPr>
        <w:t xml:space="preserve">Wyższe niż w </w:t>
      </w:r>
      <w:r w:rsidR="000A3A94">
        <w:rPr>
          <w:bCs/>
          <w:shd w:val="clear" w:color="auto" w:fill="FFFFFF"/>
        </w:rPr>
        <w:t>kwietniu</w:t>
      </w:r>
      <w:bookmarkStart w:id="1" w:name="_GoBack"/>
      <w:bookmarkEnd w:id="1"/>
      <w:r>
        <w:rPr>
          <w:bCs/>
          <w:shd w:val="clear" w:color="auto" w:fill="FFFFFF"/>
        </w:rPr>
        <w:t xml:space="preserve"> </w:t>
      </w:r>
      <w:r w:rsidR="00375446">
        <w:rPr>
          <w:bCs/>
          <w:shd w:val="clear" w:color="auto" w:fill="FFFFFF"/>
        </w:rPr>
        <w:t xml:space="preserve">ub. </w:t>
      </w:r>
      <w:r>
        <w:rPr>
          <w:bCs/>
          <w:shd w:val="clear" w:color="auto" w:fill="FFFFFF"/>
        </w:rPr>
        <w:t>roku były natomiast ceny w</w:t>
      </w:r>
      <w:r w:rsidRPr="00B43AD5">
        <w:rPr>
          <w:shd w:val="clear" w:color="auto" w:fill="FFFFFF"/>
        </w:rPr>
        <w:t xml:space="preserve"> sekcji</w:t>
      </w:r>
      <w:r w:rsidRPr="00B43AD5">
        <w:rPr>
          <w:b/>
          <w:shd w:val="clear" w:color="auto" w:fill="FFFFFF"/>
        </w:rPr>
        <w:t xml:space="preserve"> </w:t>
      </w:r>
      <w:r w:rsidRPr="00B84F73">
        <w:rPr>
          <w:b/>
          <w:shd w:val="clear" w:color="auto" w:fill="FFFFFF"/>
        </w:rPr>
        <w:t>dostawa wody; gospodarowanie ściekami i</w:t>
      </w:r>
      <w:r>
        <w:rPr>
          <w:b/>
          <w:shd w:val="clear" w:color="auto" w:fill="FFFFFF"/>
        </w:rPr>
        <w:t> </w:t>
      </w:r>
      <w:r w:rsidRPr="00B84F73">
        <w:rPr>
          <w:b/>
          <w:shd w:val="clear" w:color="auto" w:fill="FFFFFF"/>
        </w:rPr>
        <w:t>odpadami; rekultywacja</w:t>
      </w:r>
      <w:r w:rsidRPr="00B84F73">
        <w:rPr>
          <w:bCs/>
          <w:shd w:val="clear" w:color="auto" w:fill="FFFFFF"/>
        </w:rPr>
        <w:t xml:space="preserve"> </w:t>
      </w:r>
      <w:r>
        <w:rPr>
          <w:shd w:val="clear" w:color="auto" w:fill="FFFFFF"/>
        </w:rPr>
        <w:t xml:space="preserve">– </w:t>
      </w:r>
      <w:r w:rsidRPr="00B84F73">
        <w:rPr>
          <w:bCs/>
          <w:shd w:val="clear" w:color="auto" w:fill="FFFFFF"/>
        </w:rPr>
        <w:t>o </w:t>
      </w:r>
      <w:r w:rsidR="00FF2393">
        <w:rPr>
          <w:bCs/>
          <w:shd w:val="clear" w:color="auto" w:fill="FFFFFF"/>
        </w:rPr>
        <w:t>3,0</w:t>
      </w:r>
      <w:r>
        <w:rPr>
          <w:bCs/>
          <w:shd w:val="clear" w:color="auto" w:fill="FFFFFF"/>
        </w:rPr>
        <w:t>%</w:t>
      </w:r>
      <w:r w:rsidR="0038690E">
        <w:rPr>
          <w:bCs/>
          <w:shd w:val="clear" w:color="auto" w:fill="FFFFFF"/>
        </w:rPr>
        <w:t xml:space="preserve"> oraz</w:t>
      </w:r>
      <w:r w:rsidR="0038690E">
        <w:rPr>
          <w:shd w:val="clear" w:color="auto" w:fill="FFFFFF"/>
        </w:rPr>
        <w:t xml:space="preserve"> w sekcji </w:t>
      </w:r>
      <w:r w:rsidR="0038690E" w:rsidRPr="00C555F9">
        <w:rPr>
          <w:b/>
          <w:shd w:val="clear" w:color="auto" w:fill="FFFFFF"/>
        </w:rPr>
        <w:t>wytwarzani</w:t>
      </w:r>
      <w:r w:rsidR="0038690E">
        <w:rPr>
          <w:b/>
          <w:shd w:val="clear" w:color="auto" w:fill="FFFFFF"/>
        </w:rPr>
        <w:t>e</w:t>
      </w:r>
      <w:r w:rsidR="0038690E" w:rsidRPr="00C555F9">
        <w:rPr>
          <w:b/>
          <w:shd w:val="clear" w:color="auto" w:fill="FFFFFF"/>
        </w:rPr>
        <w:t xml:space="preserve"> i zaopatrywani</w:t>
      </w:r>
      <w:r w:rsidR="0038690E">
        <w:rPr>
          <w:b/>
          <w:shd w:val="clear" w:color="auto" w:fill="FFFFFF"/>
        </w:rPr>
        <w:t>e</w:t>
      </w:r>
      <w:r w:rsidR="0038690E" w:rsidRPr="00C555F9">
        <w:rPr>
          <w:b/>
          <w:shd w:val="clear" w:color="auto" w:fill="FFFFFF"/>
        </w:rPr>
        <w:t xml:space="preserve"> w</w:t>
      </w:r>
      <w:r w:rsidR="00867273">
        <w:rPr>
          <w:b/>
          <w:shd w:val="clear" w:color="auto" w:fill="FFFFFF"/>
        </w:rPr>
        <w:t> </w:t>
      </w:r>
      <w:r w:rsidR="0038690E" w:rsidRPr="00C555F9">
        <w:rPr>
          <w:b/>
          <w:shd w:val="clear" w:color="auto" w:fill="FFFFFF"/>
        </w:rPr>
        <w:t>energię elektryczną, gaz, parę wodną i gorącą wodę</w:t>
      </w:r>
      <w:r w:rsidR="0038690E" w:rsidRPr="00C555F9">
        <w:rPr>
          <w:shd w:val="clear" w:color="auto" w:fill="FFFFFF"/>
        </w:rPr>
        <w:t xml:space="preserve"> </w:t>
      </w:r>
      <w:r w:rsidR="0038690E">
        <w:rPr>
          <w:shd w:val="clear" w:color="auto" w:fill="FFFFFF"/>
        </w:rPr>
        <w:t>– o 0,</w:t>
      </w:r>
      <w:r w:rsidR="00FF2393">
        <w:rPr>
          <w:shd w:val="clear" w:color="auto" w:fill="FFFFFF"/>
        </w:rPr>
        <w:t>4</w:t>
      </w:r>
      <w:r w:rsidR="0038690E">
        <w:rPr>
          <w:shd w:val="clear" w:color="auto" w:fill="FFFFFF"/>
        </w:rPr>
        <w:t>%.</w:t>
      </w:r>
    </w:p>
    <w:p w14:paraId="6AB7E103" w14:textId="4F22A73A" w:rsidR="00EE1130" w:rsidRPr="0066387C" w:rsidRDefault="00FF2393" w:rsidP="001B10C5">
      <w:pPr>
        <w:pStyle w:val="Tytuwykresu0"/>
        <w:ind w:left="851" w:hanging="851"/>
      </w:pPr>
      <w:r w:rsidRPr="00F7077B">
        <w:rPr>
          <w:b w:val="0"/>
          <w:bCs w:val="0"/>
          <w:color w:val="001D77"/>
          <w:szCs w:val="19"/>
        </w:rPr>
        <mc:AlternateContent>
          <mc:Choice Requires="wps">
            <w:drawing>
              <wp:anchor distT="45720" distB="45720" distL="114300" distR="114300" simplePos="0" relativeHeight="251865088" behindDoc="1" locked="0" layoutInCell="1" allowOverlap="1" wp14:anchorId="7C4CA394" wp14:editId="45F644A7">
                <wp:simplePos x="0" y="0"/>
                <wp:positionH relativeFrom="rightMargin">
                  <wp:posOffset>83185</wp:posOffset>
                </wp:positionH>
                <wp:positionV relativeFrom="page">
                  <wp:posOffset>7233920</wp:posOffset>
                </wp:positionV>
                <wp:extent cx="1886585" cy="1173480"/>
                <wp:effectExtent l="0" t="0" r="0" b="0"/>
                <wp:wrapTight wrapText="bothSides">
                  <wp:wrapPolygon edited="0">
                    <wp:start x="654" y="0"/>
                    <wp:lineTo x="654" y="21039"/>
                    <wp:lineTo x="20720" y="21039"/>
                    <wp:lineTo x="20720" y="0"/>
                    <wp:lineTo x="654" y="0"/>
                  </wp:wrapPolygon>
                </wp:wrapTight>
                <wp:docPr id="13" name="Pole tekstowe 13" descr="Największy spadek cen w kwietniu 2025 r. w porównaniu z analogicznym okresem ub. roku notowano w dziale produkcja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1173480"/>
                        </a:xfrm>
                        <a:prstGeom prst="rect">
                          <a:avLst/>
                        </a:prstGeom>
                        <a:noFill/>
                        <a:ln w="9525">
                          <a:noFill/>
                          <a:miter lim="800000"/>
                          <a:headEnd/>
                          <a:tailEnd/>
                        </a:ln>
                      </wps:spPr>
                      <wps:txbx>
                        <w:txbxContent>
                          <w:p w14:paraId="7A3E6E85" w14:textId="7F763E4C"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w:t>
                            </w:r>
                            <w:r w:rsidR="005637E5">
                              <w:rPr>
                                <w:rFonts w:eastAsia="Times New Roman" w:cs="Times New Roman"/>
                                <w:bCs/>
                                <w:color w:val="001D77"/>
                                <w:sz w:val="18"/>
                                <w:szCs w:val="18"/>
                                <w:lang w:eastAsia="pl-PL"/>
                              </w:rPr>
                              <w:t> </w:t>
                            </w:r>
                            <w:r w:rsidR="00820C92">
                              <w:rPr>
                                <w:rFonts w:eastAsia="Times New Roman" w:cs="Times New Roman"/>
                                <w:bCs/>
                                <w:color w:val="001D77"/>
                                <w:sz w:val="18"/>
                                <w:szCs w:val="18"/>
                                <w:lang w:eastAsia="pl-PL"/>
                              </w:rPr>
                              <w:t>kwietniu</w:t>
                            </w:r>
                            <w:r w:rsidRPr="00A51734">
                              <w:rPr>
                                <w:rFonts w:eastAsia="Times New Roman" w:cs="Times New Roman"/>
                                <w:bCs/>
                                <w:color w:val="001D77"/>
                                <w:sz w:val="18"/>
                                <w:szCs w:val="18"/>
                                <w:lang w:eastAsia="pl-PL"/>
                              </w:rPr>
                              <w:t xml:space="preserve"> 2025 r. w porównaniu z</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produkcja </w:t>
                            </w:r>
                            <w:r w:rsidR="00FF2393">
                              <w:rPr>
                                <w:rFonts w:eastAsia="Times New Roman" w:cs="Times New Roman"/>
                                <w:bCs/>
                                <w:color w:val="001D77"/>
                                <w:sz w:val="18"/>
                                <w:szCs w:val="18"/>
                                <w:lang w:eastAsia="pl-PL"/>
                              </w:rPr>
                              <w:t>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CA394" id="Pole tekstowe 13" o:spid="_x0000_s1032" type="#_x0000_t202" alt="Największy spadek cen w kwietniu 2025 r. w porównaniu z analogicznym okresem ub. roku notowano w dziale produkcja koksu i produktów rafinacji ropy naftowej" style="position:absolute;left:0;text-align:left;margin-left:6.55pt;margin-top:569.6pt;width:148.55pt;height:92.4pt;z-index:-2514513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HmigIAAKgEAAAOAAAAZHJzL2Uyb0RvYy54bWysVFFu2zAM/R+wOwj6X5ykSZsGdYquXYcB&#10;XVeg2wEYWY4VW6ImybWTm+wcO8J2sFFy2gXb37B8CBJpPvI9krm47HXDnqTzCk3OJ6MxZ9IILJTZ&#10;5PzL59s3C858AFNAg0bmfCc9v1y9fnXR2aWcYoVNIR0jEOOXnc15FYJdZpkXldTgR2ilIWeJTkOg&#10;p9tkhYOO0HWTTcfj06xDV1iHQnpP1pvByVcJvyylCJ/K0svAmpxTbSGdLp3reGarC1huHNhKiUMZ&#10;8A9VaFCGkr5A3UAA1jr1F5RWwqHHMowE6gzLUgmZOBCbyfgPNo8VWJm4kDjevsjk/x+suH96cEwV&#10;1LsTzgxo6tEDNpIFWfuAnWTRXkgvSLR72Hbq57fa73fMWyhkzYQ0rGN1p2QwqmXT8XTO3IhMFt2P&#10;752BaN0zMNT/jRJ7s9MMaye91Kxdj5jDumUGKRMYpLBir4CyU0eLthZbYDXWvmXqYAmEyRyUyoDY&#10;Koq2Oyq6jIVuYy8765dE6dESqdC/xZ54pb54e4ei9pTqugKzkVfOYVdJKEjLSYzMjkIHHB9B1t1H&#10;LEgTaAMmoL50OjaaWscInWZq9zJHsg9MxJSLxel8MedMkG8yOTuZLdKkZbB8DrfOh/cSNfHyNJSO&#10;BjXBw9OdD7EcWD5/ErMZvFVNk4a1IcFzfj6fzlPAkUerQLvUKJ3zxTj+humOLN+ZIgUHUM1wpwSN&#10;OdCOTAfOoV/3aRpOn9VcY7EjHRwOq0OrTpcK3Z6zjtYm5/5rC05y1nwwpOX5ZDaLe5Yes/nZlB7u&#10;2LM+9oARBJXzwGlC4vU6pN0cKF+R5qVKasTmDJUcSqZ1SCIdVjfu2/E7ffX7D2b1CwAA//8DAFBL&#10;AwQUAAYACAAAACEAsVP+7t4AAAAMAQAADwAAAGRycy9kb3ducmV2LnhtbEyPQU/DMAyF70j7D5En&#10;cWNJ24FYaTpNQ1xBDJi0W9Z4bUXjVE22ln+Pd4KT/fSenj8X68l14oJDaD1pSBYKBFLlbUu1hs+P&#10;l7tHECEasqbzhBp+MMC6nN0UJrd+pHe87GItuIRCbjQ0Mfa5lKFq0Jmw8D0Seyc/OBNZDrW0gxm5&#10;3HUyVepBOtMSX2hMj9sGq+/d2Wn4ej0d9kv1Vj+7+370k5LkVlLr2/m0eQIRcYp/YbjiMzqUzHT0&#10;Z7JBdKyzhJM8k2yVguBElihejlcrXSqQZSH/P1H+AgAA//8DAFBLAQItABQABgAIAAAAIQC2gziS&#10;/gAAAOEBAAATAAAAAAAAAAAAAAAAAAAAAABbQ29udGVudF9UeXBlc10ueG1sUEsBAi0AFAAGAAgA&#10;AAAhADj9If/WAAAAlAEAAAsAAAAAAAAAAAAAAAAALwEAAF9yZWxzLy5yZWxzUEsBAi0AFAAGAAgA&#10;AAAhAJKcMeaKAgAAqAQAAA4AAAAAAAAAAAAAAAAALgIAAGRycy9lMm9Eb2MueG1sUEsBAi0AFAAG&#10;AAgAAAAhALFT/u7eAAAADAEAAA8AAAAAAAAAAAAAAAAA5AQAAGRycy9kb3ducmV2LnhtbFBLBQYA&#10;AAAABAAEAPMAAADvBQAAAAA=&#10;" filled="f" stroked="f">
                <v:textbox>
                  <w:txbxContent>
                    <w:p w14:paraId="7A3E6E85" w14:textId="7F763E4C"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w:t>
                      </w:r>
                      <w:r w:rsidR="005637E5">
                        <w:rPr>
                          <w:rFonts w:eastAsia="Times New Roman" w:cs="Times New Roman"/>
                          <w:bCs/>
                          <w:color w:val="001D77"/>
                          <w:sz w:val="18"/>
                          <w:szCs w:val="18"/>
                          <w:lang w:eastAsia="pl-PL"/>
                        </w:rPr>
                        <w:t> </w:t>
                      </w:r>
                      <w:r w:rsidR="00820C92">
                        <w:rPr>
                          <w:rFonts w:eastAsia="Times New Roman" w:cs="Times New Roman"/>
                          <w:bCs/>
                          <w:color w:val="001D77"/>
                          <w:sz w:val="18"/>
                          <w:szCs w:val="18"/>
                          <w:lang w:eastAsia="pl-PL"/>
                        </w:rPr>
                        <w:t>kwietniu</w:t>
                      </w:r>
                      <w:r w:rsidRPr="00A51734">
                        <w:rPr>
                          <w:rFonts w:eastAsia="Times New Roman" w:cs="Times New Roman"/>
                          <w:bCs/>
                          <w:color w:val="001D77"/>
                          <w:sz w:val="18"/>
                          <w:szCs w:val="18"/>
                          <w:lang w:eastAsia="pl-PL"/>
                        </w:rPr>
                        <w:t xml:space="preserve"> 2025 r. w porównaniu z</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produkcja </w:t>
                      </w:r>
                      <w:r w:rsidR="00FF2393">
                        <w:rPr>
                          <w:rFonts w:eastAsia="Times New Roman" w:cs="Times New Roman"/>
                          <w:bCs/>
                          <w:color w:val="001D77"/>
                          <w:sz w:val="18"/>
                          <w:szCs w:val="18"/>
                          <w:lang w:eastAsia="pl-PL"/>
                        </w:rPr>
                        <w:t>koksu i produktów rafinacji ropy naftowej</w:t>
                      </w:r>
                    </w:p>
                  </w:txbxContent>
                </v:textbox>
                <w10:wrap type="tight" anchorx="margin" anchory="page"/>
              </v:shape>
            </w:pict>
          </mc:Fallback>
        </mc:AlternateContent>
      </w:r>
      <w:r w:rsidR="00DB5953" w:rsidRPr="00464878">
        <w:rPr>
          <w:spacing w:val="-6"/>
          <w:sz w:val="12"/>
          <w:szCs w:val="12"/>
          <w:shd w:val="clear" w:color="auto" w:fill="FFFFFF"/>
        </w:rPr>
        <w:drawing>
          <wp:anchor distT="0" distB="0" distL="114300" distR="114300" simplePos="0" relativeHeight="251845632" behindDoc="0" locked="0" layoutInCell="1" allowOverlap="1" wp14:anchorId="44A1F6A9" wp14:editId="43356C7D">
            <wp:simplePos x="0" y="0"/>
            <wp:positionH relativeFrom="margin">
              <wp:align>right</wp:align>
            </wp:positionH>
            <wp:positionV relativeFrom="paragraph">
              <wp:posOffset>691688</wp:posOffset>
            </wp:positionV>
            <wp:extent cx="5122545" cy="2988310"/>
            <wp:effectExtent l="0" t="0" r="1905" b="2540"/>
            <wp:wrapTopAndBottom/>
            <wp:docPr id="7" name="Wykres 7" descr="Wykres 4. Zmiany cen w sekcji przetwórstwo przemysłowe według działów w kwietniu 2025 r. w porównaniu z analogicznym okres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66387C">
        <w:t>Wykres</w:t>
      </w:r>
      <w:r w:rsidR="00D86077">
        <w:t xml:space="preserve"> </w:t>
      </w:r>
      <w:r w:rsidR="000427C1">
        <w:t>4</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082237">
        <w:t xml:space="preserve">w </w:t>
      </w:r>
      <w:r w:rsidR="00820C92">
        <w:t>kwietniu</w:t>
      </w:r>
      <w:r w:rsidR="0027573E">
        <w:t xml:space="preserve"> </w:t>
      </w:r>
      <w:r w:rsidR="009A6731">
        <w:t>2025</w:t>
      </w:r>
      <w:r w:rsidR="00E90EB4">
        <w:t> </w:t>
      </w:r>
      <w:r w:rsidR="00EE1130" w:rsidRPr="00CF0A53">
        <w:t xml:space="preserve"> r. </w:t>
      </w:r>
      <w:r w:rsidR="00C57AAC">
        <w:t xml:space="preserve"> w porównaniu z analogicznym okresem ubiegłego r</w:t>
      </w:r>
      <w:r w:rsidR="001B10C5">
        <w:t>oku</w:t>
      </w:r>
    </w:p>
    <w:p w14:paraId="512708A2" w14:textId="77777777"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618309AA" w14:textId="5930BFFD" w:rsidR="00883E43" w:rsidRDefault="00883E43" w:rsidP="001B10C5">
      <w:pPr>
        <w:pStyle w:val="Tytuwykresu0"/>
        <w:ind w:left="851" w:hanging="851"/>
      </w:pPr>
      <w:r w:rsidRPr="00DA6F6D">
        <w:lastRenderedPageBreak/>
        <w:t xml:space="preserve">Wykres </w:t>
      </w:r>
      <w:bookmarkStart w:id="2" w:name="_Hlk101264545"/>
      <w:r w:rsidR="0066387C">
        <w:t>5</w:t>
      </w:r>
      <w:r w:rsidRPr="00DA6F6D">
        <w:t>. Zmiany cen produkcji sprzedanej przemysłu według sekcji PKD</w:t>
      </w:r>
      <w:r w:rsidR="001B10C5">
        <w:t xml:space="preserve"> w porównaniu z</w:t>
      </w:r>
      <w:r w:rsidR="002209CF">
        <w:t> </w:t>
      </w:r>
      <w:r w:rsidR="001B10C5">
        <w:t>grudniem</w:t>
      </w:r>
      <w:r w:rsidR="002C7B43">
        <w:rPr>
          <w:b w:val="0"/>
          <w:bCs w:val="0"/>
          <w:sz w:val="18"/>
          <w:szCs w:val="18"/>
        </w:rPr>
        <w:drawing>
          <wp:anchor distT="0" distB="0" distL="114300" distR="114300" simplePos="0" relativeHeight="251850752" behindDoc="0" locked="0" layoutInCell="1" allowOverlap="1" wp14:anchorId="583882CB" wp14:editId="43210F22">
            <wp:simplePos x="0" y="0"/>
            <wp:positionH relativeFrom="margin">
              <wp:align>left</wp:align>
            </wp:positionH>
            <wp:positionV relativeFrom="paragraph">
              <wp:posOffset>329504</wp:posOffset>
            </wp:positionV>
            <wp:extent cx="5222875" cy="3705860"/>
            <wp:effectExtent l="0" t="0" r="0" b="8890"/>
            <wp:wrapTopAndBottom/>
            <wp:docPr id="26" name="Wykres 26" descr="Wykres 5. Zmiany cen produkcji sprzedanej przemysłu według sekcji PKD &#10;w porównaniu z grudniem 2023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1B10C5">
        <w:t xml:space="preserve"> 202</w:t>
      </w:r>
      <w:r w:rsidR="001C294A">
        <w:t>3</w:t>
      </w:r>
      <w:r w:rsidR="001B10C5">
        <w:t xml:space="preserve"> r.</w:t>
      </w:r>
    </w:p>
    <w:bookmarkEnd w:id="2"/>
    <w:p w14:paraId="7B169E4A" w14:textId="2E947423" w:rsidR="00216634" w:rsidRPr="00883E43" w:rsidRDefault="00216634" w:rsidP="00216634">
      <w:pPr>
        <w:spacing w:line="288" w:lineRule="auto"/>
        <w:rPr>
          <w:rFonts w:eastAsia="Times New Roman" w:cs="Times New Roman"/>
          <w:szCs w:val="19"/>
          <w:lang w:eastAsia="pl-PL"/>
        </w:rPr>
      </w:pPr>
    </w:p>
    <w:p w14:paraId="2DC36D6D" w14:textId="77777777" w:rsidR="00FC3D69" w:rsidRDefault="00FC3D69" w:rsidP="00DC6D14">
      <w:pPr>
        <w:rPr>
          <w:sz w:val="18"/>
        </w:rPr>
      </w:pPr>
    </w:p>
    <w:p w14:paraId="3D49C1D8" w14:textId="77777777" w:rsidR="002B238C" w:rsidRDefault="002B238C" w:rsidP="00DC6D14">
      <w:pPr>
        <w:rPr>
          <w:sz w:val="18"/>
        </w:rPr>
      </w:pPr>
    </w:p>
    <w:p w14:paraId="519E4DBD" w14:textId="77777777" w:rsidR="002B238C" w:rsidRPr="00883E43" w:rsidRDefault="002B238C" w:rsidP="00DC6D14">
      <w:pPr>
        <w:rPr>
          <w:sz w:val="18"/>
        </w:rPr>
      </w:pPr>
    </w:p>
    <w:p w14:paraId="51A8AB23" w14:textId="77777777" w:rsidR="0069498E" w:rsidRDefault="0069498E" w:rsidP="00FC3D69">
      <w:pPr>
        <w:spacing w:line="288" w:lineRule="auto"/>
        <w:rPr>
          <w:rFonts w:eastAsia="Times New Roman" w:cs="Times New Roman"/>
          <w:szCs w:val="19"/>
          <w:lang w:eastAsia="pl-PL"/>
        </w:rPr>
      </w:pPr>
      <w:bookmarkStart w:id="3" w:name="_Hlk148444407"/>
    </w:p>
    <w:p w14:paraId="575FA65D" w14:textId="77777777" w:rsidR="0069498E" w:rsidRDefault="0069498E" w:rsidP="00FC3D69">
      <w:pPr>
        <w:spacing w:line="288" w:lineRule="auto"/>
        <w:rPr>
          <w:rFonts w:eastAsia="Times New Roman" w:cs="Times New Roman"/>
          <w:szCs w:val="19"/>
          <w:lang w:eastAsia="pl-PL"/>
        </w:rPr>
      </w:pPr>
    </w:p>
    <w:p w14:paraId="7F8564FC" w14:textId="77777777" w:rsidR="0069498E" w:rsidRDefault="0069498E" w:rsidP="00FC3D69">
      <w:pPr>
        <w:spacing w:line="288" w:lineRule="auto"/>
        <w:rPr>
          <w:rFonts w:eastAsia="Times New Roman" w:cs="Times New Roman"/>
          <w:szCs w:val="19"/>
          <w:lang w:eastAsia="pl-PL"/>
        </w:rPr>
      </w:pPr>
    </w:p>
    <w:p w14:paraId="392514A4" w14:textId="77777777" w:rsidR="0069498E" w:rsidRDefault="0069498E" w:rsidP="00FC3D69">
      <w:pPr>
        <w:spacing w:line="288" w:lineRule="auto"/>
        <w:rPr>
          <w:rFonts w:eastAsia="Times New Roman" w:cs="Times New Roman"/>
          <w:szCs w:val="19"/>
          <w:lang w:eastAsia="pl-PL"/>
        </w:rPr>
      </w:pPr>
    </w:p>
    <w:p w14:paraId="2D0F66B6" w14:textId="77777777" w:rsidR="0069498E" w:rsidRDefault="0069498E" w:rsidP="00FC3D69">
      <w:pPr>
        <w:spacing w:line="288" w:lineRule="auto"/>
        <w:rPr>
          <w:rFonts w:eastAsia="Times New Roman" w:cs="Times New Roman"/>
          <w:szCs w:val="19"/>
          <w:lang w:eastAsia="pl-PL"/>
        </w:rPr>
      </w:pPr>
    </w:p>
    <w:p w14:paraId="460EC9D3" w14:textId="77777777" w:rsidR="0069498E" w:rsidRDefault="0069498E" w:rsidP="00FC3D69">
      <w:pPr>
        <w:spacing w:line="288" w:lineRule="auto"/>
        <w:rPr>
          <w:rFonts w:eastAsia="Times New Roman" w:cs="Times New Roman"/>
          <w:szCs w:val="19"/>
          <w:lang w:eastAsia="pl-PL"/>
        </w:rPr>
      </w:pPr>
    </w:p>
    <w:p w14:paraId="75B0CC9C" w14:textId="77777777" w:rsidR="0069498E" w:rsidRDefault="0069498E" w:rsidP="00FC3D69">
      <w:pPr>
        <w:spacing w:line="288" w:lineRule="auto"/>
        <w:rPr>
          <w:rFonts w:eastAsia="Times New Roman" w:cs="Times New Roman"/>
          <w:szCs w:val="19"/>
          <w:lang w:eastAsia="pl-PL"/>
        </w:rPr>
      </w:pPr>
    </w:p>
    <w:p w14:paraId="7CB5F5B6" w14:textId="77777777" w:rsidR="0069498E" w:rsidRDefault="0069498E" w:rsidP="00FC3D69">
      <w:pPr>
        <w:spacing w:line="288" w:lineRule="auto"/>
        <w:rPr>
          <w:rFonts w:eastAsia="Times New Roman" w:cs="Times New Roman"/>
          <w:szCs w:val="19"/>
          <w:lang w:eastAsia="pl-PL"/>
        </w:rPr>
      </w:pPr>
    </w:p>
    <w:p w14:paraId="7F7AFF7F" w14:textId="77777777" w:rsidR="0069498E" w:rsidRDefault="0069498E" w:rsidP="00FC3D69">
      <w:pPr>
        <w:spacing w:line="288" w:lineRule="auto"/>
        <w:rPr>
          <w:rFonts w:eastAsia="Times New Roman" w:cs="Times New Roman"/>
          <w:szCs w:val="19"/>
          <w:lang w:eastAsia="pl-PL"/>
        </w:rPr>
      </w:pPr>
    </w:p>
    <w:p w14:paraId="5A919F14" w14:textId="77777777" w:rsidR="0069498E" w:rsidRDefault="0069498E" w:rsidP="00FC3D69">
      <w:pPr>
        <w:spacing w:line="288" w:lineRule="auto"/>
        <w:rPr>
          <w:rFonts w:eastAsia="Times New Roman" w:cs="Times New Roman"/>
          <w:szCs w:val="19"/>
          <w:lang w:eastAsia="pl-PL"/>
        </w:rPr>
      </w:pPr>
    </w:p>
    <w:p w14:paraId="0DA6FC9C" w14:textId="77777777" w:rsidR="0069498E" w:rsidRDefault="0069498E" w:rsidP="00FC3D69">
      <w:pPr>
        <w:spacing w:line="288" w:lineRule="auto"/>
        <w:rPr>
          <w:rFonts w:eastAsia="Times New Roman" w:cs="Times New Roman"/>
          <w:szCs w:val="19"/>
          <w:lang w:eastAsia="pl-PL"/>
        </w:rPr>
      </w:pPr>
    </w:p>
    <w:p w14:paraId="54A7167D" w14:textId="77777777" w:rsidR="0069498E" w:rsidRDefault="0069498E" w:rsidP="00FC3D69">
      <w:pPr>
        <w:spacing w:line="288" w:lineRule="auto"/>
        <w:rPr>
          <w:rFonts w:eastAsia="Times New Roman" w:cs="Times New Roman"/>
          <w:szCs w:val="19"/>
          <w:lang w:eastAsia="pl-PL"/>
        </w:rPr>
      </w:pPr>
    </w:p>
    <w:p w14:paraId="60D6FE89" w14:textId="77777777" w:rsidR="0069498E" w:rsidRDefault="0069498E" w:rsidP="00FC3D69">
      <w:pPr>
        <w:spacing w:line="288" w:lineRule="auto"/>
        <w:rPr>
          <w:rFonts w:eastAsia="Times New Roman" w:cs="Times New Roman"/>
          <w:szCs w:val="19"/>
          <w:lang w:eastAsia="pl-PL"/>
        </w:rPr>
      </w:pPr>
    </w:p>
    <w:p w14:paraId="2FB8B4F0" w14:textId="77777777" w:rsidR="0069498E" w:rsidRDefault="0069498E" w:rsidP="00FC3D69">
      <w:pPr>
        <w:spacing w:line="288" w:lineRule="auto"/>
        <w:rPr>
          <w:rFonts w:eastAsia="Times New Roman" w:cs="Times New Roman"/>
          <w:szCs w:val="19"/>
          <w:lang w:eastAsia="pl-PL"/>
        </w:rPr>
      </w:pPr>
    </w:p>
    <w:p w14:paraId="4119366F" w14:textId="32EFAC7B"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8F62C64" w14:textId="77777777" w:rsidTr="00B84C43">
        <w:trPr>
          <w:trHeight w:val="1626"/>
        </w:trPr>
        <w:tc>
          <w:tcPr>
            <w:tcW w:w="4926" w:type="dxa"/>
          </w:tcPr>
          <w:p w14:paraId="7F4A13F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57EBF9AA"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12D5C501" w14:textId="420828F8"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Adach-Stankiewicz</w:t>
            </w:r>
          </w:p>
          <w:p w14:paraId="2DF36D77"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6EBB2740"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1CDDA4DC" w14:textId="77777777" w:rsidR="00E90EB4" w:rsidRDefault="00E90EB4" w:rsidP="00E90EB4">
            <w:r>
              <w:t>Tel. komórkowy: +48 695 255 032</w:t>
            </w:r>
          </w:p>
          <w:p w14:paraId="7E0A40E5" w14:textId="77777777" w:rsidR="00E90EB4" w:rsidRDefault="00E90EB4" w:rsidP="00E90EB4">
            <w:pPr>
              <w:ind w:left="1494" w:hanging="1494"/>
            </w:pPr>
            <w:r>
              <w:t>Tel. stacjonarne: +48 22 608 38 04, +48 22 449 41 45,     +48 22 608 30 09</w:t>
            </w:r>
          </w:p>
          <w:p w14:paraId="6A687B23"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4548E7EC" w14:textId="77777777" w:rsidR="00DE2400" w:rsidRDefault="00DE2400" w:rsidP="00747B8C">
            <w:pPr>
              <w:rPr>
                <w:sz w:val="18"/>
              </w:rPr>
            </w:pPr>
          </w:p>
        </w:tc>
      </w:tr>
      <w:tr w:rsidR="00DE2400" w14:paraId="3134CB09" w14:textId="77777777" w:rsidTr="00B84C43">
        <w:trPr>
          <w:trHeight w:val="418"/>
        </w:trPr>
        <w:tc>
          <w:tcPr>
            <w:tcW w:w="4926" w:type="dxa"/>
            <w:vMerge w:val="restart"/>
          </w:tcPr>
          <w:p w14:paraId="3711C222" w14:textId="77777777" w:rsidR="00DE2400" w:rsidRPr="00F05FC7" w:rsidRDefault="00DE2400" w:rsidP="00747B8C">
            <w:pPr>
              <w:rPr>
                <w:sz w:val="18"/>
                <w:lang w:val="en-US"/>
              </w:rPr>
            </w:pPr>
          </w:p>
        </w:tc>
        <w:tc>
          <w:tcPr>
            <w:tcW w:w="4927" w:type="dxa"/>
            <w:vAlign w:val="center"/>
          </w:tcPr>
          <w:p w14:paraId="3F5168F8"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60B94BEE" wp14:editId="3FA2CEEA">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2DF12CD6" w14:textId="77777777" w:rsidTr="00B84C43">
        <w:trPr>
          <w:trHeight w:val="418"/>
        </w:trPr>
        <w:tc>
          <w:tcPr>
            <w:tcW w:w="4926" w:type="dxa"/>
            <w:vMerge/>
          </w:tcPr>
          <w:p w14:paraId="515DE30C" w14:textId="77777777" w:rsidR="00DE2400" w:rsidRPr="00C91687" w:rsidRDefault="00DE2400" w:rsidP="00747B8C">
            <w:pPr>
              <w:rPr>
                <w:b/>
                <w:sz w:val="20"/>
              </w:rPr>
            </w:pPr>
          </w:p>
        </w:tc>
        <w:tc>
          <w:tcPr>
            <w:tcW w:w="4927" w:type="dxa"/>
            <w:vAlign w:val="center"/>
          </w:tcPr>
          <w:p w14:paraId="19DC27D7"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3E8BE99" wp14:editId="72E4DA62">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1DF20BC" w14:textId="77777777" w:rsidTr="00B84C43">
        <w:trPr>
          <w:trHeight w:val="476"/>
        </w:trPr>
        <w:tc>
          <w:tcPr>
            <w:tcW w:w="4926" w:type="dxa"/>
            <w:vMerge/>
          </w:tcPr>
          <w:p w14:paraId="1851DD65" w14:textId="77777777" w:rsidR="00DE2400" w:rsidRPr="00C91687" w:rsidRDefault="00DE2400" w:rsidP="00747B8C">
            <w:pPr>
              <w:rPr>
                <w:b/>
                <w:sz w:val="20"/>
              </w:rPr>
            </w:pPr>
          </w:p>
        </w:tc>
        <w:tc>
          <w:tcPr>
            <w:tcW w:w="4927" w:type="dxa"/>
          </w:tcPr>
          <w:p w14:paraId="17A72264"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509AC388" wp14:editId="5C4C21D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D3351AC" w14:textId="77777777" w:rsidTr="00B84C43">
        <w:trPr>
          <w:trHeight w:val="426"/>
        </w:trPr>
        <w:tc>
          <w:tcPr>
            <w:tcW w:w="4926" w:type="dxa"/>
          </w:tcPr>
          <w:p w14:paraId="67F78DEF" w14:textId="77777777" w:rsidR="00531873" w:rsidRPr="00C91687" w:rsidRDefault="00531873" w:rsidP="00531873">
            <w:pPr>
              <w:rPr>
                <w:b/>
                <w:sz w:val="20"/>
              </w:rPr>
            </w:pPr>
          </w:p>
        </w:tc>
        <w:tc>
          <w:tcPr>
            <w:tcW w:w="4927" w:type="dxa"/>
          </w:tcPr>
          <w:p w14:paraId="1F0CE82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6FBAB1A8" wp14:editId="683E6C98">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5EA3AE0" w14:textId="77777777" w:rsidTr="00B84C43">
        <w:trPr>
          <w:trHeight w:val="504"/>
        </w:trPr>
        <w:tc>
          <w:tcPr>
            <w:tcW w:w="4926" w:type="dxa"/>
          </w:tcPr>
          <w:p w14:paraId="44D11916" w14:textId="77777777" w:rsidR="00531873" w:rsidRPr="00C91687" w:rsidRDefault="00531873" w:rsidP="00531873">
            <w:pPr>
              <w:rPr>
                <w:b/>
                <w:sz w:val="20"/>
              </w:rPr>
            </w:pPr>
          </w:p>
        </w:tc>
        <w:tc>
          <w:tcPr>
            <w:tcW w:w="4927" w:type="dxa"/>
          </w:tcPr>
          <w:p w14:paraId="24BC4686"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DD8F915" wp14:editId="47D869C1">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20CF4728" w14:textId="77777777" w:rsidTr="00B84C43">
        <w:trPr>
          <w:trHeight w:val="1546"/>
        </w:trPr>
        <w:tc>
          <w:tcPr>
            <w:tcW w:w="4926" w:type="dxa"/>
          </w:tcPr>
          <w:p w14:paraId="65E1860E" w14:textId="77777777" w:rsidR="00531873" w:rsidRPr="00C91687" w:rsidRDefault="00531873" w:rsidP="00531873">
            <w:pPr>
              <w:rPr>
                <w:b/>
                <w:sz w:val="20"/>
              </w:rPr>
            </w:pPr>
          </w:p>
        </w:tc>
        <w:tc>
          <w:tcPr>
            <w:tcW w:w="4927" w:type="dxa"/>
          </w:tcPr>
          <w:p w14:paraId="17E0A965"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45DE3C2" wp14:editId="30F770BB">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198D0CA1" w14:textId="77777777" w:rsidTr="00B84C43">
        <w:trPr>
          <w:trHeight w:val="4114"/>
        </w:trPr>
        <w:tc>
          <w:tcPr>
            <w:tcW w:w="9853" w:type="dxa"/>
            <w:gridSpan w:val="2"/>
            <w:shd w:val="clear" w:color="auto" w:fill="D9D9D9" w:themeFill="background1" w:themeFillShade="D9"/>
          </w:tcPr>
          <w:p w14:paraId="4AE99D9A" w14:textId="059F54EA"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820C92">
              <w:rPr>
                <w:b/>
              </w:rPr>
              <w:instrText>HYPERLINK "https://stat.gov.pl/obszary-tematyczne/inne-opracowania/informacje-o-sytuacji-spoleczno-gospodarczej/biuletyn-statystyczny-nr-32025,4,160.html" \o "Link do publikacji Biuletyn Statystyczny"</w:instrText>
            </w:r>
            <w:r w:rsidRPr="00B93797">
              <w:rPr>
                <w:b/>
              </w:rPr>
              <w:fldChar w:fldCharType="separate"/>
            </w:r>
            <w:r w:rsidRPr="00B93797">
              <w:rPr>
                <w:b/>
              </w:rPr>
              <w:t>ia</w:t>
            </w:r>
          </w:p>
          <w:p w14:paraId="7F4FEF23"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38961BE2"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45C75C80" w14:textId="4FAD3B98" w:rsidR="001B10C5" w:rsidRPr="002209CF" w:rsidRDefault="00B93797" w:rsidP="001B10C5">
            <w:pPr>
              <w:rPr>
                <w:color w:val="001381"/>
              </w:rPr>
            </w:pPr>
            <w:r w:rsidRPr="00B93797">
              <w:rPr>
                <w:rFonts w:cs="Times New Roman"/>
                <w:color w:val="001381"/>
              </w:rPr>
              <w:fldChar w:fldCharType="end"/>
            </w:r>
            <w:r w:rsidR="002C0BA1">
              <w:rPr>
                <w:rFonts w:cs="Times New Roman"/>
                <w:color w:val="001381"/>
                <w:u w:val="single"/>
              </w:rPr>
              <w:fldChar w:fldCharType="begin"/>
            </w:r>
            <w:r w:rsidR="001C294A">
              <w:rPr>
                <w:rFonts w:cs="Times New Roman"/>
                <w:color w:val="001381"/>
                <w:u w:val="single"/>
              </w:rPr>
              <w:instrText>HYPERLINK "https://ssgk.stat.gov.pl/"</w:instrText>
            </w:r>
            <w:r w:rsidR="002C0BA1">
              <w:rPr>
                <w:rFonts w:cs="Times New Roman"/>
                <w:color w:val="001381"/>
                <w:u w:val="single"/>
              </w:rPr>
              <w:fldChar w:fldCharType="separate"/>
            </w:r>
            <w:r w:rsidR="006F2064" w:rsidRPr="002209CF">
              <w:rPr>
                <w:rFonts w:cs="Times New Roman"/>
                <w:color w:val="001381"/>
                <w:u w:val="single"/>
              </w:rPr>
              <w:t>Sytuacja społeczno-gospodarcza kraju</w:t>
            </w:r>
          </w:p>
          <w:p w14:paraId="71B884D7" w14:textId="2729C51D" w:rsidR="00B93797" w:rsidRPr="00B93797" w:rsidRDefault="002C0BA1" w:rsidP="00B93797">
            <w:pPr>
              <w:shd w:val="clear" w:color="auto" w:fill="D9D9D9" w:themeFill="background1" w:themeFillShade="D9"/>
              <w:spacing w:before="360"/>
              <w:rPr>
                <w:b/>
                <w:color w:val="000000" w:themeColor="text1"/>
                <w:szCs w:val="24"/>
              </w:rPr>
            </w:pPr>
            <w:r>
              <w:rPr>
                <w:rFonts w:cs="Times New Roman"/>
                <w:color w:val="001381"/>
                <w:u w:val="single"/>
              </w:rPr>
              <w:fldChar w:fldCharType="end"/>
            </w:r>
            <w:r w:rsidR="00B93797" w:rsidRPr="00B93797">
              <w:rPr>
                <w:b/>
                <w:color w:val="000000" w:themeColor="text1"/>
                <w:szCs w:val="24"/>
              </w:rPr>
              <w:t>Temat dostępny w bazach danych</w:t>
            </w:r>
          </w:p>
          <w:p w14:paraId="4ECD20D8"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2E71D84F"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6084205F"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47DAB5E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2C812D2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72ADB03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C4D3A25" w14:textId="77777777" w:rsidR="00B93797" w:rsidRPr="00B93797" w:rsidRDefault="00B93797" w:rsidP="00B93797">
            <w:pPr>
              <w:rPr>
                <w:b/>
                <w:color w:val="000000" w:themeColor="text1"/>
                <w:szCs w:val="24"/>
              </w:rPr>
            </w:pPr>
          </w:p>
          <w:p w14:paraId="09BC581D" w14:textId="77777777" w:rsidR="00531873" w:rsidRPr="00B93797" w:rsidRDefault="00531873" w:rsidP="00531873">
            <w:pPr>
              <w:rPr>
                <w:b/>
                <w:color w:val="000000" w:themeColor="text1"/>
                <w:szCs w:val="24"/>
              </w:rPr>
            </w:pPr>
          </w:p>
        </w:tc>
      </w:tr>
    </w:tbl>
    <w:p w14:paraId="532A49E3" w14:textId="77777777" w:rsidR="000470AA" w:rsidRPr="00B93797" w:rsidRDefault="000470AA" w:rsidP="000470AA">
      <w:pPr>
        <w:rPr>
          <w:sz w:val="18"/>
        </w:rPr>
      </w:pPr>
    </w:p>
    <w:p w14:paraId="18617BA9" w14:textId="77777777" w:rsidR="000470AA" w:rsidRPr="00B93797" w:rsidRDefault="000470AA" w:rsidP="000470AA">
      <w:pPr>
        <w:rPr>
          <w:sz w:val="20"/>
        </w:rPr>
      </w:pPr>
    </w:p>
    <w:p w14:paraId="6ED1AEF9" w14:textId="77777777" w:rsidR="000470AA" w:rsidRPr="00B93797" w:rsidRDefault="000470AA" w:rsidP="000470AA">
      <w:pPr>
        <w:rPr>
          <w:sz w:val="18"/>
        </w:rPr>
      </w:pPr>
    </w:p>
    <w:p w14:paraId="7D328994"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F9659" w14:textId="77777777" w:rsidR="00A81A60" w:rsidRDefault="00A81A60" w:rsidP="000662E2">
      <w:pPr>
        <w:spacing w:after="0" w:line="240" w:lineRule="auto"/>
      </w:pPr>
      <w:r>
        <w:separator/>
      </w:r>
    </w:p>
  </w:endnote>
  <w:endnote w:type="continuationSeparator" w:id="0">
    <w:p w14:paraId="2E5DDDBC" w14:textId="77777777" w:rsidR="00A81A60" w:rsidRDefault="00A81A6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20E081EA-2CBF-4AF9-9951-28CFFECBB41F}"/>
    <w:embedBold r:id="rId2" w:fontKey="{46439DC0-3D87-455E-8F4B-3E72E51DA78A}"/>
    <w:embedItalic r:id="rId3" w:fontKey="{2CCF97B5-8968-4C33-8B00-E984D4A8F9D0}"/>
  </w:font>
  <w:font w:name="Fira Sans">
    <w:panose1 w:val="020B0503050000020004"/>
    <w:charset w:val="EE"/>
    <w:family w:val="swiss"/>
    <w:pitch w:val="variable"/>
    <w:sig w:usb0="600002FF" w:usb1="02000001" w:usb2="00000000" w:usb3="00000000" w:csb0="0000019F" w:csb1="00000000"/>
    <w:embedRegular r:id="rId4" w:fontKey="{344B4B7E-CB2D-4AC6-B21B-C5B9AE482A52}"/>
    <w:embedBold r:id="rId5" w:fontKey="{0A0C698E-0A40-46E7-81B4-58D8D520B9AC}"/>
    <w:embedItalic r:id="rId6" w:fontKey="{4F7BF828-CF8A-4C9E-8357-64F95114C5EE}"/>
  </w:font>
  <w:font w:name="Fira Sans SemiBold">
    <w:panose1 w:val="020B0603050000020004"/>
    <w:charset w:val="EE"/>
    <w:family w:val="swiss"/>
    <w:pitch w:val="variable"/>
    <w:sig w:usb0="600002FF" w:usb1="02000001" w:usb2="00000000" w:usb3="00000000" w:csb0="0000019F" w:csb1="00000000"/>
    <w:embedRegular r:id="rId7" w:fontKey="{08B52E17-6338-43A3-AF58-BB030686D642}"/>
    <w:embedBold r:id="rId8" w:fontKey="{02A46AE8-7559-4C71-8396-0CB6E0490A5A}"/>
  </w:font>
  <w:font w:name="Fira Sans Medium">
    <w:panose1 w:val="020B0603050000020004"/>
    <w:charset w:val="EE"/>
    <w:family w:val="swiss"/>
    <w:pitch w:val="variable"/>
    <w:sig w:usb0="600002FF" w:usb1="02000001" w:usb2="00000000" w:usb3="00000000" w:csb0="0000019F" w:csb1="00000000"/>
    <w:embedRegular r:id="rId9" w:fontKey="{B67BC02A-56C6-42EB-B946-1728D83917D1}"/>
    <w:embedItalic r:id="rId10" w:fontKey="{1A91CFBB-4675-4454-8BDC-5C0E5918B846}"/>
  </w:font>
  <w:font w:name="Segoe UI">
    <w:panose1 w:val="020B0502040204020203"/>
    <w:charset w:val="EE"/>
    <w:family w:val="swiss"/>
    <w:pitch w:val="variable"/>
    <w:sig w:usb0="E4002EFF" w:usb1="C000E47F" w:usb2="00000009" w:usb3="00000000" w:csb0="000001FF" w:csb1="00000000"/>
    <w:embedRegular r:id="rId11" w:fontKey="{9C54C8B0-FE16-4C40-AB78-45D4C6822CCE}"/>
  </w:font>
  <w:font w:name="Fira Sans Extra Condensed SemiB">
    <w:panose1 w:val="020B0603050000020004"/>
    <w:charset w:val="EE"/>
    <w:family w:val="swiss"/>
    <w:pitch w:val="variable"/>
    <w:sig w:usb0="600002FF" w:usb1="00000001" w:usb2="00000000" w:usb3="00000000" w:csb0="0000019F" w:csb1="00000000"/>
    <w:embedRegular r:id="rId12" w:fontKey="{45E0C03A-1A36-457E-B04C-83E02D54F909}"/>
  </w:font>
  <w:font w:name="Calibri">
    <w:panose1 w:val="020F0502020204030204"/>
    <w:charset w:val="EE"/>
    <w:family w:val="swiss"/>
    <w:pitch w:val="variable"/>
    <w:sig w:usb0="E4002EFF" w:usb1="C000247B" w:usb2="00000009" w:usb3="00000000" w:csb0="000001FF" w:csb1="00000000"/>
    <w:embedRegular r:id="rId13" w:fontKey="{18514F9F-7567-4161-A678-21D99A8D591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2A030700" w14:textId="77777777" w:rsidR="00EB556D" w:rsidRDefault="00541E6E" w:rsidP="003B18B6">
        <w:pPr>
          <w:pStyle w:val="Stopka"/>
          <w:jc w:val="center"/>
        </w:pPr>
        <w:r>
          <w:fldChar w:fldCharType="begin"/>
        </w:r>
        <w:r>
          <w:instrText>PAGE   \* MERGEFORMAT</w:instrText>
        </w:r>
        <w:r>
          <w:fldChar w:fldCharType="separate"/>
        </w:r>
        <w:r w:rsidR="00857EF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CA6953C" w14:textId="77777777" w:rsidR="00EB556D" w:rsidRDefault="00541E6E" w:rsidP="003B18B6">
        <w:pPr>
          <w:pStyle w:val="Stopka"/>
          <w:jc w:val="center"/>
        </w:pPr>
        <w:r>
          <w:fldChar w:fldCharType="begin"/>
        </w:r>
        <w:r>
          <w:instrText>PAGE   \* MERGEFORMAT</w:instrText>
        </w:r>
        <w:r>
          <w:fldChar w:fldCharType="separate"/>
        </w:r>
        <w:r w:rsidR="00857EF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FDE5DEA" w14:textId="77777777" w:rsidR="003B18B6" w:rsidRDefault="003B18B6" w:rsidP="003B18B6">
        <w:pPr>
          <w:pStyle w:val="Stopka"/>
          <w:jc w:val="center"/>
        </w:pPr>
        <w:r>
          <w:fldChar w:fldCharType="begin"/>
        </w:r>
        <w:r>
          <w:instrText>PAGE   \* MERGEFORMAT</w:instrText>
        </w:r>
        <w:r>
          <w:fldChar w:fldCharType="separate"/>
        </w:r>
        <w:r w:rsidR="00857EF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41011" w14:textId="77777777" w:rsidR="00A81A60" w:rsidRDefault="00A81A60" w:rsidP="000662E2">
      <w:pPr>
        <w:spacing w:after="0" w:line="240" w:lineRule="auto"/>
      </w:pPr>
      <w:r>
        <w:separator/>
      </w:r>
    </w:p>
  </w:footnote>
  <w:footnote w:type="continuationSeparator" w:id="0">
    <w:p w14:paraId="7AE2FFC1" w14:textId="77777777" w:rsidR="00A81A60" w:rsidRDefault="00A81A60"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8997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3E565901" wp14:editId="11A14399">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857F3"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BA3FA1D"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B3016"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72AAFBF4" wp14:editId="2490A266">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5BB2E61D" wp14:editId="7932D62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D5324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2E61D" id="Schemat blokowy: opóźnienie 6" o:spid="_x0000_s1033"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D5324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E4F6EEA" wp14:editId="385ED68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8C76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2DB08D37" w14:textId="77777777" w:rsidR="00540C5C" w:rsidRDefault="00540C5C">
    <w:pPr>
      <w:pStyle w:val="Nagwek"/>
      <w:rPr>
        <w:noProof/>
        <w:lang w:eastAsia="pl-PL"/>
      </w:rPr>
    </w:pPr>
  </w:p>
  <w:p w14:paraId="69264CEC" w14:textId="77777777" w:rsidR="00540C5C" w:rsidRDefault="00540C5C">
    <w:pPr>
      <w:pStyle w:val="Nagwek"/>
      <w:rPr>
        <w:noProof/>
        <w:lang w:eastAsia="pl-PL"/>
      </w:rPr>
    </w:pPr>
  </w:p>
  <w:p w14:paraId="7D61E0AF"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958085A" wp14:editId="1F564237">
              <wp:simplePos x="0" y="0"/>
              <wp:positionH relativeFrom="column">
                <wp:posOffset>5287976</wp:posOffset>
              </wp:positionH>
              <wp:positionV relativeFrom="paragraph">
                <wp:posOffset>266065</wp:posOffset>
              </wp:positionV>
              <wp:extent cx="1432293" cy="336589"/>
              <wp:effectExtent l="0" t="0" r="0" b="6350"/>
              <wp:wrapNone/>
              <wp:docPr id="8" name="Pole tekstowe 2" descr="21.05.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3A1CB59" w14:textId="5DB840D9" w:rsidR="00F37172" w:rsidRPr="00A01B40" w:rsidRDefault="00820C92" w:rsidP="00F049AB">
                          <w:pPr>
                            <w:pStyle w:val="Datainformacjisygnalnej"/>
                          </w:pPr>
                          <w:r>
                            <w:t>21.05</w:t>
                          </w:r>
                          <w:r w:rsidR="0017695A">
                            <w:t>.2025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58085A" id="_x0000_t202" coordsize="21600,21600" o:spt="202" path="m,l,21600r21600,l21600,xe">
              <v:stroke joinstyle="miter"/>
              <v:path gradientshapeok="t" o:connecttype="rect"/>
            </v:shapetype>
            <v:shape id="_x0000_s1034" type="#_x0000_t202" alt="21.05.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0SYHwIAABQEAAAOAAAAZHJzL2Uyb0RvYy54bWysU9Fu2yAUfZ+0f0C8L3acuGusOFXXrtOk&#10;bqvU7QMI4BgVuAxI7O7rd8FpGm1v0/yAwJd77j3nHtZXo9HkIH1QYFs6n5WUSMtBKLtr6Y/vd+8u&#10;KQmRWcE0WNnSZxno1ebtm/XgGllBD1pITxDEhmZwLe1jdE1RBN5Lw8IMnLQY7MAbFvHod4XwbEB0&#10;o4uqLC+KAbxwHrgMAf/eTkG6yfhdJ3n81nVBRqJbir3FvPq8btNabNas2XnmesWPbbB/6MIwZbHo&#10;CeqWRUb2Xv0FZRT3EKCLMw6mgK5TXGYOyGZe/sHmsWdOZi4oTnAnmcL/g+VfDw+eKNFSHJRlBkf0&#10;AFqSKJ9ChEGSihIhA0fJKpxuPavKqiZ+loQbXGgw/9EhQhw/wIgGyCIEdw/8KRALNz2zO3ntPQy9&#10;ZAIbn6fM4ix1wgkJZDt8AYEdsH2EDDR23iRVUSeC6DjA59PQ5BgJTyWXi6paLSjhGFssLurLVS7B&#10;mpds50P8JMGQtGmpR1NkdHa4DzF1w5qXK6mYhTuldTaGtmRo6aqu6pxwFjEqom+1Mihcmb7JSYnk&#10;RytycmRKT3ssoO2RdSI6UY7jdszKZ0mSIlsQzyiDh8mm+Kxw04P/RcmAFm1p+LlnXlKiP1uUcjVf&#10;LpOn82FZv6/w4M8j2/MIsxyhWhopmbY3Mb+DifI1St6prMZrJ8eW0XpZpOMzSd4+P+dbr4958xs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BqJ0SYHwIAABQEAAAOAAAAAAAAAAAAAAAAAC4CAABkcnMvZTJvRG9jLnhtbFBL&#10;AQItABQABgAIAAAAIQC0yVff3gAAAAoBAAAPAAAAAAAAAAAAAAAAAHkEAABkcnMvZG93bnJldi54&#10;bWxQSwUGAAAAAAQABADzAAAAhAUAAAAA&#10;" filled="f" stroked="f">
              <v:textbox>
                <w:txbxContent>
                  <w:p w14:paraId="53A1CB59" w14:textId="5DB840D9" w:rsidR="00F37172" w:rsidRPr="00A01B40" w:rsidRDefault="00820C92" w:rsidP="00F049AB">
                    <w:pPr>
                      <w:pStyle w:val="Datainformacjisygnalnej"/>
                    </w:pPr>
                    <w:r>
                      <w:t>21.05</w:t>
                    </w:r>
                    <w:r w:rsidR="0017695A">
                      <w:t>.2025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BD22C" w14:textId="77777777" w:rsidR="00607CC5" w:rsidRDefault="00607CC5">
    <w:pPr>
      <w:pStyle w:val="Nagwek"/>
    </w:pPr>
  </w:p>
  <w:p w14:paraId="6A6AD4EC"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5.75pt;height:126.25pt;visibility:visible;mso-wrap-style:square" o:bullet="t">
        <v:imagedata r:id="rId1" o:title=""/>
      </v:shape>
    </w:pict>
  </w:numPicBullet>
  <w:numPicBullet w:numPicBulletId="1">
    <w:pict>
      <v:shape id="_x0000_i1035" type="#_x0000_t75" style="width:125.75pt;height:126.25pt;visibility:visible;mso-wrap-style:square" o:bullet="t">
        <v:imagedata r:id="rId2" o:title=""/>
      </v:shape>
    </w:pict>
  </w:numPicBullet>
  <w:numPicBullet w:numPicBulletId="2">
    <w:pict>
      <v:shape id="_x0000_i1036" type="#_x0000_t75" style="width:17.75pt;height:24.2pt;visibility:visible;mso-wrap-style:square" o:bullet="t">
        <v:imagedata r:id="rId3" o:title=""/>
      </v:shape>
    </w:pict>
  </w:numPicBullet>
  <w:numPicBullet w:numPicBulletId="3">
    <w:pict>
      <v:shape id="_x0000_i1037" type="#_x0000_t75" style="width:17.75pt;height:24.2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BC1EEB"/>
    <w:multiLevelType w:val="hybridMultilevel"/>
    <w:tmpl w:val="DD06B8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9"/>
  </w:num>
  <w:num w:numId="2">
    <w:abstractNumId w:val="3"/>
  </w:num>
  <w:num w:numId="3">
    <w:abstractNumId w:val="5"/>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1"/>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7E7"/>
    <w:rsid w:val="0000709F"/>
    <w:rsid w:val="000108B8"/>
    <w:rsid w:val="000109BC"/>
    <w:rsid w:val="0001386C"/>
    <w:rsid w:val="0001434B"/>
    <w:rsid w:val="000152F5"/>
    <w:rsid w:val="00015DC4"/>
    <w:rsid w:val="00020356"/>
    <w:rsid w:val="000256F6"/>
    <w:rsid w:val="00025949"/>
    <w:rsid w:val="00027704"/>
    <w:rsid w:val="00031DFF"/>
    <w:rsid w:val="000323EC"/>
    <w:rsid w:val="000362EA"/>
    <w:rsid w:val="000376FB"/>
    <w:rsid w:val="000427C1"/>
    <w:rsid w:val="000429DE"/>
    <w:rsid w:val="0004582E"/>
    <w:rsid w:val="000470AA"/>
    <w:rsid w:val="00050334"/>
    <w:rsid w:val="00052ADA"/>
    <w:rsid w:val="00056CA1"/>
    <w:rsid w:val="00057CA1"/>
    <w:rsid w:val="0006035A"/>
    <w:rsid w:val="0006388A"/>
    <w:rsid w:val="000647A9"/>
    <w:rsid w:val="00065147"/>
    <w:rsid w:val="000662E2"/>
    <w:rsid w:val="00066883"/>
    <w:rsid w:val="00067435"/>
    <w:rsid w:val="00071B39"/>
    <w:rsid w:val="00074DD8"/>
    <w:rsid w:val="00075759"/>
    <w:rsid w:val="00075BD4"/>
    <w:rsid w:val="000764D4"/>
    <w:rsid w:val="000806F7"/>
    <w:rsid w:val="00082237"/>
    <w:rsid w:val="000911E3"/>
    <w:rsid w:val="000936C8"/>
    <w:rsid w:val="00095C4A"/>
    <w:rsid w:val="00097840"/>
    <w:rsid w:val="000A1088"/>
    <w:rsid w:val="000A3A94"/>
    <w:rsid w:val="000A4AF0"/>
    <w:rsid w:val="000A4C36"/>
    <w:rsid w:val="000B0727"/>
    <w:rsid w:val="000C097A"/>
    <w:rsid w:val="000C1304"/>
    <w:rsid w:val="000C135D"/>
    <w:rsid w:val="000D1D43"/>
    <w:rsid w:val="000D1E12"/>
    <w:rsid w:val="000D225C"/>
    <w:rsid w:val="000D2A5C"/>
    <w:rsid w:val="000D39F0"/>
    <w:rsid w:val="000D7E09"/>
    <w:rsid w:val="000E0918"/>
    <w:rsid w:val="000E33F3"/>
    <w:rsid w:val="000E53A8"/>
    <w:rsid w:val="000E6798"/>
    <w:rsid w:val="000E79A9"/>
    <w:rsid w:val="000F3C7B"/>
    <w:rsid w:val="000F41EB"/>
    <w:rsid w:val="000F6AF8"/>
    <w:rsid w:val="001011C3"/>
    <w:rsid w:val="00103265"/>
    <w:rsid w:val="00106DA3"/>
    <w:rsid w:val="0010759D"/>
    <w:rsid w:val="00107747"/>
    <w:rsid w:val="00110214"/>
    <w:rsid w:val="001104B6"/>
    <w:rsid w:val="00110D87"/>
    <w:rsid w:val="00111CF4"/>
    <w:rsid w:val="00112399"/>
    <w:rsid w:val="00114658"/>
    <w:rsid w:val="00114D89"/>
    <w:rsid w:val="00114DB9"/>
    <w:rsid w:val="00115C9E"/>
    <w:rsid w:val="00116087"/>
    <w:rsid w:val="00117625"/>
    <w:rsid w:val="00117711"/>
    <w:rsid w:val="00120016"/>
    <w:rsid w:val="0012326A"/>
    <w:rsid w:val="00130296"/>
    <w:rsid w:val="00133E7B"/>
    <w:rsid w:val="00134145"/>
    <w:rsid w:val="00136593"/>
    <w:rsid w:val="00136736"/>
    <w:rsid w:val="00136740"/>
    <w:rsid w:val="00136D67"/>
    <w:rsid w:val="001423B6"/>
    <w:rsid w:val="001427DF"/>
    <w:rsid w:val="00142947"/>
    <w:rsid w:val="001448A7"/>
    <w:rsid w:val="00146621"/>
    <w:rsid w:val="00151CA3"/>
    <w:rsid w:val="00152CEF"/>
    <w:rsid w:val="0015304C"/>
    <w:rsid w:val="00156B20"/>
    <w:rsid w:val="0015774B"/>
    <w:rsid w:val="00160627"/>
    <w:rsid w:val="001617E3"/>
    <w:rsid w:val="00162325"/>
    <w:rsid w:val="001702B9"/>
    <w:rsid w:val="00171A03"/>
    <w:rsid w:val="00175562"/>
    <w:rsid w:val="0017695A"/>
    <w:rsid w:val="00176F25"/>
    <w:rsid w:val="00190FC4"/>
    <w:rsid w:val="00191F12"/>
    <w:rsid w:val="001951DA"/>
    <w:rsid w:val="00195F76"/>
    <w:rsid w:val="001A0BF9"/>
    <w:rsid w:val="001A3E87"/>
    <w:rsid w:val="001A5018"/>
    <w:rsid w:val="001A532C"/>
    <w:rsid w:val="001A660E"/>
    <w:rsid w:val="001B053D"/>
    <w:rsid w:val="001B1018"/>
    <w:rsid w:val="001B10C5"/>
    <w:rsid w:val="001B2DC8"/>
    <w:rsid w:val="001B76AA"/>
    <w:rsid w:val="001C294A"/>
    <w:rsid w:val="001C3269"/>
    <w:rsid w:val="001C3DA5"/>
    <w:rsid w:val="001C4D10"/>
    <w:rsid w:val="001D19B6"/>
    <w:rsid w:val="001D1DB4"/>
    <w:rsid w:val="001D23F1"/>
    <w:rsid w:val="001D25F9"/>
    <w:rsid w:val="001D331E"/>
    <w:rsid w:val="001D54A4"/>
    <w:rsid w:val="001D58F3"/>
    <w:rsid w:val="001D6001"/>
    <w:rsid w:val="001D61ED"/>
    <w:rsid w:val="001D68C6"/>
    <w:rsid w:val="001E5B2D"/>
    <w:rsid w:val="001F16CA"/>
    <w:rsid w:val="001F17DA"/>
    <w:rsid w:val="001F2115"/>
    <w:rsid w:val="001F768E"/>
    <w:rsid w:val="0020156C"/>
    <w:rsid w:val="00206ED7"/>
    <w:rsid w:val="00211446"/>
    <w:rsid w:val="00211BF5"/>
    <w:rsid w:val="002137CF"/>
    <w:rsid w:val="00214C6D"/>
    <w:rsid w:val="00216634"/>
    <w:rsid w:val="002209CF"/>
    <w:rsid w:val="00223DE6"/>
    <w:rsid w:val="00227625"/>
    <w:rsid w:val="00227BA9"/>
    <w:rsid w:val="002371A1"/>
    <w:rsid w:val="00237913"/>
    <w:rsid w:val="002408D3"/>
    <w:rsid w:val="002412CF"/>
    <w:rsid w:val="00242D31"/>
    <w:rsid w:val="00243D1A"/>
    <w:rsid w:val="0024689C"/>
    <w:rsid w:val="00252BB9"/>
    <w:rsid w:val="00253AB6"/>
    <w:rsid w:val="0025481E"/>
    <w:rsid w:val="00254F11"/>
    <w:rsid w:val="002574F9"/>
    <w:rsid w:val="00262B61"/>
    <w:rsid w:val="00262CC6"/>
    <w:rsid w:val="00263E08"/>
    <w:rsid w:val="00272F82"/>
    <w:rsid w:val="0027573E"/>
    <w:rsid w:val="00276209"/>
    <w:rsid w:val="002762FD"/>
    <w:rsid w:val="00276811"/>
    <w:rsid w:val="00277508"/>
    <w:rsid w:val="00277D2D"/>
    <w:rsid w:val="002817DB"/>
    <w:rsid w:val="00282699"/>
    <w:rsid w:val="002870EE"/>
    <w:rsid w:val="00287BD5"/>
    <w:rsid w:val="0029013E"/>
    <w:rsid w:val="002926DF"/>
    <w:rsid w:val="002933A2"/>
    <w:rsid w:val="00294D62"/>
    <w:rsid w:val="00295C46"/>
    <w:rsid w:val="00296697"/>
    <w:rsid w:val="00297264"/>
    <w:rsid w:val="0029799E"/>
    <w:rsid w:val="002A04C6"/>
    <w:rsid w:val="002A116F"/>
    <w:rsid w:val="002A1972"/>
    <w:rsid w:val="002A34CB"/>
    <w:rsid w:val="002B0472"/>
    <w:rsid w:val="002B238C"/>
    <w:rsid w:val="002B6B12"/>
    <w:rsid w:val="002C0BA1"/>
    <w:rsid w:val="002C19F7"/>
    <w:rsid w:val="002C21F0"/>
    <w:rsid w:val="002C3B3B"/>
    <w:rsid w:val="002C3BFD"/>
    <w:rsid w:val="002C5774"/>
    <w:rsid w:val="002C7B43"/>
    <w:rsid w:val="002D01DF"/>
    <w:rsid w:val="002D6A72"/>
    <w:rsid w:val="002E30B2"/>
    <w:rsid w:val="002E3EB3"/>
    <w:rsid w:val="002E4BDC"/>
    <w:rsid w:val="002E6140"/>
    <w:rsid w:val="002E6985"/>
    <w:rsid w:val="002E71B6"/>
    <w:rsid w:val="002F35F6"/>
    <w:rsid w:val="002F6E5D"/>
    <w:rsid w:val="002F77C8"/>
    <w:rsid w:val="002F7CBF"/>
    <w:rsid w:val="00300202"/>
    <w:rsid w:val="00303F88"/>
    <w:rsid w:val="00304048"/>
    <w:rsid w:val="00304715"/>
    <w:rsid w:val="00304F22"/>
    <w:rsid w:val="003054D1"/>
    <w:rsid w:val="00305A0C"/>
    <w:rsid w:val="003061E6"/>
    <w:rsid w:val="00306C7C"/>
    <w:rsid w:val="00313831"/>
    <w:rsid w:val="00313F5C"/>
    <w:rsid w:val="00314F86"/>
    <w:rsid w:val="0031546E"/>
    <w:rsid w:val="00315499"/>
    <w:rsid w:val="00317F4D"/>
    <w:rsid w:val="00321466"/>
    <w:rsid w:val="00322EDD"/>
    <w:rsid w:val="003238A4"/>
    <w:rsid w:val="00327223"/>
    <w:rsid w:val="003309FA"/>
    <w:rsid w:val="00331135"/>
    <w:rsid w:val="00332320"/>
    <w:rsid w:val="00332784"/>
    <w:rsid w:val="00334271"/>
    <w:rsid w:val="0033491E"/>
    <w:rsid w:val="00336DC4"/>
    <w:rsid w:val="00340F5D"/>
    <w:rsid w:val="00343539"/>
    <w:rsid w:val="003440D1"/>
    <w:rsid w:val="003448C1"/>
    <w:rsid w:val="00347D72"/>
    <w:rsid w:val="00352178"/>
    <w:rsid w:val="00353C85"/>
    <w:rsid w:val="00353F45"/>
    <w:rsid w:val="00354589"/>
    <w:rsid w:val="00355B6D"/>
    <w:rsid w:val="00357611"/>
    <w:rsid w:val="00361780"/>
    <w:rsid w:val="0036432A"/>
    <w:rsid w:val="00364AF9"/>
    <w:rsid w:val="00367237"/>
    <w:rsid w:val="0037077F"/>
    <w:rsid w:val="00372411"/>
    <w:rsid w:val="00373573"/>
    <w:rsid w:val="00373882"/>
    <w:rsid w:val="00375446"/>
    <w:rsid w:val="00377F72"/>
    <w:rsid w:val="003843DB"/>
    <w:rsid w:val="0038690E"/>
    <w:rsid w:val="00393761"/>
    <w:rsid w:val="003937A5"/>
    <w:rsid w:val="00394E26"/>
    <w:rsid w:val="00396691"/>
    <w:rsid w:val="00397D18"/>
    <w:rsid w:val="003A1B36"/>
    <w:rsid w:val="003B1454"/>
    <w:rsid w:val="003B18B6"/>
    <w:rsid w:val="003B6F62"/>
    <w:rsid w:val="003B7760"/>
    <w:rsid w:val="003B79B1"/>
    <w:rsid w:val="003C161B"/>
    <w:rsid w:val="003C57B6"/>
    <w:rsid w:val="003C59E0"/>
    <w:rsid w:val="003C6C8D"/>
    <w:rsid w:val="003D0894"/>
    <w:rsid w:val="003D2656"/>
    <w:rsid w:val="003D4358"/>
    <w:rsid w:val="003D4F95"/>
    <w:rsid w:val="003D5F42"/>
    <w:rsid w:val="003D60A9"/>
    <w:rsid w:val="003D63D6"/>
    <w:rsid w:val="003E1E94"/>
    <w:rsid w:val="003E4211"/>
    <w:rsid w:val="003E4367"/>
    <w:rsid w:val="003F0BD9"/>
    <w:rsid w:val="003F4C97"/>
    <w:rsid w:val="003F52A6"/>
    <w:rsid w:val="003F5902"/>
    <w:rsid w:val="003F666D"/>
    <w:rsid w:val="003F7FE6"/>
    <w:rsid w:val="00400193"/>
    <w:rsid w:val="00402DC5"/>
    <w:rsid w:val="00416EAF"/>
    <w:rsid w:val="004212E7"/>
    <w:rsid w:val="00421A49"/>
    <w:rsid w:val="00423C88"/>
    <w:rsid w:val="0042446D"/>
    <w:rsid w:val="00426319"/>
    <w:rsid w:val="00427BF8"/>
    <w:rsid w:val="004305DD"/>
    <w:rsid w:val="00431C02"/>
    <w:rsid w:val="00432DDC"/>
    <w:rsid w:val="00437395"/>
    <w:rsid w:val="00437615"/>
    <w:rsid w:val="004411FB"/>
    <w:rsid w:val="00445047"/>
    <w:rsid w:val="00445B7B"/>
    <w:rsid w:val="00446749"/>
    <w:rsid w:val="00450355"/>
    <w:rsid w:val="004539DE"/>
    <w:rsid w:val="00453B07"/>
    <w:rsid w:val="00453EB7"/>
    <w:rsid w:val="0045581E"/>
    <w:rsid w:val="00457A2E"/>
    <w:rsid w:val="00463E39"/>
    <w:rsid w:val="00464878"/>
    <w:rsid w:val="004657FC"/>
    <w:rsid w:val="00466D1E"/>
    <w:rsid w:val="004679AD"/>
    <w:rsid w:val="004713D9"/>
    <w:rsid w:val="004733F6"/>
    <w:rsid w:val="00473ED8"/>
    <w:rsid w:val="00474E69"/>
    <w:rsid w:val="00475FCB"/>
    <w:rsid w:val="004764A7"/>
    <w:rsid w:val="00483E9F"/>
    <w:rsid w:val="00485A2C"/>
    <w:rsid w:val="00486F57"/>
    <w:rsid w:val="00487221"/>
    <w:rsid w:val="00487B73"/>
    <w:rsid w:val="004938EB"/>
    <w:rsid w:val="0049621B"/>
    <w:rsid w:val="004A1D19"/>
    <w:rsid w:val="004A36E3"/>
    <w:rsid w:val="004A7077"/>
    <w:rsid w:val="004B26F4"/>
    <w:rsid w:val="004B31CE"/>
    <w:rsid w:val="004B37A8"/>
    <w:rsid w:val="004B4292"/>
    <w:rsid w:val="004C058E"/>
    <w:rsid w:val="004C1895"/>
    <w:rsid w:val="004C6D40"/>
    <w:rsid w:val="004C70DA"/>
    <w:rsid w:val="004C7D42"/>
    <w:rsid w:val="004D6A2F"/>
    <w:rsid w:val="004E0DA6"/>
    <w:rsid w:val="004E1B40"/>
    <w:rsid w:val="004E2595"/>
    <w:rsid w:val="004E327C"/>
    <w:rsid w:val="004E6AA8"/>
    <w:rsid w:val="004E74D9"/>
    <w:rsid w:val="004F0C3C"/>
    <w:rsid w:val="004F2280"/>
    <w:rsid w:val="004F23BB"/>
    <w:rsid w:val="004F63FC"/>
    <w:rsid w:val="004F6484"/>
    <w:rsid w:val="005014C4"/>
    <w:rsid w:val="00504267"/>
    <w:rsid w:val="00505A92"/>
    <w:rsid w:val="005104C9"/>
    <w:rsid w:val="00512F7A"/>
    <w:rsid w:val="005203F1"/>
    <w:rsid w:val="00521266"/>
    <w:rsid w:val="00521BC3"/>
    <w:rsid w:val="005228C2"/>
    <w:rsid w:val="00525EF1"/>
    <w:rsid w:val="005261D5"/>
    <w:rsid w:val="00526509"/>
    <w:rsid w:val="00530D9A"/>
    <w:rsid w:val="00531873"/>
    <w:rsid w:val="00531B08"/>
    <w:rsid w:val="00531F6D"/>
    <w:rsid w:val="00533632"/>
    <w:rsid w:val="00534013"/>
    <w:rsid w:val="005360D0"/>
    <w:rsid w:val="00540C5C"/>
    <w:rsid w:val="00541E6E"/>
    <w:rsid w:val="0054212B"/>
    <w:rsid w:val="0054220A"/>
    <w:rsid w:val="0054251F"/>
    <w:rsid w:val="00542FA8"/>
    <w:rsid w:val="00546621"/>
    <w:rsid w:val="00546CFA"/>
    <w:rsid w:val="00547BFC"/>
    <w:rsid w:val="005520D8"/>
    <w:rsid w:val="00553507"/>
    <w:rsid w:val="00554658"/>
    <w:rsid w:val="00555033"/>
    <w:rsid w:val="00555CFB"/>
    <w:rsid w:val="00555E37"/>
    <w:rsid w:val="00556ADB"/>
    <w:rsid w:val="00556CF1"/>
    <w:rsid w:val="00560940"/>
    <w:rsid w:val="005637E5"/>
    <w:rsid w:val="00566208"/>
    <w:rsid w:val="00567743"/>
    <w:rsid w:val="00570680"/>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437B"/>
    <w:rsid w:val="005B5C9D"/>
    <w:rsid w:val="005B63D1"/>
    <w:rsid w:val="005B699B"/>
    <w:rsid w:val="005C0CAC"/>
    <w:rsid w:val="005C0EBA"/>
    <w:rsid w:val="005C4C9E"/>
    <w:rsid w:val="005C6687"/>
    <w:rsid w:val="005C73E3"/>
    <w:rsid w:val="005D062E"/>
    <w:rsid w:val="005D0A2E"/>
    <w:rsid w:val="005D1A1E"/>
    <w:rsid w:val="005D2F6B"/>
    <w:rsid w:val="005D334E"/>
    <w:rsid w:val="005D6697"/>
    <w:rsid w:val="005E0799"/>
    <w:rsid w:val="005E10F9"/>
    <w:rsid w:val="005E1200"/>
    <w:rsid w:val="005E2754"/>
    <w:rsid w:val="005F45EE"/>
    <w:rsid w:val="005F5A80"/>
    <w:rsid w:val="005F7611"/>
    <w:rsid w:val="00604281"/>
    <w:rsid w:val="006044FF"/>
    <w:rsid w:val="00607CC5"/>
    <w:rsid w:val="00611065"/>
    <w:rsid w:val="0061179B"/>
    <w:rsid w:val="00611E2F"/>
    <w:rsid w:val="006125F9"/>
    <w:rsid w:val="00614294"/>
    <w:rsid w:val="00614D74"/>
    <w:rsid w:val="0061732B"/>
    <w:rsid w:val="0062216D"/>
    <w:rsid w:val="0062603A"/>
    <w:rsid w:val="00631752"/>
    <w:rsid w:val="00633014"/>
    <w:rsid w:val="0063437B"/>
    <w:rsid w:val="006365BD"/>
    <w:rsid w:val="0063660D"/>
    <w:rsid w:val="00636847"/>
    <w:rsid w:val="00636DF7"/>
    <w:rsid w:val="0064017E"/>
    <w:rsid w:val="00642461"/>
    <w:rsid w:val="00643883"/>
    <w:rsid w:val="00654BB6"/>
    <w:rsid w:val="00655769"/>
    <w:rsid w:val="00656D25"/>
    <w:rsid w:val="00660971"/>
    <w:rsid w:val="0066387C"/>
    <w:rsid w:val="00665010"/>
    <w:rsid w:val="006673CA"/>
    <w:rsid w:val="00671737"/>
    <w:rsid w:val="00671B17"/>
    <w:rsid w:val="00673C26"/>
    <w:rsid w:val="00674DE5"/>
    <w:rsid w:val="00677ACA"/>
    <w:rsid w:val="006812AF"/>
    <w:rsid w:val="0068327D"/>
    <w:rsid w:val="00686294"/>
    <w:rsid w:val="00691534"/>
    <w:rsid w:val="00693880"/>
    <w:rsid w:val="00693893"/>
    <w:rsid w:val="006942B3"/>
    <w:rsid w:val="0069498E"/>
    <w:rsid w:val="00694AF0"/>
    <w:rsid w:val="00696D43"/>
    <w:rsid w:val="006A2A13"/>
    <w:rsid w:val="006A3BF8"/>
    <w:rsid w:val="006A4686"/>
    <w:rsid w:val="006A5BB2"/>
    <w:rsid w:val="006B0485"/>
    <w:rsid w:val="006B0E9E"/>
    <w:rsid w:val="006B1347"/>
    <w:rsid w:val="006B1DFB"/>
    <w:rsid w:val="006B486D"/>
    <w:rsid w:val="006B5AE4"/>
    <w:rsid w:val="006B615D"/>
    <w:rsid w:val="006B798F"/>
    <w:rsid w:val="006C4231"/>
    <w:rsid w:val="006D0AE5"/>
    <w:rsid w:val="006D1507"/>
    <w:rsid w:val="006D1608"/>
    <w:rsid w:val="006D4054"/>
    <w:rsid w:val="006D47E7"/>
    <w:rsid w:val="006D7409"/>
    <w:rsid w:val="006D75E2"/>
    <w:rsid w:val="006E02EC"/>
    <w:rsid w:val="006E0566"/>
    <w:rsid w:val="006E1465"/>
    <w:rsid w:val="006E1DF7"/>
    <w:rsid w:val="006E3C4F"/>
    <w:rsid w:val="006E6734"/>
    <w:rsid w:val="006E6F41"/>
    <w:rsid w:val="006E73E6"/>
    <w:rsid w:val="006E7B9A"/>
    <w:rsid w:val="006F0BE9"/>
    <w:rsid w:val="006F2064"/>
    <w:rsid w:val="006F382A"/>
    <w:rsid w:val="006F6037"/>
    <w:rsid w:val="006F67D7"/>
    <w:rsid w:val="006F7F6A"/>
    <w:rsid w:val="00702990"/>
    <w:rsid w:val="0070402D"/>
    <w:rsid w:val="007108F0"/>
    <w:rsid w:val="00710E54"/>
    <w:rsid w:val="00711057"/>
    <w:rsid w:val="007211B1"/>
    <w:rsid w:val="007277DA"/>
    <w:rsid w:val="00731D27"/>
    <w:rsid w:val="007357EB"/>
    <w:rsid w:val="00737BEF"/>
    <w:rsid w:val="007414C9"/>
    <w:rsid w:val="00745758"/>
    <w:rsid w:val="00746187"/>
    <w:rsid w:val="007560D7"/>
    <w:rsid w:val="00757414"/>
    <w:rsid w:val="0076254F"/>
    <w:rsid w:val="007662D8"/>
    <w:rsid w:val="007709AA"/>
    <w:rsid w:val="00772D50"/>
    <w:rsid w:val="00776368"/>
    <w:rsid w:val="00777930"/>
    <w:rsid w:val="007801F5"/>
    <w:rsid w:val="00782C31"/>
    <w:rsid w:val="007838A0"/>
    <w:rsid w:val="00783CA4"/>
    <w:rsid w:val="007842FB"/>
    <w:rsid w:val="00786124"/>
    <w:rsid w:val="00791CDA"/>
    <w:rsid w:val="00792D90"/>
    <w:rsid w:val="00794E39"/>
    <w:rsid w:val="0079514B"/>
    <w:rsid w:val="00795252"/>
    <w:rsid w:val="00796F81"/>
    <w:rsid w:val="007975FB"/>
    <w:rsid w:val="007A1F3A"/>
    <w:rsid w:val="007A2DC1"/>
    <w:rsid w:val="007A5771"/>
    <w:rsid w:val="007B16B8"/>
    <w:rsid w:val="007B6A88"/>
    <w:rsid w:val="007B6F96"/>
    <w:rsid w:val="007B78C6"/>
    <w:rsid w:val="007C0C9B"/>
    <w:rsid w:val="007C61C9"/>
    <w:rsid w:val="007D0869"/>
    <w:rsid w:val="007D14C4"/>
    <w:rsid w:val="007D1F8B"/>
    <w:rsid w:val="007D3319"/>
    <w:rsid w:val="007D335D"/>
    <w:rsid w:val="007D605C"/>
    <w:rsid w:val="007E26DF"/>
    <w:rsid w:val="007E3314"/>
    <w:rsid w:val="007E3514"/>
    <w:rsid w:val="007E4B03"/>
    <w:rsid w:val="007E565B"/>
    <w:rsid w:val="007E7376"/>
    <w:rsid w:val="007E7FD7"/>
    <w:rsid w:val="007F324B"/>
    <w:rsid w:val="007F702E"/>
    <w:rsid w:val="0080553C"/>
    <w:rsid w:val="00805B46"/>
    <w:rsid w:val="00805DB4"/>
    <w:rsid w:val="0080796E"/>
    <w:rsid w:val="00810724"/>
    <w:rsid w:val="008139A3"/>
    <w:rsid w:val="008175AE"/>
    <w:rsid w:val="00820C92"/>
    <w:rsid w:val="00823593"/>
    <w:rsid w:val="00825DC2"/>
    <w:rsid w:val="00834AD3"/>
    <w:rsid w:val="008374FF"/>
    <w:rsid w:val="00840382"/>
    <w:rsid w:val="00843795"/>
    <w:rsid w:val="00844237"/>
    <w:rsid w:val="00847F0F"/>
    <w:rsid w:val="00852448"/>
    <w:rsid w:val="00852B36"/>
    <w:rsid w:val="00856833"/>
    <w:rsid w:val="00857EFF"/>
    <w:rsid w:val="00862763"/>
    <w:rsid w:val="0086336E"/>
    <w:rsid w:val="00867273"/>
    <w:rsid w:val="00867703"/>
    <w:rsid w:val="00877F6C"/>
    <w:rsid w:val="00881290"/>
    <w:rsid w:val="0088258A"/>
    <w:rsid w:val="00883E43"/>
    <w:rsid w:val="00885959"/>
    <w:rsid w:val="00886332"/>
    <w:rsid w:val="00887C79"/>
    <w:rsid w:val="00890C49"/>
    <w:rsid w:val="008925F0"/>
    <w:rsid w:val="00893252"/>
    <w:rsid w:val="008938CA"/>
    <w:rsid w:val="0089448A"/>
    <w:rsid w:val="00894DE8"/>
    <w:rsid w:val="00895062"/>
    <w:rsid w:val="00895956"/>
    <w:rsid w:val="00897877"/>
    <w:rsid w:val="008A1B2D"/>
    <w:rsid w:val="008A26D9"/>
    <w:rsid w:val="008A7B5B"/>
    <w:rsid w:val="008B12D2"/>
    <w:rsid w:val="008B2B60"/>
    <w:rsid w:val="008B3ED3"/>
    <w:rsid w:val="008B5916"/>
    <w:rsid w:val="008B7D3C"/>
    <w:rsid w:val="008C00F1"/>
    <w:rsid w:val="008C0C29"/>
    <w:rsid w:val="008C4E9B"/>
    <w:rsid w:val="008C64D4"/>
    <w:rsid w:val="008C7DE6"/>
    <w:rsid w:val="008D02DA"/>
    <w:rsid w:val="008D33CD"/>
    <w:rsid w:val="008D5198"/>
    <w:rsid w:val="008D6319"/>
    <w:rsid w:val="008D76BC"/>
    <w:rsid w:val="008E374E"/>
    <w:rsid w:val="008E3EA9"/>
    <w:rsid w:val="008E6C7C"/>
    <w:rsid w:val="008E6EDA"/>
    <w:rsid w:val="008E7DBA"/>
    <w:rsid w:val="008F0829"/>
    <w:rsid w:val="008F3638"/>
    <w:rsid w:val="008F4441"/>
    <w:rsid w:val="008F511B"/>
    <w:rsid w:val="008F6B20"/>
    <w:rsid w:val="008F6F31"/>
    <w:rsid w:val="008F74DF"/>
    <w:rsid w:val="008F7A83"/>
    <w:rsid w:val="008F7DAC"/>
    <w:rsid w:val="00900171"/>
    <w:rsid w:val="00901AE3"/>
    <w:rsid w:val="00902274"/>
    <w:rsid w:val="00903B92"/>
    <w:rsid w:val="009127BA"/>
    <w:rsid w:val="00920662"/>
    <w:rsid w:val="00920AAE"/>
    <w:rsid w:val="009227A6"/>
    <w:rsid w:val="00926FF3"/>
    <w:rsid w:val="00932235"/>
    <w:rsid w:val="00932D5D"/>
    <w:rsid w:val="00933EC1"/>
    <w:rsid w:val="0093600A"/>
    <w:rsid w:val="00937DF4"/>
    <w:rsid w:val="00937DFE"/>
    <w:rsid w:val="0094460F"/>
    <w:rsid w:val="009446AD"/>
    <w:rsid w:val="009471E6"/>
    <w:rsid w:val="00950E4C"/>
    <w:rsid w:val="009511FD"/>
    <w:rsid w:val="00952C51"/>
    <w:rsid w:val="009530DB"/>
    <w:rsid w:val="00953676"/>
    <w:rsid w:val="00956856"/>
    <w:rsid w:val="00956F30"/>
    <w:rsid w:val="009570E2"/>
    <w:rsid w:val="0096048D"/>
    <w:rsid w:val="00964FA3"/>
    <w:rsid w:val="009664F7"/>
    <w:rsid w:val="00966C9A"/>
    <w:rsid w:val="00966CF2"/>
    <w:rsid w:val="00967527"/>
    <w:rsid w:val="009705EE"/>
    <w:rsid w:val="009711CB"/>
    <w:rsid w:val="00974A9F"/>
    <w:rsid w:val="00977927"/>
    <w:rsid w:val="0098135C"/>
    <w:rsid w:val="0098156A"/>
    <w:rsid w:val="00981587"/>
    <w:rsid w:val="0098537E"/>
    <w:rsid w:val="00987031"/>
    <w:rsid w:val="00991B7A"/>
    <w:rsid w:val="00991BAC"/>
    <w:rsid w:val="00992BCB"/>
    <w:rsid w:val="00994D64"/>
    <w:rsid w:val="009A6731"/>
    <w:rsid w:val="009A6EA0"/>
    <w:rsid w:val="009B2A4A"/>
    <w:rsid w:val="009B3364"/>
    <w:rsid w:val="009B6B0F"/>
    <w:rsid w:val="009C1335"/>
    <w:rsid w:val="009C1A6C"/>
    <w:rsid w:val="009C1AB2"/>
    <w:rsid w:val="009C2C26"/>
    <w:rsid w:val="009C7251"/>
    <w:rsid w:val="009D0892"/>
    <w:rsid w:val="009D1955"/>
    <w:rsid w:val="009D380E"/>
    <w:rsid w:val="009E012F"/>
    <w:rsid w:val="009E2E91"/>
    <w:rsid w:val="009E3C05"/>
    <w:rsid w:val="009E7424"/>
    <w:rsid w:val="009E74E1"/>
    <w:rsid w:val="009F11AD"/>
    <w:rsid w:val="00A0124A"/>
    <w:rsid w:val="00A01B40"/>
    <w:rsid w:val="00A04531"/>
    <w:rsid w:val="00A139F5"/>
    <w:rsid w:val="00A15F2D"/>
    <w:rsid w:val="00A161CA"/>
    <w:rsid w:val="00A24DD7"/>
    <w:rsid w:val="00A2681A"/>
    <w:rsid w:val="00A26CE5"/>
    <w:rsid w:val="00A27152"/>
    <w:rsid w:val="00A27168"/>
    <w:rsid w:val="00A32C7C"/>
    <w:rsid w:val="00A32E16"/>
    <w:rsid w:val="00A34E71"/>
    <w:rsid w:val="00A365F4"/>
    <w:rsid w:val="00A36C0C"/>
    <w:rsid w:val="00A36EEA"/>
    <w:rsid w:val="00A42ED6"/>
    <w:rsid w:val="00A460CD"/>
    <w:rsid w:val="00A465FA"/>
    <w:rsid w:val="00A47D80"/>
    <w:rsid w:val="00A5033E"/>
    <w:rsid w:val="00A51734"/>
    <w:rsid w:val="00A52878"/>
    <w:rsid w:val="00A52D3D"/>
    <w:rsid w:val="00A5301B"/>
    <w:rsid w:val="00A53132"/>
    <w:rsid w:val="00A55249"/>
    <w:rsid w:val="00A563F2"/>
    <w:rsid w:val="00A566E8"/>
    <w:rsid w:val="00A61BBA"/>
    <w:rsid w:val="00A65B36"/>
    <w:rsid w:val="00A66347"/>
    <w:rsid w:val="00A66E9B"/>
    <w:rsid w:val="00A71E0F"/>
    <w:rsid w:val="00A810F9"/>
    <w:rsid w:val="00A81A60"/>
    <w:rsid w:val="00A822B0"/>
    <w:rsid w:val="00A82D31"/>
    <w:rsid w:val="00A8523A"/>
    <w:rsid w:val="00A85E7E"/>
    <w:rsid w:val="00A86ECC"/>
    <w:rsid w:val="00A86FCC"/>
    <w:rsid w:val="00A871C7"/>
    <w:rsid w:val="00A87CEC"/>
    <w:rsid w:val="00A90A6D"/>
    <w:rsid w:val="00A92A63"/>
    <w:rsid w:val="00A92B87"/>
    <w:rsid w:val="00A93958"/>
    <w:rsid w:val="00A971E5"/>
    <w:rsid w:val="00A97886"/>
    <w:rsid w:val="00AA25FB"/>
    <w:rsid w:val="00AA5EDE"/>
    <w:rsid w:val="00AA710D"/>
    <w:rsid w:val="00AA7E25"/>
    <w:rsid w:val="00AB1D5F"/>
    <w:rsid w:val="00AB1F20"/>
    <w:rsid w:val="00AB4228"/>
    <w:rsid w:val="00AB507D"/>
    <w:rsid w:val="00AB64F3"/>
    <w:rsid w:val="00AB6D25"/>
    <w:rsid w:val="00AC0FA0"/>
    <w:rsid w:val="00AC4EA4"/>
    <w:rsid w:val="00AD0E56"/>
    <w:rsid w:val="00AD2909"/>
    <w:rsid w:val="00AD2B9C"/>
    <w:rsid w:val="00AD50D1"/>
    <w:rsid w:val="00AD7663"/>
    <w:rsid w:val="00AE229B"/>
    <w:rsid w:val="00AE2D4B"/>
    <w:rsid w:val="00AE4A38"/>
    <w:rsid w:val="00AE4F99"/>
    <w:rsid w:val="00AE62C1"/>
    <w:rsid w:val="00AE7E38"/>
    <w:rsid w:val="00AF1349"/>
    <w:rsid w:val="00AF24BF"/>
    <w:rsid w:val="00AF2FCA"/>
    <w:rsid w:val="00B0274A"/>
    <w:rsid w:val="00B064F7"/>
    <w:rsid w:val="00B066C7"/>
    <w:rsid w:val="00B11B69"/>
    <w:rsid w:val="00B14952"/>
    <w:rsid w:val="00B1620E"/>
    <w:rsid w:val="00B16871"/>
    <w:rsid w:val="00B25B45"/>
    <w:rsid w:val="00B31E5A"/>
    <w:rsid w:val="00B36389"/>
    <w:rsid w:val="00B36DD3"/>
    <w:rsid w:val="00B40DFF"/>
    <w:rsid w:val="00B42609"/>
    <w:rsid w:val="00B434C5"/>
    <w:rsid w:val="00B43E22"/>
    <w:rsid w:val="00B47359"/>
    <w:rsid w:val="00B47B33"/>
    <w:rsid w:val="00B57DAE"/>
    <w:rsid w:val="00B632F9"/>
    <w:rsid w:val="00B63FBB"/>
    <w:rsid w:val="00B65317"/>
    <w:rsid w:val="00B653AB"/>
    <w:rsid w:val="00B65F9E"/>
    <w:rsid w:val="00B66B19"/>
    <w:rsid w:val="00B7386E"/>
    <w:rsid w:val="00B74BF4"/>
    <w:rsid w:val="00B803A7"/>
    <w:rsid w:val="00B83D1E"/>
    <w:rsid w:val="00B84C43"/>
    <w:rsid w:val="00B854F6"/>
    <w:rsid w:val="00B85562"/>
    <w:rsid w:val="00B8625F"/>
    <w:rsid w:val="00B87BA7"/>
    <w:rsid w:val="00B914E9"/>
    <w:rsid w:val="00B91E3C"/>
    <w:rsid w:val="00B93797"/>
    <w:rsid w:val="00B956EE"/>
    <w:rsid w:val="00BA019D"/>
    <w:rsid w:val="00BA07C7"/>
    <w:rsid w:val="00BA176A"/>
    <w:rsid w:val="00BA2BA1"/>
    <w:rsid w:val="00BA3447"/>
    <w:rsid w:val="00BA3562"/>
    <w:rsid w:val="00BA3F48"/>
    <w:rsid w:val="00BB0708"/>
    <w:rsid w:val="00BB24D8"/>
    <w:rsid w:val="00BB4C45"/>
    <w:rsid w:val="00BB4F09"/>
    <w:rsid w:val="00BB54B5"/>
    <w:rsid w:val="00BB7A57"/>
    <w:rsid w:val="00BC248A"/>
    <w:rsid w:val="00BC2FF1"/>
    <w:rsid w:val="00BC38A5"/>
    <w:rsid w:val="00BD3185"/>
    <w:rsid w:val="00BD40F8"/>
    <w:rsid w:val="00BD472C"/>
    <w:rsid w:val="00BD4E33"/>
    <w:rsid w:val="00BD544E"/>
    <w:rsid w:val="00BD6FD5"/>
    <w:rsid w:val="00BE5E5E"/>
    <w:rsid w:val="00BF6C1D"/>
    <w:rsid w:val="00C007F1"/>
    <w:rsid w:val="00C030DE"/>
    <w:rsid w:val="00C04C07"/>
    <w:rsid w:val="00C051A8"/>
    <w:rsid w:val="00C07CCB"/>
    <w:rsid w:val="00C12F50"/>
    <w:rsid w:val="00C148BD"/>
    <w:rsid w:val="00C14EB5"/>
    <w:rsid w:val="00C158BF"/>
    <w:rsid w:val="00C16683"/>
    <w:rsid w:val="00C16889"/>
    <w:rsid w:val="00C22105"/>
    <w:rsid w:val="00C244B6"/>
    <w:rsid w:val="00C25CC3"/>
    <w:rsid w:val="00C27BF1"/>
    <w:rsid w:val="00C30BBC"/>
    <w:rsid w:val="00C310E6"/>
    <w:rsid w:val="00C3291B"/>
    <w:rsid w:val="00C34014"/>
    <w:rsid w:val="00C3702F"/>
    <w:rsid w:val="00C4500A"/>
    <w:rsid w:val="00C45628"/>
    <w:rsid w:val="00C45845"/>
    <w:rsid w:val="00C47EBB"/>
    <w:rsid w:val="00C525A0"/>
    <w:rsid w:val="00C555F9"/>
    <w:rsid w:val="00C57AAC"/>
    <w:rsid w:val="00C61C5D"/>
    <w:rsid w:val="00C62238"/>
    <w:rsid w:val="00C64A37"/>
    <w:rsid w:val="00C67D83"/>
    <w:rsid w:val="00C7158E"/>
    <w:rsid w:val="00C71B85"/>
    <w:rsid w:val="00C7250B"/>
    <w:rsid w:val="00C72C53"/>
    <w:rsid w:val="00C7346B"/>
    <w:rsid w:val="00C7373F"/>
    <w:rsid w:val="00C739CC"/>
    <w:rsid w:val="00C745A9"/>
    <w:rsid w:val="00C76376"/>
    <w:rsid w:val="00C778B0"/>
    <w:rsid w:val="00C77C0E"/>
    <w:rsid w:val="00C80F39"/>
    <w:rsid w:val="00C90C9A"/>
    <w:rsid w:val="00C9101E"/>
    <w:rsid w:val="00C91687"/>
    <w:rsid w:val="00C924A8"/>
    <w:rsid w:val="00C933A5"/>
    <w:rsid w:val="00C94596"/>
    <w:rsid w:val="00C945FE"/>
    <w:rsid w:val="00C9667C"/>
    <w:rsid w:val="00C96FAA"/>
    <w:rsid w:val="00C97A04"/>
    <w:rsid w:val="00CA0000"/>
    <w:rsid w:val="00CA107B"/>
    <w:rsid w:val="00CA2619"/>
    <w:rsid w:val="00CA3230"/>
    <w:rsid w:val="00CA38E5"/>
    <w:rsid w:val="00CA484D"/>
    <w:rsid w:val="00CA4FB6"/>
    <w:rsid w:val="00CA7A4D"/>
    <w:rsid w:val="00CB0BC5"/>
    <w:rsid w:val="00CB23CC"/>
    <w:rsid w:val="00CB2F90"/>
    <w:rsid w:val="00CB37E1"/>
    <w:rsid w:val="00CB500E"/>
    <w:rsid w:val="00CB6AD4"/>
    <w:rsid w:val="00CB7D7C"/>
    <w:rsid w:val="00CC0878"/>
    <w:rsid w:val="00CC4D95"/>
    <w:rsid w:val="00CC579C"/>
    <w:rsid w:val="00CC739E"/>
    <w:rsid w:val="00CD0F50"/>
    <w:rsid w:val="00CD1EBB"/>
    <w:rsid w:val="00CD28CF"/>
    <w:rsid w:val="00CD4C69"/>
    <w:rsid w:val="00CD58B7"/>
    <w:rsid w:val="00CD7967"/>
    <w:rsid w:val="00CE073A"/>
    <w:rsid w:val="00CE4307"/>
    <w:rsid w:val="00CE5656"/>
    <w:rsid w:val="00CE6A09"/>
    <w:rsid w:val="00CF0410"/>
    <w:rsid w:val="00CF0A53"/>
    <w:rsid w:val="00CF18EE"/>
    <w:rsid w:val="00CF1BC6"/>
    <w:rsid w:val="00CF2B56"/>
    <w:rsid w:val="00CF30BD"/>
    <w:rsid w:val="00CF4099"/>
    <w:rsid w:val="00CF4FDA"/>
    <w:rsid w:val="00CF653A"/>
    <w:rsid w:val="00D0069C"/>
    <w:rsid w:val="00D00796"/>
    <w:rsid w:val="00D00DC1"/>
    <w:rsid w:val="00D02A2D"/>
    <w:rsid w:val="00D047FA"/>
    <w:rsid w:val="00D061F9"/>
    <w:rsid w:val="00D06ABA"/>
    <w:rsid w:val="00D0798D"/>
    <w:rsid w:val="00D11EB0"/>
    <w:rsid w:val="00D14850"/>
    <w:rsid w:val="00D20E55"/>
    <w:rsid w:val="00D261A2"/>
    <w:rsid w:val="00D261D9"/>
    <w:rsid w:val="00D279BB"/>
    <w:rsid w:val="00D31908"/>
    <w:rsid w:val="00D32B2C"/>
    <w:rsid w:val="00D32F90"/>
    <w:rsid w:val="00D34311"/>
    <w:rsid w:val="00D34A5C"/>
    <w:rsid w:val="00D50ABD"/>
    <w:rsid w:val="00D51274"/>
    <w:rsid w:val="00D516D9"/>
    <w:rsid w:val="00D56EC0"/>
    <w:rsid w:val="00D616D2"/>
    <w:rsid w:val="00D63B5F"/>
    <w:rsid w:val="00D663C0"/>
    <w:rsid w:val="00D70238"/>
    <w:rsid w:val="00D70EF7"/>
    <w:rsid w:val="00D7186F"/>
    <w:rsid w:val="00D75DDC"/>
    <w:rsid w:val="00D76881"/>
    <w:rsid w:val="00D8306C"/>
    <w:rsid w:val="00D83129"/>
    <w:rsid w:val="00D8397C"/>
    <w:rsid w:val="00D84F73"/>
    <w:rsid w:val="00D86077"/>
    <w:rsid w:val="00D90F4D"/>
    <w:rsid w:val="00D90F8A"/>
    <w:rsid w:val="00D92B6C"/>
    <w:rsid w:val="00D94EED"/>
    <w:rsid w:val="00D96026"/>
    <w:rsid w:val="00D96A23"/>
    <w:rsid w:val="00D972F6"/>
    <w:rsid w:val="00DA331D"/>
    <w:rsid w:val="00DA4649"/>
    <w:rsid w:val="00DA55CC"/>
    <w:rsid w:val="00DA6FA1"/>
    <w:rsid w:val="00DA7C1C"/>
    <w:rsid w:val="00DB06FD"/>
    <w:rsid w:val="00DB147A"/>
    <w:rsid w:val="00DB1B7A"/>
    <w:rsid w:val="00DB443F"/>
    <w:rsid w:val="00DB4D47"/>
    <w:rsid w:val="00DB5953"/>
    <w:rsid w:val="00DB5CDC"/>
    <w:rsid w:val="00DB706E"/>
    <w:rsid w:val="00DC2453"/>
    <w:rsid w:val="00DC6708"/>
    <w:rsid w:val="00DC688F"/>
    <w:rsid w:val="00DC69C0"/>
    <w:rsid w:val="00DC6D14"/>
    <w:rsid w:val="00DC7404"/>
    <w:rsid w:val="00DD011A"/>
    <w:rsid w:val="00DD50F0"/>
    <w:rsid w:val="00DE2400"/>
    <w:rsid w:val="00DE58F1"/>
    <w:rsid w:val="00DE5E01"/>
    <w:rsid w:val="00DE6B58"/>
    <w:rsid w:val="00DF1493"/>
    <w:rsid w:val="00DF5E32"/>
    <w:rsid w:val="00DF72AA"/>
    <w:rsid w:val="00DF78CC"/>
    <w:rsid w:val="00DF7F61"/>
    <w:rsid w:val="00E01436"/>
    <w:rsid w:val="00E01DD9"/>
    <w:rsid w:val="00E0332C"/>
    <w:rsid w:val="00E03461"/>
    <w:rsid w:val="00E03E79"/>
    <w:rsid w:val="00E045BD"/>
    <w:rsid w:val="00E04D6C"/>
    <w:rsid w:val="00E12280"/>
    <w:rsid w:val="00E1241A"/>
    <w:rsid w:val="00E17B77"/>
    <w:rsid w:val="00E2257B"/>
    <w:rsid w:val="00E231AB"/>
    <w:rsid w:val="00E23337"/>
    <w:rsid w:val="00E24D28"/>
    <w:rsid w:val="00E259EA"/>
    <w:rsid w:val="00E25D33"/>
    <w:rsid w:val="00E2752C"/>
    <w:rsid w:val="00E30098"/>
    <w:rsid w:val="00E310D2"/>
    <w:rsid w:val="00E315B8"/>
    <w:rsid w:val="00E32061"/>
    <w:rsid w:val="00E327D1"/>
    <w:rsid w:val="00E33F48"/>
    <w:rsid w:val="00E40BEE"/>
    <w:rsid w:val="00E42FF9"/>
    <w:rsid w:val="00E434D0"/>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339C"/>
    <w:rsid w:val="00E73D69"/>
    <w:rsid w:val="00E76D26"/>
    <w:rsid w:val="00E76EE5"/>
    <w:rsid w:val="00E77D2D"/>
    <w:rsid w:val="00E8181A"/>
    <w:rsid w:val="00E85FF1"/>
    <w:rsid w:val="00E907F1"/>
    <w:rsid w:val="00E90EB4"/>
    <w:rsid w:val="00E91E5D"/>
    <w:rsid w:val="00E95036"/>
    <w:rsid w:val="00E9584E"/>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E4C9D"/>
    <w:rsid w:val="00EE52AC"/>
    <w:rsid w:val="00EF168C"/>
    <w:rsid w:val="00EF2D7E"/>
    <w:rsid w:val="00EF5D0A"/>
    <w:rsid w:val="00EF6BCB"/>
    <w:rsid w:val="00EF6FC5"/>
    <w:rsid w:val="00F0166F"/>
    <w:rsid w:val="00F037A4"/>
    <w:rsid w:val="00F03D62"/>
    <w:rsid w:val="00F049AB"/>
    <w:rsid w:val="00F04AA5"/>
    <w:rsid w:val="00F067C0"/>
    <w:rsid w:val="00F12486"/>
    <w:rsid w:val="00F142DB"/>
    <w:rsid w:val="00F1501C"/>
    <w:rsid w:val="00F16D15"/>
    <w:rsid w:val="00F22553"/>
    <w:rsid w:val="00F23A83"/>
    <w:rsid w:val="00F23DAE"/>
    <w:rsid w:val="00F27C8F"/>
    <w:rsid w:val="00F32749"/>
    <w:rsid w:val="00F329AD"/>
    <w:rsid w:val="00F37172"/>
    <w:rsid w:val="00F37727"/>
    <w:rsid w:val="00F43D78"/>
    <w:rsid w:val="00F4474E"/>
    <w:rsid w:val="00F4477E"/>
    <w:rsid w:val="00F46269"/>
    <w:rsid w:val="00F47D12"/>
    <w:rsid w:val="00F52A42"/>
    <w:rsid w:val="00F54511"/>
    <w:rsid w:val="00F56701"/>
    <w:rsid w:val="00F56D7A"/>
    <w:rsid w:val="00F60BA8"/>
    <w:rsid w:val="00F61C79"/>
    <w:rsid w:val="00F62FFE"/>
    <w:rsid w:val="00F65A5A"/>
    <w:rsid w:val="00F66003"/>
    <w:rsid w:val="00F663F2"/>
    <w:rsid w:val="00F67D8F"/>
    <w:rsid w:val="00F75510"/>
    <w:rsid w:val="00F75CCB"/>
    <w:rsid w:val="00F802BE"/>
    <w:rsid w:val="00F80715"/>
    <w:rsid w:val="00F80E93"/>
    <w:rsid w:val="00F837A0"/>
    <w:rsid w:val="00F86024"/>
    <w:rsid w:val="00F8611A"/>
    <w:rsid w:val="00F870C5"/>
    <w:rsid w:val="00F8765B"/>
    <w:rsid w:val="00F920C6"/>
    <w:rsid w:val="00FA2DE7"/>
    <w:rsid w:val="00FA3E6A"/>
    <w:rsid w:val="00FA42A5"/>
    <w:rsid w:val="00FA5128"/>
    <w:rsid w:val="00FA5A81"/>
    <w:rsid w:val="00FA677E"/>
    <w:rsid w:val="00FB0C8B"/>
    <w:rsid w:val="00FB1CDE"/>
    <w:rsid w:val="00FB24A6"/>
    <w:rsid w:val="00FB42D4"/>
    <w:rsid w:val="00FB5906"/>
    <w:rsid w:val="00FB5D3F"/>
    <w:rsid w:val="00FB6741"/>
    <w:rsid w:val="00FB7150"/>
    <w:rsid w:val="00FB762F"/>
    <w:rsid w:val="00FC2AED"/>
    <w:rsid w:val="00FC2EE0"/>
    <w:rsid w:val="00FC3D69"/>
    <w:rsid w:val="00FC4C4B"/>
    <w:rsid w:val="00FC52FD"/>
    <w:rsid w:val="00FC59D3"/>
    <w:rsid w:val="00FD08AE"/>
    <w:rsid w:val="00FD5EA7"/>
    <w:rsid w:val="00FE36CF"/>
    <w:rsid w:val="00FE3B61"/>
    <w:rsid w:val="00FE53F6"/>
    <w:rsid w:val="00FE76E4"/>
    <w:rsid w:val="00FF0246"/>
    <w:rsid w:val="00FF0394"/>
    <w:rsid w:val="00FF2247"/>
    <w:rsid w:val="00FF2393"/>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9318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B6F62"/>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A24DD7"/>
    <w:rPr>
      <w:color w:val="605E5C"/>
      <w:shd w:val="clear" w:color="auto" w:fill="E1DFDD"/>
    </w:rPr>
  </w:style>
  <w:style w:type="character" w:styleId="UyteHipercze">
    <w:name w:val="FollowedHyperlink"/>
    <w:basedOn w:val="Domylnaczcionkaakapitu"/>
    <w:uiPriority w:val="99"/>
    <w:semiHidden/>
    <w:unhideWhenUsed/>
    <w:rsid w:val="00A24D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3700963095495E-2"/>
          <c:y val="9.7747556311092221E-2"/>
          <c:w val="0.91235469868981145"/>
          <c:h val="0.7830573133309463"/>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EC-4384-A843-83EAD76AF4A2}"/>
                </c:ext>
              </c:extLst>
            </c:dLbl>
            <c:dLbl>
              <c:idx val="3"/>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EC-4384-A843-83EAD76AF4A2}"/>
                </c:ext>
              </c:extLst>
            </c:dLbl>
            <c:dLbl>
              <c:idx val="5"/>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2F-4665-A3D8-5F7487C7EB94}"/>
                </c:ext>
              </c:extLst>
            </c:dLbl>
            <c:dLbl>
              <c:idx val="9"/>
              <c:layout>
                <c:manualLayout>
                  <c:x val="-2.5309684932001572E-2"/>
                  <c:y val="-4.5898685210035178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394818395934053E-2"/>
                      <c:h val="5.2698682532936664E-2"/>
                    </c:manualLayout>
                  </c15:layout>
                </c:ext>
                <c:ext xmlns:c16="http://schemas.microsoft.com/office/drawing/2014/chart" uri="{C3380CC4-5D6E-409C-BE32-E72D297353CC}">
                  <c16:uniqueId val="{00000005-D92F-4665-A3D8-5F7487C7EB94}"/>
                </c:ext>
              </c:extLst>
            </c:dLbl>
            <c:dLbl>
              <c:idx val="10"/>
              <c:layout>
                <c:manualLayout>
                  <c:x val="-3.6196851369778107E-3"/>
                  <c:y val="-1.4024649383765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EC-4384-A843-83EAD76AF4A2}"/>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Arkusz1!$A$14:$A$29</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Arkusz1!$B$14:$B$29</c:f>
              <c:numCache>
                <c:formatCode>General</c:formatCode>
                <c:ptCount val="16"/>
                <c:pt idx="0">
                  <c:v>-1.9</c:v>
                </c:pt>
                <c:pt idx="1">
                  <c:v>0.1</c:v>
                </c:pt>
                <c:pt idx="2">
                  <c:v>-0.5</c:v>
                </c:pt>
                <c:pt idx="3">
                  <c:v>0.3</c:v>
                </c:pt>
                <c:pt idx="4">
                  <c:v>-0.3</c:v>
                </c:pt>
                <c:pt idx="5">
                  <c:v>0.4</c:v>
                </c:pt>
                <c:pt idx="6" formatCode="0.0">
                  <c:v>-0.4</c:v>
                </c:pt>
                <c:pt idx="7">
                  <c:v>-0.5</c:v>
                </c:pt>
                <c:pt idx="8">
                  <c:v>-0.3</c:v>
                </c:pt>
                <c:pt idx="9">
                  <c:v>0.5</c:v>
                </c:pt>
                <c:pt idx="10">
                  <c:v>0.2</c:v>
                </c:pt>
                <c:pt idx="11">
                  <c:v>-0.3</c:v>
                </c:pt>
                <c:pt idx="12">
                  <c:v>-0.2</c:v>
                </c:pt>
                <c:pt idx="13">
                  <c:v>-0.2</c:v>
                </c:pt>
                <c:pt idx="14">
                  <c:v>-0.2</c:v>
                </c:pt>
                <c:pt idx="15">
                  <c:v>-0.2</c:v>
                </c:pt>
              </c:numCache>
            </c:numRef>
          </c:val>
          <c:smooth val="0"/>
          <c:extLst>
            <c:ext xmlns:c16="http://schemas.microsoft.com/office/drawing/2014/chart" uri="{C3380CC4-5D6E-409C-BE32-E72D297353CC}">
              <c16:uniqueId val="{0000000B-D92F-4665-A3D8-5F7487C7EB94}"/>
            </c:ext>
          </c:extLst>
        </c:ser>
        <c:dLbls>
          <c:showLegendKey val="0"/>
          <c:showVal val="0"/>
          <c:showCatName val="0"/>
          <c:showSerName val="0"/>
          <c:showPercent val="0"/>
          <c:showBubbleSize val="0"/>
        </c:dLbls>
        <c:marker val="1"/>
        <c:smooth val="0"/>
        <c:axId val="934474032"/>
        <c:axId val="934471312"/>
      </c:lineChart>
      <c:catAx>
        <c:axId val="9344740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71312"/>
        <c:crosses val="autoZero"/>
        <c:auto val="0"/>
        <c:lblAlgn val="ctr"/>
        <c:lblOffset val="12"/>
        <c:tickLblSkip val="1"/>
        <c:noMultiLvlLbl val="0"/>
      </c:catAx>
      <c:valAx>
        <c:axId val="934471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403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4-81DE-4F2D-B63C-C2A4FD321785}"/>
              </c:ext>
            </c:extLst>
          </c:dPt>
          <c:dLbls>
            <c:dLbl>
              <c:idx val="0"/>
              <c:layout>
                <c:manualLayout>
                  <c:x val="-1.7270283139386337E-2"/>
                  <c:y val="0"/>
                </c:manualLayout>
              </c:layout>
              <c:showLegendKey val="0"/>
              <c:showVal val="1"/>
              <c:showCatName val="0"/>
              <c:showSerName val="0"/>
              <c:showPercent val="0"/>
              <c:showBubbleSize val="0"/>
              <c:extLst>
                <c:ext xmlns:c15="http://schemas.microsoft.com/office/drawing/2012/chart" uri="{CE6537A1-D6FC-4f65-9D91-7224C49458BB}">
                  <c15:layout>
                    <c:manualLayout>
                      <c:w val="3.688535061435904E-2"/>
                      <c:h val="4.0820396812914321E-2"/>
                    </c:manualLayout>
                  </c15:layout>
                </c:ext>
                <c:ext xmlns:c16="http://schemas.microsoft.com/office/drawing/2014/chart" uri="{C3380CC4-5D6E-409C-BE32-E72D297353CC}">
                  <c16:uniqueId val="{00000006-81DE-4F2D-B63C-C2A4FD321785}"/>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DE-4F2D-B63C-C2A4FD32178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napojów</c:v>
                </c:pt>
                <c:pt idx="1">
                  <c:v>produkcja artykułów spożywczych</c:v>
                </c:pt>
                <c:pt idx="2">
                  <c:v>produkcja wyrobów tytoniowych</c:v>
                </c:pt>
                <c:pt idx="3">
                  <c:v>produkcja wyrobów tekstylnych</c:v>
                </c:pt>
                <c:pt idx="4">
                  <c:v>produkcja wyrobów z pozostałych mineralnych surowców niemetalicznych</c:v>
                </c:pt>
                <c:pt idx="5">
                  <c:v>produkcja maszyn i urządzeń</c:v>
                </c:pt>
                <c:pt idx="6">
                  <c:v>produkcja mebli</c:v>
                </c:pt>
                <c:pt idx="7">
                  <c:v>produkcja wyrobów z gumy i tworzyw sztucznych</c:v>
                </c:pt>
                <c:pt idx="8">
                  <c:v>produkcja wyrobów z metali</c:v>
                </c:pt>
                <c:pt idx="9">
                  <c:v>produkcja urządzeń elektrycznych</c:v>
                </c:pt>
                <c:pt idx="10">
                  <c:v>produkcja pojazdów samochodowych, przyczep i naczep</c:v>
                </c:pt>
                <c:pt idx="11">
                  <c:v>produkcja wyrobów z drewna, korka, słomy i wikliny</c:v>
                </c:pt>
                <c:pt idx="12">
                  <c:v>produkcja papieru i wyrobów z papieru</c:v>
                </c:pt>
                <c:pt idx="13">
                  <c:v>poligrafia i reprodukcja zapisanych nośników informacji</c:v>
                </c:pt>
                <c:pt idx="14">
                  <c:v>produkcja metali</c:v>
                </c:pt>
                <c:pt idx="15">
                  <c:v>produkcja odzieży</c:v>
                </c:pt>
                <c:pt idx="16">
                  <c:v>produkcja skór i wyrobów skórzanych</c:v>
                </c:pt>
                <c:pt idx="17">
                  <c:v>produkcja chemikaliów i wyrobów chemicznych</c:v>
                </c:pt>
                <c:pt idx="18">
                  <c:v>produkcja komputerów, wyrobów elektronicznych i optycznych</c:v>
                </c:pt>
                <c:pt idx="19">
                  <c:v>produkcja wyrobów farmaceutycznych</c:v>
                </c:pt>
                <c:pt idx="20">
                  <c:v>produkcja pozostałego sprzętu transportowego</c:v>
                </c:pt>
                <c:pt idx="21">
                  <c:v>produkcja koksu i produktów rafinacji ropy naftowej</c:v>
                </c:pt>
              </c:strCache>
            </c:strRef>
          </c:cat>
          <c:val>
            <c:numRef>
              <c:f>Arkusz1!$C$2:$C$23</c:f>
              <c:numCache>
                <c:formatCode>0.0</c:formatCode>
                <c:ptCount val="22"/>
                <c:pt idx="0">
                  <c:v>0.7</c:v>
                </c:pt>
                <c:pt idx="1">
                  <c:v>0.4</c:v>
                </c:pt>
                <c:pt idx="2">
                  <c:v>0.3</c:v>
                </c:pt>
                <c:pt idx="3">
                  <c:v>0.3</c:v>
                </c:pt>
                <c:pt idx="4">
                  <c:v>0.3</c:v>
                </c:pt>
                <c:pt idx="5">
                  <c:v>0.3</c:v>
                </c:pt>
                <c:pt idx="6">
                  <c:v>0.3</c:v>
                </c:pt>
                <c:pt idx="7">
                  <c:v>0.2</c:v>
                </c:pt>
                <c:pt idx="8">
                  <c:v>0.2</c:v>
                </c:pt>
                <c:pt idx="9">
                  <c:v>0.2</c:v>
                </c:pt>
                <c:pt idx="10">
                  <c:v>0.2</c:v>
                </c:pt>
                <c:pt idx="11">
                  <c:v>0.1</c:v>
                </c:pt>
                <c:pt idx="12">
                  <c:v>0.1</c:v>
                </c:pt>
                <c:pt idx="13">
                  <c:v>0.1</c:v>
                </c:pt>
                <c:pt idx="14">
                  <c:v>0.1</c:v>
                </c:pt>
                <c:pt idx="15">
                  <c:v>0</c:v>
                </c:pt>
                <c:pt idx="16">
                  <c:v>0</c:v>
                </c:pt>
                <c:pt idx="17">
                  <c:v>0</c:v>
                </c:pt>
                <c:pt idx="18">
                  <c:v>-0.1</c:v>
                </c:pt>
                <c:pt idx="19">
                  <c:v>-0.2</c:v>
                </c:pt>
                <c:pt idx="20">
                  <c:v>-0.3</c:v>
                </c:pt>
                <c:pt idx="21">
                  <c:v>-2.6</c:v>
                </c:pt>
              </c:numCache>
            </c:numRef>
          </c:val>
          <c:extLst>
            <c:ext xmlns:c16="http://schemas.microsoft.com/office/drawing/2014/chart" uri="{C3380CC4-5D6E-409C-BE32-E72D297353CC}">
              <c16:uniqueId val="{00000000-81DE-4F2D-B63C-C2A4FD321785}"/>
            </c:ext>
          </c:extLst>
        </c:ser>
        <c:dLbls>
          <c:showLegendKey val="0"/>
          <c:showVal val="0"/>
          <c:showCatName val="0"/>
          <c:showSerName val="0"/>
          <c:showPercent val="0"/>
          <c:showBubbleSize val="0"/>
        </c:dLbls>
        <c:gapWidth val="63"/>
        <c:axId val="934463152"/>
        <c:axId val="934475120"/>
      </c:barChart>
      <c:catAx>
        <c:axId val="93446315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5120"/>
        <c:crosses val="autoZero"/>
        <c:auto val="1"/>
        <c:lblAlgn val="ctr"/>
        <c:lblOffset val="100"/>
        <c:noMultiLvlLbl val="0"/>
      </c:catAx>
      <c:valAx>
        <c:axId val="934475120"/>
        <c:scaling>
          <c:orientation val="minMax"/>
          <c:max val="0.8"/>
          <c:min val="-2.8"/>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315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EA-4DA6-9E9E-123A7CAFA3A7}"/>
                </c:ext>
              </c:extLst>
            </c:dLbl>
            <c:dLbl>
              <c:idx val="3"/>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EA-4DA6-9E9E-123A7CAFA3A7}"/>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4-DDEA-4DA6-9E9E-123A7CAFA3A7}"/>
                </c:ext>
              </c:extLst>
            </c:dLbl>
            <c:dLbl>
              <c:idx val="5"/>
              <c:layout>
                <c:manualLayout>
                  <c:x val="-3.0135215991269875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EA-4DA6-9E9E-123A7CAFA3A7}"/>
                </c:ext>
              </c:extLst>
            </c:dLbl>
            <c:dLbl>
              <c:idx val="6"/>
              <c:layout>
                <c:manualLayout>
                  <c:x val="-2.85545563777381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EA-4DA6-9E9E-123A7CAFA3A7}"/>
                </c:ext>
              </c:extLst>
            </c:dLbl>
            <c:dLbl>
              <c:idx val="7"/>
              <c:layout>
                <c:manualLayout>
                  <c:x val="-3.35130291681185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DEA-4DA6-9E9E-123A7CAFA3A7}"/>
                </c:ext>
              </c:extLst>
            </c:dLbl>
            <c:dLbl>
              <c:idx val="8"/>
              <c:layout>
                <c:manualLayout>
                  <c:x val="-2.9539418394567543E-2"/>
                  <c:y val="4.122396940076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DEA-4DA6-9E9E-123A7CAFA3A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Arkusz1!$A$14:$A$29</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Arkusz1!$B$14:$B$29</c:f>
              <c:numCache>
                <c:formatCode>0.0</c:formatCode>
                <c:ptCount val="16"/>
                <c:pt idx="0" formatCode="General">
                  <c:v>-10.6</c:v>
                </c:pt>
                <c:pt idx="1">
                  <c:v>-10</c:v>
                </c:pt>
                <c:pt idx="2" formatCode="General">
                  <c:v>-9.9</c:v>
                </c:pt>
                <c:pt idx="3" formatCode="General">
                  <c:v>-8.5</c:v>
                </c:pt>
                <c:pt idx="4" formatCode="General">
                  <c:v>-7</c:v>
                </c:pt>
                <c:pt idx="5" formatCode="General">
                  <c:v>-5.8</c:v>
                </c:pt>
                <c:pt idx="6">
                  <c:v>-5.0999999999999996</c:v>
                </c:pt>
                <c:pt idx="7" formatCode="General">
                  <c:v>-5.5</c:v>
                </c:pt>
                <c:pt idx="8" formatCode="General">
                  <c:v>-6.2</c:v>
                </c:pt>
                <c:pt idx="9" formatCode="General">
                  <c:v>-5.0999999999999996</c:v>
                </c:pt>
                <c:pt idx="10" formatCode="General">
                  <c:v>-3.8</c:v>
                </c:pt>
                <c:pt idx="11" formatCode="General">
                  <c:v>-2.7</c:v>
                </c:pt>
                <c:pt idx="12">
                  <c:v>-1</c:v>
                </c:pt>
                <c:pt idx="13" formatCode="General">
                  <c:v>-1.3</c:v>
                </c:pt>
                <c:pt idx="14">
                  <c:v>-1</c:v>
                </c:pt>
                <c:pt idx="15" formatCode="General">
                  <c:v>-1.4</c:v>
                </c:pt>
              </c:numCache>
            </c:numRef>
          </c:val>
          <c:smooth val="0"/>
          <c:extLst>
            <c:ext xmlns:c16="http://schemas.microsoft.com/office/drawing/2014/chart" uri="{C3380CC4-5D6E-409C-BE32-E72D297353CC}">
              <c16:uniqueId val="{00000013-DDEA-4DA6-9E9E-123A7CAFA3A7}"/>
            </c:ext>
          </c:extLst>
        </c:ser>
        <c:dLbls>
          <c:showLegendKey val="0"/>
          <c:showVal val="0"/>
          <c:showCatName val="0"/>
          <c:showSerName val="0"/>
          <c:showPercent val="0"/>
          <c:showBubbleSize val="0"/>
        </c:dLbls>
        <c:marker val="1"/>
        <c:smooth val="0"/>
        <c:axId val="934462608"/>
        <c:axId val="934463696"/>
      </c:lineChart>
      <c:catAx>
        <c:axId val="934462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63696"/>
        <c:crosses val="autoZero"/>
        <c:auto val="0"/>
        <c:lblAlgn val="ctr"/>
        <c:lblOffset val="12"/>
        <c:tickLblSkip val="1"/>
        <c:noMultiLvlLbl val="0"/>
      </c:catAx>
      <c:valAx>
        <c:axId val="934463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260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5A1D-45D0-8E33-8EF7C388272F}"/>
              </c:ext>
            </c:extLst>
          </c:dPt>
          <c:dLbls>
            <c:dLbl>
              <c:idx val="0"/>
              <c:layout>
                <c:manualLayout>
                  <c:x val="-9.916945580761124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D-45D0-8E33-8EF7C388272F}"/>
                </c:ext>
              </c:extLst>
            </c:dLbl>
            <c:dLbl>
              <c:idx val="4"/>
              <c:layout>
                <c:manualLayout>
                  <c:x val="-4.958472790380653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B0-4A79-854C-AB2E3B0AEB01}"/>
                </c:ext>
              </c:extLst>
            </c:dLbl>
            <c:dLbl>
              <c:idx val="11"/>
              <c:tx>
                <c:rich>
                  <a:bodyPr rot="0" spcFirstLastPara="1" vertOverflow="ellipsis" vert="horz" wrap="square" lIns="38100" tIns="19050" rIns="38100" bIns="19050" anchor="ctr" anchorCtr="1">
                    <a:spAutoFit/>
                  </a:bodyPr>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a:solidFill>
                          <a:sysClr val="windowText" lastClr="000000"/>
                        </a:solidFill>
                      </a:rPr>
                      <a:t>-2,1</a:t>
                    </a:r>
                  </a:p>
                </c:rich>
              </c:tx>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3F0-46D7-85F7-5C7AEC44134D}"/>
                </c:ext>
              </c:extLst>
            </c:dLbl>
            <c:dLbl>
              <c:idx val="20"/>
              <c:layout>
                <c:manualLayout>
                  <c:x val="-7.4371235391782796E-3"/>
                  <c:y val="-4.24989375265619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EF-443F-A779-8BD5D26FD5E0}"/>
                </c:ext>
              </c:extLst>
            </c:dLbl>
            <c:dLbl>
              <c:idx val="21"/>
              <c:layout>
                <c:manualLayout>
                  <c:x val="-1.2394034605845249E-2"/>
                  <c:y val="8.4997875053123614E-3"/>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2865997272839962E-2"/>
                      <c:h val="4.9320184318226677E-2"/>
                    </c:manualLayout>
                  </c15:layout>
                </c:ext>
                <c:ext xmlns:c16="http://schemas.microsoft.com/office/drawing/2014/chart" uri="{C3380CC4-5D6E-409C-BE32-E72D297353CC}">
                  <c16:uniqueId val="{00000003-5A1D-45D0-8E33-8EF7C388272F}"/>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artykułów spożywczych</c:v>
                </c:pt>
                <c:pt idx="2">
                  <c:v>produkcja pozostałego sprzętu transportowego</c:v>
                </c:pt>
                <c:pt idx="3">
                  <c:v>produkcja chemikaliów i wyrobów chemicznych</c:v>
                </c:pt>
                <c:pt idx="4">
                  <c:v>produkcja wyrobów farmaceutycznych</c:v>
                </c:pt>
                <c:pt idx="5">
                  <c:v>produkcja papieru i wyrobów z papieru</c:v>
                </c:pt>
                <c:pt idx="6">
                  <c:v>produkcja odzieży</c:v>
                </c:pt>
                <c:pt idx="7">
                  <c:v>produkcja urządzeń elektrycznych</c:v>
                </c:pt>
                <c:pt idx="8">
                  <c:v>produkcja wyrobów z gumy i tworzyw sztucznych</c:v>
                </c:pt>
                <c:pt idx="9">
                  <c:v>produkcja maszyn i urządzeń</c:v>
                </c:pt>
                <c:pt idx="10">
                  <c:v>produkcja pojazdów samochodowych, przyczep i naczep</c:v>
                </c:pt>
                <c:pt idx="11">
                  <c:v>produkcja wyrobów tekstylnych</c:v>
                </c:pt>
                <c:pt idx="12">
                  <c:v>produkcja komputerów, wyrobów elektronicznych i optycznych</c:v>
                </c:pt>
                <c:pt idx="13">
                  <c:v>produkcja poligrafia i reprodukcja zapisanych nośników informacji</c:v>
                </c:pt>
                <c:pt idx="14">
                  <c:v>produkcja wyrobów z pozostałych mineralnych surowców niemetalicznych</c:v>
                </c:pt>
                <c:pt idx="15">
                  <c:v>produkcja wyrobów z drewna, korka, słomy i wikliny</c:v>
                </c:pt>
                <c:pt idx="16">
                  <c:v>produkcja metali</c:v>
                </c:pt>
                <c:pt idx="17">
                  <c:v>produkcja napojów</c:v>
                </c:pt>
                <c:pt idx="18">
                  <c:v>produkcja wyrobów z metali</c:v>
                </c:pt>
                <c:pt idx="19">
                  <c:v>produkcja mebli</c:v>
                </c:pt>
                <c:pt idx="20">
                  <c:v>produkcja skór i wyrobów skórzanych</c:v>
                </c:pt>
                <c:pt idx="21">
                  <c:v>produkcja koksu i produktów rafinacji ropy naftowej</c:v>
                </c:pt>
              </c:strCache>
            </c:strRef>
          </c:cat>
          <c:val>
            <c:numRef>
              <c:f>Arkusz1!$C$2:$C$23</c:f>
              <c:numCache>
                <c:formatCode>0.0</c:formatCode>
                <c:ptCount val="22"/>
                <c:pt idx="0">
                  <c:v>6</c:v>
                </c:pt>
                <c:pt idx="1">
                  <c:v>2.2999999999999998</c:v>
                </c:pt>
                <c:pt idx="2">
                  <c:v>2.2000000000000002</c:v>
                </c:pt>
                <c:pt idx="3">
                  <c:v>2</c:v>
                </c:pt>
                <c:pt idx="4">
                  <c:v>1.7</c:v>
                </c:pt>
                <c:pt idx="5">
                  <c:v>0.3</c:v>
                </c:pt>
                <c:pt idx="6">
                  <c:v>-0.3</c:v>
                </c:pt>
                <c:pt idx="7">
                  <c:v>-0.9</c:v>
                </c:pt>
                <c:pt idx="8">
                  <c:v>-1.6</c:v>
                </c:pt>
                <c:pt idx="9">
                  <c:v>-1.6</c:v>
                </c:pt>
                <c:pt idx="10">
                  <c:v>-2</c:v>
                </c:pt>
                <c:pt idx="11">
                  <c:v>-2.1</c:v>
                </c:pt>
                <c:pt idx="12">
                  <c:v>-2.2000000000000002</c:v>
                </c:pt>
                <c:pt idx="13">
                  <c:v>-2.2999999999999998</c:v>
                </c:pt>
                <c:pt idx="14">
                  <c:v>-2.5</c:v>
                </c:pt>
                <c:pt idx="15">
                  <c:v>-2.6</c:v>
                </c:pt>
                <c:pt idx="16">
                  <c:v>-2.9</c:v>
                </c:pt>
                <c:pt idx="17">
                  <c:v>-3.1</c:v>
                </c:pt>
                <c:pt idx="18">
                  <c:v>-3.1</c:v>
                </c:pt>
                <c:pt idx="19">
                  <c:v>-3.4</c:v>
                </c:pt>
                <c:pt idx="20">
                  <c:v>-4.2</c:v>
                </c:pt>
                <c:pt idx="21">
                  <c:v>-8.1999999999999993</c:v>
                </c:pt>
              </c:numCache>
            </c:numRef>
          </c:val>
          <c:extLst>
            <c:ext xmlns:c16="http://schemas.microsoft.com/office/drawing/2014/chart" uri="{C3380CC4-5D6E-409C-BE32-E72D297353CC}">
              <c16:uniqueId val="{00000004-5A1D-45D0-8E33-8EF7C388272F}"/>
            </c:ext>
          </c:extLst>
        </c:ser>
        <c:dLbls>
          <c:showLegendKey val="0"/>
          <c:showVal val="0"/>
          <c:showCatName val="0"/>
          <c:showSerName val="0"/>
          <c:showPercent val="0"/>
          <c:showBubbleSize val="0"/>
        </c:dLbls>
        <c:gapWidth val="63"/>
        <c:axId val="934464784"/>
        <c:axId val="934472944"/>
      </c:barChart>
      <c:catAx>
        <c:axId val="9344647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2944"/>
        <c:crosses val="autoZero"/>
        <c:auto val="1"/>
        <c:lblAlgn val="ctr"/>
        <c:lblOffset val="100"/>
        <c:noMultiLvlLbl val="0"/>
      </c:catAx>
      <c:valAx>
        <c:axId val="934472944"/>
        <c:scaling>
          <c:orientation val="minMax"/>
          <c:max val="7"/>
          <c:min val="-9"/>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ceny produkcji sprzedanej przemysłu</c:v>
                </c:pt>
              </c:strCache>
            </c:strRef>
          </c:tx>
          <c:spPr>
            <a:solidFill>
              <a:srgbClr val="001D77"/>
            </a:solidFill>
            <a:ln w="12700">
              <a:solidFill>
                <a:srgbClr val="001D77"/>
              </a:solidFill>
            </a:ln>
            <a:effectLst/>
          </c:spPr>
          <c:invertIfNegative val="0"/>
          <c:dLbls>
            <c:dLbl>
              <c:idx val="15"/>
              <c:layout>
                <c:manualLayout>
                  <c:x val="8.7537993920972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CE-4716-A7BC-477B4E4CB0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Arkusz1!$B$2:$B$17</c:f>
              <c:numCache>
                <c:formatCode>0.0</c:formatCode>
                <c:ptCount val="16"/>
                <c:pt idx="0">
                  <c:v>-1.9000000000000057</c:v>
                </c:pt>
                <c:pt idx="1">
                  <c:v>-1.7999999999999972</c:v>
                </c:pt>
                <c:pt idx="2">
                  <c:v>-2.2999999999999972</c:v>
                </c:pt>
                <c:pt idx="3">
                  <c:v>-2</c:v>
                </c:pt>
                <c:pt idx="4">
                  <c:v>-2.2999999999999972</c:v>
                </c:pt>
                <c:pt idx="5">
                  <c:v>-1.9000000000000057</c:v>
                </c:pt>
                <c:pt idx="6">
                  <c:v>-2.2999999999999972</c:v>
                </c:pt>
                <c:pt idx="7">
                  <c:v>-2.7999999999999972</c:v>
                </c:pt>
                <c:pt idx="8" formatCode="General">
                  <c:v>-3.1</c:v>
                </c:pt>
                <c:pt idx="9">
                  <c:v>-2.6</c:v>
                </c:pt>
                <c:pt idx="10">
                  <c:v>-2.4000000000000057</c:v>
                </c:pt>
                <c:pt idx="11">
                  <c:v>-2.7000000000000028</c:v>
                </c:pt>
                <c:pt idx="12">
                  <c:v>-2.9000000000000057</c:v>
                </c:pt>
                <c:pt idx="13" formatCode="General">
                  <c:v>-3.0999999999999943</c:v>
                </c:pt>
                <c:pt idx="14" formatCode="General">
                  <c:v>-3.2999999999999972</c:v>
                </c:pt>
                <c:pt idx="15" formatCode="General">
                  <c:v>-3.5</c:v>
                </c:pt>
              </c:numCache>
            </c:numRef>
          </c:val>
          <c:extLst>
            <c:ext xmlns:c16="http://schemas.microsoft.com/office/drawing/2014/chart" uri="{C3380CC4-5D6E-409C-BE32-E72D297353CC}">
              <c16:uniqueId val="{00000001-F1A2-47E1-AB51-41E3D504CE81}"/>
            </c:ext>
          </c:extLst>
        </c:ser>
        <c:dLbls>
          <c:showLegendKey val="0"/>
          <c:showVal val="0"/>
          <c:showCatName val="0"/>
          <c:showSerName val="0"/>
          <c:showPercent val="0"/>
          <c:showBubbleSize val="0"/>
        </c:dLbls>
        <c:gapWidth val="150"/>
        <c:axId val="934475664"/>
        <c:axId val="934467504"/>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15"/>
              <c:layout>
                <c:manualLayout>
                  <c:x val="4.8632218844984802E-2"/>
                  <c:y val="-1.028101439342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CE-4716-A7BC-477B4E4CB0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Arkusz1!$C$2:$C$17</c:f>
              <c:numCache>
                <c:formatCode>0.0</c:formatCode>
                <c:ptCount val="16"/>
                <c:pt idx="0">
                  <c:v>-5.5999999999999943</c:v>
                </c:pt>
                <c:pt idx="1">
                  <c:v>-5.9000000000000057</c:v>
                </c:pt>
                <c:pt idx="2">
                  <c:v>-5.0999999999999943</c:v>
                </c:pt>
                <c:pt idx="3">
                  <c:v>-1</c:v>
                </c:pt>
                <c:pt idx="4">
                  <c:v>1</c:v>
                </c:pt>
                <c:pt idx="5">
                  <c:v>-0.90000000000000568</c:v>
                </c:pt>
                <c:pt idx="6">
                  <c:v>-2.0999999999999943</c:v>
                </c:pt>
                <c:pt idx="7">
                  <c:v>-4.2999999999999972</c:v>
                </c:pt>
                <c:pt idx="8" formatCode="General">
                  <c:v>-5.8</c:v>
                </c:pt>
                <c:pt idx="9">
                  <c:v>-4.3</c:v>
                </c:pt>
                <c:pt idx="10">
                  <c:v>-4.4000000000000057</c:v>
                </c:pt>
                <c:pt idx="11">
                  <c:v>-6.2000000000000028</c:v>
                </c:pt>
                <c:pt idx="12">
                  <c:v>-7.2000000000000028</c:v>
                </c:pt>
                <c:pt idx="13" formatCode="General">
                  <c:v>-7.2000000000000028</c:v>
                </c:pt>
                <c:pt idx="14">
                  <c:v>-7</c:v>
                </c:pt>
                <c:pt idx="15" formatCode="General">
                  <c:v>-9.2999999999999972</c:v>
                </c:pt>
              </c:numCache>
            </c:numRef>
          </c:val>
          <c:smooth val="0"/>
          <c:extLst>
            <c:ext xmlns:c16="http://schemas.microsoft.com/office/drawing/2014/chart" uri="{C3380CC4-5D6E-409C-BE32-E72D297353CC}">
              <c16:uniqueId val="{00000003-F1A2-47E1-AB51-41E3D504CE81}"/>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15"/>
              <c:layout>
                <c:manualLayout>
                  <c:x val="4.8632218844984802E-2"/>
                  <c:y val="-1.028101439342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CE-4716-A7BC-477B4E4CB0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Arkusz1!$D$2:$D$17</c:f>
              <c:numCache>
                <c:formatCode>0.0</c:formatCode>
                <c:ptCount val="16"/>
                <c:pt idx="0">
                  <c:v>-0.79999999999999716</c:v>
                </c:pt>
                <c:pt idx="1">
                  <c:v>-0.5</c:v>
                </c:pt>
                <c:pt idx="2">
                  <c:v>-1</c:v>
                </c:pt>
                <c:pt idx="3">
                  <c:v>-0.90000000000000568</c:v>
                </c:pt>
                <c:pt idx="4">
                  <c:v>-1.5</c:v>
                </c:pt>
                <c:pt idx="5">
                  <c:v>-1</c:v>
                </c:pt>
                <c:pt idx="6">
                  <c:v>-1.5</c:v>
                </c:pt>
                <c:pt idx="7">
                  <c:v>-2</c:v>
                </c:pt>
                <c:pt idx="8" formatCode="General">
                  <c:v>-2.2000000000000002</c:v>
                </c:pt>
                <c:pt idx="9">
                  <c:v>-1.6</c:v>
                </c:pt>
                <c:pt idx="10">
                  <c:v>-1.4000000000000057</c:v>
                </c:pt>
                <c:pt idx="11">
                  <c:v>-1.5</c:v>
                </c:pt>
                <c:pt idx="12">
                  <c:v>-1.7000000000000028</c:v>
                </c:pt>
                <c:pt idx="13" formatCode="General">
                  <c:v>-2.0999999999999943</c:v>
                </c:pt>
                <c:pt idx="14" formatCode="General">
                  <c:v>-2.2999999999999972</c:v>
                </c:pt>
                <c:pt idx="15" formatCode="General">
                  <c:v>-2.2999999999999972</c:v>
                </c:pt>
              </c:numCache>
            </c:numRef>
          </c:val>
          <c:smooth val="0"/>
          <c:extLst>
            <c:ext xmlns:c16="http://schemas.microsoft.com/office/drawing/2014/chart" uri="{C3380CC4-5D6E-409C-BE32-E72D297353CC}">
              <c16:uniqueId val="{00000006-F1A2-47E1-AB51-41E3D504CE81}"/>
            </c:ext>
          </c:extLst>
        </c:ser>
        <c:ser>
          <c:idx val="3"/>
          <c:order val="3"/>
          <c:tx>
            <c:strRef>
              <c:f>Arkusz1!$E$1</c:f>
              <c:strCache>
                <c:ptCount val="1"/>
                <c:pt idx="0">
                  <c:v> wytwarzanie i zaopatrywanie w energię 
 elektryczną, gaz, parę wodną i gorącą wodę</c:v>
                </c:pt>
              </c:strCache>
            </c:strRef>
          </c:tx>
          <c:spPr>
            <a:ln w="25400" cap="rnd">
              <a:solidFill>
                <a:srgbClr val="008542"/>
              </a:solidFill>
              <a:round/>
            </a:ln>
            <a:effectLst/>
          </c:spPr>
          <c:marker>
            <c:symbol val="none"/>
          </c:marker>
          <c:dLbls>
            <c:dLbl>
              <c:idx val="15"/>
              <c:layout>
                <c:manualLayout>
                  <c:x val="4.376899696048632E-2"/>
                  <c:y val="1.7135023989033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CE-4716-A7BC-477B4E4CB0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Arkusz1!$E$2:$E$17</c:f>
              <c:numCache>
                <c:formatCode>0.0</c:formatCode>
                <c:ptCount val="16"/>
                <c:pt idx="0">
                  <c:v>-9.5</c:v>
                </c:pt>
                <c:pt idx="1">
                  <c:v>-10.400000000000006</c:v>
                </c:pt>
                <c:pt idx="2">
                  <c:v>-11.200000000000003</c:v>
                </c:pt>
                <c:pt idx="3">
                  <c:v>-11.5</c:v>
                </c:pt>
                <c:pt idx="4">
                  <c:v>-10.299999999999997</c:v>
                </c:pt>
                <c:pt idx="5">
                  <c:v>-8.7999999999999972</c:v>
                </c:pt>
                <c:pt idx="6">
                  <c:v>-7.2999999999999972</c:v>
                </c:pt>
                <c:pt idx="7">
                  <c:v>-7.9000000000000057</c:v>
                </c:pt>
                <c:pt idx="8" formatCode="General">
                  <c:v>-8.6</c:v>
                </c:pt>
                <c:pt idx="9">
                  <c:v>-10</c:v>
                </c:pt>
                <c:pt idx="10">
                  <c:v>-9.9000000000000057</c:v>
                </c:pt>
                <c:pt idx="11">
                  <c:v>-10.700000000000003</c:v>
                </c:pt>
                <c:pt idx="12">
                  <c:v>-10.900000000000006</c:v>
                </c:pt>
                <c:pt idx="13" formatCode="General">
                  <c:v>-9.7000000000000028</c:v>
                </c:pt>
                <c:pt idx="14" formatCode="General">
                  <c:v>-10.299999999999997</c:v>
                </c:pt>
                <c:pt idx="15" formatCode="General">
                  <c:v>-11.099999999999994</c:v>
                </c:pt>
              </c:numCache>
            </c:numRef>
          </c:val>
          <c:smooth val="0"/>
          <c:extLst>
            <c:ext xmlns:c16="http://schemas.microsoft.com/office/drawing/2014/chart" uri="{C3380CC4-5D6E-409C-BE32-E72D297353CC}">
              <c16:uniqueId val="{00000008-F1A2-47E1-AB51-41E3D504CE81}"/>
            </c:ext>
          </c:extLst>
        </c:ser>
        <c:ser>
          <c:idx val="4"/>
          <c:order val="4"/>
          <c:tx>
            <c:strRef>
              <c:f>Arkusz1!$F$1</c:f>
              <c:strCache>
                <c:ptCount val="1"/>
                <c:pt idx="0">
                  <c:v>dostawa wody; gospodarowanie
ściekami i odpadami; rekultywacja</c:v>
                </c:pt>
              </c:strCache>
            </c:strRef>
          </c:tx>
          <c:spPr>
            <a:ln w="25400" cap="rnd">
              <a:solidFill>
                <a:schemeClr val="tx1"/>
              </a:solidFill>
              <a:prstDash val="dashDot"/>
              <a:round/>
            </a:ln>
            <a:effectLst/>
          </c:spPr>
          <c:marker>
            <c:symbol val="none"/>
          </c:marker>
          <c:dLbls>
            <c:dLbl>
              <c:idx val="15"/>
              <c:layout>
                <c:manualLayout>
                  <c:x val="5.5927051671732342E-2"/>
                  <c:y val="6.85400959561340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CE-4716-A7BC-477B4E4CB0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Arkusz1!$F$2:$F$17</c:f>
              <c:numCache>
                <c:formatCode>General</c:formatCode>
                <c:ptCount val="16"/>
                <c:pt idx="0">
                  <c:v>1.2000000000000028</c:v>
                </c:pt>
                <c:pt idx="1">
                  <c:v>1.9000000000000057</c:v>
                </c:pt>
                <c:pt idx="2">
                  <c:v>1.7000000000000028</c:v>
                </c:pt>
                <c:pt idx="3">
                  <c:v>1.5999999999999943</c:v>
                </c:pt>
                <c:pt idx="4">
                  <c:v>2.4000000000000057</c:v>
                </c:pt>
                <c:pt idx="5">
                  <c:v>2.9000000000000057</c:v>
                </c:pt>
                <c:pt idx="6">
                  <c:v>2.9000000000000057</c:v>
                </c:pt>
                <c:pt idx="7">
                  <c:v>3</c:v>
                </c:pt>
                <c:pt idx="8">
                  <c:v>3.1</c:v>
                </c:pt>
                <c:pt idx="9">
                  <c:v>3</c:v>
                </c:pt>
                <c:pt idx="10">
                  <c:v>3.4000000000000057</c:v>
                </c:pt>
                <c:pt idx="11" formatCode="0.0">
                  <c:v>3.4000000000000057</c:v>
                </c:pt>
                <c:pt idx="12" formatCode="0.0">
                  <c:v>3.7999999999999972</c:v>
                </c:pt>
                <c:pt idx="13">
                  <c:v>4.2000000000000028</c:v>
                </c:pt>
                <c:pt idx="14">
                  <c:v>4.4000000000000057</c:v>
                </c:pt>
                <c:pt idx="15">
                  <c:v>4.5999999999999943</c:v>
                </c:pt>
              </c:numCache>
            </c:numRef>
          </c:val>
          <c:smooth val="0"/>
          <c:extLst>
            <c:ext xmlns:c16="http://schemas.microsoft.com/office/drawing/2014/chart" uri="{C3380CC4-5D6E-409C-BE32-E72D297353CC}">
              <c16:uniqueId val="{00000009-F1A2-47E1-AB51-41E3D504CE81}"/>
            </c:ext>
          </c:extLst>
        </c:ser>
        <c:dLbls>
          <c:showLegendKey val="0"/>
          <c:showVal val="0"/>
          <c:showCatName val="0"/>
          <c:showSerName val="0"/>
          <c:showPercent val="0"/>
          <c:showBubbleSize val="0"/>
        </c:dLbls>
        <c:marker val="1"/>
        <c:smooth val="0"/>
        <c:axId val="934464240"/>
        <c:axId val="934471856"/>
      </c:lineChart>
      <c:catAx>
        <c:axId val="934464240"/>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1856"/>
        <c:crosses val="autoZero"/>
        <c:auto val="1"/>
        <c:lblAlgn val="ctr"/>
        <c:lblOffset val="100"/>
        <c:tickLblSkip val="1"/>
        <c:noMultiLvlLbl val="0"/>
      </c:catAx>
      <c:valAx>
        <c:axId val="934471856"/>
        <c:scaling>
          <c:orientation val="minMax"/>
          <c:max val="15"/>
          <c:min val="-20"/>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240"/>
        <c:crossesAt val="1"/>
        <c:crossBetween val="between"/>
        <c:majorUnit val="5"/>
      </c:valAx>
      <c:valAx>
        <c:axId val="934467504"/>
        <c:scaling>
          <c:orientation val="minMax"/>
        </c:scaling>
        <c:delete val="1"/>
        <c:axPos val="r"/>
        <c:numFmt formatCode="0.0" sourceLinked="1"/>
        <c:majorTickMark val="out"/>
        <c:minorTickMark val="none"/>
        <c:tickLblPos val="nextTo"/>
        <c:crossAx val="934475664"/>
        <c:crosses val="max"/>
        <c:crossBetween val="between"/>
      </c:valAx>
      <c:catAx>
        <c:axId val="934475664"/>
        <c:scaling>
          <c:orientation val="minMax"/>
        </c:scaling>
        <c:delete val="1"/>
        <c:axPos val="b"/>
        <c:numFmt formatCode="General" sourceLinked="1"/>
        <c:majorTickMark val="out"/>
        <c:minorTickMark val="none"/>
        <c:tickLblPos val="nextTo"/>
        <c:crossAx val="934467504"/>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Wskazniki_cen_produkcji_sprzedanej_przemyslu_Styczeń_2024.docx.docx</NazwaPliku>
    <Osoba xmlns="AD3641B4-23D9-4536-AF9E-7D0EADDEB824">STAT\MALMYSZKOI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4BBBBEFE-4551-452B-9B86-AB0ED892B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2AC3E5-6CF1-42D0-8D56-A3BB0ACF6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695</Words>
  <Characters>4171</Characters>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2025-05-20T10:16:00Z</cp:lastPrinted>
  <dcterms:created xsi:type="dcterms:W3CDTF">2025-05-14T10:25:00Z</dcterms:created>
  <dcterms:modified xsi:type="dcterms:W3CDTF">2025-05-20T10:16:00Z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