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4854183E" w:rsidR="00EF6FC5" w:rsidRPr="007A5771" w:rsidRDefault="00EF6FC5" w:rsidP="00EF6FC5">
      <w:pPr>
        <w:pStyle w:val="Tytuinfomacjisygnalnej"/>
      </w:pPr>
      <w:r w:rsidRPr="007A5771">
        <w:t xml:space="preserve">Wskaźniki cen produkcji sprzedanej przemysłu </w:t>
      </w:r>
      <w:r w:rsidR="00BB7A57">
        <w:t xml:space="preserve">w </w:t>
      </w:r>
      <w:r w:rsidR="00227625">
        <w:t>grudniu</w:t>
      </w:r>
      <w:r w:rsidRPr="007A5771">
        <w:t xml:space="preserve"> 2024 r.</w:t>
      </w:r>
    </w:p>
    <w:p w14:paraId="71CBC931" w14:textId="77777777" w:rsidR="00EF6FC5" w:rsidRDefault="00EF6FC5" w:rsidP="00792D90">
      <w:pPr>
        <w:pStyle w:val="Przypis"/>
        <w:rPr>
          <w:lang w:val="pl-PL"/>
        </w:rPr>
      </w:pPr>
    </w:p>
    <w:p w14:paraId="31F248C6" w14:textId="4029A20E"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1C535755">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2,6% - spadek cen producentów w przemyśle w porównaniu z grudni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75E51454"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432DDC">
                              <w:rPr>
                                <w:rStyle w:val="WartowskanikaZnak"/>
                                <w:sz w:val="72"/>
                                <w:szCs w:val="72"/>
                              </w:rPr>
                              <w:t>2,6</w:t>
                            </w:r>
                            <w:r w:rsidR="004B4292" w:rsidRPr="00883E43">
                              <w:rPr>
                                <w:rStyle w:val="WartowskanikaZnak"/>
                                <w:sz w:val="72"/>
                                <w:szCs w:val="72"/>
                              </w:rPr>
                              <w:t>%</w:t>
                            </w:r>
                          </w:p>
                          <w:p w14:paraId="57234A28" w14:textId="7C922A13"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17695A">
                              <w:rPr>
                                <w:szCs w:val="20"/>
                              </w:rPr>
                              <w:t>grudniem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2,6% - spadek cen producentów w przemyśle w porównaniu z grudni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" fillcolor="#001d77" stroked="f">
                <v:stroke joinstyle="miter"/>
                <v:textbox>
                  <w:txbxContent>
                    <w:p w14:paraId="46EB9797" w14:textId="75E51454"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432DDC">
                        <w:rPr>
                          <w:rStyle w:val="WartowskanikaZnak"/>
                          <w:sz w:val="72"/>
                          <w:szCs w:val="72"/>
                        </w:rPr>
                        <w:t>2,6</w:t>
                      </w:r>
                      <w:r w:rsidR="004B4292" w:rsidRPr="00883E43">
                        <w:rPr>
                          <w:rStyle w:val="WartowskanikaZnak"/>
                          <w:sz w:val="72"/>
                          <w:szCs w:val="72"/>
                        </w:rPr>
                        <w:t>%</w:t>
                      </w:r>
                    </w:p>
                    <w:p w14:paraId="57234A28" w14:textId="7C922A13"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17695A">
                        <w:rPr>
                          <w:szCs w:val="20"/>
                        </w:rPr>
                        <w:t>grudniem</w:t>
                      </w:r>
                      <w:r w:rsidR="001C3DA5">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227625">
        <w:rPr>
          <w:rFonts w:eastAsia="Times New Roman" w:cs="Times New Roman"/>
          <w:bCs/>
        </w:rPr>
        <w:t>grudniu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227625">
        <w:rPr>
          <w:spacing w:val="-6"/>
        </w:rPr>
        <w:t xml:space="preserve">zarówno </w:t>
      </w:r>
      <w:r w:rsidR="000429DE">
        <w:rPr>
          <w:spacing w:val="-6"/>
        </w:rPr>
        <w:t>w</w:t>
      </w:r>
      <w:r w:rsidR="00E907F1">
        <w:rPr>
          <w:spacing w:val="-6"/>
        </w:rPr>
        <w:t xml:space="preserve"> porównaniu do </w:t>
      </w:r>
      <w:r w:rsidR="00227625">
        <w:rPr>
          <w:rFonts w:eastAsia="Times New Roman" w:cs="Times New Roman"/>
          <w:bCs/>
        </w:rPr>
        <w:t>listopada</w:t>
      </w:r>
      <w:r w:rsidR="003B7760">
        <w:rPr>
          <w:rFonts w:eastAsia="Times New Roman" w:cs="Times New Roman"/>
          <w:bCs/>
        </w:rPr>
        <w:t xml:space="preserve"> 202</w:t>
      </w:r>
      <w:r w:rsidR="00F04AA5">
        <w:rPr>
          <w:rFonts w:eastAsia="Times New Roman" w:cs="Times New Roman"/>
          <w:bCs/>
        </w:rPr>
        <w:t>4</w:t>
      </w:r>
      <w:r w:rsidR="000429DE">
        <w:rPr>
          <w:rFonts w:eastAsia="Times New Roman" w:cs="Times New Roman"/>
          <w:bCs/>
        </w:rPr>
        <w:t> </w:t>
      </w:r>
      <w:r w:rsidR="00883E43" w:rsidRPr="00370072">
        <w:rPr>
          <w:rFonts w:eastAsia="Times New Roman" w:cs="Times New Roman"/>
          <w:bCs/>
        </w:rPr>
        <w:t>r</w:t>
      </w:r>
      <w:r w:rsidR="00883E43" w:rsidRPr="0052591A">
        <w:rPr>
          <w:rFonts w:eastAsia="Times New Roman" w:cs="Times New Roman"/>
          <w:bCs/>
        </w:rPr>
        <w:t>.</w:t>
      </w:r>
      <w:r w:rsidR="00E907F1" w:rsidRPr="00E907F1">
        <w:rPr>
          <w:spacing w:val="-6"/>
        </w:rPr>
        <w:t xml:space="preserve"> </w:t>
      </w:r>
      <w:r w:rsidR="00E907F1">
        <w:rPr>
          <w:spacing w:val="-6"/>
        </w:rPr>
        <w:t>– o 0,</w:t>
      </w:r>
      <w:r w:rsidR="00227625">
        <w:rPr>
          <w:spacing w:val="-6"/>
        </w:rPr>
        <w:t>2</w:t>
      </w:r>
      <w:r w:rsidR="00E907F1">
        <w:rPr>
          <w:spacing w:val="-6"/>
        </w:rPr>
        <w:t>%</w:t>
      </w:r>
      <w:r w:rsidR="00883E43" w:rsidRPr="0052591A">
        <w:rPr>
          <w:rFonts w:eastAsia="Times New Roman" w:cs="Times New Roman"/>
          <w:bCs/>
        </w:rPr>
        <w:t>,</w:t>
      </w:r>
      <w:r w:rsidR="00883E43" w:rsidRPr="0088650D">
        <w:rPr>
          <w:rFonts w:eastAsia="Times New Roman" w:cs="Times New Roman"/>
          <w:bCs/>
        </w:rPr>
        <w:t xml:space="preserve"> </w:t>
      </w:r>
      <w:r w:rsidR="00227625">
        <w:rPr>
          <w:rFonts w:eastAsia="Times New Roman" w:cs="Times New Roman"/>
          <w:bCs/>
        </w:rPr>
        <w:t>jak i</w:t>
      </w:r>
      <w:r w:rsidR="00E907F1">
        <w:rPr>
          <w:rFonts w:eastAsia="Times New Roman" w:cs="Times New Roman"/>
          <w:bCs/>
        </w:rPr>
        <w:t xml:space="preserve">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o</w:t>
      </w:r>
      <w:r w:rsidR="00E907F1">
        <w:rPr>
          <w:rFonts w:eastAsia="Times New Roman" w:cs="Times New Roman"/>
          <w:bCs/>
        </w:rPr>
        <w:t> </w:t>
      </w:r>
      <w:r w:rsidR="00227625">
        <w:rPr>
          <w:rFonts w:eastAsia="Times New Roman" w:cs="Times New Roman"/>
          <w:bCs/>
        </w:rPr>
        <w:t>2,6</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18488C01"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006E1DF7">
        <w:rPr>
          <w:b/>
          <w:shd w:val="clear" w:color="auto" w:fill="FFFFFF"/>
        </w:rPr>
        <w:t>w</w:t>
      </w:r>
      <w:r w:rsidR="00BB7A57">
        <w:rPr>
          <w:b/>
          <w:shd w:val="clear" w:color="auto" w:fill="FFFFFF"/>
        </w:rPr>
        <w:t xml:space="preserve"> </w:t>
      </w:r>
      <w:r w:rsidR="006E1DF7">
        <w:rPr>
          <w:b/>
          <w:shd w:val="clear" w:color="auto" w:fill="FFFFFF"/>
        </w:rPr>
        <w:t xml:space="preserve">listopadzie </w:t>
      </w:r>
      <w:r w:rsidR="00227625">
        <w:rPr>
          <w:b/>
          <w:shd w:val="clear" w:color="auto" w:fill="FFFFFF"/>
        </w:rPr>
        <w:t xml:space="preserve">i grudniu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listopadzie i grudniu 2024 r."/>
        <w:tblDescription w:val="Wskaźniki cen produkcji sprzedanej przemysłu w różnych okresach odniesienia: listopad 2024 r. do października 2024 r., listopad 2024 r. do analogicznego okresu roku  ubiegłego tj. listopada 2023 r., grudzień 2024 r. do analogicznego okresu roku ubiegłego tj. grudnia 2023 r., grudzień 2024 r. do listopada 2024 r., narastająco styczeń - grudzień 2024 r. do stycznia - grudnia 2023 r.  "/>
      </w:tblPr>
      <w:tblGrid>
        <w:gridCol w:w="2194"/>
        <w:gridCol w:w="1134"/>
        <w:gridCol w:w="1134"/>
        <w:gridCol w:w="1134"/>
        <w:gridCol w:w="1134"/>
        <w:gridCol w:w="1134"/>
      </w:tblGrid>
      <w:tr w:rsidR="00FC2EE0" w14:paraId="229F5011" w14:textId="77777777" w:rsidTr="00227625">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226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418993CC" w:rsidR="00FC2EE0" w:rsidRPr="00BF6C1D" w:rsidRDefault="006E1DF7" w:rsidP="00FC2EE0">
            <w:pPr>
              <w:jc w:val="center"/>
              <w:rPr>
                <w:sz w:val="16"/>
                <w:szCs w:val="16"/>
                <w:shd w:val="clear" w:color="auto" w:fill="FFFFFF"/>
              </w:rPr>
            </w:pPr>
            <w:r>
              <w:rPr>
                <w:color w:val="000000" w:themeColor="text1"/>
                <w:sz w:val="16"/>
                <w:szCs w:val="16"/>
              </w:rPr>
              <w:t>1</w:t>
            </w:r>
            <w:r w:rsidR="00DA55CC">
              <w:rPr>
                <w:color w:val="000000" w:themeColor="text1"/>
                <w:sz w:val="16"/>
                <w:szCs w:val="16"/>
              </w:rPr>
              <w:t>1</w:t>
            </w:r>
            <w:r w:rsidR="001C3DA5" w:rsidRPr="00BF6C1D">
              <w:rPr>
                <w:color w:val="000000" w:themeColor="text1"/>
                <w:sz w:val="16"/>
                <w:szCs w:val="16"/>
              </w:rPr>
              <w:t xml:space="preserve"> 2024</w:t>
            </w:r>
          </w:p>
        </w:tc>
        <w:tc>
          <w:tcPr>
            <w:tcW w:w="2268" w:type="dxa"/>
            <w:gridSpan w:val="2"/>
            <w:tcBorders>
              <w:top w:val="single" w:sz="4" w:space="0" w:color="auto"/>
              <w:left w:val="single" w:sz="4" w:space="0" w:color="001D77"/>
              <w:bottom w:val="single" w:sz="4" w:space="0" w:color="001D77"/>
              <w:right w:val="single" w:sz="4" w:space="0" w:color="001D77"/>
            </w:tcBorders>
            <w:vAlign w:val="center"/>
            <w:hideMark/>
          </w:tcPr>
          <w:p w14:paraId="635E6990" w14:textId="1615995C" w:rsidR="00FC2EE0" w:rsidRPr="00BF6C1D" w:rsidRDefault="00BB7A57" w:rsidP="00FC2EE0">
            <w:pPr>
              <w:jc w:val="center"/>
              <w:rPr>
                <w:sz w:val="16"/>
                <w:szCs w:val="16"/>
                <w:shd w:val="clear" w:color="auto" w:fill="FFFFFF"/>
              </w:rPr>
            </w:pPr>
            <w:r>
              <w:rPr>
                <w:color w:val="000000" w:themeColor="text1"/>
                <w:sz w:val="16"/>
                <w:szCs w:val="16"/>
              </w:rPr>
              <w:t>1</w:t>
            </w:r>
            <w:r w:rsidR="00DA55CC">
              <w:rPr>
                <w:color w:val="000000" w:themeColor="text1"/>
                <w:sz w:val="16"/>
                <w:szCs w:val="16"/>
              </w:rPr>
              <w:t>2</w:t>
            </w:r>
            <w:r w:rsidR="00FC2EE0" w:rsidRPr="00BF6C1D">
              <w:rPr>
                <w:color w:val="000000" w:themeColor="text1"/>
                <w:sz w:val="16"/>
                <w:szCs w:val="16"/>
              </w:rPr>
              <w:t xml:space="preserve"> 2024</w:t>
            </w:r>
          </w:p>
        </w:tc>
        <w:tc>
          <w:tcPr>
            <w:tcW w:w="1134" w:type="dxa"/>
            <w:tcBorders>
              <w:top w:val="single" w:sz="4" w:space="0" w:color="auto"/>
              <w:left w:val="single" w:sz="4" w:space="0" w:color="001D77"/>
              <w:bottom w:val="single" w:sz="4" w:space="0" w:color="001D77"/>
              <w:right w:val="nil"/>
            </w:tcBorders>
            <w:vAlign w:val="center"/>
            <w:hideMark/>
          </w:tcPr>
          <w:p w14:paraId="3804939A" w14:textId="7A89B9CF" w:rsidR="00FC2EE0" w:rsidRPr="00BB7A57" w:rsidRDefault="00FC2EE0" w:rsidP="00FC2EE0">
            <w:pPr>
              <w:jc w:val="center"/>
              <w:rPr>
                <w:color w:val="000000" w:themeColor="text1"/>
                <w:spacing w:val="-2"/>
                <w:sz w:val="16"/>
                <w:szCs w:val="16"/>
              </w:rPr>
            </w:pPr>
            <w:r w:rsidRPr="00BB7A57">
              <w:rPr>
                <w:color w:val="000000" w:themeColor="text1"/>
                <w:spacing w:val="-2"/>
                <w:sz w:val="16"/>
                <w:szCs w:val="16"/>
              </w:rPr>
              <w:t>01-</w:t>
            </w:r>
            <w:r w:rsidR="00BB7A57" w:rsidRPr="00BB7A57">
              <w:rPr>
                <w:color w:val="000000" w:themeColor="text1"/>
                <w:spacing w:val="-2"/>
                <w:sz w:val="16"/>
                <w:szCs w:val="16"/>
              </w:rPr>
              <w:t>1</w:t>
            </w:r>
            <w:r w:rsidR="00DA55CC">
              <w:rPr>
                <w:color w:val="000000" w:themeColor="text1"/>
                <w:spacing w:val="-2"/>
                <w:sz w:val="16"/>
                <w:szCs w:val="16"/>
              </w:rPr>
              <w:t>2</w:t>
            </w:r>
            <w:r w:rsidRPr="00BB7A57">
              <w:rPr>
                <w:color w:val="000000" w:themeColor="text1"/>
                <w:spacing w:val="-2"/>
                <w:sz w:val="16"/>
                <w:szCs w:val="16"/>
              </w:rPr>
              <w:t xml:space="preserve"> 2024</w:t>
            </w:r>
          </w:p>
        </w:tc>
      </w:tr>
      <w:tr w:rsidR="00227625" w14:paraId="78D09ABC" w14:textId="77777777" w:rsidTr="00227625">
        <w:tc>
          <w:tcPr>
            <w:tcW w:w="2194" w:type="dxa"/>
            <w:vMerge/>
            <w:tcBorders>
              <w:left w:val="nil"/>
              <w:bottom w:val="single" w:sz="12" w:space="0" w:color="001D77"/>
              <w:right w:val="single" w:sz="4" w:space="0" w:color="auto"/>
            </w:tcBorders>
            <w:vAlign w:val="center"/>
            <w:hideMark/>
          </w:tcPr>
          <w:p w14:paraId="54CF5CD7" w14:textId="77777777" w:rsidR="00227625" w:rsidRDefault="00227625" w:rsidP="006E1DF7">
            <w:pPr>
              <w:jc w:val="center"/>
              <w:rPr>
                <w:shd w:val="clear" w:color="auto" w:fill="FFFFFF"/>
              </w:rPr>
            </w:pPr>
          </w:p>
        </w:tc>
        <w:tc>
          <w:tcPr>
            <w:tcW w:w="1134" w:type="dxa"/>
            <w:tcBorders>
              <w:top w:val="single" w:sz="4" w:space="0" w:color="001D77"/>
              <w:left w:val="single" w:sz="4" w:space="0" w:color="auto"/>
              <w:bottom w:val="single" w:sz="12" w:space="0" w:color="001D77"/>
              <w:right w:val="single" w:sz="4" w:space="0" w:color="001D77"/>
            </w:tcBorders>
            <w:vAlign w:val="center"/>
            <w:hideMark/>
          </w:tcPr>
          <w:p w14:paraId="32297494" w14:textId="41209CCF" w:rsidR="00227625" w:rsidRPr="00BB7A57" w:rsidRDefault="00DA55CC" w:rsidP="006E1DF7">
            <w:pPr>
              <w:jc w:val="center"/>
              <w:rPr>
                <w:spacing w:val="-14"/>
                <w:sz w:val="16"/>
                <w:szCs w:val="16"/>
                <w:shd w:val="clear" w:color="auto" w:fill="FFFFFF"/>
              </w:rPr>
            </w:pPr>
            <w:r>
              <w:rPr>
                <w:color w:val="000000" w:themeColor="text1"/>
                <w:spacing w:val="-14"/>
                <w:sz w:val="16"/>
                <w:szCs w:val="16"/>
              </w:rPr>
              <w:t>10</w:t>
            </w:r>
            <w:r w:rsidR="00227625" w:rsidRPr="00D76881">
              <w:rPr>
                <w:color w:val="000000" w:themeColor="text1"/>
                <w:spacing w:val="-14"/>
                <w:sz w:val="16"/>
                <w:szCs w:val="16"/>
              </w:rPr>
              <w:t xml:space="preserve"> 2024=100</w:t>
            </w:r>
          </w:p>
        </w:tc>
        <w:tc>
          <w:tcPr>
            <w:tcW w:w="226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227625" w:rsidRPr="00BF6C1D" w:rsidRDefault="00227625" w:rsidP="006E1DF7">
            <w:pPr>
              <w:jc w:val="center"/>
              <w:rPr>
                <w:sz w:val="16"/>
                <w:szCs w:val="16"/>
                <w:shd w:val="clear" w:color="auto" w:fill="FFFFFF"/>
              </w:rPr>
            </w:pPr>
            <w:r w:rsidRPr="00BF6C1D">
              <w:rPr>
                <w:color w:val="000000" w:themeColor="text1"/>
                <w:sz w:val="16"/>
                <w:szCs w:val="16"/>
              </w:rPr>
              <w:t>analogiczny okres 2023=100</w:t>
            </w:r>
          </w:p>
        </w:tc>
        <w:tc>
          <w:tcPr>
            <w:tcW w:w="1134" w:type="dxa"/>
            <w:tcBorders>
              <w:top w:val="single" w:sz="4" w:space="0" w:color="001D77"/>
              <w:left w:val="single" w:sz="4" w:space="0" w:color="001D77"/>
              <w:bottom w:val="single" w:sz="12" w:space="0" w:color="001D77"/>
              <w:right w:val="single" w:sz="4" w:space="0" w:color="001D77"/>
            </w:tcBorders>
            <w:vAlign w:val="center"/>
            <w:hideMark/>
          </w:tcPr>
          <w:p w14:paraId="3390658D" w14:textId="550BD49A" w:rsidR="00227625" w:rsidRPr="00D76881" w:rsidRDefault="00227625" w:rsidP="006E1DF7">
            <w:pPr>
              <w:jc w:val="center"/>
              <w:rPr>
                <w:color w:val="000000" w:themeColor="text1"/>
                <w:spacing w:val="-14"/>
                <w:sz w:val="16"/>
                <w:szCs w:val="16"/>
              </w:rPr>
            </w:pPr>
            <w:r>
              <w:rPr>
                <w:color w:val="000000" w:themeColor="text1"/>
                <w:spacing w:val="-14"/>
                <w:sz w:val="16"/>
                <w:szCs w:val="16"/>
              </w:rPr>
              <w:t>1</w:t>
            </w:r>
            <w:r w:rsidR="00DA55CC">
              <w:rPr>
                <w:color w:val="000000" w:themeColor="text1"/>
                <w:spacing w:val="-14"/>
                <w:sz w:val="16"/>
                <w:szCs w:val="16"/>
              </w:rPr>
              <w:t>1</w:t>
            </w:r>
            <w:r w:rsidRPr="00D76881">
              <w:rPr>
                <w:color w:val="000000" w:themeColor="text1"/>
                <w:spacing w:val="-14"/>
                <w:sz w:val="16"/>
                <w:szCs w:val="16"/>
              </w:rPr>
              <w:t xml:space="preserve"> 2024=100</w:t>
            </w:r>
          </w:p>
        </w:tc>
        <w:tc>
          <w:tcPr>
            <w:tcW w:w="1134" w:type="dxa"/>
            <w:tcBorders>
              <w:top w:val="single" w:sz="4" w:space="0" w:color="001D77"/>
              <w:left w:val="single" w:sz="4" w:space="0" w:color="001D77"/>
              <w:bottom w:val="single" w:sz="12" w:space="0" w:color="001D77"/>
              <w:right w:val="nil"/>
            </w:tcBorders>
            <w:vAlign w:val="center"/>
            <w:hideMark/>
          </w:tcPr>
          <w:p w14:paraId="70975624" w14:textId="6C3662AE" w:rsidR="00227625" w:rsidRPr="00BF6C1D" w:rsidRDefault="00227625" w:rsidP="006E1DF7">
            <w:pPr>
              <w:jc w:val="center"/>
              <w:rPr>
                <w:color w:val="000000" w:themeColor="text1"/>
                <w:sz w:val="16"/>
                <w:szCs w:val="16"/>
              </w:rPr>
            </w:pPr>
            <w:r w:rsidRPr="00BF6C1D">
              <w:rPr>
                <w:color w:val="000000" w:themeColor="text1"/>
                <w:sz w:val="16"/>
                <w:szCs w:val="16"/>
              </w:rPr>
              <w:t>01-</w:t>
            </w:r>
            <w:r>
              <w:rPr>
                <w:color w:val="000000" w:themeColor="text1"/>
                <w:sz w:val="16"/>
                <w:szCs w:val="16"/>
              </w:rPr>
              <w:t>1</w:t>
            </w:r>
            <w:r w:rsidR="00DA55CC">
              <w:rPr>
                <w:color w:val="000000" w:themeColor="text1"/>
                <w:sz w:val="16"/>
                <w:szCs w:val="16"/>
              </w:rPr>
              <w:t>2</w:t>
            </w:r>
            <w:r w:rsidRPr="00BF6C1D">
              <w:rPr>
                <w:color w:val="000000" w:themeColor="text1"/>
                <w:sz w:val="16"/>
                <w:szCs w:val="16"/>
              </w:rPr>
              <w:t xml:space="preserve"> 2023=100</w:t>
            </w:r>
          </w:p>
        </w:tc>
      </w:tr>
      <w:tr w:rsidR="00227625" w14:paraId="1283D980" w14:textId="77777777" w:rsidTr="00227625">
        <w:tc>
          <w:tcPr>
            <w:tcW w:w="2194" w:type="dxa"/>
            <w:tcBorders>
              <w:top w:val="single" w:sz="4" w:space="0" w:color="001D77"/>
              <w:left w:val="nil"/>
              <w:bottom w:val="single" w:sz="4" w:space="0" w:color="001D77"/>
              <w:right w:val="single" w:sz="4" w:space="0" w:color="001D77"/>
            </w:tcBorders>
            <w:hideMark/>
          </w:tcPr>
          <w:p w14:paraId="75CD21A5" w14:textId="77777777" w:rsidR="00227625" w:rsidRDefault="00227625" w:rsidP="00227625">
            <w:pPr>
              <w:rPr>
                <w:shd w:val="clear" w:color="auto" w:fill="FFFFFF"/>
              </w:rPr>
            </w:pPr>
            <w:r>
              <w:rPr>
                <w:b/>
                <w:color w:val="000000" w:themeColor="text1"/>
                <w:sz w:val="16"/>
                <w:szCs w:val="16"/>
              </w:rPr>
              <w:t>OGÓŁEM</w:t>
            </w:r>
          </w:p>
        </w:tc>
        <w:tc>
          <w:tcPr>
            <w:tcW w:w="1134" w:type="dxa"/>
            <w:tcBorders>
              <w:top w:val="single" w:sz="4" w:space="0" w:color="001D77"/>
              <w:left w:val="single" w:sz="4" w:space="0" w:color="001D77"/>
              <w:bottom w:val="single" w:sz="4" w:space="0" w:color="001D77"/>
              <w:right w:val="single" w:sz="4" w:space="0" w:color="001D77"/>
            </w:tcBorders>
            <w:vAlign w:val="center"/>
          </w:tcPr>
          <w:p w14:paraId="5990A0D0" w14:textId="491A8987" w:rsidR="00227625" w:rsidRPr="00991B7A" w:rsidRDefault="00227625" w:rsidP="00227625">
            <w:pPr>
              <w:jc w:val="right"/>
              <w:rPr>
                <w:rFonts w:cs="Arial"/>
                <w:color w:val="000000" w:themeColor="text1"/>
                <w:sz w:val="16"/>
                <w:szCs w:val="16"/>
              </w:rPr>
            </w:pPr>
            <w:r>
              <w:rPr>
                <w:rFonts w:cs="Arial"/>
                <w:color w:val="000000" w:themeColor="text1"/>
                <w:sz w:val="16"/>
                <w:szCs w:val="16"/>
              </w:rPr>
              <w:t>100,</w:t>
            </w:r>
            <w:r w:rsidR="00DA55CC">
              <w:rPr>
                <w:rFonts w:cs="Arial"/>
                <w:color w:val="000000" w:themeColor="text1"/>
                <w:sz w:val="16"/>
                <w:szCs w:val="16"/>
              </w:rPr>
              <w:t>2*</w:t>
            </w:r>
          </w:p>
        </w:tc>
        <w:tc>
          <w:tcPr>
            <w:tcW w:w="1134" w:type="dxa"/>
            <w:tcBorders>
              <w:top w:val="single" w:sz="4" w:space="0" w:color="001D77"/>
              <w:left w:val="single" w:sz="4" w:space="0" w:color="001D77"/>
              <w:bottom w:val="single" w:sz="4" w:space="0" w:color="001D77"/>
              <w:right w:val="single" w:sz="4" w:space="0" w:color="001D77"/>
            </w:tcBorders>
            <w:vAlign w:val="center"/>
          </w:tcPr>
          <w:p w14:paraId="1C763EBB" w14:textId="506E3D64" w:rsidR="00227625" w:rsidRPr="00991B7A" w:rsidRDefault="00227625" w:rsidP="00227625">
            <w:pPr>
              <w:jc w:val="right"/>
              <w:rPr>
                <w:rFonts w:cs="Arial"/>
                <w:color w:val="000000" w:themeColor="text1"/>
                <w:sz w:val="16"/>
                <w:szCs w:val="16"/>
              </w:rPr>
            </w:pPr>
            <w:r>
              <w:rPr>
                <w:rFonts w:cs="Arial"/>
                <w:color w:val="000000" w:themeColor="text1"/>
                <w:sz w:val="16"/>
                <w:szCs w:val="16"/>
              </w:rPr>
              <w:t>96,</w:t>
            </w:r>
            <w:r w:rsidR="00DA55CC">
              <w:rPr>
                <w:rFonts w:cs="Arial"/>
                <w:color w:val="000000" w:themeColor="text1"/>
                <w:sz w:val="16"/>
                <w:szCs w:val="16"/>
              </w:rPr>
              <w:t>2*</w:t>
            </w:r>
          </w:p>
        </w:tc>
        <w:tc>
          <w:tcPr>
            <w:tcW w:w="1134" w:type="dxa"/>
            <w:tcBorders>
              <w:top w:val="single" w:sz="4" w:space="0" w:color="001D77"/>
              <w:left w:val="single" w:sz="4" w:space="0" w:color="001D77"/>
              <w:bottom w:val="single" w:sz="4" w:space="0" w:color="001D77"/>
              <w:right w:val="single" w:sz="4" w:space="0" w:color="001D77"/>
            </w:tcBorders>
            <w:vAlign w:val="center"/>
          </w:tcPr>
          <w:p w14:paraId="7F514660" w14:textId="6CA12960" w:rsidR="00227625" w:rsidRPr="00475FCB" w:rsidRDefault="00DA55CC" w:rsidP="00227625">
            <w:pPr>
              <w:jc w:val="right"/>
              <w:rPr>
                <w:rFonts w:cs="Arial"/>
                <w:color w:val="000000" w:themeColor="text1"/>
                <w:sz w:val="16"/>
                <w:szCs w:val="16"/>
              </w:rPr>
            </w:pPr>
            <w:r>
              <w:rPr>
                <w:rFonts w:cs="Arial"/>
                <w:color w:val="000000" w:themeColor="text1"/>
                <w:sz w:val="16"/>
                <w:szCs w:val="16"/>
              </w:rPr>
              <w:t>97,4</w:t>
            </w:r>
          </w:p>
        </w:tc>
        <w:tc>
          <w:tcPr>
            <w:tcW w:w="1134" w:type="dxa"/>
            <w:tcBorders>
              <w:top w:val="single" w:sz="4" w:space="0" w:color="001D77"/>
              <w:left w:val="single" w:sz="4" w:space="0" w:color="001D77"/>
              <w:bottom w:val="single" w:sz="4" w:space="0" w:color="001D77"/>
              <w:right w:val="single" w:sz="4" w:space="0" w:color="001D77"/>
            </w:tcBorders>
            <w:vAlign w:val="center"/>
          </w:tcPr>
          <w:p w14:paraId="6C05C4C9" w14:textId="4E9F5A09" w:rsidR="00227625" w:rsidRPr="00475FCB" w:rsidRDefault="00DA55CC" w:rsidP="00227625">
            <w:pPr>
              <w:jc w:val="right"/>
              <w:rPr>
                <w:rFonts w:cs="Arial"/>
                <w:color w:val="000000" w:themeColor="text1"/>
                <w:sz w:val="16"/>
                <w:szCs w:val="16"/>
              </w:rPr>
            </w:pPr>
            <w:r>
              <w:rPr>
                <w:rFonts w:cs="Arial"/>
                <w:color w:val="000000" w:themeColor="text1"/>
                <w:sz w:val="16"/>
                <w:szCs w:val="16"/>
              </w:rPr>
              <w:t>99,8</w:t>
            </w:r>
          </w:p>
        </w:tc>
        <w:tc>
          <w:tcPr>
            <w:tcW w:w="1134" w:type="dxa"/>
            <w:tcBorders>
              <w:top w:val="single" w:sz="4" w:space="0" w:color="001D77"/>
              <w:left w:val="single" w:sz="4" w:space="0" w:color="001D77"/>
              <w:bottom w:val="single" w:sz="4" w:space="0" w:color="001D77"/>
              <w:right w:val="nil"/>
            </w:tcBorders>
            <w:vAlign w:val="center"/>
          </w:tcPr>
          <w:p w14:paraId="2E948375" w14:textId="77DF7C78" w:rsidR="00227625" w:rsidRPr="00475FCB" w:rsidRDefault="00DA55CC" w:rsidP="00227625">
            <w:pPr>
              <w:jc w:val="right"/>
              <w:rPr>
                <w:rFonts w:cs="Arial"/>
                <w:color w:val="000000" w:themeColor="text1"/>
                <w:sz w:val="16"/>
                <w:szCs w:val="16"/>
              </w:rPr>
            </w:pPr>
            <w:r>
              <w:rPr>
                <w:rFonts w:cs="Arial"/>
                <w:color w:val="000000" w:themeColor="text1"/>
                <w:sz w:val="16"/>
                <w:szCs w:val="16"/>
              </w:rPr>
              <w:t>93,2</w:t>
            </w:r>
          </w:p>
        </w:tc>
      </w:tr>
      <w:tr w:rsidR="00227625" w14:paraId="4AFEE64E" w14:textId="77777777" w:rsidTr="00227625">
        <w:tc>
          <w:tcPr>
            <w:tcW w:w="2194" w:type="dxa"/>
            <w:tcBorders>
              <w:top w:val="single" w:sz="4" w:space="0" w:color="001D77"/>
              <w:left w:val="nil"/>
              <w:bottom w:val="single" w:sz="4" w:space="0" w:color="001D77"/>
              <w:right w:val="single" w:sz="4" w:space="0" w:color="001D77"/>
            </w:tcBorders>
            <w:hideMark/>
          </w:tcPr>
          <w:p w14:paraId="673BCD9A" w14:textId="77777777" w:rsidR="00227625" w:rsidRDefault="00227625" w:rsidP="00227625">
            <w:pPr>
              <w:rPr>
                <w:shd w:val="clear" w:color="auto" w:fill="FFFFFF"/>
              </w:rPr>
            </w:pPr>
            <w:r>
              <w:rPr>
                <w:color w:val="000000" w:themeColor="text1"/>
                <w:sz w:val="16"/>
                <w:szCs w:val="16"/>
                <w:lang w:val="en-US"/>
              </w:rPr>
              <w:t>Górnictwo i wydobywanie</w:t>
            </w:r>
          </w:p>
        </w:tc>
        <w:tc>
          <w:tcPr>
            <w:tcW w:w="1134" w:type="dxa"/>
            <w:tcBorders>
              <w:top w:val="single" w:sz="4" w:space="0" w:color="001D77"/>
              <w:left w:val="single" w:sz="4" w:space="0" w:color="001D77"/>
              <w:bottom w:val="single" w:sz="4" w:space="0" w:color="001D77"/>
              <w:right w:val="single" w:sz="4" w:space="0" w:color="001D77"/>
            </w:tcBorders>
            <w:vAlign w:val="center"/>
          </w:tcPr>
          <w:p w14:paraId="7C4B7F6F" w14:textId="418DD9AE" w:rsidR="00227625" w:rsidRPr="00991B7A" w:rsidRDefault="00DA55CC" w:rsidP="00227625">
            <w:pPr>
              <w:jc w:val="right"/>
              <w:rPr>
                <w:rFonts w:cs="Arial"/>
                <w:color w:val="000000" w:themeColor="text1"/>
                <w:sz w:val="16"/>
                <w:szCs w:val="16"/>
              </w:rPr>
            </w:pPr>
            <w:r>
              <w:rPr>
                <w:rFonts w:cs="Arial"/>
                <w:color w:val="000000" w:themeColor="text1"/>
                <w:sz w:val="16"/>
                <w:szCs w:val="16"/>
              </w:rPr>
              <w:t>99,9*</w:t>
            </w:r>
          </w:p>
        </w:tc>
        <w:tc>
          <w:tcPr>
            <w:tcW w:w="1134" w:type="dxa"/>
            <w:tcBorders>
              <w:top w:val="single" w:sz="4" w:space="0" w:color="001D77"/>
              <w:left w:val="single" w:sz="4" w:space="0" w:color="001D77"/>
              <w:bottom w:val="single" w:sz="4" w:space="0" w:color="001D77"/>
              <w:right w:val="single" w:sz="4" w:space="0" w:color="001D77"/>
            </w:tcBorders>
            <w:vAlign w:val="center"/>
          </w:tcPr>
          <w:p w14:paraId="7764B424" w14:textId="7A73846B" w:rsidR="00227625" w:rsidRPr="00991B7A" w:rsidRDefault="00227625" w:rsidP="00227625">
            <w:pPr>
              <w:jc w:val="right"/>
              <w:rPr>
                <w:rFonts w:cs="Arial"/>
                <w:color w:val="000000" w:themeColor="text1"/>
                <w:sz w:val="16"/>
                <w:szCs w:val="16"/>
              </w:rPr>
            </w:pPr>
            <w:r>
              <w:rPr>
                <w:rFonts w:cs="Arial"/>
                <w:color w:val="000000" w:themeColor="text1"/>
                <w:sz w:val="16"/>
                <w:szCs w:val="16"/>
              </w:rPr>
              <w:t>95,</w:t>
            </w:r>
            <w:r w:rsidR="00DA55CC">
              <w:rPr>
                <w:rFonts w:cs="Arial"/>
                <w:color w:val="000000" w:themeColor="text1"/>
                <w:sz w:val="16"/>
                <w:szCs w:val="16"/>
              </w:rPr>
              <w:t>1*</w:t>
            </w:r>
          </w:p>
        </w:tc>
        <w:tc>
          <w:tcPr>
            <w:tcW w:w="1134" w:type="dxa"/>
            <w:tcBorders>
              <w:top w:val="single" w:sz="4" w:space="0" w:color="001D77"/>
              <w:left w:val="single" w:sz="4" w:space="0" w:color="001D77"/>
              <w:bottom w:val="single" w:sz="4" w:space="0" w:color="001D77"/>
              <w:right w:val="single" w:sz="4" w:space="0" w:color="001D77"/>
            </w:tcBorders>
            <w:vAlign w:val="center"/>
          </w:tcPr>
          <w:p w14:paraId="6D5FBBCA" w14:textId="176ED657" w:rsidR="00227625" w:rsidRPr="00475FCB" w:rsidRDefault="00DA55CC" w:rsidP="00227625">
            <w:pPr>
              <w:jc w:val="right"/>
              <w:rPr>
                <w:rFonts w:cs="Arial"/>
                <w:color w:val="000000" w:themeColor="text1"/>
                <w:sz w:val="16"/>
                <w:szCs w:val="16"/>
              </w:rPr>
            </w:pPr>
            <w:r>
              <w:rPr>
                <w:rFonts w:cs="Arial"/>
                <w:color w:val="000000" w:themeColor="text1"/>
                <w:sz w:val="16"/>
                <w:szCs w:val="16"/>
              </w:rPr>
              <w:t>94,2</w:t>
            </w:r>
          </w:p>
        </w:tc>
        <w:tc>
          <w:tcPr>
            <w:tcW w:w="1134" w:type="dxa"/>
            <w:tcBorders>
              <w:top w:val="single" w:sz="4" w:space="0" w:color="001D77"/>
              <w:left w:val="single" w:sz="4" w:space="0" w:color="001D77"/>
              <w:bottom w:val="single" w:sz="4" w:space="0" w:color="001D77"/>
              <w:right w:val="single" w:sz="4" w:space="0" w:color="001D77"/>
            </w:tcBorders>
            <w:vAlign w:val="center"/>
          </w:tcPr>
          <w:p w14:paraId="0CB4382F" w14:textId="1A34DF54" w:rsidR="00227625" w:rsidRPr="00475FCB" w:rsidRDefault="00DA55CC" w:rsidP="00227625">
            <w:pPr>
              <w:jc w:val="right"/>
              <w:rPr>
                <w:rFonts w:cs="Arial"/>
                <w:color w:val="000000" w:themeColor="text1"/>
                <w:sz w:val="16"/>
                <w:szCs w:val="16"/>
              </w:rPr>
            </w:pPr>
            <w:r>
              <w:rPr>
                <w:rFonts w:cs="Arial"/>
                <w:color w:val="000000" w:themeColor="text1"/>
                <w:sz w:val="16"/>
                <w:szCs w:val="16"/>
              </w:rPr>
              <w:t>98,5</w:t>
            </w:r>
          </w:p>
        </w:tc>
        <w:tc>
          <w:tcPr>
            <w:tcW w:w="1134" w:type="dxa"/>
            <w:tcBorders>
              <w:top w:val="single" w:sz="4" w:space="0" w:color="001D77"/>
              <w:left w:val="single" w:sz="4" w:space="0" w:color="001D77"/>
              <w:bottom w:val="single" w:sz="4" w:space="0" w:color="001D77"/>
              <w:right w:val="nil"/>
            </w:tcBorders>
            <w:vAlign w:val="center"/>
          </w:tcPr>
          <w:p w14:paraId="31454F45" w14:textId="5678296C" w:rsidR="00227625" w:rsidRPr="00475FCB" w:rsidRDefault="00DA55CC" w:rsidP="00227625">
            <w:pPr>
              <w:jc w:val="right"/>
              <w:rPr>
                <w:rFonts w:cs="Arial"/>
                <w:color w:val="000000" w:themeColor="text1"/>
                <w:sz w:val="16"/>
                <w:szCs w:val="16"/>
              </w:rPr>
            </w:pPr>
            <w:r>
              <w:rPr>
                <w:rFonts w:cs="Arial"/>
                <w:color w:val="000000" w:themeColor="text1"/>
                <w:sz w:val="16"/>
                <w:szCs w:val="16"/>
              </w:rPr>
              <w:t>92,1</w:t>
            </w:r>
          </w:p>
        </w:tc>
      </w:tr>
      <w:tr w:rsidR="00227625" w14:paraId="647566A4" w14:textId="77777777" w:rsidTr="00227625">
        <w:tc>
          <w:tcPr>
            <w:tcW w:w="2194" w:type="dxa"/>
            <w:tcBorders>
              <w:top w:val="single" w:sz="4" w:space="0" w:color="001D77"/>
              <w:left w:val="nil"/>
              <w:bottom w:val="single" w:sz="4" w:space="0" w:color="001D77"/>
              <w:right w:val="single" w:sz="4" w:space="0" w:color="001D77"/>
            </w:tcBorders>
            <w:hideMark/>
          </w:tcPr>
          <w:p w14:paraId="2FD608D1" w14:textId="77777777" w:rsidR="00227625" w:rsidRDefault="00227625" w:rsidP="00227625">
            <w:pPr>
              <w:rPr>
                <w:shd w:val="clear" w:color="auto" w:fill="FFFFFF"/>
              </w:rPr>
            </w:pPr>
            <w:r>
              <w:rPr>
                <w:color w:val="000000" w:themeColor="text1"/>
                <w:sz w:val="16"/>
                <w:szCs w:val="16"/>
                <w:lang w:val="en-US"/>
              </w:rPr>
              <w:t>Przetwórstwo przemysłowe</w:t>
            </w:r>
          </w:p>
        </w:tc>
        <w:tc>
          <w:tcPr>
            <w:tcW w:w="1134" w:type="dxa"/>
            <w:tcBorders>
              <w:top w:val="single" w:sz="4" w:space="0" w:color="001D77"/>
              <w:left w:val="single" w:sz="4" w:space="0" w:color="001D77"/>
              <w:bottom w:val="single" w:sz="4" w:space="0" w:color="001D77"/>
              <w:right w:val="single" w:sz="4" w:space="0" w:color="001D77"/>
            </w:tcBorders>
            <w:vAlign w:val="center"/>
          </w:tcPr>
          <w:p w14:paraId="411D0288" w14:textId="12902BD1" w:rsidR="00227625" w:rsidRPr="00991B7A" w:rsidRDefault="00227625" w:rsidP="00227625">
            <w:pPr>
              <w:jc w:val="right"/>
              <w:rPr>
                <w:rFonts w:cs="Arial"/>
                <w:color w:val="000000" w:themeColor="text1"/>
                <w:sz w:val="16"/>
                <w:szCs w:val="16"/>
              </w:rPr>
            </w:pPr>
            <w:r>
              <w:rPr>
                <w:rFonts w:cs="Arial"/>
                <w:color w:val="000000" w:themeColor="text1"/>
                <w:sz w:val="16"/>
                <w:szCs w:val="16"/>
              </w:rPr>
              <w:t>100,</w:t>
            </w:r>
            <w:r w:rsidR="00DA55CC">
              <w:rPr>
                <w:rFonts w:cs="Arial"/>
                <w:color w:val="000000" w:themeColor="text1"/>
                <w:sz w:val="16"/>
                <w:szCs w:val="16"/>
              </w:rPr>
              <w:t>2*</w:t>
            </w:r>
          </w:p>
        </w:tc>
        <w:tc>
          <w:tcPr>
            <w:tcW w:w="1134" w:type="dxa"/>
            <w:tcBorders>
              <w:top w:val="single" w:sz="4" w:space="0" w:color="001D77"/>
              <w:left w:val="single" w:sz="4" w:space="0" w:color="001D77"/>
              <w:bottom w:val="single" w:sz="4" w:space="0" w:color="001D77"/>
              <w:right w:val="single" w:sz="4" w:space="0" w:color="001D77"/>
            </w:tcBorders>
            <w:vAlign w:val="center"/>
          </w:tcPr>
          <w:p w14:paraId="10F6F5A0" w14:textId="4323F28F" w:rsidR="00227625" w:rsidRPr="00991B7A" w:rsidRDefault="00227625" w:rsidP="00227625">
            <w:pPr>
              <w:jc w:val="right"/>
              <w:rPr>
                <w:rFonts w:cs="Arial"/>
                <w:color w:val="000000" w:themeColor="text1"/>
                <w:sz w:val="16"/>
                <w:szCs w:val="16"/>
              </w:rPr>
            </w:pPr>
            <w:r>
              <w:rPr>
                <w:rFonts w:cs="Arial"/>
                <w:color w:val="000000" w:themeColor="text1"/>
                <w:sz w:val="16"/>
                <w:szCs w:val="16"/>
              </w:rPr>
              <w:t>97,</w:t>
            </w:r>
            <w:r w:rsidR="00DA55CC">
              <w:rPr>
                <w:rFonts w:cs="Arial"/>
                <w:color w:val="000000" w:themeColor="text1"/>
                <w:sz w:val="16"/>
                <w:szCs w:val="16"/>
              </w:rPr>
              <w:t>0*</w:t>
            </w:r>
          </w:p>
        </w:tc>
        <w:tc>
          <w:tcPr>
            <w:tcW w:w="1134" w:type="dxa"/>
            <w:tcBorders>
              <w:top w:val="single" w:sz="4" w:space="0" w:color="001D77"/>
              <w:left w:val="single" w:sz="4" w:space="0" w:color="001D77"/>
              <w:bottom w:val="single" w:sz="4" w:space="0" w:color="001D77"/>
              <w:right w:val="single" w:sz="4" w:space="0" w:color="001D77"/>
            </w:tcBorders>
            <w:vAlign w:val="center"/>
          </w:tcPr>
          <w:p w14:paraId="6D39A2E9" w14:textId="1ABDC965" w:rsidR="00227625" w:rsidRPr="00475FCB" w:rsidRDefault="00DA55CC" w:rsidP="00227625">
            <w:pPr>
              <w:jc w:val="right"/>
              <w:rPr>
                <w:rFonts w:cs="Arial"/>
                <w:color w:val="000000" w:themeColor="text1"/>
                <w:sz w:val="16"/>
                <w:szCs w:val="16"/>
              </w:rPr>
            </w:pPr>
            <w:r>
              <w:rPr>
                <w:rFonts w:cs="Arial"/>
                <w:color w:val="000000" w:themeColor="text1"/>
                <w:sz w:val="16"/>
                <w:szCs w:val="16"/>
              </w:rPr>
              <w:t>98,5</w:t>
            </w:r>
          </w:p>
        </w:tc>
        <w:tc>
          <w:tcPr>
            <w:tcW w:w="1134" w:type="dxa"/>
            <w:tcBorders>
              <w:top w:val="single" w:sz="4" w:space="0" w:color="001D77"/>
              <w:left w:val="single" w:sz="4" w:space="0" w:color="001D77"/>
              <w:bottom w:val="single" w:sz="4" w:space="0" w:color="001D77"/>
              <w:right w:val="single" w:sz="4" w:space="0" w:color="001D77"/>
            </w:tcBorders>
            <w:vAlign w:val="center"/>
          </w:tcPr>
          <w:p w14:paraId="572BAFCA" w14:textId="76575213" w:rsidR="00227625" w:rsidRPr="00475FCB" w:rsidRDefault="00DA55CC" w:rsidP="00227625">
            <w:pPr>
              <w:jc w:val="right"/>
              <w:rPr>
                <w:rFonts w:cs="Arial"/>
                <w:color w:val="000000" w:themeColor="text1"/>
                <w:sz w:val="16"/>
                <w:szCs w:val="16"/>
              </w:rPr>
            </w:pPr>
            <w:r>
              <w:rPr>
                <w:rFonts w:cs="Arial"/>
                <w:color w:val="000000" w:themeColor="text1"/>
                <w:sz w:val="16"/>
                <w:szCs w:val="16"/>
              </w:rPr>
              <w:t>99,9</w:t>
            </w:r>
          </w:p>
        </w:tc>
        <w:tc>
          <w:tcPr>
            <w:tcW w:w="1134" w:type="dxa"/>
            <w:tcBorders>
              <w:top w:val="single" w:sz="4" w:space="0" w:color="001D77"/>
              <w:left w:val="single" w:sz="4" w:space="0" w:color="001D77"/>
              <w:bottom w:val="single" w:sz="4" w:space="0" w:color="001D77"/>
              <w:right w:val="nil"/>
            </w:tcBorders>
            <w:vAlign w:val="center"/>
          </w:tcPr>
          <w:p w14:paraId="2728D4B8" w14:textId="01CED7E6" w:rsidR="00227625" w:rsidRPr="00475FCB" w:rsidRDefault="00DA55CC" w:rsidP="00227625">
            <w:pPr>
              <w:jc w:val="right"/>
              <w:rPr>
                <w:rFonts w:cs="Arial"/>
                <w:color w:val="000000" w:themeColor="text1"/>
                <w:sz w:val="16"/>
                <w:szCs w:val="16"/>
              </w:rPr>
            </w:pPr>
            <w:r>
              <w:rPr>
                <w:rFonts w:cs="Arial"/>
                <w:color w:val="000000" w:themeColor="text1"/>
                <w:sz w:val="16"/>
                <w:szCs w:val="16"/>
              </w:rPr>
              <w:t>94,1</w:t>
            </w:r>
          </w:p>
        </w:tc>
      </w:tr>
      <w:tr w:rsidR="00227625" w14:paraId="503101B9" w14:textId="77777777" w:rsidTr="00227625">
        <w:tc>
          <w:tcPr>
            <w:tcW w:w="2194" w:type="dxa"/>
            <w:tcBorders>
              <w:top w:val="single" w:sz="4" w:space="0" w:color="001D77"/>
              <w:left w:val="nil"/>
              <w:bottom w:val="single" w:sz="4" w:space="0" w:color="001D77"/>
              <w:right w:val="single" w:sz="4" w:space="0" w:color="001D77"/>
            </w:tcBorders>
            <w:hideMark/>
          </w:tcPr>
          <w:p w14:paraId="06EF8C94" w14:textId="77777777" w:rsidR="00227625" w:rsidRDefault="00227625" w:rsidP="00227625">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1134" w:type="dxa"/>
            <w:tcBorders>
              <w:top w:val="single" w:sz="4" w:space="0" w:color="001D77"/>
              <w:left w:val="single" w:sz="4" w:space="0" w:color="001D77"/>
              <w:bottom w:val="single" w:sz="4" w:space="0" w:color="001D77"/>
              <w:right w:val="single" w:sz="4" w:space="0" w:color="001D77"/>
            </w:tcBorders>
            <w:vAlign w:val="center"/>
          </w:tcPr>
          <w:p w14:paraId="2EF0CBEE" w14:textId="584D0CC8" w:rsidR="00227625" w:rsidRPr="00991B7A" w:rsidRDefault="00DA55CC" w:rsidP="00227625">
            <w:pPr>
              <w:jc w:val="right"/>
              <w:rPr>
                <w:rFonts w:cs="Arial"/>
                <w:color w:val="000000" w:themeColor="text1"/>
                <w:sz w:val="16"/>
                <w:szCs w:val="16"/>
              </w:rPr>
            </w:pPr>
            <w:r>
              <w:rPr>
                <w:rFonts w:cs="Arial"/>
                <w:color w:val="000000" w:themeColor="text1"/>
                <w:sz w:val="16"/>
                <w:szCs w:val="16"/>
              </w:rPr>
              <w:t>100,1*</w:t>
            </w:r>
          </w:p>
        </w:tc>
        <w:tc>
          <w:tcPr>
            <w:tcW w:w="1134" w:type="dxa"/>
            <w:tcBorders>
              <w:top w:val="single" w:sz="4" w:space="0" w:color="001D77"/>
              <w:left w:val="single" w:sz="4" w:space="0" w:color="001D77"/>
              <w:bottom w:val="single" w:sz="4" w:space="0" w:color="001D77"/>
              <w:right w:val="single" w:sz="4" w:space="0" w:color="001D77"/>
            </w:tcBorders>
            <w:vAlign w:val="center"/>
          </w:tcPr>
          <w:p w14:paraId="66CC2BD8" w14:textId="4C6D3041" w:rsidR="00227625" w:rsidRPr="00991B7A" w:rsidRDefault="00DA55CC" w:rsidP="00227625">
            <w:pPr>
              <w:jc w:val="right"/>
              <w:rPr>
                <w:rFonts w:cs="Arial"/>
                <w:color w:val="000000" w:themeColor="text1"/>
                <w:sz w:val="16"/>
                <w:szCs w:val="16"/>
              </w:rPr>
            </w:pPr>
            <w:r>
              <w:rPr>
                <w:rFonts w:cs="Arial"/>
                <w:color w:val="000000" w:themeColor="text1"/>
                <w:sz w:val="16"/>
                <w:szCs w:val="16"/>
              </w:rPr>
              <w:t>89,6*</w:t>
            </w:r>
          </w:p>
        </w:tc>
        <w:tc>
          <w:tcPr>
            <w:tcW w:w="1134" w:type="dxa"/>
            <w:tcBorders>
              <w:top w:val="single" w:sz="4" w:space="0" w:color="001D77"/>
              <w:left w:val="single" w:sz="4" w:space="0" w:color="001D77"/>
              <w:bottom w:val="single" w:sz="4" w:space="0" w:color="001D77"/>
              <w:right w:val="single" w:sz="4" w:space="0" w:color="001D77"/>
            </w:tcBorders>
            <w:vAlign w:val="center"/>
          </w:tcPr>
          <w:p w14:paraId="41BAFB20" w14:textId="310B51E6" w:rsidR="00227625" w:rsidRPr="00475FCB" w:rsidRDefault="00DA55CC" w:rsidP="00227625">
            <w:pPr>
              <w:jc w:val="right"/>
              <w:rPr>
                <w:rFonts w:cs="Arial"/>
                <w:color w:val="000000" w:themeColor="text1"/>
                <w:sz w:val="16"/>
                <w:szCs w:val="16"/>
              </w:rPr>
            </w:pPr>
            <w:r>
              <w:rPr>
                <w:rFonts w:cs="Arial"/>
                <w:color w:val="000000" w:themeColor="text1"/>
                <w:sz w:val="16"/>
                <w:szCs w:val="16"/>
              </w:rPr>
              <w:t>89,9</w:t>
            </w:r>
          </w:p>
        </w:tc>
        <w:tc>
          <w:tcPr>
            <w:tcW w:w="1134" w:type="dxa"/>
            <w:tcBorders>
              <w:top w:val="single" w:sz="4" w:space="0" w:color="001D77"/>
              <w:left w:val="single" w:sz="4" w:space="0" w:color="001D77"/>
              <w:bottom w:val="single" w:sz="4" w:space="0" w:color="001D77"/>
              <w:right w:val="single" w:sz="4" w:space="0" w:color="001D77"/>
            </w:tcBorders>
            <w:vAlign w:val="center"/>
          </w:tcPr>
          <w:p w14:paraId="3D40C58E" w14:textId="5BD75376" w:rsidR="00227625" w:rsidRPr="00475FCB" w:rsidRDefault="00DA55CC" w:rsidP="00227625">
            <w:pPr>
              <w:jc w:val="right"/>
              <w:rPr>
                <w:rFonts w:cs="Arial"/>
                <w:color w:val="000000" w:themeColor="text1"/>
                <w:sz w:val="16"/>
                <w:szCs w:val="16"/>
              </w:rPr>
            </w:pPr>
            <w:r>
              <w:rPr>
                <w:rFonts w:cs="Arial"/>
                <w:color w:val="000000" w:themeColor="text1"/>
                <w:sz w:val="16"/>
                <w:szCs w:val="16"/>
              </w:rPr>
              <w:t>99,8</w:t>
            </w:r>
          </w:p>
        </w:tc>
        <w:tc>
          <w:tcPr>
            <w:tcW w:w="1134" w:type="dxa"/>
            <w:tcBorders>
              <w:top w:val="single" w:sz="4" w:space="0" w:color="001D77"/>
              <w:left w:val="single" w:sz="4" w:space="0" w:color="001D77"/>
              <w:bottom w:val="single" w:sz="4" w:space="0" w:color="001D77"/>
              <w:right w:val="nil"/>
            </w:tcBorders>
            <w:vAlign w:val="center"/>
          </w:tcPr>
          <w:p w14:paraId="69A3E910" w14:textId="6178B182" w:rsidR="00227625" w:rsidRPr="00475FCB" w:rsidRDefault="00DA55CC" w:rsidP="00227625">
            <w:pPr>
              <w:jc w:val="right"/>
              <w:rPr>
                <w:rFonts w:cs="Arial"/>
                <w:color w:val="000000" w:themeColor="text1"/>
                <w:sz w:val="16"/>
                <w:szCs w:val="16"/>
              </w:rPr>
            </w:pPr>
            <w:r>
              <w:rPr>
                <w:rFonts w:cs="Arial"/>
                <w:color w:val="000000" w:themeColor="text1"/>
                <w:sz w:val="16"/>
                <w:szCs w:val="16"/>
              </w:rPr>
              <w:t>86,1</w:t>
            </w:r>
          </w:p>
        </w:tc>
      </w:tr>
      <w:tr w:rsidR="00227625" w14:paraId="3475094B" w14:textId="77777777" w:rsidTr="00227625">
        <w:tc>
          <w:tcPr>
            <w:tcW w:w="2194" w:type="dxa"/>
            <w:tcBorders>
              <w:top w:val="single" w:sz="4" w:space="0" w:color="001D77"/>
              <w:left w:val="nil"/>
              <w:bottom w:val="nil"/>
              <w:right w:val="single" w:sz="4" w:space="0" w:color="001D77"/>
            </w:tcBorders>
            <w:hideMark/>
          </w:tcPr>
          <w:p w14:paraId="031BFA2A" w14:textId="1532336F" w:rsidR="00227625" w:rsidRDefault="00227625" w:rsidP="00227625">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1134" w:type="dxa"/>
            <w:tcBorders>
              <w:top w:val="single" w:sz="4" w:space="0" w:color="001D77"/>
              <w:left w:val="single" w:sz="4" w:space="0" w:color="001D77"/>
              <w:bottom w:val="nil"/>
              <w:right w:val="single" w:sz="4" w:space="0" w:color="001D77"/>
            </w:tcBorders>
            <w:vAlign w:val="center"/>
          </w:tcPr>
          <w:p w14:paraId="6358DC92" w14:textId="542D511A" w:rsidR="00227625" w:rsidRPr="00991B7A" w:rsidRDefault="00227625" w:rsidP="00227625">
            <w:pPr>
              <w:jc w:val="right"/>
              <w:rPr>
                <w:rFonts w:cs="Arial"/>
                <w:color w:val="000000" w:themeColor="text1"/>
                <w:sz w:val="16"/>
                <w:szCs w:val="16"/>
              </w:rPr>
            </w:pPr>
            <w:r>
              <w:rPr>
                <w:rFonts w:cs="Arial"/>
                <w:color w:val="000000" w:themeColor="text1"/>
                <w:sz w:val="16"/>
                <w:szCs w:val="16"/>
              </w:rPr>
              <w:t>100,</w:t>
            </w:r>
            <w:r w:rsidR="00DA55CC">
              <w:rPr>
                <w:rFonts w:cs="Arial"/>
                <w:color w:val="000000" w:themeColor="text1"/>
                <w:sz w:val="16"/>
                <w:szCs w:val="16"/>
              </w:rPr>
              <w:t>4*</w:t>
            </w:r>
          </w:p>
        </w:tc>
        <w:tc>
          <w:tcPr>
            <w:tcW w:w="1134" w:type="dxa"/>
            <w:tcBorders>
              <w:top w:val="single" w:sz="4" w:space="0" w:color="001D77"/>
              <w:left w:val="single" w:sz="4" w:space="0" w:color="001D77"/>
              <w:bottom w:val="nil"/>
              <w:right w:val="single" w:sz="4" w:space="0" w:color="001D77"/>
            </w:tcBorders>
            <w:vAlign w:val="center"/>
          </w:tcPr>
          <w:p w14:paraId="6312B989" w14:textId="3F9442D8" w:rsidR="00227625" w:rsidRPr="00991B7A" w:rsidRDefault="00227625" w:rsidP="00227625">
            <w:pPr>
              <w:jc w:val="right"/>
              <w:rPr>
                <w:rFonts w:cs="Arial"/>
                <w:color w:val="000000" w:themeColor="text1"/>
                <w:sz w:val="16"/>
                <w:szCs w:val="16"/>
              </w:rPr>
            </w:pPr>
            <w:r>
              <w:rPr>
                <w:rFonts w:cs="Arial"/>
                <w:color w:val="000000" w:themeColor="text1"/>
                <w:sz w:val="16"/>
                <w:szCs w:val="16"/>
              </w:rPr>
              <w:t>103,</w:t>
            </w:r>
            <w:r w:rsidR="00DA55CC">
              <w:rPr>
                <w:rFonts w:cs="Arial"/>
                <w:color w:val="000000" w:themeColor="text1"/>
                <w:sz w:val="16"/>
                <w:szCs w:val="16"/>
              </w:rPr>
              <w:t>4*</w:t>
            </w:r>
          </w:p>
        </w:tc>
        <w:tc>
          <w:tcPr>
            <w:tcW w:w="1134" w:type="dxa"/>
            <w:tcBorders>
              <w:top w:val="single" w:sz="4" w:space="0" w:color="001D77"/>
              <w:left w:val="single" w:sz="4" w:space="0" w:color="001D77"/>
              <w:bottom w:val="nil"/>
              <w:right w:val="single" w:sz="4" w:space="0" w:color="001D77"/>
            </w:tcBorders>
            <w:vAlign w:val="center"/>
          </w:tcPr>
          <w:p w14:paraId="6064AE36" w14:textId="62660DC6" w:rsidR="00227625" w:rsidRPr="00475FCB" w:rsidRDefault="00DA55CC" w:rsidP="00227625">
            <w:pPr>
              <w:jc w:val="right"/>
              <w:rPr>
                <w:rFonts w:cs="Arial"/>
                <w:color w:val="000000" w:themeColor="text1"/>
                <w:sz w:val="16"/>
                <w:szCs w:val="16"/>
              </w:rPr>
            </w:pPr>
            <w:r>
              <w:rPr>
                <w:rFonts w:cs="Arial"/>
                <w:color w:val="000000" w:themeColor="text1"/>
                <w:sz w:val="16"/>
                <w:szCs w:val="16"/>
              </w:rPr>
              <w:t>103,4</w:t>
            </w:r>
          </w:p>
        </w:tc>
        <w:tc>
          <w:tcPr>
            <w:tcW w:w="1134" w:type="dxa"/>
            <w:tcBorders>
              <w:top w:val="single" w:sz="4" w:space="0" w:color="001D77"/>
              <w:left w:val="single" w:sz="4" w:space="0" w:color="001D77"/>
              <w:bottom w:val="nil"/>
              <w:right w:val="single" w:sz="4" w:space="0" w:color="001D77"/>
            </w:tcBorders>
            <w:vAlign w:val="center"/>
          </w:tcPr>
          <w:p w14:paraId="117C279C" w14:textId="1BA7F9B4" w:rsidR="00227625" w:rsidRPr="00475FCB" w:rsidRDefault="00DA55CC" w:rsidP="00227625">
            <w:pPr>
              <w:jc w:val="right"/>
              <w:rPr>
                <w:rFonts w:cs="Arial"/>
                <w:color w:val="000000" w:themeColor="text1"/>
                <w:sz w:val="16"/>
                <w:szCs w:val="16"/>
              </w:rPr>
            </w:pPr>
            <w:r>
              <w:rPr>
                <w:rFonts w:cs="Arial"/>
                <w:color w:val="000000" w:themeColor="text1"/>
                <w:sz w:val="16"/>
                <w:szCs w:val="16"/>
              </w:rPr>
              <w:t>100,0</w:t>
            </w:r>
          </w:p>
        </w:tc>
        <w:tc>
          <w:tcPr>
            <w:tcW w:w="1134" w:type="dxa"/>
            <w:tcBorders>
              <w:top w:val="single" w:sz="4" w:space="0" w:color="001D77"/>
              <w:left w:val="single" w:sz="4" w:space="0" w:color="001D77"/>
              <w:bottom w:val="nil"/>
              <w:right w:val="nil"/>
            </w:tcBorders>
            <w:vAlign w:val="center"/>
          </w:tcPr>
          <w:p w14:paraId="4F48BC85" w14:textId="4A572FFE" w:rsidR="00227625" w:rsidRPr="00475FCB" w:rsidRDefault="00DA55CC" w:rsidP="00227625">
            <w:pPr>
              <w:jc w:val="right"/>
              <w:rPr>
                <w:rFonts w:cs="Arial"/>
                <w:color w:val="000000" w:themeColor="text1"/>
                <w:sz w:val="16"/>
                <w:szCs w:val="16"/>
              </w:rPr>
            </w:pPr>
            <w:r>
              <w:rPr>
                <w:rFonts w:cs="Arial"/>
                <w:color w:val="000000" w:themeColor="text1"/>
                <w:sz w:val="16"/>
                <w:szCs w:val="16"/>
              </w:rPr>
              <w:t>102,8</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7A9251CC" w:rsidR="00883E43" w:rsidRPr="00883E43" w:rsidRDefault="00883E43" w:rsidP="00216634">
      <w:pPr>
        <w:spacing w:line="288" w:lineRule="auto"/>
        <w:rPr>
          <w:rFonts w:eastAsia="Times New Roman" w:cs="Times New Roman"/>
          <w:szCs w:val="19"/>
          <w:lang w:eastAsia="pl-PL"/>
        </w:rPr>
      </w:pPr>
    </w:p>
    <w:p w14:paraId="36F56AB9" w14:textId="6E7CE20D" w:rsidR="00883E43" w:rsidRDefault="00883E43" w:rsidP="00883E43">
      <w:pPr>
        <w:rPr>
          <w:lang w:eastAsia="pl-PL"/>
        </w:rPr>
      </w:pPr>
    </w:p>
    <w:p w14:paraId="000C1A12" w14:textId="175F79BA"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A8523A">
        <w:rPr>
          <w:rFonts w:ascii="Fira Sans" w:hAnsi="Fira Sans"/>
          <w:b/>
          <w:szCs w:val="19"/>
        </w:rPr>
        <w:t xml:space="preserve">w </w:t>
      </w:r>
      <w:r w:rsidR="004E327C">
        <w:rPr>
          <w:rFonts w:ascii="Fira Sans" w:hAnsi="Fira Sans"/>
          <w:b/>
          <w:szCs w:val="19"/>
        </w:rPr>
        <w:t>grudniu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z</w:t>
      </w:r>
      <w:r w:rsidR="00B47B33">
        <w:rPr>
          <w:rFonts w:ascii="Fira Sans" w:hAnsi="Fira Sans"/>
          <w:b/>
          <w:szCs w:val="19"/>
        </w:rPr>
        <w:t> </w:t>
      </w:r>
      <w:r w:rsidR="00AB507D">
        <w:rPr>
          <w:rFonts w:ascii="Fira Sans" w:hAnsi="Fira Sans"/>
          <w:b/>
          <w:szCs w:val="19"/>
        </w:rPr>
        <w:t xml:space="preserve"> </w:t>
      </w:r>
      <w:r w:rsidR="004E327C">
        <w:rPr>
          <w:rFonts w:ascii="Fira Sans" w:hAnsi="Fira Sans"/>
          <w:b/>
          <w:szCs w:val="19"/>
        </w:rPr>
        <w:t>listopadem</w:t>
      </w:r>
      <w:r w:rsidR="00B47B33">
        <w:rPr>
          <w:rFonts w:ascii="Fira Sans" w:hAnsi="Fira Sans"/>
          <w:b/>
          <w:szCs w:val="19"/>
        </w:rPr>
        <w:t> </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3A9B45FC" w:rsidR="00FB1CDE" w:rsidRDefault="00C04C07" w:rsidP="002D6A72">
      <w:pPr>
        <w:jc w:val="both"/>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sidR="00A8523A">
        <w:rPr>
          <w:spacing w:val="-6"/>
          <w:shd w:val="clear" w:color="auto" w:fill="FFFFFF"/>
        </w:rPr>
        <w:t xml:space="preserve">w </w:t>
      </w:r>
      <w:r w:rsidR="004E327C">
        <w:rPr>
          <w:spacing w:val="-6"/>
          <w:shd w:val="clear" w:color="auto" w:fill="FFFFFF"/>
        </w:rPr>
        <w:t>grudniu</w:t>
      </w:r>
      <w:r w:rsidR="00B47B33">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sidR="004E327C">
        <w:rPr>
          <w:spacing w:val="-6"/>
          <w:shd w:val="clear" w:color="auto" w:fill="FFFFFF"/>
        </w:rPr>
        <w:t>spadły</w:t>
      </w:r>
      <w:r w:rsidR="002D6A72">
        <w:rPr>
          <w:spacing w:val="-6"/>
          <w:shd w:val="clear" w:color="auto" w:fill="FFFFFF"/>
        </w:rPr>
        <w:t xml:space="preserve"> </w:t>
      </w:r>
      <w:r w:rsidR="00A55249" w:rsidRPr="00A55249">
        <w:rPr>
          <w:spacing w:val="-6"/>
          <w:shd w:val="clear" w:color="auto" w:fill="FFFFFF"/>
        </w:rPr>
        <w:t>w</w:t>
      </w:r>
      <w:r w:rsidR="000E6798">
        <w:rPr>
          <w:spacing w:val="-6"/>
          <w:shd w:val="clear" w:color="auto" w:fill="FFFFFF"/>
        </w:rPr>
        <w:t> </w:t>
      </w:r>
      <w:r w:rsidR="00A55249" w:rsidRPr="00A55249">
        <w:rPr>
          <w:spacing w:val="-6"/>
          <w:shd w:val="clear" w:color="auto" w:fill="FFFFFF"/>
        </w:rPr>
        <w:t xml:space="preserve">porównaniu do </w:t>
      </w:r>
      <w:r w:rsidR="004E327C">
        <w:rPr>
          <w:spacing w:val="-6"/>
          <w:shd w:val="clear" w:color="auto" w:fill="FFFFFF"/>
        </w:rPr>
        <w:t>listopada</w:t>
      </w:r>
      <w:r w:rsidR="00A55249" w:rsidRPr="00A55249">
        <w:rPr>
          <w:spacing w:val="-6"/>
          <w:shd w:val="clear" w:color="auto" w:fill="FFFFFF"/>
        </w:rPr>
        <w:t xml:space="preserve"> 2024 r.</w:t>
      </w:r>
      <w:r w:rsidR="000429DE">
        <w:rPr>
          <w:spacing w:val="-6"/>
          <w:shd w:val="clear" w:color="auto" w:fill="FFFFFF"/>
        </w:rPr>
        <w:t xml:space="preserve"> </w:t>
      </w:r>
      <w:r w:rsidR="00D261D9" w:rsidRPr="00A55249">
        <w:rPr>
          <w:spacing w:val="-6"/>
          <w:shd w:val="clear" w:color="auto" w:fill="FFFFFF"/>
        </w:rPr>
        <w:t>– o 0,</w:t>
      </w:r>
      <w:r w:rsidR="004E327C">
        <w:rPr>
          <w:spacing w:val="-6"/>
          <w:shd w:val="clear" w:color="auto" w:fill="FFFFFF"/>
        </w:rPr>
        <w:t>2</w:t>
      </w:r>
      <w:r w:rsidR="00D261D9" w:rsidRPr="00A55249">
        <w:rPr>
          <w:spacing w:val="-6"/>
          <w:shd w:val="clear" w:color="auto" w:fill="FFFFFF"/>
        </w:rPr>
        <w:t>%</w:t>
      </w:r>
      <w:r w:rsidR="00D261D9">
        <w:rPr>
          <w:spacing w:val="-6"/>
          <w:shd w:val="clear" w:color="auto" w:fill="FFFFFF"/>
        </w:rPr>
        <w:t xml:space="preserve">. </w:t>
      </w:r>
      <w:r w:rsidR="002D6A72">
        <w:rPr>
          <w:spacing w:val="-6"/>
          <w:shd w:val="clear" w:color="auto" w:fill="FFFFFF"/>
        </w:rPr>
        <w:t xml:space="preserve">Największy </w:t>
      </w:r>
      <w:r w:rsidR="004E327C">
        <w:rPr>
          <w:spacing w:val="-6"/>
          <w:shd w:val="clear" w:color="auto" w:fill="FFFFFF"/>
        </w:rPr>
        <w:t>spadek</w:t>
      </w:r>
      <w:r w:rsidR="000429DE">
        <w:rPr>
          <w:spacing w:val="-6"/>
          <w:shd w:val="clear" w:color="auto" w:fill="FFFFFF"/>
        </w:rPr>
        <w:t xml:space="preserve"> </w:t>
      </w:r>
      <w:r w:rsidR="000429DE">
        <w:rPr>
          <w:bCs/>
          <w:spacing w:val="-6"/>
          <w:shd w:val="clear" w:color="auto" w:fill="FFFFFF"/>
        </w:rPr>
        <w:t xml:space="preserve">cen </w:t>
      </w:r>
      <w:r w:rsidR="00082237">
        <w:rPr>
          <w:bCs/>
          <w:spacing w:val="-6"/>
          <w:shd w:val="clear" w:color="auto" w:fill="FFFFFF"/>
        </w:rPr>
        <w:t xml:space="preserve">zanotowano </w:t>
      </w:r>
      <w:r w:rsidR="00A52D3D">
        <w:rPr>
          <w:spacing w:val="-6"/>
          <w:shd w:val="clear" w:color="auto" w:fill="FFFFFF"/>
        </w:rPr>
        <w:t xml:space="preserve">w sekcji </w:t>
      </w:r>
      <w:r w:rsidR="004E327C" w:rsidRPr="001D3D02">
        <w:rPr>
          <w:b/>
          <w:spacing w:val="-6"/>
          <w:shd w:val="clear" w:color="auto" w:fill="FFFFFF"/>
        </w:rPr>
        <w:t>górnictw</w:t>
      </w:r>
      <w:r w:rsidR="004E327C">
        <w:rPr>
          <w:b/>
          <w:spacing w:val="-6"/>
          <w:shd w:val="clear" w:color="auto" w:fill="FFFFFF"/>
        </w:rPr>
        <w:t>o</w:t>
      </w:r>
      <w:r w:rsidR="004E327C" w:rsidRPr="001D3D02">
        <w:rPr>
          <w:b/>
          <w:spacing w:val="-6"/>
          <w:shd w:val="clear" w:color="auto" w:fill="FFFFFF"/>
        </w:rPr>
        <w:t xml:space="preserve"> i</w:t>
      </w:r>
      <w:r w:rsidR="00243D1A">
        <w:rPr>
          <w:b/>
          <w:spacing w:val="-6"/>
          <w:shd w:val="clear" w:color="auto" w:fill="FFFFFF"/>
        </w:rPr>
        <w:t> </w:t>
      </w:r>
      <w:r w:rsidR="004E327C" w:rsidRPr="006D26F7">
        <w:rPr>
          <w:b/>
          <w:spacing w:val="-6"/>
          <w:shd w:val="clear" w:color="auto" w:fill="FFFFFF"/>
        </w:rPr>
        <w:t>wydobywani</w:t>
      </w:r>
      <w:r w:rsidR="004E327C">
        <w:rPr>
          <w:b/>
          <w:spacing w:val="-6"/>
          <w:shd w:val="clear" w:color="auto" w:fill="FFFFFF"/>
        </w:rPr>
        <w:t>e</w:t>
      </w:r>
      <w:r w:rsidR="00243D1A">
        <w:rPr>
          <w:b/>
          <w:spacing w:val="-6"/>
          <w:shd w:val="clear" w:color="auto" w:fill="FFFFFF"/>
        </w:rPr>
        <w:t xml:space="preserve"> </w:t>
      </w:r>
      <w:r w:rsidR="004E327C" w:rsidRPr="00EE4781">
        <w:rPr>
          <w:spacing w:val="-6"/>
          <w:shd w:val="clear" w:color="auto" w:fill="FFFFFF"/>
        </w:rPr>
        <w:t>–</w:t>
      </w:r>
      <w:r w:rsidR="004E327C" w:rsidRPr="00EE4781">
        <w:rPr>
          <w:spacing w:val="-6"/>
        </w:rPr>
        <w:t xml:space="preserve"> </w:t>
      </w:r>
      <w:r w:rsidR="004E327C" w:rsidRPr="00EE4781">
        <w:rPr>
          <w:bCs/>
          <w:spacing w:val="-6"/>
          <w:shd w:val="clear" w:color="auto" w:fill="FFFFFF"/>
        </w:rPr>
        <w:t xml:space="preserve">o </w:t>
      </w:r>
      <w:r w:rsidR="004E327C">
        <w:rPr>
          <w:bCs/>
          <w:spacing w:val="-6"/>
          <w:shd w:val="clear" w:color="auto" w:fill="FFFFFF"/>
        </w:rPr>
        <w:t>1,5</w:t>
      </w:r>
      <w:r w:rsidR="004E327C" w:rsidRPr="00EE4781">
        <w:rPr>
          <w:bCs/>
          <w:spacing w:val="-6"/>
          <w:shd w:val="clear" w:color="auto" w:fill="FFFFFF"/>
        </w:rPr>
        <w:t xml:space="preserve">%, </w:t>
      </w:r>
      <w:r w:rsidR="004E327C">
        <w:rPr>
          <w:spacing w:val="-6"/>
          <w:shd w:val="clear" w:color="auto" w:fill="FFFFFF"/>
        </w:rPr>
        <w:t xml:space="preserve">w tym w górnictwie rud metali – o </w:t>
      </w:r>
      <w:r w:rsidR="00243D1A">
        <w:rPr>
          <w:spacing w:val="-6"/>
          <w:shd w:val="clear" w:color="auto" w:fill="FFFFFF"/>
        </w:rPr>
        <w:t>2,4</w:t>
      </w:r>
      <w:r w:rsidR="004E327C">
        <w:rPr>
          <w:spacing w:val="-6"/>
          <w:shd w:val="clear" w:color="auto" w:fill="FFFFFF"/>
        </w:rPr>
        <w:t>%, a w  wydobywaniu węgla kamiennego i </w:t>
      </w:r>
      <w:r w:rsidR="004E327C" w:rsidRPr="00665010">
        <w:rPr>
          <w:spacing w:val="-6"/>
          <w:shd w:val="clear" w:color="auto" w:fill="FFFFFF"/>
        </w:rPr>
        <w:t>węgla brunatnego (lignitu)</w:t>
      </w:r>
      <w:r w:rsidR="004E327C">
        <w:rPr>
          <w:spacing w:val="-6"/>
          <w:shd w:val="clear" w:color="auto" w:fill="FFFFFF"/>
        </w:rPr>
        <w:t xml:space="preserve"> o </w:t>
      </w:r>
      <w:r w:rsidR="00243D1A">
        <w:rPr>
          <w:spacing w:val="-6"/>
          <w:shd w:val="clear" w:color="auto" w:fill="FFFFFF"/>
        </w:rPr>
        <w:t>1,5</w:t>
      </w:r>
      <w:r w:rsidR="004E327C">
        <w:rPr>
          <w:spacing w:val="-6"/>
          <w:shd w:val="clear" w:color="auto" w:fill="FFFFFF"/>
        </w:rPr>
        <w:t>%</w:t>
      </w:r>
      <w:r w:rsidR="004E327C" w:rsidRPr="00656D25">
        <w:rPr>
          <w:spacing w:val="-6"/>
          <w:shd w:val="clear" w:color="auto" w:fill="FFFFFF"/>
        </w:rPr>
        <w:t>.</w:t>
      </w:r>
      <w:r w:rsidR="00243D1A">
        <w:rPr>
          <w:spacing w:val="-6"/>
          <w:shd w:val="clear" w:color="auto" w:fill="FFFFFF"/>
        </w:rPr>
        <w:t xml:space="preserve"> Obniżono również ceny w sekcji </w:t>
      </w:r>
      <w:r w:rsidR="00243D1A" w:rsidRPr="00B84F73">
        <w:rPr>
          <w:b/>
          <w:bCs/>
          <w:spacing w:val="-6"/>
          <w:shd w:val="clear" w:color="auto" w:fill="FFFFFF"/>
        </w:rPr>
        <w:t>wytwarzani</w:t>
      </w:r>
      <w:r w:rsidR="00243D1A">
        <w:rPr>
          <w:b/>
          <w:bCs/>
          <w:spacing w:val="-6"/>
          <w:shd w:val="clear" w:color="auto" w:fill="FFFFFF"/>
        </w:rPr>
        <w:t>e</w:t>
      </w:r>
      <w:r w:rsidR="00243D1A" w:rsidRPr="00B84F73">
        <w:rPr>
          <w:b/>
          <w:bCs/>
          <w:spacing w:val="-6"/>
          <w:shd w:val="clear" w:color="auto" w:fill="FFFFFF"/>
        </w:rPr>
        <w:t xml:space="preserve"> i zaopatrywani</w:t>
      </w:r>
      <w:r w:rsidR="00243D1A">
        <w:rPr>
          <w:b/>
          <w:bCs/>
          <w:spacing w:val="-6"/>
          <w:shd w:val="clear" w:color="auto" w:fill="FFFFFF"/>
        </w:rPr>
        <w:t>e</w:t>
      </w:r>
      <w:r w:rsidR="00243D1A" w:rsidRPr="00B84F73">
        <w:rPr>
          <w:b/>
          <w:bCs/>
          <w:spacing w:val="-6"/>
          <w:shd w:val="clear" w:color="auto" w:fill="FFFFFF"/>
        </w:rPr>
        <w:t xml:space="preserve"> w energię elektryczną, gaz, parę wodną i</w:t>
      </w:r>
      <w:r w:rsidR="00243D1A">
        <w:rPr>
          <w:b/>
          <w:bCs/>
          <w:spacing w:val="-6"/>
          <w:shd w:val="clear" w:color="auto" w:fill="FFFFFF"/>
        </w:rPr>
        <w:t> </w:t>
      </w:r>
      <w:r w:rsidR="00243D1A" w:rsidRPr="00B84F73">
        <w:rPr>
          <w:b/>
          <w:bCs/>
          <w:spacing w:val="-6"/>
          <w:shd w:val="clear" w:color="auto" w:fill="FFFFFF"/>
        </w:rPr>
        <w:t>gorącą wodę</w:t>
      </w:r>
      <w:r w:rsidR="00243D1A">
        <w:rPr>
          <w:spacing w:val="-6"/>
        </w:rPr>
        <w:t xml:space="preserve"> – o 0,2%, a także w sekcji </w:t>
      </w:r>
      <w:r w:rsidR="00A52D3D" w:rsidRPr="00BB0708">
        <w:rPr>
          <w:b/>
          <w:spacing w:val="-6"/>
          <w:shd w:val="clear" w:color="auto" w:fill="FFFFFF"/>
        </w:rPr>
        <w:t>przetwórstw</w:t>
      </w:r>
      <w:r w:rsidR="00A52D3D">
        <w:rPr>
          <w:b/>
          <w:spacing w:val="-6"/>
          <w:shd w:val="clear" w:color="auto" w:fill="FFFFFF"/>
        </w:rPr>
        <w:t>o</w:t>
      </w:r>
      <w:r w:rsidR="00A52D3D" w:rsidRPr="00BB0708">
        <w:rPr>
          <w:b/>
          <w:spacing w:val="-6"/>
          <w:shd w:val="clear" w:color="auto" w:fill="FFFFFF"/>
        </w:rPr>
        <w:t xml:space="preserve"> przemysłow</w:t>
      </w:r>
      <w:r w:rsidR="00A52D3D">
        <w:rPr>
          <w:b/>
          <w:spacing w:val="-6"/>
          <w:shd w:val="clear" w:color="auto" w:fill="FFFFFF"/>
        </w:rPr>
        <w:t>e</w:t>
      </w:r>
      <w:r w:rsidR="00A52D3D">
        <w:rPr>
          <w:spacing w:val="-6"/>
          <w:shd w:val="clear" w:color="auto" w:fill="FFFFFF"/>
        </w:rPr>
        <w:t xml:space="preserve"> </w:t>
      </w:r>
      <w:r w:rsidR="00A52D3D" w:rsidRPr="00CB500E">
        <w:rPr>
          <w:spacing w:val="-6"/>
        </w:rPr>
        <w:t>–</w:t>
      </w:r>
      <w:r w:rsidR="00A52D3D">
        <w:rPr>
          <w:spacing w:val="-6"/>
        </w:rPr>
        <w:t> o 0,</w:t>
      </w:r>
      <w:r w:rsidR="00243D1A">
        <w:rPr>
          <w:spacing w:val="-6"/>
        </w:rPr>
        <w:t>1</w:t>
      </w:r>
      <w:r w:rsidR="00A52D3D">
        <w:rPr>
          <w:spacing w:val="-6"/>
        </w:rPr>
        <w:t xml:space="preserve">%. </w:t>
      </w:r>
    </w:p>
    <w:p w14:paraId="748D90D8" w14:textId="3A4051AD" w:rsidR="00EE4781" w:rsidRDefault="00EE4781" w:rsidP="00EE4781">
      <w:pPr>
        <w:spacing w:after="0"/>
        <w:rPr>
          <w:spacing w:val="-6"/>
        </w:rPr>
      </w:pPr>
    </w:p>
    <w:bookmarkStart w:id="0" w:name="_Hlk156312737"/>
    <w:p w14:paraId="0CB81036" w14:textId="69C8FF5A" w:rsidR="00FB1CDE" w:rsidRPr="00CF0A53" w:rsidRDefault="00FB24A6" w:rsidP="00C25CC3">
      <w:pPr>
        <w:pStyle w:val="Tytuwykresu0"/>
        <w:ind w:left="851" w:hanging="851"/>
        <w:rPr>
          <w:rFonts w:ascii="Fira Sans" w:hAnsi="Fira Sans"/>
        </w:rPr>
      </w:pPr>
      <w:r w:rsidRPr="00966C9A">
        <mc:AlternateContent>
          <mc:Choice Requires="wps">
            <w:drawing>
              <wp:anchor distT="45720" distB="45720" distL="114300" distR="114300" simplePos="0" relativeHeight="251759616" behindDoc="1" locked="0" layoutInCell="1" allowOverlap="1" wp14:anchorId="18265EB0" wp14:editId="1FA4F974">
                <wp:simplePos x="0" y="0"/>
                <wp:positionH relativeFrom="column">
                  <wp:posOffset>5257800</wp:posOffset>
                </wp:positionH>
                <wp:positionV relativeFrom="paragraph">
                  <wp:posOffset>1161415</wp:posOffset>
                </wp:positionV>
                <wp:extent cx="1801495" cy="1876425"/>
                <wp:effectExtent l="0" t="0" r="0" b="0"/>
                <wp:wrapTight wrapText="bothSides">
                  <wp:wrapPolygon edited="0">
                    <wp:start x="685" y="0"/>
                    <wp:lineTo x="685" y="21271"/>
                    <wp:lineTo x="20785" y="21271"/>
                    <wp:lineTo x="20785" y="0"/>
                    <wp:lineTo x="685" y="0"/>
                  </wp:wrapPolygon>
                </wp:wrapTight>
                <wp:docPr id="4" name="Pole tekstowe 4" descr="Spośród działów przetwórstwa przemysłowego w grudniu 2024 r. w stosunku do miesiąca poprzedniego najbardziej obniżono ceny poligrafii i reprodukcji zapisanych nośników informa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876425"/>
                        </a:xfrm>
                        <a:prstGeom prst="rect">
                          <a:avLst/>
                        </a:prstGeom>
                        <a:noFill/>
                        <a:ln w="9525">
                          <a:noFill/>
                          <a:miter lim="800000"/>
                          <a:headEnd/>
                          <a:tailEnd/>
                        </a:ln>
                      </wps:spPr>
                      <wps:txbx>
                        <w:txbxContent>
                          <w:p w14:paraId="3D2AA17C" w14:textId="756E9E11" w:rsidR="00E564B6" w:rsidRPr="005546DA" w:rsidRDefault="00883E43" w:rsidP="00E564B6">
                            <w:pPr>
                              <w:pStyle w:val="tekstzboku"/>
                              <w:rPr>
                                <w:iCs/>
                              </w:rPr>
                            </w:pPr>
                            <w:r w:rsidRPr="005546DA">
                              <w:rPr>
                                <w:iCs/>
                              </w:rPr>
                              <w:t xml:space="preserve">Spośród działów przetwórstwa przemysłowego </w:t>
                            </w:r>
                            <w:r w:rsidR="00FB24A6">
                              <w:rPr>
                                <w:iCs/>
                              </w:rPr>
                              <w:t xml:space="preserve">w </w:t>
                            </w:r>
                            <w:r w:rsidR="00243D1A">
                              <w:rPr>
                                <w:iCs/>
                              </w:rPr>
                              <w:t>grudniu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2C3B3B">
                              <w:rPr>
                                <w:iCs/>
                              </w:rPr>
                              <w:t>obniżono</w:t>
                            </w:r>
                            <w:r w:rsidR="00950E4C">
                              <w:rPr>
                                <w:iCs/>
                              </w:rPr>
                              <w:t xml:space="preserve"> ceny</w:t>
                            </w:r>
                            <w:r w:rsidR="002C3B3B">
                              <w:rPr>
                                <w:iCs/>
                              </w:rPr>
                              <w:t xml:space="preserve"> poligrafii i reprodukcji zapisanych nośników informacji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grudniu 2024 r. w stosunku do miesiąca poprzedniego najbardziej obniżono ceny poligrafii i reprodukcji zapisanych nośników informacji" style="position:absolute;left:0;text-align:left;margin-left:414pt;margin-top:91.45pt;width:141.85pt;height:147.7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" filled="f" stroked="f">
                <v:textbox>
                  <w:txbxContent>
                    <w:p w14:paraId="3D2AA17C" w14:textId="756E9E11" w:rsidR="00E564B6" w:rsidRPr="005546DA" w:rsidRDefault="00883E43" w:rsidP="00E564B6">
                      <w:pPr>
                        <w:pStyle w:val="tekstzboku"/>
                        <w:rPr>
                          <w:iCs/>
                        </w:rPr>
                      </w:pPr>
                      <w:r w:rsidRPr="005546DA">
                        <w:rPr>
                          <w:iCs/>
                        </w:rPr>
                        <w:t xml:space="preserve">Spośród działów przetwórstwa przemysłowego </w:t>
                      </w:r>
                      <w:r w:rsidR="00FB24A6">
                        <w:rPr>
                          <w:iCs/>
                        </w:rPr>
                        <w:t xml:space="preserve">w </w:t>
                      </w:r>
                      <w:r w:rsidR="00243D1A">
                        <w:rPr>
                          <w:iCs/>
                        </w:rPr>
                        <w:t>grudniu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2C3B3B">
                        <w:rPr>
                          <w:iCs/>
                        </w:rPr>
                        <w:t>obniżono</w:t>
                      </w:r>
                      <w:r w:rsidR="00950E4C">
                        <w:rPr>
                          <w:iCs/>
                        </w:rPr>
                        <w:t xml:space="preserve"> ceny</w:t>
                      </w:r>
                      <w:r w:rsidR="002C3B3B">
                        <w:rPr>
                          <w:iCs/>
                        </w:rPr>
                        <w:t xml:space="preserve"> poligrafii i reprodukcji zapisanych nośników informacji</w:t>
                      </w:r>
                    </w:p>
                  </w:txbxContent>
                </v:textbox>
                <w10:wrap type="tight"/>
              </v:shape>
            </w:pict>
          </mc:Fallback>
        </mc:AlternateContent>
      </w:r>
      <w:r w:rsidR="00D75DDC" w:rsidRPr="00464878">
        <w:rPr>
          <w:spacing w:val="-6"/>
          <w:sz w:val="12"/>
          <w:szCs w:val="12"/>
          <w:shd w:val="clear" w:color="auto" w:fill="FFFFFF"/>
        </w:rPr>
        <w:drawing>
          <wp:anchor distT="0" distB="0" distL="114300" distR="114300" simplePos="0" relativeHeight="251843584" behindDoc="0" locked="0" layoutInCell="1" allowOverlap="1" wp14:anchorId="48E6C635" wp14:editId="60A75461">
            <wp:simplePos x="0" y="0"/>
            <wp:positionH relativeFrom="column">
              <wp:posOffset>38100</wp:posOffset>
            </wp:positionH>
            <wp:positionV relativeFrom="paragraph">
              <wp:posOffset>712470</wp:posOffset>
            </wp:positionV>
            <wp:extent cx="5166360" cy="2988310"/>
            <wp:effectExtent l="0" t="0" r="0" b="2540"/>
            <wp:wrapTopAndBottom/>
            <wp:docPr id="3" name="Wykres 3" descr="Wykres 1. Zmiany cen w sekcji przetwórstwo przemysłowe według działów w grudniu 2024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082237">
        <w:rPr>
          <w:rFonts w:ascii="Fira Sans" w:hAnsi="Fira Sans"/>
        </w:rPr>
        <w:t xml:space="preserve">w </w:t>
      </w:r>
      <w:r w:rsidR="00243D1A">
        <w:rPr>
          <w:rFonts w:ascii="Fira Sans" w:hAnsi="Fira Sans"/>
        </w:rPr>
        <w:t>grudniu</w:t>
      </w:r>
      <w:r w:rsidR="00E7339C">
        <w:rPr>
          <w:rFonts w:ascii="Fira Sans" w:hAnsi="Fira Sans"/>
        </w:rPr>
        <w:t xml:space="preserve">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0"/>
    <w:p w14:paraId="0C52976D" w14:textId="54DAB105" w:rsidR="00445B7B" w:rsidRDefault="00445B7B" w:rsidP="00C25CC3">
      <w:pPr>
        <w:ind w:left="851"/>
        <w:rPr>
          <w:spacing w:val="-6"/>
        </w:rPr>
      </w:pPr>
    </w:p>
    <w:p w14:paraId="2F5EC1FA" w14:textId="25882201" w:rsidR="002D6A72" w:rsidRDefault="00243D1A" w:rsidP="002D6A72">
      <w:pPr>
        <w:jc w:val="both"/>
        <w:rPr>
          <w:spacing w:val="-6"/>
        </w:rPr>
      </w:pPr>
      <w:r>
        <w:rPr>
          <w:spacing w:val="-6"/>
          <w:shd w:val="clear" w:color="auto" w:fill="FFFFFF"/>
        </w:rPr>
        <w:t>Ceny w sekcji</w:t>
      </w:r>
      <w:r w:rsidRPr="00A52D3D">
        <w:rPr>
          <w:spacing w:val="-6"/>
          <w:shd w:val="clear" w:color="auto" w:fill="FFFFFF"/>
        </w:rPr>
        <w:t xml:space="preserve"> </w:t>
      </w:r>
      <w:r w:rsidRPr="00A52D3D">
        <w:rPr>
          <w:b/>
          <w:spacing w:val="-6"/>
          <w:shd w:val="clear" w:color="auto" w:fill="FFFFFF"/>
        </w:rPr>
        <w:t>dostaw</w:t>
      </w:r>
      <w:r>
        <w:rPr>
          <w:b/>
          <w:spacing w:val="-6"/>
          <w:shd w:val="clear" w:color="auto" w:fill="FFFFFF"/>
        </w:rPr>
        <w:t>a</w:t>
      </w:r>
      <w:r w:rsidRPr="00A52D3D">
        <w:rPr>
          <w:b/>
          <w:spacing w:val="-6"/>
          <w:shd w:val="clear" w:color="auto" w:fill="FFFFFF"/>
        </w:rPr>
        <w:t xml:space="preserve"> wody; gospodarowaniu ściekami i odpadami; rekultywacj</w:t>
      </w:r>
      <w:r>
        <w:rPr>
          <w:b/>
          <w:spacing w:val="-6"/>
          <w:shd w:val="clear" w:color="auto" w:fill="FFFFFF"/>
        </w:rPr>
        <w:t xml:space="preserve">a </w:t>
      </w:r>
      <w:r>
        <w:rPr>
          <w:spacing w:val="-6"/>
          <w:shd w:val="clear" w:color="auto" w:fill="FFFFFF"/>
        </w:rPr>
        <w:t>utrzymały się na poziomie zbliżonym do notowanych w poprzednim miesiącu.</w:t>
      </w:r>
    </w:p>
    <w:p w14:paraId="129EC614" w14:textId="26E872B2" w:rsidR="00CF1BC6" w:rsidRDefault="00CF1BC6" w:rsidP="00883E43">
      <w:pPr>
        <w:rPr>
          <w:spacing w:val="-6"/>
        </w:rPr>
      </w:pPr>
    </w:p>
    <w:p w14:paraId="56625C36" w14:textId="752C7415"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66192DD4"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A27152">
        <w:rPr>
          <w:rFonts w:eastAsia="Times New Roman" w:cs="Times New Roman"/>
          <w:b/>
          <w:bCs/>
          <w:color w:val="001D77"/>
          <w:szCs w:val="19"/>
          <w:lang w:eastAsia="pl-PL"/>
        </w:rPr>
        <w:t xml:space="preserve">w </w:t>
      </w:r>
      <w:r w:rsidR="00243D1A">
        <w:rPr>
          <w:rFonts w:eastAsia="Times New Roman" w:cs="Times New Roman"/>
          <w:b/>
          <w:bCs/>
          <w:color w:val="001D77"/>
          <w:szCs w:val="19"/>
          <w:lang w:eastAsia="pl-PL"/>
        </w:rPr>
        <w:t>grudniu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243D1A">
        <w:rPr>
          <w:rFonts w:eastAsia="Times New Roman" w:cs="Times New Roman"/>
          <w:b/>
          <w:bCs/>
          <w:color w:val="001D77"/>
          <w:szCs w:val="19"/>
          <w:lang w:eastAsia="pl-PL"/>
        </w:rPr>
        <w:t>grudniem</w:t>
      </w:r>
      <w:r w:rsidR="00453B07">
        <w:rPr>
          <w:rFonts w:eastAsia="Times New Roman" w:cs="Times New Roman"/>
          <w:b/>
          <w:bCs/>
          <w:color w:val="001D77"/>
          <w:szCs w:val="19"/>
          <w:lang w:eastAsia="pl-PL"/>
        </w:rPr>
        <w:t>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1479F1E0" w:rsidR="0066387C" w:rsidRDefault="0066387C" w:rsidP="00FB1CDE">
      <w:pPr>
        <w:spacing w:after="0"/>
        <w:ind w:left="68"/>
        <w:rPr>
          <w:shd w:val="clear" w:color="auto" w:fill="FFFFFF"/>
        </w:rPr>
      </w:pPr>
    </w:p>
    <w:p w14:paraId="21F52C32" w14:textId="4BD95FFB" w:rsidR="00EE1130" w:rsidRDefault="00A27152" w:rsidP="00FB1CDE">
      <w:pPr>
        <w:spacing w:after="0"/>
        <w:ind w:left="68"/>
        <w:rPr>
          <w:shd w:val="clear" w:color="auto" w:fill="FFFFFF"/>
        </w:rPr>
      </w:pPr>
      <w:r>
        <w:rPr>
          <w:shd w:val="clear" w:color="auto" w:fill="FFFFFF"/>
        </w:rPr>
        <w:t xml:space="preserve">W </w:t>
      </w:r>
      <w:r w:rsidR="00243D1A">
        <w:rPr>
          <w:shd w:val="clear" w:color="auto" w:fill="FFFFFF"/>
        </w:rPr>
        <w:t>grudniu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883E43" w:rsidRPr="00295375">
        <w:rPr>
          <w:shd w:val="clear" w:color="auto" w:fill="FFFFFF"/>
        </w:rPr>
        <w:t xml:space="preserve">o </w:t>
      </w:r>
      <w:r w:rsidR="00243D1A">
        <w:rPr>
          <w:shd w:val="clear" w:color="auto" w:fill="FFFFFF"/>
        </w:rPr>
        <w:t>2,6</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 xml:space="preserve">padek cen odnotowano </w:t>
      </w:r>
      <w:r w:rsidR="00F43D78">
        <w:rPr>
          <w:shd w:val="clear" w:color="auto" w:fill="FFFFFF"/>
        </w:rPr>
        <w:t xml:space="preserve">w sekcji </w:t>
      </w:r>
      <w:r w:rsidR="00F43D78" w:rsidRPr="00C555F9">
        <w:rPr>
          <w:b/>
          <w:shd w:val="clear" w:color="auto" w:fill="FFFFFF"/>
        </w:rPr>
        <w:t>wytwarzanie i zaopatrywanie w energię elektryczną, gaz, parę wodną i gorącą wodę</w:t>
      </w:r>
      <w:r w:rsidR="00F43D78" w:rsidRPr="00C555F9">
        <w:rPr>
          <w:shd w:val="clear" w:color="auto" w:fill="FFFFFF"/>
        </w:rPr>
        <w:t xml:space="preserve"> </w:t>
      </w:r>
      <w:r w:rsidR="00F43D78">
        <w:rPr>
          <w:shd w:val="clear" w:color="auto" w:fill="FFFFFF"/>
        </w:rPr>
        <w:t>– o 1</w:t>
      </w:r>
      <w:r w:rsidR="00E310D2">
        <w:rPr>
          <w:shd w:val="clear" w:color="auto" w:fill="FFFFFF"/>
        </w:rPr>
        <w:t>0</w:t>
      </w:r>
      <w:r w:rsidR="00F43D78">
        <w:rPr>
          <w:shd w:val="clear" w:color="auto" w:fill="FFFFFF"/>
        </w:rPr>
        <w:t xml:space="preserve">,1%. Obniżono również ceny w </w:t>
      </w:r>
      <w:r w:rsidR="00243D1A">
        <w:rPr>
          <w:shd w:val="clear" w:color="auto" w:fill="FFFFFF"/>
        </w:rPr>
        <w:t xml:space="preserve">sekcji </w:t>
      </w:r>
      <w:r w:rsidR="00243D1A" w:rsidRPr="00B84F73">
        <w:rPr>
          <w:b/>
          <w:shd w:val="clear" w:color="auto" w:fill="FFFFFF"/>
        </w:rPr>
        <w:t xml:space="preserve">górnictwo i wydobywanie </w:t>
      </w:r>
      <w:r w:rsidR="00243D1A">
        <w:rPr>
          <w:shd w:val="clear" w:color="auto" w:fill="FFFFFF"/>
        </w:rPr>
        <w:t xml:space="preserve">– </w:t>
      </w:r>
      <w:r w:rsidR="00243D1A" w:rsidRPr="00B84F73">
        <w:rPr>
          <w:shd w:val="clear" w:color="auto" w:fill="FFFFFF"/>
        </w:rPr>
        <w:t xml:space="preserve">o </w:t>
      </w:r>
      <w:r w:rsidR="00243D1A">
        <w:rPr>
          <w:shd w:val="clear" w:color="auto" w:fill="FFFFFF"/>
        </w:rPr>
        <w:t>5,8</w:t>
      </w:r>
      <w:r w:rsidR="00243D1A" w:rsidRPr="00B84F73">
        <w:rPr>
          <w:shd w:val="clear" w:color="auto" w:fill="FFFFFF"/>
        </w:rPr>
        <w:t>%</w:t>
      </w:r>
      <w:r w:rsidR="00243D1A">
        <w:rPr>
          <w:shd w:val="clear" w:color="auto" w:fill="FFFFFF"/>
        </w:rPr>
        <w:t>, w tym w </w:t>
      </w:r>
      <w:r w:rsidR="00243D1A" w:rsidRPr="00B43AD5">
        <w:rPr>
          <w:shd w:val="clear" w:color="auto" w:fill="FFFFFF"/>
        </w:rPr>
        <w:t xml:space="preserve">wydobywaniu węgla kamiennego i węgla brunatnego (lignitu) </w:t>
      </w:r>
      <w:r w:rsidR="00243D1A">
        <w:rPr>
          <w:shd w:val="clear" w:color="auto" w:fill="FFFFFF"/>
        </w:rPr>
        <w:t xml:space="preserve">– </w:t>
      </w:r>
      <w:r w:rsidR="00243D1A" w:rsidRPr="00B43AD5">
        <w:rPr>
          <w:shd w:val="clear" w:color="auto" w:fill="FFFFFF"/>
        </w:rPr>
        <w:t xml:space="preserve">o </w:t>
      </w:r>
      <w:r w:rsidR="00243D1A">
        <w:rPr>
          <w:shd w:val="clear" w:color="auto" w:fill="FFFFFF"/>
        </w:rPr>
        <w:t>24,0</w:t>
      </w:r>
      <w:r w:rsidR="00243D1A" w:rsidRPr="00B43AD5">
        <w:rPr>
          <w:shd w:val="clear" w:color="auto" w:fill="FFFFFF"/>
        </w:rPr>
        <w:t>%</w:t>
      </w:r>
      <w:r w:rsidR="00243D1A">
        <w:rPr>
          <w:shd w:val="clear" w:color="auto" w:fill="FFFFFF"/>
        </w:rPr>
        <w:t>, przy wzroście w  </w:t>
      </w:r>
      <w:r w:rsidR="00243D1A" w:rsidRPr="00B43AD5">
        <w:rPr>
          <w:shd w:val="clear" w:color="auto" w:fill="FFFFFF"/>
        </w:rPr>
        <w:t>górnictwie rud metali</w:t>
      </w:r>
      <w:r w:rsidR="00243D1A">
        <w:rPr>
          <w:shd w:val="clear" w:color="auto" w:fill="FFFFFF"/>
        </w:rPr>
        <w:t xml:space="preserve"> – o 13,7%</w:t>
      </w:r>
      <w:r w:rsidR="00F43D78">
        <w:rPr>
          <w:shd w:val="clear" w:color="auto" w:fill="FFFFFF"/>
        </w:rPr>
        <w:t>. W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F43D78">
        <w:rPr>
          <w:shd w:val="clear" w:color="auto" w:fill="FFFFFF"/>
        </w:rPr>
        <w:t>1,5</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135669D5" w:rsidR="00EE1130" w:rsidRPr="0066387C" w:rsidRDefault="00DB5953" w:rsidP="0066387C">
      <w:pPr>
        <w:pStyle w:val="Tytuwykresu0"/>
        <w:ind w:left="851" w:hanging="851"/>
      </w:pPr>
      <w:r w:rsidRPr="00464878">
        <w:rPr>
          <w:spacing w:val="-6"/>
          <w:sz w:val="12"/>
          <w:szCs w:val="12"/>
          <w:shd w:val="clear" w:color="auto" w:fill="FFFFFF"/>
        </w:rPr>
        <w:drawing>
          <wp:anchor distT="0" distB="0" distL="114300" distR="114300" simplePos="0" relativeHeight="251845632" behindDoc="0" locked="0" layoutInCell="1" allowOverlap="1" wp14:anchorId="761C6264" wp14:editId="20D05171">
            <wp:simplePos x="0" y="0"/>
            <wp:positionH relativeFrom="margin">
              <wp:align>right</wp:align>
            </wp:positionH>
            <wp:positionV relativeFrom="paragraph">
              <wp:posOffset>691688</wp:posOffset>
            </wp:positionV>
            <wp:extent cx="5122545" cy="2988310"/>
            <wp:effectExtent l="0" t="0" r="1905" b="2540"/>
            <wp:wrapTopAndBottom/>
            <wp:docPr id="7" name="Wykres 7" descr="Wykres 2. Zmiany cen w sekcji przetwórstwo przemysłowe według działów w grudniu 2024  r. w porównaniu z analogicznym miesiąc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66387C">
        <w:t>Wykres</w:t>
      </w:r>
      <w:r w:rsidR="00D86077">
        <w:t xml:space="preserve"> </w:t>
      </w:r>
      <w:r w:rsidR="0066387C">
        <w:t>2</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E310D2">
        <w:t>grudniu</w:t>
      </w:r>
      <w:r w:rsidR="00315499">
        <w:t xml:space="preserve"> </w:t>
      </w:r>
      <w:r w:rsidR="00027704">
        <w:t>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bookmarkStart w:id="1" w:name="_GoBack"/>
      <w:bookmarkEnd w:id="1"/>
    </w:p>
    <w:p w14:paraId="70ED708A" w14:textId="296C930B" w:rsidR="00175562" w:rsidRDefault="00117625" w:rsidP="0024689C">
      <w:pPr>
        <w:rPr>
          <w:shd w:val="clear" w:color="auto" w:fill="FFFFFF"/>
        </w:rPr>
      </w:pPr>
      <w:r w:rsidRPr="00F7077B">
        <w:rPr>
          <w:b/>
          <w:bCs/>
          <w:noProof/>
          <w:color w:val="001D77"/>
          <w:szCs w:val="19"/>
          <w:lang w:eastAsia="pl-PL"/>
        </w:rPr>
        <mc:AlternateContent>
          <mc:Choice Requires="wps">
            <w:drawing>
              <wp:anchor distT="45720" distB="45720" distL="114300" distR="114300" simplePos="0" relativeHeight="251760640" behindDoc="1" locked="0" layoutInCell="1" allowOverlap="1" wp14:anchorId="688F2B92" wp14:editId="5EFF03CF">
                <wp:simplePos x="0" y="0"/>
                <wp:positionH relativeFrom="column">
                  <wp:posOffset>5248275</wp:posOffset>
                </wp:positionH>
                <wp:positionV relativeFrom="page">
                  <wp:posOffset>3126740</wp:posOffset>
                </wp:positionV>
                <wp:extent cx="1725295" cy="1395730"/>
                <wp:effectExtent l="0" t="0" r="0" b="0"/>
                <wp:wrapTight wrapText="bothSides">
                  <wp:wrapPolygon edited="0">
                    <wp:start x="715" y="0"/>
                    <wp:lineTo x="715" y="21227"/>
                    <wp:lineTo x="20749" y="21227"/>
                    <wp:lineTo x="20749" y="0"/>
                    <wp:lineTo x="715" y="0"/>
                  </wp:wrapPolygon>
                </wp:wrapTight>
                <wp:docPr id="13" name="Pole tekstowe 13" descr="W grudniu 2024 r. w stosunku do analogicznego miesiąca poprzedniego roku najbardziej obniżono ceny produkcji wyrobów z pozostałych mineralnych surowców niemetaliczn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95730"/>
                        </a:xfrm>
                        <a:prstGeom prst="rect">
                          <a:avLst/>
                        </a:prstGeom>
                        <a:noFill/>
                        <a:ln w="9525">
                          <a:noFill/>
                          <a:miter lim="800000"/>
                          <a:headEnd/>
                          <a:tailEnd/>
                        </a:ln>
                      </wps:spPr>
                      <wps:txbx>
                        <w:txbxContent>
                          <w:p w14:paraId="3E293410" w14:textId="752A26E3" w:rsidR="00883E43" w:rsidRPr="00E95B8E" w:rsidRDefault="00343539" w:rsidP="00883E43">
                            <w:pPr>
                              <w:pStyle w:val="tekstzboku"/>
                              <w:rPr>
                                <w:bCs w:val="0"/>
                              </w:rPr>
                            </w:pPr>
                            <w:r>
                              <w:rPr>
                                <w:iCs/>
                              </w:rPr>
                              <w:t xml:space="preserve">W </w:t>
                            </w:r>
                            <w:r w:rsidR="00F43D78">
                              <w:rPr>
                                <w:iCs/>
                              </w:rPr>
                              <w:t>grudniu</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F43D78">
                              <w:t>wyrobów z pozostałych mineralnych surowców niemetalicznych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grudniu 2024 r. w stosunku do analogicznego miesiąca poprzedniego roku najbardziej obniżono ceny produkcji wyrobów z pozostałych mineralnych surowców niemetalicznych" style="position:absolute;margin-left:413.25pt;margin-top:246.2pt;width:135.85pt;height:109.9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" filled="f" stroked="f">
                <v:textbox>
                  <w:txbxContent>
                    <w:p w14:paraId="3E293410" w14:textId="752A26E3" w:rsidR="00883E43" w:rsidRPr="00E95B8E" w:rsidRDefault="00343539" w:rsidP="00883E43">
                      <w:pPr>
                        <w:pStyle w:val="tekstzboku"/>
                        <w:rPr>
                          <w:bCs w:val="0"/>
                        </w:rPr>
                      </w:pPr>
                      <w:r>
                        <w:rPr>
                          <w:iCs/>
                        </w:rPr>
                        <w:t xml:space="preserve">W </w:t>
                      </w:r>
                      <w:r w:rsidR="00F43D78">
                        <w:rPr>
                          <w:iCs/>
                        </w:rPr>
                        <w:t>grudniu</w:t>
                      </w:r>
                      <w:r w:rsidR="00C04C07">
                        <w:rPr>
                          <w:iCs/>
                        </w:rPr>
                        <w:t xml:space="preserve"> 2024 r.</w:t>
                      </w:r>
                      <w:r w:rsidR="00C04C07">
                        <w:t xml:space="preserve"> w stosunku do analogicznego miesiąca poprzedniego roku </w:t>
                      </w:r>
                      <w:r w:rsidR="00C04C07" w:rsidRPr="00C43B67">
                        <w:t xml:space="preserve">najbardziej </w:t>
                      </w:r>
                      <w:r w:rsidR="00117625">
                        <w:t xml:space="preserve">obniżono ceny produkcji </w:t>
                      </w:r>
                      <w:r w:rsidR="00F43D78">
                        <w:t>wyrobów z pozostałych mineralnych surowców niemetalicznych</w:t>
                      </w:r>
                    </w:p>
                  </w:txbxContent>
                </v:textbox>
                <w10:wrap type="tight" anchory="page"/>
              </v:shape>
            </w:pict>
          </mc:Fallback>
        </mc:AlternateContent>
      </w:r>
    </w:p>
    <w:p w14:paraId="60034F0C" w14:textId="77C75ED2" w:rsidR="00175562" w:rsidRDefault="00175562" w:rsidP="0024689C">
      <w:pPr>
        <w:rPr>
          <w:shd w:val="clear" w:color="auto" w:fill="FFFFFF"/>
        </w:rPr>
      </w:pPr>
    </w:p>
    <w:p w14:paraId="79FC755E" w14:textId="173DEC9A"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B43E22">
        <w:rPr>
          <w:bCs/>
          <w:shd w:val="clear" w:color="auto" w:fill="FFFFFF"/>
        </w:rPr>
        <w:t>3</w:t>
      </w:r>
      <w:r w:rsidR="00F43D78">
        <w:rPr>
          <w:bCs/>
          <w:shd w:val="clear" w:color="auto" w:fill="FFFFFF"/>
        </w:rPr>
        <w:t>,4</w:t>
      </w:r>
      <w:r w:rsidR="00277D2D">
        <w:rPr>
          <w:bCs/>
          <w:shd w:val="clear" w:color="auto" w:fill="FFFFFF"/>
        </w:rPr>
        <w:t>%</w:t>
      </w:r>
      <w:r w:rsidR="00277D2D">
        <w:rPr>
          <w:shd w:val="clear" w:color="auto" w:fill="FFFFFF"/>
        </w:rPr>
        <w:t>.</w:t>
      </w:r>
    </w:p>
    <w:p w14:paraId="652F9A92" w14:textId="74058589" w:rsidR="0066387C" w:rsidRDefault="0066387C">
      <w:pPr>
        <w:spacing w:before="0" w:after="160" w:line="259" w:lineRule="auto"/>
      </w:pPr>
      <w:r>
        <w:br w:type="page"/>
      </w:r>
    </w:p>
    <w:p w14:paraId="6E49C3F4" w14:textId="420A4548" w:rsidR="00883E43" w:rsidRPr="0066387C" w:rsidRDefault="0062216D" w:rsidP="00C158BF">
      <w:pPr>
        <w:spacing w:after="0"/>
        <w:ind w:left="851" w:hanging="851"/>
        <w:rPr>
          <w:rFonts w:ascii="Fira Sans SemiBold" w:eastAsia="Times New Roman" w:hAnsi="Fira Sans SemiBold" w:cs="Times New Roman"/>
          <w:b/>
          <w:bCs/>
          <w:noProof/>
          <w:szCs w:val="24"/>
          <w:lang w:eastAsia="pl-PL"/>
        </w:rPr>
      </w:pPr>
      <w:r w:rsidRPr="0062216D">
        <w:rPr>
          <w:rFonts w:ascii="Fira Sans SemiBold" w:eastAsia="Times New Roman" w:hAnsi="Fira Sans SemiBold" w:cs="Times New Roman"/>
          <w:b/>
          <w:bCs/>
          <w:noProof/>
          <w:szCs w:val="24"/>
          <w:lang w:eastAsia="pl-PL"/>
        </w:rPr>
        <w:lastRenderedPageBreak/>
        <mc:AlternateContent>
          <mc:Choice Requires="wps">
            <w:drawing>
              <wp:anchor distT="45720" distB="45720" distL="114300" distR="114300" simplePos="0" relativeHeight="251854848" behindDoc="0" locked="0" layoutInCell="1" allowOverlap="1" wp14:anchorId="1F10B2C0" wp14:editId="3EF269F4">
                <wp:simplePos x="0" y="0"/>
                <wp:positionH relativeFrom="column">
                  <wp:posOffset>68580</wp:posOffset>
                </wp:positionH>
                <wp:positionV relativeFrom="paragraph">
                  <wp:posOffset>421640</wp:posOffset>
                </wp:positionV>
                <wp:extent cx="213360" cy="25908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26901BE4" w14:textId="28E37F4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10B2C0" id="_x0000_s1029" type="#_x0000_t202" style="position:absolute;left:0;text-align:left;margin-left:5.4pt;margin-top:33.2pt;width:16.8pt;height:20.4pt;z-index:251854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J6QbtREC&#10;AAD9AwAADgAAAAAAAAAAAAAAAAAuAgAAZHJzL2Uyb0RvYy54bWxQSwECLQAUAAYACAAAACEArrdp&#10;7dsAAAAIAQAADwAAAAAAAAAAAAAAAABrBAAAZHJzL2Rvd25yZXYueG1sUEsFBgAAAAAEAAQA8wAA&#10;AHMFAAAAAA==&#10;" filled="f" stroked="f">
                <v:textbox>
                  <w:txbxContent>
                    <w:p w14:paraId="26901BE4" w14:textId="28E37F4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015DC4">
        <w:rPr>
          <w:noProof/>
          <w:lang w:eastAsia="pl-PL"/>
        </w:rPr>
        <w:drawing>
          <wp:anchor distT="0" distB="0" distL="114300" distR="114300" simplePos="0" relativeHeight="251846656" behindDoc="0" locked="0" layoutInCell="1" allowOverlap="1" wp14:anchorId="7570098A" wp14:editId="48218269">
            <wp:simplePos x="0" y="0"/>
            <wp:positionH relativeFrom="margin">
              <wp:align>left</wp:align>
            </wp:positionH>
            <wp:positionV relativeFrom="paragraph">
              <wp:posOffset>429491</wp:posOffset>
            </wp:positionV>
            <wp:extent cx="5122545" cy="2988310"/>
            <wp:effectExtent l="0" t="0" r="1905" b="2540"/>
            <wp:wrapTopAndBottom/>
            <wp:docPr id="19" name="Wykres 19" descr="Wykres 3. Zmiany cen produkcji sprzedanej przemysłu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A26CE5" w:rsidRPr="00823593">
        <w:rPr>
          <w:b/>
          <w:noProof/>
          <w:spacing w:val="-2"/>
          <w:szCs w:val="19"/>
          <w:lang w:eastAsia="pl-PL"/>
        </w:rPr>
        <mc:AlternateContent>
          <mc:Choice Requires="wps">
            <w:drawing>
              <wp:anchor distT="45720" distB="45720" distL="114300" distR="114300" simplePos="0" relativeHeight="251762688" behindDoc="1" locked="0" layoutInCell="1" allowOverlap="1" wp14:anchorId="2951FF20" wp14:editId="5C15AF2D">
                <wp:simplePos x="0" y="0"/>
                <wp:positionH relativeFrom="column">
                  <wp:posOffset>5349875</wp:posOffset>
                </wp:positionH>
                <wp:positionV relativeFrom="paragraph">
                  <wp:posOffset>1192126</wp:posOffset>
                </wp:positionV>
                <wp:extent cx="1420495" cy="1074420"/>
                <wp:effectExtent l="0" t="0" r="0" b="0"/>
                <wp:wrapTight wrapText="bothSides">
                  <wp:wrapPolygon edited="0">
                    <wp:start x="869" y="0"/>
                    <wp:lineTo x="869" y="21064"/>
                    <wp:lineTo x="20567" y="21064"/>
                    <wp:lineTo x="20567" y="0"/>
                    <wp:lineTo x="869" y="0"/>
                  </wp:wrapPolygon>
                </wp:wrapTight>
                <wp:docPr id="20" name="Pole tekstowe 20" descr="W grudniu 2024 r. ceny produkcji sprzedanej przemysłu spadły w porównaniu do poprzedniego miesiąca o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1074420"/>
                        </a:xfrm>
                        <a:prstGeom prst="rect">
                          <a:avLst/>
                        </a:prstGeom>
                        <a:noFill/>
                        <a:ln w="9525">
                          <a:noFill/>
                          <a:miter lim="800000"/>
                          <a:headEnd/>
                          <a:tailEnd/>
                        </a:ln>
                      </wps:spPr>
                      <wps:txbx>
                        <w:txbxContent>
                          <w:p w14:paraId="3A31BF0C" w14:textId="70DB81DE" w:rsidR="00883E43" w:rsidRPr="00DC2453" w:rsidRDefault="00343539" w:rsidP="00DC2453">
                            <w:pPr>
                              <w:pStyle w:val="tekstzboku"/>
                            </w:pPr>
                            <w:r>
                              <w:t xml:space="preserve">W </w:t>
                            </w:r>
                            <w:r w:rsidR="00F43D78">
                              <w:t>grudniu</w:t>
                            </w:r>
                            <w:r w:rsidR="00B803A7">
                              <w:t xml:space="preserve"> </w:t>
                            </w:r>
                            <w:r w:rsidR="00E315B8" w:rsidRPr="00DC2453">
                              <w:t>2024</w:t>
                            </w:r>
                            <w:r w:rsidR="00883E43" w:rsidRPr="00DC2453">
                              <w:t xml:space="preserve"> r. </w:t>
                            </w:r>
                            <w:r w:rsidR="00656D25">
                              <w:t xml:space="preserve">ceny produkcji sprzedanej przemysłu </w:t>
                            </w:r>
                            <w:r w:rsidR="00F43D78">
                              <w:t>spadły</w:t>
                            </w:r>
                            <w:r w:rsidR="00656D25">
                              <w:t xml:space="preserve"> </w:t>
                            </w:r>
                            <w:r w:rsidR="00DC2453" w:rsidRPr="00DC2453">
                              <w:t xml:space="preserve">w </w:t>
                            </w:r>
                            <w:r w:rsidR="00656D25">
                              <w:t>porównaniu do poprzedniego miesiąca o 0,</w:t>
                            </w:r>
                            <w:r w:rsidR="00F43D78">
                              <w:t>2</w:t>
                            </w:r>
                            <w:r w:rsidR="00656D2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30" type="#_x0000_t202" alt="W grudniu 2024 r. ceny produkcji sprzedanej przemysłu spadły w porównaniu do poprzedniego miesiąca o 0,2%" style="position:absolute;left:0;text-align:left;margin-left:421.25pt;margin-top:93.85pt;width:111.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" filled="f" stroked="f">
                <v:textbox>
                  <w:txbxContent>
                    <w:p w14:paraId="3A31BF0C" w14:textId="70DB81DE" w:rsidR="00883E43" w:rsidRPr="00DC2453" w:rsidRDefault="00343539" w:rsidP="00DC2453">
                      <w:pPr>
                        <w:pStyle w:val="tekstzboku"/>
                      </w:pPr>
                      <w:r>
                        <w:t xml:space="preserve">W </w:t>
                      </w:r>
                      <w:r w:rsidR="00F43D78">
                        <w:t>grudniu</w:t>
                      </w:r>
                      <w:r w:rsidR="00B803A7">
                        <w:t xml:space="preserve"> </w:t>
                      </w:r>
                      <w:r w:rsidR="00E315B8" w:rsidRPr="00DC2453">
                        <w:t>2024</w:t>
                      </w:r>
                      <w:r w:rsidR="00883E43" w:rsidRPr="00DC2453">
                        <w:t xml:space="preserve"> r. </w:t>
                      </w:r>
                      <w:r w:rsidR="00656D25">
                        <w:t xml:space="preserve">ceny produkcji sprzedanej przemysłu </w:t>
                      </w:r>
                      <w:r w:rsidR="00F43D78">
                        <w:t>spadły</w:t>
                      </w:r>
                      <w:r w:rsidR="00656D25">
                        <w:t xml:space="preserve"> </w:t>
                      </w:r>
                      <w:r w:rsidR="00DC2453" w:rsidRPr="00DC2453">
                        <w:t xml:space="preserve">w </w:t>
                      </w:r>
                      <w:r w:rsidR="00656D25">
                        <w:t>porównaniu do poprzedniego miesiąca o 0,</w:t>
                      </w:r>
                      <w:r w:rsidR="00F43D78">
                        <w:t>2</w:t>
                      </w:r>
                      <w:r w:rsidR="00656D25">
                        <w:t>%</w:t>
                      </w:r>
                    </w:p>
                  </w:txbxContent>
                </v:textbox>
                <w10:wrap type="tight"/>
              </v:shape>
            </w:pict>
          </mc:Fallback>
        </mc:AlternateContent>
      </w:r>
      <w:r w:rsidR="00883E43" w:rsidRPr="0066387C">
        <w:rPr>
          <w:rFonts w:ascii="Fira Sans SemiBold" w:eastAsia="Times New Roman" w:hAnsi="Fira Sans SemiBold" w:cs="Times New Roman"/>
          <w:b/>
          <w:bCs/>
          <w:noProof/>
          <w:szCs w:val="24"/>
          <w:lang w:eastAsia="pl-PL"/>
        </w:rPr>
        <w:t xml:space="preserve">Wykres </w:t>
      </w:r>
      <w:r w:rsidR="0066387C">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00883E43"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00883E43"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00883E43"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711724CB" w:rsidR="00883E43" w:rsidRDefault="00883E43" w:rsidP="00883E43">
      <w:pPr>
        <w:spacing w:before="0" w:after="160" w:line="259" w:lineRule="auto"/>
      </w:pPr>
    </w:p>
    <w:p w14:paraId="5FE5CD02" w14:textId="517D0ED0" w:rsidR="00883E43" w:rsidRDefault="00883E43" w:rsidP="0054212B">
      <w:pPr>
        <w:rPr>
          <w:noProof/>
          <w:lang w:eastAsia="pl-PL"/>
        </w:rPr>
      </w:pPr>
    </w:p>
    <w:p w14:paraId="0DF6A231" w14:textId="142DD193"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3CCDA8A1" w:rsidR="00604281" w:rsidRDefault="0062216D" w:rsidP="00DC6D14">
      <w:r>
        <w:rPr>
          <w:noProof/>
          <w:lang w:eastAsia="pl-PL"/>
        </w:rPr>
        <mc:AlternateContent>
          <mc:Choice Requires="wps">
            <w:drawing>
              <wp:anchor distT="45720" distB="45720" distL="114300" distR="114300" simplePos="0" relativeHeight="251852800" behindDoc="0" locked="0" layoutInCell="1" allowOverlap="1" wp14:anchorId="2F11C1EE" wp14:editId="3166D899">
                <wp:simplePos x="0" y="0"/>
                <wp:positionH relativeFrom="column">
                  <wp:posOffset>83820</wp:posOffset>
                </wp:positionH>
                <wp:positionV relativeFrom="paragraph">
                  <wp:posOffset>5080</wp:posOffset>
                </wp:positionV>
                <wp:extent cx="228600" cy="2438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5CCD3347" w14:textId="1EEA145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1C1EE" id="_x0000_s1031" type="#_x0000_t202" style="position:absolute;margin-left:6.6pt;margin-top:.4pt;width:18pt;height:19.2pt;z-index:251852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" filled="f" stroked="f">
                <v:textbox>
                  <w:txbxContent>
                    <w:p w14:paraId="5CCD3347" w14:textId="1EEA1456" w:rsidR="0062216D" w:rsidRPr="0062216D" w:rsidRDefault="0062216D" w:rsidP="0062216D">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015DC4">
        <w:rPr>
          <w:noProof/>
          <w:lang w:eastAsia="pl-PL"/>
        </w:rPr>
        <w:drawing>
          <wp:anchor distT="0" distB="0" distL="114300" distR="114300" simplePos="0" relativeHeight="251848704" behindDoc="0" locked="0" layoutInCell="1" allowOverlap="1" wp14:anchorId="7AE7825E" wp14:editId="0BF2E379">
            <wp:simplePos x="0" y="0"/>
            <wp:positionH relativeFrom="margin">
              <wp:align>right</wp:align>
            </wp:positionH>
            <wp:positionV relativeFrom="paragraph">
              <wp:posOffset>178088</wp:posOffset>
            </wp:positionV>
            <wp:extent cx="5122545" cy="2988310"/>
            <wp:effectExtent l="0" t="0" r="1905" b="2540"/>
            <wp:wrapTopAndBottom/>
            <wp:docPr id="25" name="Wykres 25" descr="Wykres 4. Zmiany cen produkcji sprzedanej przemysłu w latach 2023-2024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lang w:eastAsia="pl-PL"/>
        </w:rPr>
        <mc:AlternateContent>
          <mc:Choice Requires="wps">
            <w:drawing>
              <wp:anchor distT="45720" distB="45720" distL="114300" distR="114300" simplePos="0" relativeHeight="251761664" behindDoc="1" locked="0" layoutInCell="1" allowOverlap="1" wp14:anchorId="4A2A2860" wp14:editId="45FDE32A">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grudniu 2024 r. zaobserwowano spadek dynamiki cen produkcji sprzedanej przemysłu w skali roku 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7142650D" w:rsidR="00883E43" w:rsidRPr="005C0F80" w:rsidRDefault="00343539" w:rsidP="00883E43">
                            <w:pPr>
                              <w:pStyle w:val="tekstzboku"/>
                              <w:rPr>
                                <w:iCs/>
                              </w:rPr>
                            </w:pPr>
                            <w:r>
                              <w:rPr>
                                <w:iCs/>
                              </w:rPr>
                              <w:t xml:space="preserve">W </w:t>
                            </w:r>
                            <w:r w:rsidR="008F511B">
                              <w:rPr>
                                <w:iCs/>
                              </w:rPr>
                              <w:t>grudniu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8F511B">
                              <w:rPr>
                                <w:iCs/>
                              </w:rPr>
                              <w:t>2,6</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2" type="#_x0000_t202" alt="W grudniu 2024 r. zaobserwowano spadek dynamiki cen produkcji sprzedanej przemysłu w skali roku o 2,6%"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" filled="f" stroked="f">
                <v:textbox>
                  <w:txbxContent>
                    <w:p w14:paraId="04F7DF6A" w14:textId="7142650D" w:rsidR="00883E43" w:rsidRPr="005C0F80" w:rsidRDefault="00343539" w:rsidP="00883E43">
                      <w:pPr>
                        <w:pStyle w:val="tekstzboku"/>
                        <w:rPr>
                          <w:iCs/>
                        </w:rPr>
                      </w:pPr>
                      <w:r>
                        <w:rPr>
                          <w:iCs/>
                        </w:rPr>
                        <w:t xml:space="preserve">W </w:t>
                      </w:r>
                      <w:r w:rsidR="008F511B">
                        <w:rPr>
                          <w:iCs/>
                        </w:rPr>
                        <w:t>grudniu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8F511B">
                        <w:rPr>
                          <w:iCs/>
                        </w:rPr>
                        <w:t>2,6</w:t>
                      </w:r>
                      <w:r w:rsidR="00C04C07">
                        <w:rPr>
                          <w:iCs/>
                        </w:rPr>
                        <w:t>%</w:t>
                      </w:r>
                    </w:p>
                  </w:txbxContent>
                </v:textbox>
                <w10:wrap type="tight"/>
              </v:shape>
            </w:pict>
          </mc:Fallback>
        </mc:AlternateContent>
      </w:r>
    </w:p>
    <w:p w14:paraId="56155CE5" w14:textId="02A6ABD3" w:rsidR="00175562" w:rsidRDefault="00175562" w:rsidP="00DC6D14"/>
    <w:p w14:paraId="0C999888" w14:textId="2886B65A"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0A802167" w:rsidR="00883E43" w:rsidRDefault="002B238C" w:rsidP="00883E43">
      <w:pPr>
        <w:pStyle w:val="Tytuwykresu0"/>
        <w:ind w:left="851" w:hanging="851"/>
      </w:pPr>
      <w:r>
        <w:rPr>
          <w:b w:val="0"/>
          <w:bCs w:val="0"/>
          <w:sz w:val="18"/>
          <w:szCs w:val="18"/>
        </w:rPr>
        <w:lastRenderedPageBreak/>
        <w:drawing>
          <wp:anchor distT="0" distB="0" distL="114300" distR="114300" simplePos="0" relativeHeight="251850752" behindDoc="0" locked="0" layoutInCell="1" allowOverlap="1" wp14:anchorId="0280D886" wp14:editId="15229DDB">
            <wp:simplePos x="0" y="0"/>
            <wp:positionH relativeFrom="margin">
              <wp:align>left</wp:align>
            </wp:positionH>
            <wp:positionV relativeFrom="paragraph">
              <wp:posOffset>484332</wp:posOffset>
            </wp:positionV>
            <wp:extent cx="5222875" cy="3705860"/>
            <wp:effectExtent l="0" t="0" r="0" b="8890"/>
            <wp:wrapTopAndBottom/>
            <wp:docPr id="26" name="Wykres 26" descr="Wykres 5. Zmiany cen produkcji sprzedanej przemysłu według sekcji PKD w latach 2023-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2" w:name="_Hlk101264545"/>
      <w:r w:rsidR="0066387C">
        <w:t>5</w:t>
      </w:r>
      <w:r w:rsidR="00883E43" w:rsidRPr="00DA6F6D">
        <w:t>. Zmiany cen produkcji sprzedanej przemysłu według sekcji PKD w latach 202</w:t>
      </w:r>
      <w:r w:rsidR="00AB507D">
        <w:t>3</w:t>
      </w:r>
      <w:r w:rsidR="00883E43" w:rsidRPr="00DA6F6D">
        <w:t>-202</w:t>
      </w:r>
      <w:r w:rsidR="00027704">
        <w:t>4</w:t>
      </w:r>
      <w:r w:rsidR="00883E43" w:rsidRPr="00DA6F6D">
        <w:t xml:space="preserve"> w</w:t>
      </w:r>
      <w:r w:rsidR="00883E43" w:rsidRPr="00DD4DC3">
        <w:t> </w:t>
      </w:r>
      <w:r w:rsidR="00027704">
        <w:t>porównaniu z</w:t>
      </w:r>
      <w:r w:rsidR="00883E43" w:rsidRPr="00DA6F6D">
        <w:t xml:space="preserve"> grudni</w:t>
      </w:r>
      <w:r w:rsidR="00027704">
        <w:t>em</w:t>
      </w:r>
      <w:r w:rsidR="00883E43" w:rsidRPr="00DA6F6D">
        <w:t xml:space="preserve"> 20</w:t>
      </w:r>
      <w:r w:rsidR="00883E43">
        <w:t>2</w:t>
      </w:r>
      <w:r w:rsidR="00757414">
        <w:t>2</w:t>
      </w:r>
      <w:r w:rsidR="00883E43" w:rsidRPr="00DA6F6D">
        <w:t xml:space="preserve"> r.</w:t>
      </w:r>
    </w:p>
    <w:bookmarkEnd w:id="2"/>
    <w:p w14:paraId="13654FF9" w14:textId="45F0CDF6" w:rsidR="00216634" w:rsidRPr="00883E43" w:rsidRDefault="00216634" w:rsidP="00216634">
      <w:pPr>
        <w:spacing w:line="288" w:lineRule="auto"/>
        <w:rPr>
          <w:rFonts w:eastAsia="Times New Roman" w:cs="Times New Roman"/>
          <w:szCs w:val="19"/>
          <w:lang w:eastAsia="pl-PL"/>
        </w:rPr>
      </w:pPr>
    </w:p>
    <w:p w14:paraId="30B9B2E3" w14:textId="0D1C016C" w:rsidR="00FC3D69" w:rsidRDefault="00FC3D69" w:rsidP="00DC6D14">
      <w:pPr>
        <w:rPr>
          <w:sz w:val="18"/>
        </w:rPr>
      </w:pPr>
    </w:p>
    <w:p w14:paraId="0E7564AA" w14:textId="13EE4C47" w:rsidR="002B238C" w:rsidRDefault="002B238C" w:rsidP="00DC6D14">
      <w:pPr>
        <w:rPr>
          <w:sz w:val="18"/>
        </w:rPr>
      </w:pPr>
    </w:p>
    <w:p w14:paraId="41D5C129" w14:textId="534EA0EA" w:rsidR="002B238C" w:rsidRPr="00883E43" w:rsidRDefault="002B238C"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59A7F0E6"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8F511B">
              <w:rPr>
                <w:b/>
              </w:rPr>
              <w:instrText>HYPERLINK "https://stat.gov.pl/obszary-tematyczne/inne-opracowania/informacje-o-sytuacji-spoleczno-gospodarczej/biuletyn-statystyczny-nr-112024,4,156.html"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1707D" w14:textId="77777777" w:rsidR="00C77CEC" w:rsidRDefault="00C77CEC" w:rsidP="000662E2">
      <w:pPr>
        <w:spacing w:after="0" w:line="240" w:lineRule="auto"/>
      </w:pPr>
      <w:r>
        <w:separator/>
      </w:r>
    </w:p>
  </w:endnote>
  <w:endnote w:type="continuationSeparator" w:id="0">
    <w:p w14:paraId="5EEB7F18" w14:textId="77777777" w:rsidR="00C77CEC" w:rsidRDefault="00C77CE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618D951A-EFB7-4212-9ABA-0C07DB7294A6}"/>
    <w:embedBold r:id="rId2" w:fontKey="{B6506493-8D68-42D0-AB93-12E03B160D87}"/>
    <w:embedItalic r:id="rId3" w:fontKey="{193828B8-7B8D-4988-8968-5D7A219AE975}"/>
  </w:font>
  <w:font w:name="Fira Sans">
    <w:altName w:val="Cambria Math"/>
    <w:panose1 w:val="020B0503050000020004"/>
    <w:charset w:val="EE"/>
    <w:family w:val="swiss"/>
    <w:pitch w:val="variable"/>
    <w:sig w:usb0="600002FF" w:usb1="02000001" w:usb2="00000000" w:usb3="00000000" w:csb0="0000019F" w:csb1="00000000"/>
    <w:embedRegular r:id="rId4" w:fontKey="{58741F27-C1EC-4F51-ABA0-45FC80EF8FA7}"/>
    <w:embedBold r:id="rId5" w:fontKey="{9BA29C3E-EE9A-4293-972B-F8DA2CC3C0A7}"/>
    <w:embedItalic r:id="rId6" w:fontKey="{45F4C8D4-886B-477C-87CB-3F698724B1B8}"/>
  </w:font>
  <w:font w:name="Fira Sans SemiBold">
    <w:panose1 w:val="020B0603050000020004"/>
    <w:charset w:val="EE"/>
    <w:family w:val="swiss"/>
    <w:pitch w:val="variable"/>
    <w:sig w:usb0="600002FF" w:usb1="02000001" w:usb2="00000000" w:usb3="00000000" w:csb0="0000019F" w:csb1="00000000"/>
    <w:embedRegular r:id="rId7" w:fontKey="{EF8AFDCD-9F0D-4CD9-9327-6B9259B85499}"/>
    <w:embedBold r:id="rId8" w:fontKey="{321421ED-BE29-4219-B8E2-2D7DC7B2EB03}"/>
  </w:font>
  <w:font w:name="Fira Sans Medium">
    <w:panose1 w:val="020B0603050000020004"/>
    <w:charset w:val="EE"/>
    <w:family w:val="swiss"/>
    <w:pitch w:val="variable"/>
    <w:sig w:usb0="600002FF" w:usb1="02000001" w:usb2="00000000" w:usb3="00000000" w:csb0="0000019F" w:csb1="00000000"/>
    <w:embedRegular r:id="rId9" w:fontKey="{EABE76B3-CE81-4EEE-A24B-8DB5E5EB8F8D}"/>
    <w:embedItalic r:id="rId10" w:fontKey="{E116F1FA-63A4-406C-971B-19A907D81634}"/>
  </w:font>
  <w:font w:name="Segoe UI">
    <w:panose1 w:val="020B0502040204020203"/>
    <w:charset w:val="EE"/>
    <w:family w:val="swiss"/>
    <w:pitch w:val="variable"/>
    <w:sig w:usb0="E4002EFF" w:usb1="C000E47F" w:usb2="00000009" w:usb3="00000000" w:csb0="000001FF" w:csb1="00000000"/>
    <w:embedRegular r:id="rId11" w:fontKey="{94613B5F-307D-4DCD-8277-D37A347C0C60}"/>
  </w:font>
  <w:font w:name="Fira Sans Extra Condensed SemiB">
    <w:panose1 w:val="020B0603050000020004"/>
    <w:charset w:val="EE"/>
    <w:family w:val="swiss"/>
    <w:pitch w:val="variable"/>
    <w:sig w:usb0="600002FF" w:usb1="00000001" w:usb2="00000000" w:usb3="00000000" w:csb0="0000019F" w:csb1="00000000"/>
    <w:embedRegular r:id="rId12" w:fontKey="{F66CEA18-C09C-4E4A-8928-AD908C7BD602}"/>
  </w:font>
  <w:font w:name="Calibri">
    <w:panose1 w:val="020F0502020204030204"/>
    <w:charset w:val="EE"/>
    <w:family w:val="swiss"/>
    <w:pitch w:val="variable"/>
    <w:sig w:usb0="E4002EFF" w:usb1="C000247B" w:usb2="00000009" w:usb3="00000000" w:csb0="000001FF" w:csb1="00000000"/>
    <w:embedRegular r:id="rId13" w:fontKey="{32D358AD-B6BC-4466-8D7C-647C3C39B3E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BD228" w14:textId="77777777" w:rsidR="00C77CEC" w:rsidRDefault="00C77CEC" w:rsidP="000662E2">
      <w:pPr>
        <w:spacing w:after="0" w:line="240" w:lineRule="auto"/>
      </w:pPr>
      <w:r>
        <w:separator/>
      </w:r>
    </w:p>
  </w:footnote>
  <w:footnote w:type="continuationSeparator" w:id="0">
    <w:p w14:paraId="1196DD53" w14:textId="77777777" w:rsidR="00C77CEC" w:rsidRDefault="00C77CE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017CACE6">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3C3C345B" w:rsidR="00F37172" w:rsidRPr="00A01B40" w:rsidRDefault="0017695A" w:rsidP="00F049AB">
                          <w:pPr>
                            <w:pStyle w:val="Datainformacjisygnalnej"/>
                          </w:pPr>
                          <w:r>
                            <w:t>22.01.2025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4" type="#_x0000_t202" alt="22.01.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3gq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zQpWsSX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e3t4KiACAAAUBAAADgAAAAAAAAAAAAAAAAAuAgAAZHJzL2Uyb0RvYy54bWxQ&#10;SwECLQAUAAYACAAAACEAtMlX394AAAAKAQAADwAAAAAAAAAAAAAAAAB6BAAAZHJzL2Rvd25yZXYu&#10;eG1sUEsFBgAAAAAEAAQA8wAAAIUFAAAAAA==&#10;" filled="f" stroked="f">
              <v:textbox>
                <w:txbxContent>
                  <w:p w14:paraId="352012DA" w14:textId="3C3C345B" w:rsidR="00F37172" w:rsidRPr="00A01B40" w:rsidRDefault="0017695A" w:rsidP="00F049AB">
                    <w:pPr>
                      <w:pStyle w:val="Datainformacjisygnalnej"/>
                    </w:pPr>
                    <w:r>
                      <w:t>22.01.2025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25.25pt;height:126.75pt;visibility:visible;mso-wrap-style:square" o:bullet="t">
        <v:imagedata r:id="rId1" o:title=""/>
      </v:shape>
    </w:pict>
  </w:numPicBullet>
  <w:numPicBullet w:numPicBulletId="1">
    <w:pict>
      <v:shape id="_x0000_i1042" type="#_x0000_t75" style="width:125.25pt;height:126.75pt;visibility:visible;mso-wrap-style:square" o:bullet="t">
        <v:imagedata r:id="rId2" o:title=""/>
      </v:shape>
    </w:pict>
  </w:numPicBullet>
  <w:numPicBullet w:numPicBulletId="2">
    <w:pict>
      <v:shape id="_x0000_i1043" type="#_x0000_t75" style="width:18pt;height:24pt;visibility:visible;mso-wrap-style:square" o:bullet="t">
        <v:imagedata r:id="rId3" o:title=""/>
      </v:shape>
    </w:pict>
  </w:numPicBullet>
  <w:numPicBullet w:numPicBulletId="3">
    <w:pict>
      <v:shape id="_x0000_i1044"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15DC4"/>
    <w:rsid w:val="00020356"/>
    <w:rsid w:val="000256F6"/>
    <w:rsid w:val="00027704"/>
    <w:rsid w:val="00031DFF"/>
    <w:rsid w:val="000362EA"/>
    <w:rsid w:val="000376FB"/>
    <w:rsid w:val="000429DE"/>
    <w:rsid w:val="0004582E"/>
    <w:rsid w:val="000470AA"/>
    <w:rsid w:val="00050334"/>
    <w:rsid w:val="00052ADA"/>
    <w:rsid w:val="00056CA1"/>
    <w:rsid w:val="00057CA1"/>
    <w:rsid w:val="0006035A"/>
    <w:rsid w:val="000647A9"/>
    <w:rsid w:val="000662E2"/>
    <w:rsid w:val="00066883"/>
    <w:rsid w:val="00071B39"/>
    <w:rsid w:val="00074DD8"/>
    <w:rsid w:val="00075759"/>
    <w:rsid w:val="00075BD4"/>
    <w:rsid w:val="000764D4"/>
    <w:rsid w:val="000806F7"/>
    <w:rsid w:val="00082237"/>
    <w:rsid w:val="000911E3"/>
    <w:rsid w:val="000936C8"/>
    <w:rsid w:val="00095C4A"/>
    <w:rsid w:val="00097840"/>
    <w:rsid w:val="000A1088"/>
    <w:rsid w:val="000A4AF0"/>
    <w:rsid w:val="000A4C36"/>
    <w:rsid w:val="000B0727"/>
    <w:rsid w:val="000C097A"/>
    <w:rsid w:val="000C135D"/>
    <w:rsid w:val="000D1D43"/>
    <w:rsid w:val="000D225C"/>
    <w:rsid w:val="000D2A5C"/>
    <w:rsid w:val="000D39F0"/>
    <w:rsid w:val="000D7E09"/>
    <w:rsid w:val="000E0918"/>
    <w:rsid w:val="000E33F3"/>
    <w:rsid w:val="000E53A8"/>
    <w:rsid w:val="000E679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625"/>
    <w:rsid w:val="00117711"/>
    <w:rsid w:val="0012326A"/>
    <w:rsid w:val="00130296"/>
    <w:rsid w:val="00133E7B"/>
    <w:rsid w:val="00134145"/>
    <w:rsid w:val="00136593"/>
    <w:rsid w:val="00136736"/>
    <w:rsid w:val="00136740"/>
    <w:rsid w:val="00136D67"/>
    <w:rsid w:val="001423B6"/>
    <w:rsid w:val="001427DF"/>
    <w:rsid w:val="00142947"/>
    <w:rsid w:val="001448A7"/>
    <w:rsid w:val="00146621"/>
    <w:rsid w:val="00151CA3"/>
    <w:rsid w:val="00160627"/>
    <w:rsid w:val="001617E3"/>
    <w:rsid w:val="00162325"/>
    <w:rsid w:val="00175562"/>
    <w:rsid w:val="0017695A"/>
    <w:rsid w:val="00176F25"/>
    <w:rsid w:val="00191F12"/>
    <w:rsid w:val="001951DA"/>
    <w:rsid w:val="00195F76"/>
    <w:rsid w:val="001A0BF9"/>
    <w:rsid w:val="001A3E87"/>
    <w:rsid w:val="001A532C"/>
    <w:rsid w:val="001A660E"/>
    <w:rsid w:val="001B053D"/>
    <w:rsid w:val="001B1018"/>
    <w:rsid w:val="001B2DC8"/>
    <w:rsid w:val="001C3269"/>
    <w:rsid w:val="001C3DA5"/>
    <w:rsid w:val="001C4D10"/>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37CF"/>
    <w:rsid w:val="00216634"/>
    <w:rsid w:val="00223DE6"/>
    <w:rsid w:val="00227625"/>
    <w:rsid w:val="002371A1"/>
    <w:rsid w:val="00237913"/>
    <w:rsid w:val="002408D3"/>
    <w:rsid w:val="00242D31"/>
    <w:rsid w:val="00243D1A"/>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013E"/>
    <w:rsid w:val="002926DF"/>
    <w:rsid w:val="00294D62"/>
    <w:rsid w:val="00296697"/>
    <w:rsid w:val="00297264"/>
    <w:rsid w:val="0029799E"/>
    <w:rsid w:val="002A04C6"/>
    <w:rsid w:val="002A116F"/>
    <w:rsid w:val="002A1972"/>
    <w:rsid w:val="002A34CB"/>
    <w:rsid w:val="002B0472"/>
    <w:rsid w:val="002B238C"/>
    <w:rsid w:val="002B6B12"/>
    <w:rsid w:val="002C21F0"/>
    <w:rsid w:val="002C3B3B"/>
    <w:rsid w:val="002C5774"/>
    <w:rsid w:val="002D01DF"/>
    <w:rsid w:val="002D6A72"/>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1E6"/>
    <w:rsid w:val="00306C7C"/>
    <w:rsid w:val="00313831"/>
    <w:rsid w:val="00313F5C"/>
    <w:rsid w:val="00314F86"/>
    <w:rsid w:val="0031546E"/>
    <w:rsid w:val="00315499"/>
    <w:rsid w:val="00317F4D"/>
    <w:rsid w:val="00321466"/>
    <w:rsid w:val="00322EDD"/>
    <w:rsid w:val="00327223"/>
    <w:rsid w:val="003309FA"/>
    <w:rsid w:val="00331135"/>
    <w:rsid w:val="00332320"/>
    <w:rsid w:val="00332784"/>
    <w:rsid w:val="0033491E"/>
    <w:rsid w:val="00340F5D"/>
    <w:rsid w:val="00343539"/>
    <w:rsid w:val="003440D1"/>
    <w:rsid w:val="00347D72"/>
    <w:rsid w:val="00352178"/>
    <w:rsid w:val="00353C85"/>
    <w:rsid w:val="00353F45"/>
    <w:rsid w:val="00354589"/>
    <w:rsid w:val="00355B6D"/>
    <w:rsid w:val="00357611"/>
    <w:rsid w:val="0036432A"/>
    <w:rsid w:val="00364AF9"/>
    <w:rsid w:val="00367237"/>
    <w:rsid w:val="0037077F"/>
    <w:rsid w:val="00372411"/>
    <w:rsid w:val="00373573"/>
    <w:rsid w:val="00373882"/>
    <w:rsid w:val="003843DB"/>
    <w:rsid w:val="0038644F"/>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1E94"/>
    <w:rsid w:val="003E4211"/>
    <w:rsid w:val="003E4367"/>
    <w:rsid w:val="003F0BD9"/>
    <w:rsid w:val="003F4C97"/>
    <w:rsid w:val="003F52A6"/>
    <w:rsid w:val="003F5902"/>
    <w:rsid w:val="003F666D"/>
    <w:rsid w:val="003F7FE6"/>
    <w:rsid w:val="00400193"/>
    <w:rsid w:val="00416EAF"/>
    <w:rsid w:val="004212E7"/>
    <w:rsid w:val="00423C88"/>
    <w:rsid w:val="0042446D"/>
    <w:rsid w:val="00426319"/>
    <w:rsid w:val="00427BF8"/>
    <w:rsid w:val="00431C02"/>
    <w:rsid w:val="00432DDC"/>
    <w:rsid w:val="00437395"/>
    <w:rsid w:val="00437615"/>
    <w:rsid w:val="004411FB"/>
    <w:rsid w:val="00445047"/>
    <w:rsid w:val="00445B7B"/>
    <w:rsid w:val="00446749"/>
    <w:rsid w:val="00450355"/>
    <w:rsid w:val="00453B07"/>
    <w:rsid w:val="00453EB7"/>
    <w:rsid w:val="00463E39"/>
    <w:rsid w:val="00464878"/>
    <w:rsid w:val="004657FC"/>
    <w:rsid w:val="00466D1E"/>
    <w:rsid w:val="004713D9"/>
    <w:rsid w:val="004733F6"/>
    <w:rsid w:val="00473ED8"/>
    <w:rsid w:val="00474E69"/>
    <w:rsid w:val="00475FCB"/>
    <w:rsid w:val="004764A7"/>
    <w:rsid w:val="00483E9F"/>
    <w:rsid w:val="00485A2C"/>
    <w:rsid w:val="00486F57"/>
    <w:rsid w:val="00487221"/>
    <w:rsid w:val="0049621B"/>
    <w:rsid w:val="004A1D19"/>
    <w:rsid w:val="004A36E3"/>
    <w:rsid w:val="004A7077"/>
    <w:rsid w:val="004B26F4"/>
    <w:rsid w:val="004B31CE"/>
    <w:rsid w:val="004B4292"/>
    <w:rsid w:val="004C058E"/>
    <w:rsid w:val="004C1895"/>
    <w:rsid w:val="004C6D40"/>
    <w:rsid w:val="004D6A2F"/>
    <w:rsid w:val="004E0DA6"/>
    <w:rsid w:val="004E1B40"/>
    <w:rsid w:val="004E327C"/>
    <w:rsid w:val="004E6AA8"/>
    <w:rsid w:val="004E74D9"/>
    <w:rsid w:val="004F0C3C"/>
    <w:rsid w:val="004F2280"/>
    <w:rsid w:val="004F23BB"/>
    <w:rsid w:val="004F63FC"/>
    <w:rsid w:val="004F6484"/>
    <w:rsid w:val="005014C4"/>
    <w:rsid w:val="00505A92"/>
    <w:rsid w:val="005104C9"/>
    <w:rsid w:val="00512F7A"/>
    <w:rsid w:val="005203F1"/>
    <w:rsid w:val="00521266"/>
    <w:rsid w:val="00521BC3"/>
    <w:rsid w:val="00526509"/>
    <w:rsid w:val="00530D9A"/>
    <w:rsid w:val="00531873"/>
    <w:rsid w:val="00531B08"/>
    <w:rsid w:val="00531F6D"/>
    <w:rsid w:val="00533632"/>
    <w:rsid w:val="00534013"/>
    <w:rsid w:val="00540C5C"/>
    <w:rsid w:val="00541E6E"/>
    <w:rsid w:val="0054212B"/>
    <w:rsid w:val="0054220A"/>
    <w:rsid w:val="0054251F"/>
    <w:rsid w:val="00542FA8"/>
    <w:rsid w:val="00546621"/>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C73E3"/>
    <w:rsid w:val="005D062E"/>
    <w:rsid w:val="005D1A1E"/>
    <w:rsid w:val="005D2F6B"/>
    <w:rsid w:val="005D334E"/>
    <w:rsid w:val="005E0799"/>
    <w:rsid w:val="005E10F9"/>
    <w:rsid w:val="005E1200"/>
    <w:rsid w:val="005E2754"/>
    <w:rsid w:val="005F45EE"/>
    <w:rsid w:val="005F5A80"/>
    <w:rsid w:val="005F7611"/>
    <w:rsid w:val="00604281"/>
    <w:rsid w:val="006044FF"/>
    <w:rsid w:val="00607CC5"/>
    <w:rsid w:val="00611065"/>
    <w:rsid w:val="0061179B"/>
    <w:rsid w:val="00611E2F"/>
    <w:rsid w:val="006125F9"/>
    <w:rsid w:val="00614294"/>
    <w:rsid w:val="0061732B"/>
    <w:rsid w:val="0062216D"/>
    <w:rsid w:val="0062603A"/>
    <w:rsid w:val="00631752"/>
    <w:rsid w:val="00633014"/>
    <w:rsid w:val="0063437B"/>
    <w:rsid w:val="0063660D"/>
    <w:rsid w:val="00636847"/>
    <w:rsid w:val="00636DF7"/>
    <w:rsid w:val="0064017E"/>
    <w:rsid w:val="00641C79"/>
    <w:rsid w:val="00642461"/>
    <w:rsid w:val="00654BB6"/>
    <w:rsid w:val="00655769"/>
    <w:rsid w:val="00656D25"/>
    <w:rsid w:val="00657570"/>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2A13"/>
    <w:rsid w:val="006A3BF8"/>
    <w:rsid w:val="006A4686"/>
    <w:rsid w:val="006A5BB2"/>
    <w:rsid w:val="006B0E9E"/>
    <w:rsid w:val="006B1347"/>
    <w:rsid w:val="006B1DFB"/>
    <w:rsid w:val="006B486D"/>
    <w:rsid w:val="006B5AE4"/>
    <w:rsid w:val="006B615D"/>
    <w:rsid w:val="006B798F"/>
    <w:rsid w:val="006D0AE5"/>
    <w:rsid w:val="006D1507"/>
    <w:rsid w:val="006D1608"/>
    <w:rsid w:val="006D4054"/>
    <w:rsid w:val="006D47E7"/>
    <w:rsid w:val="006D7409"/>
    <w:rsid w:val="006E02EC"/>
    <w:rsid w:val="006E0566"/>
    <w:rsid w:val="006E1465"/>
    <w:rsid w:val="006E1DF7"/>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0C9B"/>
    <w:rsid w:val="007C61C9"/>
    <w:rsid w:val="007D0869"/>
    <w:rsid w:val="007D14C4"/>
    <w:rsid w:val="007D1F8B"/>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175AE"/>
    <w:rsid w:val="00823593"/>
    <w:rsid w:val="00825DC2"/>
    <w:rsid w:val="00834AD3"/>
    <w:rsid w:val="00840382"/>
    <w:rsid w:val="00843795"/>
    <w:rsid w:val="00844237"/>
    <w:rsid w:val="00847F0F"/>
    <w:rsid w:val="00852448"/>
    <w:rsid w:val="00856833"/>
    <w:rsid w:val="00857EFF"/>
    <w:rsid w:val="00862763"/>
    <w:rsid w:val="0086336E"/>
    <w:rsid w:val="00877F6C"/>
    <w:rsid w:val="00881290"/>
    <w:rsid w:val="0088258A"/>
    <w:rsid w:val="00883E43"/>
    <w:rsid w:val="00885959"/>
    <w:rsid w:val="00886332"/>
    <w:rsid w:val="00887C79"/>
    <w:rsid w:val="008925F0"/>
    <w:rsid w:val="008938CA"/>
    <w:rsid w:val="0089448A"/>
    <w:rsid w:val="00894DE8"/>
    <w:rsid w:val="00895062"/>
    <w:rsid w:val="00895956"/>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511B"/>
    <w:rsid w:val="008F6B20"/>
    <w:rsid w:val="008F6F31"/>
    <w:rsid w:val="008F74DF"/>
    <w:rsid w:val="008F7A83"/>
    <w:rsid w:val="008F7DAC"/>
    <w:rsid w:val="00900171"/>
    <w:rsid w:val="00902274"/>
    <w:rsid w:val="009127BA"/>
    <w:rsid w:val="00920662"/>
    <w:rsid w:val="00920AAE"/>
    <w:rsid w:val="009227A6"/>
    <w:rsid w:val="00926FF3"/>
    <w:rsid w:val="00932235"/>
    <w:rsid w:val="00932D5D"/>
    <w:rsid w:val="00933EC1"/>
    <w:rsid w:val="0093600A"/>
    <w:rsid w:val="00937DFE"/>
    <w:rsid w:val="009446AD"/>
    <w:rsid w:val="00950E4C"/>
    <w:rsid w:val="009511FD"/>
    <w:rsid w:val="00952C51"/>
    <w:rsid w:val="009530DB"/>
    <w:rsid w:val="00953676"/>
    <w:rsid w:val="00955D40"/>
    <w:rsid w:val="00956F30"/>
    <w:rsid w:val="009570E2"/>
    <w:rsid w:val="00964FA3"/>
    <w:rsid w:val="009664F7"/>
    <w:rsid w:val="00966C9A"/>
    <w:rsid w:val="00966CF2"/>
    <w:rsid w:val="00967527"/>
    <w:rsid w:val="009705EE"/>
    <w:rsid w:val="00974A9F"/>
    <w:rsid w:val="00977927"/>
    <w:rsid w:val="0098135C"/>
    <w:rsid w:val="0098156A"/>
    <w:rsid w:val="00981587"/>
    <w:rsid w:val="00991B7A"/>
    <w:rsid w:val="00991BAC"/>
    <w:rsid w:val="00994D64"/>
    <w:rsid w:val="009A6EA0"/>
    <w:rsid w:val="009B2A4A"/>
    <w:rsid w:val="009B3364"/>
    <w:rsid w:val="009B6B0F"/>
    <w:rsid w:val="009C1335"/>
    <w:rsid w:val="009C1AB2"/>
    <w:rsid w:val="009C2C26"/>
    <w:rsid w:val="009C7251"/>
    <w:rsid w:val="009D0892"/>
    <w:rsid w:val="009D380E"/>
    <w:rsid w:val="009E012F"/>
    <w:rsid w:val="009E2E91"/>
    <w:rsid w:val="009E3C05"/>
    <w:rsid w:val="009E7424"/>
    <w:rsid w:val="009E74E1"/>
    <w:rsid w:val="009F11AD"/>
    <w:rsid w:val="00A01B40"/>
    <w:rsid w:val="00A04531"/>
    <w:rsid w:val="00A139F5"/>
    <w:rsid w:val="00A2681A"/>
    <w:rsid w:val="00A26CE5"/>
    <w:rsid w:val="00A27152"/>
    <w:rsid w:val="00A32C7C"/>
    <w:rsid w:val="00A32E16"/>
    <w:rsid w:val="00A365F4"/>
    <w:rsid w:val="00A36EEA"/>
    <w:rsid w:val="00A42ED6"/>
    <w:rsid w:val="00A460CD"/>
    <w:rsid w:val="00A465FA"/>
    <w:rsid w:val="00A47D80"/>
    <w:rsid w:val="00A52878"/>
    <w:rsid w:val="00A52D3D"/>
    <w:rsid w:val="00A5301B"/>
    <w:rsid w:val="00A53132"/>
    <w:rsid w:val="00A55249"/>
    <w:rsid w:val="00A563F2"/>
    <w:rsid w:val="00A566E8"/>
    <w:rsid w:val="00A61BBA"/>
    <w:rsid w:val="00A65B36"/>
    <w:rsid w:val="00A66347"/>
    <w:rsid w:val="00A66E9B"/>
    <w:rsid w:val="00A71E0F"/>
    <w:rsid w:val="00A810F9"/>
    <w:rsid w:val="00A822B0"/>
    <w:rsid w:val="00A82D31"/>
    <w:rsid w:val="00A8523A"/>
    <w:rsid w:val="00A85E7E"/>
    <w:rsid w:val="00A86ECC"/>
    <w:rsid w:val="00A86FCC"/>
    <w:rsid w:val="00A90A6D"/>
    <w:rsid w:val="00A92A63"/>
    <w:rsid w:val="00A92B87"/>
    <w:rsid w:val="00A971E5"/>
    <w:rsid w:val="00A97886"/>
    <w:rsid w:val="00AA25FB"/>
    <w:rsid w:val="00AA5EDE"/>
    <w:rsid w:val="00AA710D"/>
    <w:rsid w:val="00AA7E25"/>
    <w:rsid w:val="00AB1D5F"/>
    <w:rsid w:val="00AB1F20"/>
    <w:rsid w:val="00AB507D"/>
    <w:rsid w:val="00AB64F3"/>
    <w:rsid w:val="00AB6D25"/>
    <w:rsid w:val="00AC0FA0"/>
    <w:rsid w:val="00AC4EA4"/>
    <w:rsid w:val="00AD0E56"/>
    <w:rsid w:val="00AD2909"/>
    <w:rsid w:val="00AD50D1"/>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36389"/>
    <w:rsid w:val="00B40DFF"/>
    <w:rsid w:val="00B43E22"/>
    <w:rsid w:val="00B47359"/>
    <w:rsid w:val="00B47B33"/>
    <w:rsid w:val="00B57DAE"/>
    <w:rsid w:val="00B632F9"/>
    <w:rsid w:val="00B65317"/>
    <w:rsid w:val="00B653AB"/>
    <w:rsid w:val="00B65F9E"/>
    <w:rsid w:val="00B66B19"/>
    <w:rsid w:val="00B7386E"/>
    <w:rsid w:val="00B803A7"/>
    <w:rsid w:val="00B83D1E"/>
    <w:rsid w:val="00B84C43"/>
    <w:rsid w:val="00B854F6"/>
    <w:rsid w:val="00B85562"/>
    <w:rsid w:val="00B914E9"/>
    <w:rsid w:val="00B93797"/>
    <w:rsid w:val="00B956EE"/>
    <w:rsid w:val="00BA019D"/>
    <w:rsid w:val="00BA07C7"/>
    <w:rsid w:val="00BA176A"/>
    <w:rsid w:val="00BA2BA1"/>
    <w:rsid w:val="00BA3447"/>
    <w:rsid w:val="00BA3562"/>
    <w:rsid w:val="00BB0708"/>
    <w:rsid w:val="00BB4F09"/>
    <w:rsid w:val="00BB54B5"/>
    <w:rsid w:val="00BB7A57"/>
    <w:rsid w:val="00BC248A"/>
    <w:rsid w:val="00BC38A5"/>
    <w:rsid w:val="00BD3185"/>
    <w:rsid w:val="00BD4E33"/>
    <w:rsid w:val="00BD6FD5"/>
    <w:rsid w:val="00BE5E5E"/>
    <w:rsid w:val="00BF6C1D"/>
    <w:rsid w:val="00C007F1"/>
    <w:rsid w:val="00C030DE"/>
    <w:rsid w:val="00C04C07"/>
    <w:rsid w:val="00C051A8"/>
    <w:rsid w:val="00C07CCB"/>
    <w:rsid w:val="00C12F50"/>
    <w:rsid w:val="00C148BD"/>
    <w:rsid w:val="00C14EB5"/>
    <w:rsid w:val="00C158BF"/>
    <w:rsid w:val="00C16683"/>
    <w:rsid w:val="00C16889"/>
    <w:rsid w:val="00C22105"/>
    <w:rsid w:val="00C244B6"/>
    <w:rsid w:val="00C25CC3"/>
    <w:rsid w:val="00C27BF1"/>
    <w:rsid w:val="00C30BBC"/>
    <w:rsid w:val="00C310E6"/>
    <w:rsid w:val="00C3702F"/>
    <w:rsid w:val="00C4500A"/>
    <w:rsid w:val="00C45628"/>
    <w:rsid w:val="00C45845"/>
    <w:rsid w:val="00C47EBB"/>
    <w:rsid w:val="00C555F9"/>
    <w:rsid w:val="00C62238"/>
    <w:rsid w:val="00C64A37"/>
    <w:rsid w:val="00C67D83"/>
    <w:rsid w:val="00C7158E"/>
    <w:rsid w:val="00C71B85"/>
    <w:rsid w:val="00C7250B"/>
    <w:rsid w:val="00C72C53"/>
    <w:rsid w:val="00C7346B"/>
    <w:rsid w:val="00C739CC"/>
    <w:rsid w:val="00C745A9"/>
    <w:rsid w:val="00C778B0"/>
    <w:rsid w:val="00C77C0E"/>
    <w:rsid w:val="00C77CEC"/>
    <w:rsid w:val="00C80F39"/>
    <w:rsid w:val="00C90C9A"/>
    <w:rsid w:val="00C91687"/>
    <w:rsid w:val="00C924A8"/>
    <w:rsid w:val="00C945FE"/>
    <w:rsid w:val="00C96FAA"/>
    <w:rsid w:val="00C97A04"/>
    <w:rsid w:val="00CA107B"/>
    <w:rsid w:val="00CA2619"/>
    <w:rsid w:val="00CA3230"/>
    <w:rsid w:val="00CA38E5"/>
    <w:rsid w:val="00CA484D"/>
    <w:rsid w:val="00CA4FB6"/>
    <w:rsid w:val="00CA7A4D"/>
    <w:rsid w:val="00CB0BC5"/>
    <w:rsid w:val="00CB2F90"/>
    <w:rsid w:val="00CB37E1"/>
    <w:rsid w:val="00CB500E"/>
    <w:rsid w:val="00CB6AD4"/>
    <w:rsid w:val="00CB7D7C"/>
    <w:rsid w:val="00CC4D95"/>
    <w:rsid w:val="00CC739E"/>
    <w:rsid w:val="00CD1EBB"/>
    <w:rsid w:val="00CD28CF"/>
    <w:rsid w:val="00CD4C69"/>
    <w:rsid w:val="00CD58B7"/>
    <w:rsid w:val="00CD7967"/>
    <w:rsid w:val="00CE073A"/>
    <w:rsid w:val="00CE4307"/>
    <w:rsid w:val="00CE5656"/>
    <w:rsid w:val="00CE6A09"/>
    <w:rsid w:val="00CF0410"/>
    <w:rsid w:val="00CF0A53"/>
    <w:rsid w:val="00CF18EE"/>
    <w:rsid w:val="00CF1BC6"/>
    <w:rsid w:val="00CF2B56"/>
    <w:rsid w:val="00CF30BD"/>
    <w:rsid w:val="00CF4099"/>
    <w:rsid w:val="00CF4FDA"/>
    <w:rsid w:val="00D0069C"/>
    <w:rsid w:val="00D00796"/>
    <w:rsid w:val="00D00DC1"/>
    <w:rsid w:val="00D02A2D"/>
    <w:rsid w:val="00D047FA"/>
    <w:rsid w:val="00D061F9"/>
    <w:rsid w:val="00D06ABA"/>
    <w:rsid w:val="00D0798D"/>
    <w:rsid w:val="00D14850"/>
    <w:rsid w:val="00D20E55"/>
    <w:rsid w:val="00D261A2"/>
    <w:rsid w:val="00D261D9"/>
    <w:rsid w:val="00D279BB"/>
    <w:rsid w:val="00D31908"/>
    <w:rsid w:val="00D32B2C"/>
    <w:rsid w:val="00D34A5C"/>
    <w:rsid w:val="00D51274"/>
    <w:rsid w:val="00D516D9"/>
    <w:rsid w:val="00D616D2"/>
    <w:rsid w:val="00D63B5F"/>
    <w:rsid w:val="00D663C0"/>
    <w:rsid w:val="00D70EF7"/>
    <w:rsid w:val="00D75DDC"/>
    <w:rsid w:val="00D76881"/>
    <w:rsid w:val="00D8306C"/>
    <w:rsid w:val="00D83129"/>
    <w:rsid w:val="00D8397C"/>
    <w:rsid w:val="00D86077"/>
    <w:rsid w:val="00D90F4D"/>
    <w:rsid w:val="00D90F8A"/>
    <w:rsid w:val="00D92B6C"/>
    <w:rsid w:val="00D94EED"/>
    <w:rsid w:val="00D96026"/>
    <w:rsid w:val="00D972F6"/>
    <w:rsid w:val="00DA331D"/>
    <w:rsid w:val="00DA55CC"/>
    <w:rsid w:val="00DA6FA1"/>
    <w:rsid w:val="00DA7C1C"/>
    <w:rsid w:val="00DB06FD"/>
    <w:rsid w:val="00DB147A"/>
    <w:rsid w:val="00DB1B7A"/>
    <w:rsid w:val="00DB443F"/>
    <w:rsid w:val="00DB4D47"/>
    <w:rsid w:val="00DB5953"/>
    <w:rsid w:val="00DB5CDC"/>
    <w:rsid w:val="00DB706E"/>
    <w:rsid w:val="00DC2453"/>
    <w:rsid w:val="00DC6708"/>
    <w:rsid w:val="00DC688F"/>
    <w:rsid w:val="00DC6D14"/>
    <w:rsid w:val="00DC7404"/>
    <w:rsid w:val="00DD011A"/>
    <w:rsid w:val="00DD50F0"/>
    <w:rsid w:val="00DE2400"/>
    <w:rsid w:val="00DE58F1"/>
    <w:rsid w:val="00DE5E01"/>
    <w:rsid w:val="00DE6B58"/>
    <w:rsid w:val="00DF1493"/>
    <w:rsid w:val="00DF5E32"/>
    <w:rsid w:val="00DF72AA"/>
    <w:rsid w:val="00E01436"/>
    <w:rsid w:val="00E01DD9"/>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E4C9D"/>
    <w:rsid w:val="00EE52AC"/>
    <w:rsid w:val="00EF2D7E"/>
    <w:rsid w:val="00EF5D0A"/>
    <w:rsid w:val="00EF6BCB"/>
    <w:rsid w:val="00EF6FC5"/>
    <w:rsid w:val="00F0166F"/>
    <w:rsid w:val="00F037A4"/>
    <w:rsid w:val="00F03D62"/>
    <w:rsid w:val="00F049AB"/>
    <w:rsid w:val="00F04AA5"/>
    <w:rsid w:val="00F067C0"/>
    <w:rsid w:val="00F12486"/>
    <w:rsid w:val="00F142DB"/>
    <w:rsid w:val="00F1501C"/>
    <w:rsid w:val="00F22553"/>
    <w:rsid w:val="00F23A83"/>
    <w:rsid w:val="00F23DAE"/>
    <w:rsid w:val="00F27C8F"/>
    <w:rsid w:val="00F32749"/>
    <w:rsid w:val="00F329AD"/>
    <w:rsid w:val="00F37172"/>
    <w:rsid w:val="00F37727"/>
    <w:rsid w:val="00F43D78"/>
    <w:rsid w:val="00F4474E"/>
    <w:rsid w:val="00F4477E"/>
    <w:rsid w:val="00F46269"/>
    <w:rsid w:val="00F52A42"/>
    <w:rsid w:val="00F56701"/>
    <w:rsid w:val="00F56D7A"/>
    <w:rsid w:val="00F60BA8"/>
    <w:rsid w:val="00F65A5A"/>
    <w:rsid w:val="00F66003"/>
    <w:rsid w:val="00F663F2"/>
    <w:rsid w:val="00F67D8F"/>
    <w:rsid w:val="00F75CCB"/>
    <w:rsid w:val="00F802BE"/>
    <w:rsid w:val="00F80E93"/>
    <w:rsid w:val="00F86024"/>
    <w:rsid w:val="00F8611A"/>
    <w:rsid w:val="00F870C5"/>
    <w:rsid w:val="00FA3E6A"/>
    <w:rsid w:val="00FA5128"/>
    <w:rsid w:val="00FA5A81"/>
    <w:rsid w:val="00FA677E"/>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pojazdów samochodowych, przyczep i naczep</c:v>
                </c:pt>
                <c:pt idx="1">
                  <c:v>produkcja wyrobów tytoniowych</c:v>
                </c:pt>
                <c:pt idx="2">
                  <c:v>produkcja mebli</c:v>
                </c:pt>
                <c:pt idx="3">
                  <c:v>produkcja odzieży</c:v>
                </c:pt>
                <c:pt idx="4">
                  <c:v>produkcja wyrobów z drewna, korka, słomy i wikliny</c:v>
                </c:pt>
                <c:pt idx="5">
                  <c:v>produkcja chemikaliów i wyrobów chemicznych</c:v>
                </c:pt>
                <c:pt idx="6">
                  <c:v>produkcja wyrobów z pozostałych mineralnych surowców niemetalicznych</c:v>
                </c:pt>
                <c:pt idx="7">
                  <c:v>produkcja pozostałego sprzętu transportowego</c:v>
                </c:pt>
                <c:pt idx="8">
                  <c:v>produkcja napojów</c:v>
                </c:pt>
                <c:pt idx="9">
                  <c:v>produkcja wyrobów tekstylnych</c:v>
                </c:pt>
                <c:pt idx="10">
                  <c:v>produkcja komputerów, wyrobów elektronicznych i optycznych</c:v>
                </c:pt>
                <c:pt idx="11">
                  <c:v>produkcja urządzeń elektrycznych</c:v>
                </c:pt>
                <c:pt idx="12">
                  <c:v>produkcja maszyn i urządzeń</c:v>
                </c:pt>
                <c:pt idx="13">
                  <c:v>produkcja artykułów spożywczych</c:v>
                </c:pt>
                <c:pt idx="14">
                  <c:v>produkcja wyrobów z gumy i tworzyw sztucznych</c:v>
                </c:pt>
                <c:pt idx="15">
                  <c:v>produkcja wyrobów z metali</c:v>
                </c:pt>
                <c:pt idx="16">
                  <c:v>produkcja papieru i wyrobów z papieru</c:v>
                </c:pt>
                <c:pt idx="17">
                  <c:v>produkcja koksu i produktów rafinacji ropy naftowej</c:v>
                </c:pt>
                <c:pt idx="18">
                  <c:v>produkcja skór i wyrobów skórzanych</c:v>
                </c:pt>
                <c:pt idx="19">
                  <c:v>produkcja metali</c:v>
                </c:pt>
                <c:pt idx="20">
                  <c:v>produkcja wyrobów farmaceutycznych</c:v>
                </c:pt>
                <c:pt idx="21">
                  <c:v>poligrafia i reprodukcja zapisanych nośników informacji</c:v>
                </c:pt>
              </c:strCache>
            </c:strRef>
          </c:cat>
          <c:val>
            <c:numRef>
              <c:f>Arkusz1!$C$2:$C$23</c:f>
              <c:numCache>
                <c:formatCode>0.0</c:formatCode>
                <c:ptCount val="22"/>
                <c:pt idx="0">
                  <c:v>0.8</c:v>
                </c:pt>
                <c:pt idx="1">
                  <c:v>0.5</c:v>
                </c:pt>
                <c:pt idx="2">
                  <c:v>0.4</c:v>
                </c:pt>
                <c:pt idx="3">
                  <c:v>0.1</c:v>
                </c:pt>
                <c:pt idx="4">
                  <c:v>0.1</c:v>
                </c:pt>
                <c:pt idx="5">
                  <c:v>0.1</c:v>
                </c:pt>
                <c:pt idx="6">
                  <c:v>0</c:v>
                </c:pt>
                <c:pt idx="7">
                  <c:v>0</c:v>
                </c:pt>
                <c:pt idx="8">
                  <c:v>-0.1</c:v>
                </c:pt>
                <c:pt idx="9">
                  <c:v>-0.1</c:v>
                </c:pt>
                <c:pt idx="10">
                  <c:v>-0.1</c:v>
                </c:pt>
                <c:pt idx="11">
                  <c:v>-0.1</c:v>
                </c:pt>
                <c:pt idx="12">
                  <c:v>-0.1</c:v>
                </c:pt>
                <c:pt idx="13">
                  <c:v>-0.2</c:v>
                </c:pt>
                <c:pt idx="14">
                  <c:v>-0.2</c:v>
                </c:pt>
                <c:pt idx="15">
                  <c:v>-0.3</c:v>
                </c:pt>
                <c:pt idx="16">
                  <c:v>-0.4</c:v>
                </c:pt>
                <c:pt idx="17">
                  <c:v>-0.4</c:v>
                </c:pt>
                <c:pt idx="18">
                  <c:v>-0.5</c:v>
                </c:pt>
                <c:pt idx="19">
                  <c:v>-0.5</c:v>
                </c:pt>
                <c:pt idx="20">
                  <c:v>-0.9</c:v>
                </c:pt>
                <c:pt idx="21">
                  <c:v>-1.1000000000000001</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1"/>
          <c:min val="-1.2"/>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7.437709185571026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17"/>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2F-49A4-996A-FFEF4F8177CF}"/>
                </c:ext>
              </c:extLst>
            </c:dLbl>
            <c:dLbl>
              <c:idx val="20"/>
              <c:layout>
                <c:manualLayout>
                  <c:x val="1.9521546418821112E-7"/>
                  <c:y val="-8.49978750531235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1.5617237135965934E-6"/>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pozostałego sprzętu transportowego</c:v>
                </c:pt>
                <c:pt idx="1">
                  <c:v>produkcja wyrobów tytoniowych</c:v>
                </c:pt>
                <c:pt idx="2">
                  <c:v>produkcja skór i wyrobów skórzanych</c:v>
                </c:pt>
                <c:pt idx="3">
                  <c:v>produkcja odzieży</c:v>
                </c:pt>
                <c:pt idx="4">
                  <c:v>produkcja pojazdów samochodowych, przyczep i naczep</c:v>
                </c:pt>
                <c:pt idx="5">
                  <c:v>produkcja napojów</c:v>
                </c:pt>
                <c:pt idx="6">
                  <c:v>produkcja wyrobów tekstylnych</c:v>
                </c:pt>
                <c:pt idx="7">
                  <c:v>produkcja chemikaliów i wyrobów chemicznych</c:v>
                </c:pt>
                <c:pt idx="8">
                  <c:v>produkcja wyrobów farmaceutycznych</c:v>
                </c:pt>
                <c:pt idx="9">
                  <c:v>produkcja papieru i wyrobów z papieru</c:v>
                </c:pt>
                <c:pt idx="10">
                  <c:v>produkcja artykułów spożywczych</c:v>
                </c:pt>
                <c:pt idx="11">
                  <c:v>produkcja maszyn i urządzeń</c:v>
                </c:pt>
                <c:pt idx="12">
                  <c:v>produkcja metali</c:v>
                </c:pt>
                <c:pt idx="13">
                  <c:v>produkcja wyrobów z metali</c:v>
                </c:pt>
                <c:pt idx="14">
                  <c:v>produkcja komputerów, wyrobów elektronicznych i optycznych</c:v>
                </c:pt>
                <c:pt idx="15">
                  <c:v>produkcja poligrafia i reprodukcja zapisanych nośników informacji</c:v>
                </c:pt>
                <c:pt idx="16">
                  <c:v>produkcja mebli</c:v>
                </c:pt>
                <c:pt idx="17">
                  <c:v>produkcja wyrobów z gumy i tworzyw sztucznych</c:v>
                </c:pt>
                <c:pt idx="18">
                  <c:v>produkcja urządzeń elektrycznych</c:v>
                </c:pt>
                <c:pt idx="19">
                  <c:v>produkcja wyrobów z drewna, korka, słomy i wikliny</c:v>
                </c:pt>
                <c:pt idx="20">
                  <c:v>produkcja koksu i produktów rafinacji ropy naftowej</c:v>
                </c:pt>
                <c:pt idx="21">
                  <c:v>produkcja wyrobów z pozostałych mineralnych surowców niemetalicznych</c:v>
                </c:pt>
              </c:strCache>
            </c:strRef>
          </c:cat>
          <c:val>
            <c:numRef>
              <c:f>Arkusz1!$C$2:$C$23</c:f>
              <c:numCache>
                <c:formatCode>0.0</c:formatCode>
                <c:ptCount val="22"/>
                <c:pt idx="0">
                  <c:v>7.3</c:v>
                </c:pt>
                <c:pt idx="1">
                  <c:v>5.0999999999999996</c:v>
                </c:pt>
                <c:pt idx="2">
                  <c:v>4.7</c:v>
                </c:pt>
                <c:pt idx="3">
                  <c:v>2.8</c:v>
                </c:pt>
                <c:pt idx="4">
                  <c:v>1.2</c:v>
                </c:pt>
                <c:pt idx="5">
                  <c:v>0.7</c:v>
                </c:pt>
                <c:pt idx="6">
                  <c:v>0.4</c:v>
                </c:pt>
                <c:pt idx="7">
                  <c:v>0.2</c:v>
                </c:pt>
                <c:pt idx="8">
                  <c:v>0.2</c:v>
                </c:pt>
                <c:pt idx="9">
                  <c:v>0</c:v>
                </c:pt>
                <c:pt idx="10">
                  <c:v>-0.3</c:v>
                </c:pt>
                <c:pt idx="11">
                  <c:v>-0.8</c:v>
                </c:pt>
                <c:pt idx="12">
                  <c:v>-1.9</c:v>
                </c:pt>
                <c:pt idx="13">
                  <c:v>-2.7</c:v>
                </c:pt>
                <c:pt idx="14">
                  <c:v>-2.8</c:v>
                </c:pt>
                <c:pt idx="15">
                  <c:v>-3.2</c:v>
                </c:pt>
                <c:pt idx="16">
                  <c:v>-3.3</c:v>
                </c:pt>
                <c:pt idx="17">
                  <c:v>-3.5</c:v>
                </c:pt>
                <c:pt idx="18">
                  <c:v>-3.8</c:v>
                </c:pt>
                <c:pt idx="19">
                  <c:v>-4.2</c:v>
                </c:pt>
                <c:pt idx="20">
                  <c:v>-4.5999999999999996</c:v>
                </c:pt>
                <c:pt idx="21">
                  <c:v>-4.9000000000000004</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8"/>
          <c:min val="-6"/>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961207759033951E-3"/>
                  <c:y val="-1.274968125796855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194-457B-9442-845F1819554B}"/>
                </c:ext>
              </c:extLst>
            </c:dLbl>
            <c:dLbl>
              <c:idx val="2"/>
              <c:layout>
                <c:manualLayout>
                  <c:x val="-4.23143183710440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194-457B-9442-845F1819554B}"/>
                </c:ext>
              </c:extLst>
            </c:dLbl>
            <c:dLbl>
              <c:idx val="5"/>
              <c:layout>
                <c:manualLayout>
                  <c:x val="-2.8833519276063018E-2"/>
                  <c:y val="4.7598810029749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94-457B-9442-845F1819554B}"/>
                </c:ext>
              </c:extLst>
            </c:dLbl>
            <c:dLbl>
              <c:idx val="7"/>
              <c:layout>
                <c:manualLayout>
                  <c:x val="-2.53315490639907E-2"/>
                  <c:y val="4.334891627709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194-457B-9442-845F1819554B}"/>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194-457B-9442-845F1819554B}"/>
                </c:ext>
              </c:extLst>
            </c:dLbl>
            <c:dLbl>
              <c:idx val="9"/>
              <c:layout>
                <c:manualLayout>
                  <c:x val="-4.9752027556615015E-2"/>
                  <c:y val="4.12239694007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94-457B-9442-845F1819554B}"/>
                </c:ext>
              </c:extLst>
            </c:dLbl>
            <c:dLbl>
              <c:idx val="13"/>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94-457B-9442-845F1819554B}"/>
                </c:ext>
              </c:extLst>
            </c:dLbl>
            <c:dLbl>
              <c:idx val="15"/>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194-457B-9442-845F1819554B}"/>
                </c:ext>
              </c:extLst>
            </c:dLbl>
            <c:dLbl>
              <c:idx val="17"/>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94-457B-9442-845F1819554B}"/>
                </c:ext>
              </c:extLst>
            </c:dLbl>
            <c:dLbl>
              <c:idx val="21"/>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0-2A21-428C-A02A-3C41E3FEB128}"/>
                </c:ext>
              </c:extLst>
            </c:dLbl>
            <c:dLbl>
              <c:idx val="22"/>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4A-4A5E-B888-37D07069C2EF}"/>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General</c:formatCode>
                <c:ptCount val="24"/>
                <c:pt idx="0">
                  <c:v>2.1</c:v>
                </c:pt>
                <c:pt idx="1">
                  <c:v>-0.5</c:v>
                </c:pt>
                <c:pt idx="2">
                  <c:v>-0.6</c:v>
                </c:pt>
                <c:pt idx="3">
                  <c:v>-1.3</c:v>
                </c:pt>
                <c:pt idx="4">
                  <c:v>-1.9</c:v>
                </c:pt>
                <c:pt idx="5">
                  <c:v>-0.8</c:v>
                </c:pt>
                <c:pt idx="6">
                  <c:v>-1.1000000000000001</c:v>
                </c:pt>
                <c:pt idx="7">
                  <c:v>-0.1</c:v>
                </c:pt>
                <c:pt idx="8">
                  <c:v>0.3</c:v>
                </c:pt>
                <c:pt idx="9">
                  <c:v>-0.6</c:v>
                </c:pt>
                <c:pt idx="10">
                  <c:v>-1.2</c:v>
                </c:pt>
                <c:pt idx="11">
                  <c:v>-1.4</c:v>
                </c:pt>
                <c:pt idx="12">
                  <c:v>-1.9</c:v>
                </c:pt>
                <c:pt idx="13">
                  <c:v>0.1</c:v>
                </c:pt>
                <c:pt idx="14">
                  <c:v>-0.5</c:v>
                </c:pt>
                <c:pt idx="15">
                  <c:v>0.3</c:v>
                </c:pt>
                <c:pt idx="16">
                  <c:v>-0.3</c:v>
                </c:pt>
                <c:pt idx="17">
                  <c:v>0.4</c:v>
                </c:pt>
                <c:pt idx="18">
                  <c:v>-0.4</c:v>
                </c:pt>
                <c:pt idx="19">
                  <c:v>-0.5</c:v>
                </c:pt>
                <c:pt idx="20">
                  <c:v>-0.3</c:v>
                </c:pt>
                <c:pt idx="21">
                  <c:v>0.5</c:v>
                </c:pt>
                <c:pt idx="22">
                  <c:v>0.2</c:v>
                </c:pt>
                <c:pt idx="23">
                  <c:v>-0.2</c:v>
                </c:pt>
              </c:numCache>
            </c:numRef>
          </c:val>
          <c:smooth val="0"/>
          <c:extLst>
            <c:ext xmlns:c16="http://schemas.microsoft.com/office/drawing/2014/chart" uri="{C3380CC4-5D6E-409C-BE32-E72D297353CC}">
              <c16:uniqueId val="{00000000-F194-457B-9442-845F1819554B}"/>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4808478988471551E-2"/>
                  <c:y val="-3.5274118147046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3F-449E-B8F7-E57FC1ED1D46}"/>
                </c:ext>
              </c:extLst>
            </c:dLbl>
            <c:dLbl>
              <c:idx val="1"/>
              <c:layout>
                <c:manualLayout>
                  <c:x val="-1.4912704524801659E-2"/>
                  <c:y val="-3.1024224394390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3F-449E-B8F7-E57FC1ED1D46}"/>
                </c:ext>
              </c:extLst>
            </c:dLbl>
            <c:dLbl>
              <c:idx val="2"/>
              <c:layout>
                <c:manualLayout>
                  <c:x val="-1.9970346770989834E-2"/>
                  <c:y val="-3.52741181470463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3F-449E-B8F7-E57FC1ED1D46}"/>
                </c:ext>
              </c:extLst>
            </c:dLbl>
            <c:dLbl>
              <c:idx val="3"/>
              <c:layout>
                <c:manualLayout>
                  <c:x val="-1.596003549017139E-2"/>
                  <c:y val="-2.67743306417339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3F-449E-B8F7-E57FC1ED1D46}"/>
                </c:ext>
              </c:extLst>
            </c:dLbl>
            <c:dLbl>
              <c:idx val="4"/>
              <c:layout>
                <c:manualLayout>
                  <c:x val="-1.8594272963927155E-2"/>
                  <c:y val="-3.95240118997025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E3F-449E-B8F7-E57FC1ED1D46}"/>
                </c:ext>
              </c:extLst>
            </c:dLbl>
            <c:dLbl>
              <c:idx val="5"/>
              <c:layout>
                <c:manualLayout>
                  <c:x val="-2.3875046485682411E-2"/>
                  <c:y val="-4.1648958776030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3F-449E-B8F7-E57FC1ED1D46}"/>
                </c:ext>
              </c:extLst>
            </c:dLbl>
            <c:dLbl>
              <c:idx val="6"/>
              <c:layout>
                <c:manualLayout>
                  <c:x val="-2.6025735254643977E-2"/>
                  <c:y val="-2.2524436889077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3F-449E-B8F7-E57FC1ED1D46}"/>
                </c:ext>
              </c:extLst>
            </c:dLbl>
            <c:dLbl>
              <c:idx val="7"/>
              <c:layout>
                <c:manualLayout>
                  <c:x val="-3.0290021854371307E-2"/>
                  <c:y val="-2.88992775180621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3F-449E-B8F7-E57FC1ED1D46}"/>
                </c:ext>
              </c:extLst>
            </c:dLbl>
            <c:dLbl>
              <c:idx val="8"/>
              <c:layout>
                <c:manualLayout>
                  <c:x val="-2.9850006198090986E-2"/>
                  <c:y val="-3.31491712707182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3F-449E-B8F7-E57FC1ED1D46}"/>
                </c:ext>
              </c:extLst>
            </c:dLbl>
            <c:dLbl>
              <c:idx val="9"/>
              <c:layout>
                <c:manualLayout>
                  <c:x val="-3.4325125499141539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3F-449E-B8F7-E57FC1ED1D46}"/>
                </c:ext>
              </c:extLst>
            </c:dLbl>
            <c:dLbl>
              <c:idx val="10"/>
              <c:layout>
                <c:manualLayout>
                  <c:x val="-2.855455637773802E-2"/>
                  <c:y val="-3.95240118997025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3F-449E-B8F7-E57FC1ED1D46}"/>
                </c:ext>
              </c:extLst>
            </c:dLbl>
            <c:dLbl>
              <c:idx val="11"/>
              <c:layout>
                <c:manualLayout>
                  <c:x val="-1.971617623661685E-2"/>
                  <c:y val="-1.82745431364216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3F-449E-B8F7-E57FC1ED1D46}"/>
                </c:ext>
              </c:extLst>
            </c:dLbl>
            <c:dLbl>
              <c:idx val="13"/>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3F-449E-B8F7-E57FC1ED1D46}"/>
                </c:ext>
              </c:extLst>
            </c:dLbl>
            <c:dLbl>
              <c:idx val="15"/>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3F-449E-B8F7-E57FC1ED1D46}"/>
                </c:ext>
              </c:extLst>
            </c:dLbl>
            <c:dLbl>
              <c:idx val="16"/>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0-F121-4B68-ACCE-0EDC9468D276}"/>
                </c:ext>
              </c:extLst>
            </c:dLbl>
            <c:dLbl>
              <c:idx val="17"/>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3F-449E-B8F7-E57FC1ED1D46}"/>
                </c:ext>
              </c:extLst>
            </c:dLbl>
            <c:dLbl>
              <c:idx val="18"/>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3F-449E-B8F7-E57FC1ED1D46}"/>
                </c:ext>
              </c:extLst>
            </c:dLbl>
            <c:dLbl>
              <c:idx val="19"/>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3F-449E-B8F7-E57FC1ED1D46}"/>
                </c:ext>
              </c:extLst>
            </c:dLbl>
            <c:dLbl>
              <c:idx val="20"/>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E3F-449E-B8F7-E57FC1ED1D4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0.0</c:formatCode>
                <c:ptCount val="24"/>
                <c:pt idx="0">
                  <c:v>20.100000000000001</c:v>
                </c:pt>
                <c:pt idx="1">
                  <c:v>18.2</c:v>
                </c:pt>
                <c:pt idx="2" formatCode="General">
                  <c:v>10.3</c:v>
                </c:pt>
                <c:pt idx="3" formatCode="General">
                  <c:v>6.2</c:v>
                </c:pt>
                <c:pt idx="4" formatCode="General">
                  <c:v>2.8</c:v>
                </c:pt>
                <c:pt idx="5" formatCode="General">
                  <c:v>0.3</c:v>
                </c:pt>
                <c:pt idx="6" formatCode="General">
                  <c:v>-2.1</c:v>
                </c:pt>
                <c:pt idx="7" formatCode="General">
                  <c:v>-2.9</c:v>
                </c:pt>
                <c:pt idx="8" formatCode="General">
                  <c:v>-2.7</c:v>
                </c:pt>
                <c:pt idx="9" formatCode="General">
                  <c:v>-4.2</c:v>
                </c:pt>
                <c:pt idx="10" formatCode="General">
                  <c:v>-5.0999999999999996</c:v>
                </c:pt>
                <c:pt idx="11" formatCode="General">
                  <c:v>-6.9</c:v>
                </c:pt>
                <c:pt idx="12" formatCode="General">
                  <c:v>-10.6</c:v>
                </c:pt>
                <c:pt idx="13" formatCode="General">
                  <c:v>-10</c:v>
                </c:pt>
                <c:pt idx="14" formatCode="General">
                  <c:v>-9.9</c:v>
                </c:pt>
                <c:pt idx="15" formatCode="General">
                  <c:v>-8.5</c:v>
                </c:pt>
                <c:pt idx="16" formatCode="General">
                  <c:v>-7</c:v>
                </c:pt>
                <c:pt idx="17" formatCode="General">
                  <c:v>-5.8</c:v>
                </c:pt>
                <c:pt idx="18">
                  <c:v>-5.0999999999999996</c:v>
                </c:pt>
                <c:pt idx="19" formatCode="General">
                  <c:v>-5.5</c:v>
                </c:pt>
                <c:pt idx="20" formatCode="General">
                  <c:v>-6.2</c:v>
                </c:pt>
                <c:pt idx="21" formatCode="General">
                  <c:v>-5.0999999999999996</c:v>
                </c:pt>
                <c:pt idx="22" formatCode="General">
                  <c:v>-3.8</c:v>
                </c:pt>
                <c:pt idx="23" formatCode="General">
                  <c:v>-2.6</c:v>
                </c:pt>
              </c:numCache>
            </c:numRef>
          </c:val>
          <c:smooth val="0"/>
          <c:extLst>
            <c:ext xmlns:c16="http://schemas.microsoft.com/office/drawing/2014/chart" uri="{C3380CC4-5D6E-409C-BE32-E72D297353CC}">
              <c16:uniqueId val="{00000006-EE3F-449E-B8F7-E57FC1ED1D46}"/>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23"/>
              <c:layout>
                <c:manualLayout>
                  <c:x val="7.7811550151975689E-2"/>
                  <c:y val="4.7978606855089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790-4959-B908-0CEC8882A24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General</c:formatCode>
                <c:ptCount val="24"/>
                <c:pt idx="0" formatCode="0.0">
                  <c:v>2.0999999999999943</c:v>
                </c:pt>
                <c:pt idx="1">
                  <c:v>1.5999999999999943</c:v>
                </c:pt>
                <c:pt idx="2">
                  <c:v>1</c:v>
                </c:pt>
                <c:pt idx="3" formatCode="0.0">
                  <c:v>-0.29999999999999716</c:v>
                </c:pt>
                <c:pt idx="4">
                  <c:v>-2.2000000000000028</c:v>
                </c:pt>
                <c:pt idx="5">
                  <c:v>-3</c:v>
                </c:pt>
                <c:pt idx="6">
                  <c:v>-4.0999999999999943</c:v>
                </c:pt>
                <c:pt idx="7" formatCode="0.0">
                  <c:v>-4.2000000000000028</c:v>
                </c:pt>
                <c:pt idx="8" formatCode="0.0">
                  <c:v>-3.9000000000000057</c:v>
                </c:pt>
                <c:pt idx="9" formatCode="0.0">
                  <c:v>-4.5</c:v>
                </c:pt>
                <c:pt idx="10" formatCode="0.0">
                  <c:v>-5.5999999999999943</c:v>
                </c:pt>
                <c:pt idx="11">
                  <c:v>-6.9000000000000057</c:v>
                </c:pt>
                <c:pt idx="12" formatCode="0.0">
                  <c:v>-8.7000000000000028</c:v>
                </c:pt>
                <c:pt idx="13" formatCode="0.0">
                  <c:v>-8.6</c:v>
                </c:pt>
                <c:pt idx="14" formatCode="0.0">
                  <c:v>-9.1</c:v>
                </c:pt>
                <c:pt idx="15" formatCode="0.0">
                  <c:v>-8.7999999999999972</c:v>
                </c:pt>
                <c:pt idx="16" formatCode="0.0">
                  <c:v>-9.0999999999999943</c:v>
                </c:pt>
                <c:pt idx="17" formatCode="0.0">
                  <c:v>-8.7000000000000028</c:v>
                </c:pt>
                <c:pt idx="18" formatCode="0.0">
                  <c:v>-9.0999999999999943</c:v>
                </c:pt>
                <c:pt idx="19" formatCode="0.0">
                  <c:v>-9.5999999999999943</c:v>
                </c:pt>
                <c:pt idx="20">
                  <c:v>-9.9</c:v>
                </c:pt>
                <c:pt idx="21" formatCode="0.0">
                  <c:v>-9.4</c:v>
                </c:pt>
                <c:pt idx="22" formatCode="0.0">
                  <c:v>-9.2000000000000028</c:v>
                </c:pt>
                <c:pt idx="23" formatCode="0.0">
                  <c:v>-9.4</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23"/>
              <c:layout>
                <c:manualLayout>
                  <c:x val="4.1337386018237082E-2"/>
                  <c:y val="1.3708019191226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90-4959-B908-0CEC8882A24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9.7999999999999972</c:v>
                </c:pt>
                <c:pt idx="1">
                  <c:v>10.299999999999997</c:v>
                </c:pt>
                <c:pt idx="2">
                  <c:v>10.599999999999994</c:v>
                </c:pt>
                <c:pt idx="3">
                  <c:v>11</c:v>
                </c:pt>
                <c:pt idx="4">
                  <c:v>8.9000000000000057</c:v>
                </c:pt>
                <c:pt idx="5">
                  <c:v>7.2000000000000028</c:v>
                </c:pt>
                <c:pt idx="6">
                  <c:v>4.4000000000000057</c:v>
                </c:pt>
                <c:pt idx="7">
                  <c:v>3.7000000000000028</c:v>
                </c:pt>
                <c:pt idx="8">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-9.9999999999994316E-2</c:v>
                </c:pt>
                <c:pt idx="19">
                  <c:v>-2.2999999999999972</c:v>
                </c:pt>
                <c:pt idx="20" formatCode="General">
                  <c:v>-3.9</c:v>
                </c:pt>
                <c:pt idx="21">
                  <c:v>-2.4</c:v>
                </c:pt>
                <c:pt idx="22">
                  <c:v>-2.5</c:v>
                </c:pt>
                <c:pt idx="23">
                  <c:v>-4</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23"/>
              <c:layout>
                <c:manualLayout>
                  <c:x val="4.1337386018237082E-2"/>
                  <c:y val="3.4270047978067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90-4959-B908-0CEC8882A24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-0.5</c:v>
                </c:pt>
                <c:pt idx="1">
                  <c:v>-0.90000000000000568</c:v>
                </c:pt>
                <c:pt idx="2">
                  <c:v>-1.2999999999999972</c:v>
                </c:pt>
                <c:pt idx="3">
                  <c:v>-2.0999999999999943</c:v>
                </c:pt>
                <c:pt idx="4">
                  <c:v>-3.9000000000000057</c:v>
                </c:pt>
                <c:pt idx="5">
                  <c:v>-4.9000000000000057</c:v>
                </c:pt>
                <c:pt idx="6">
                  <c:v>-5.9000000000000057</c:v>
                </c:pt>
                <c:pt idx="7">
                  <c:v>-5.7999999999999972</c:v>
                </c:pt>
                <c:pt idx="8">
                  <c:v>-5.4000000000000057</c:v>
                </c:pt>
                <c:pt idx="9">
                  <c:v>-6.2999999999999972</c:v>
                </c:pt>
                <c:pt idx="10">
                  <c:v>-7.0999999999999943</c:v>
                </c:pt>
                <c:pt idx="11">
                  <c:v>-8.4000000000000057</c:v>
                </c:pt>
                <c:pt idx="12">
                  <c:v>-9.1</c:v>
                </c:pt>
                <c:pt idx="13">
                  <c:v>-8.7999999999999972</c:v>
                </c:pt>
                <c:pt idx="14">
                  <c:v>-9.2999999999999972</c:v>
                </c:pt>
                <c:pt idx="15">
                  <c:v>-9.2000000000000028</c:v>
                </c:pt>
                <c:pt idx="16">
                  <c:v>-9.7000000000000028</c:v>
                </c:pt>
                <c:pt idx="17">
                  <c:v>-9.2000000000000028</c:v>
                </c:pt>
                <c:pt idx="18">
                  <c:v>-9.7000000000000028</c:v>
                </c:pt>
                <c:pt idx="19">
                  <c:v>-10.200000000000003</c:v>
                </c:pt>
                <c:pt idx="20" formatCode="General">
                  <c:v>-10.4</c:v>
                </c:pt>
                <c:pt idx="21">
                  <c:v>-9.9</c:v>
                </c:pt>
                <c:pt idx="22">
                  <c:v>-9.7000000000000028</c:v>
                </c:pt>
                <c:pt idx="23">
                  <c:v>-9.7999999999999972</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38100" cap="rnd">
              <a:solidFill>
                <a:srgbClr val="008542"/>
              </a:solidFill>
              <a:round/>
            </a:ln>
            <a:effectLst/>
          </c:spPr>
          <c:marker>
            <c:symbol val="none"/>
          </c:marker>
          <c:dLbls>
            <c:dLbl>
              <c:idx val="23"/>
              <c:layout>
                <c:manualLayout>
                  <c:x val="3.4042553191489362E-2"/>
                  <c:y val="1.0281014393420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90-4959-B908-0CEC8882A24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12.5</c:v>
                </c:pt>
                <c:pt idx="1">
                  <c:v>10.900000000000006</c:v>
                </c:pt>
                <c:pt idx="2">
                  <c:v>9</c:v>
                </c:pt>
                <c:pt idx="3">
                  <c:v>3.7000000000000028</c:v>
                </c:pt>
                <c:pt idx="4">
                  <c:v>0.79999999999999716</c:v>
                </c:pt>
                <c:pt idx="5">
                  <c:v>1.5999999999999943</c:v>
                </c:pt>
                <c:pt idx="6">
                  <c:v>0.40000000000000568</c:v>
                </c:pt>
                <c:pt idx="7">
                  <c:v>-0.5</c:v>
                </c:pt>
                <c:pt idx="8">
                  <c:v>-1.7000000000000028</c:v>
                </c:pt>
                <c:pt idx="9">
                  <c:v>0.40000000000000568</c:v>
                </c:pt>
                <c:pt idx="10">
                  <c:v>-2.5999999999999943</c:v>
                </c:pt>
                <c:pt idx="11">
                  <c:v>-4.5</c:v>
                </c:pt>
                <c:pt idx="12">
                  <c:v>-13.599999999999994</c:v>
                </c:pt>
                <c:pt idx="13">
                  <c:v>-14.5</c:v>
                </c:pt>
                <c:pt idx="14">
                  <c:v>-15.299999999999997</c:v>
                </c:pt>
                <c:pt idx="15">
                  <c:v>-15.599999999999994</c:v>
                </c:pt>
                <c:pt idx="16">
                  <c:v>-14.5</c:v>
                </c:pt>
                <c:pt idx="17">
                  <c:v>-13</c:v>
                </c:pt>
                <c:pt idx="18">
                  <c:v>-11.599999999999994</c:v>
                </c:pt>
                <c:pt idx="19">
                  <c:v>-12.099999999999994</c:v>
                </c:pt>
                <c:pt idx="20" formatCode="General">
                  <c:v>-12.8</c:v>
                </c:pt>
                <c:pt idx="21">
                  <c:v>-14.1</c:v>
                </c:pt>
                <c:pt idx="22">
                  <c:v>-14</c:v>
                </c:pt>
                <c:pt idx="23">
                  <c:v>-14.200000000000003</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8575" cap="rnd">
              <a:solidFill>
                <a:schemeClr val="tx1"/>
              </a:solidFill>
              <a:prstDash val="dashDot"/>
              <a:round/>
            </a:ln>
            <a:effectLst/>
          </c:spPr>
          <c:marker>
            <c:symbol val="none"/>
          </c:marker>
          <c:dLbls>
            <c:dLbl>
              <c:idx val="23"/>
              <c:layout>
                <c:manualLayout>
                  <c:x val="4.1337386018237082E-2"/>
                  <c:y val="-1.57069238755558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90-4959-B908-0CEC8882A24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95000"/>
                          <a:lumOff val="5000"/>
                        </a:schemeClr>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Arkusz1!$F$2:$F$25</c:f>
              <c:numCache>
                <c:formatCode>General</c:formatCode>
                <c:ptCount val="24"/>
                <c:pt idx="0">
                  <c:v>1.9000000000000057</c:v>
                </c:pt>
                <c:pt idx="1">
                  <c:v>2.7999999999999972</c:v>
                </c:pt>
                <c:pt idx="2">
                  <c:v>3.0999999999999943</c:v>
                </c:pt>
                <c:pt idx="3">
                  <c:v>3</c:v>
                </c:pt>
                <c:pt idx="4">
                  <c:v>2.9000000000000057</c:v>
                </c:pt>
                <c:pt idx="5">
                  <c:v>3</c:v>
                </c:pt>
                <c:pt idx="6">
                  <c:v>2.4000000000000057</c:v>
                </c:pt>
                <c:pt idx="7">
                  <c:v>2.4000000000000057</c:v>
                </c:pt>
                <c:pt idx="8">
                  <c:v>3</c:v>
                </c:pt>
                <c:pt idx="9">
                  <c:v>3.2000000000000028</c:v>
                </c:pt>
                <c:pt idx="10">
                  <c:v>3.0999999999999943</c:v>
                </c:pt>
                <c:pt idx="11">
                  <c:v>3.0999999999999943</c:v>
                </c:pt>
                <c:pt idx="12">
                  <c:v>4.2999999999999972</c:v>
                </c:pt>
                <c:pt idx="13">
                  <c:v>5</c:v>
                </c:pt>
                <c:pt idx="14">
                  <c:v>4.7999999999999972</c:v>
                </c:pt>
                <c:pt idx="15">
                  <c:v>4.7000000000000028</c:v>
                </c:pt>
                <c:pt idx="16">
                  <c:v>5.5</c:v>
                </c:pt>
                <c:pt idx="17">
                  <c:v>6</c:v>
                </c:pt>
                <c:pt idx="18">
                  <c:v>6</c:v>
                </c:pt>
                <c:pt idx="19">
                  <c:v>6.0999999999999943</c:v>
                </c:pt>
                <c:pt idx="20">
                  <c:v>6.2</c:v>
                </c:pt>
                <c:pt idx="21">
                  <c:v>6.1</c:v>
                </c:pt>
                <c:pt idx="22">
                  <c:v>6.5</c:v>
                </c:pt>
                <c:pt idx="23">
                  <c:v>6.5</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3.xml><?xml version="1.0" encoding="utf-8"?>
<ds:datastoreItem xmlns:ds="http://schemas.openxmlformats.org/officeDocument/2006/customXml" ds:itemID="{AE92468C-8B21-490A-836E-7E292A669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696</Words>
  <Characters>4177</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2025-01-22T07:17:00Z</cp:lastPrinted>
  <dcterms:created xsi:type="dcterms:W3CDTF">2025-01-17T12:01:00Z</dcterms:created>
  <dcterms:modified xsi:type="dcterms:W3CDTF">2025-01-22T07:17:00Z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