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D0A545D" w14:textId="3A0FF1CC" w:rsidR="00393761" w:rsidRPr="0070289A" w:rsidRDefault="000107AB" w:rsidP="00F049AB">
      <w:pPr>
        <w:pStyle w:val="Tytuinfomacjisygnalnej"/>
      </w:pPr>
      <w:r w:rsidRPr="00FB3498">
        <w:rPr>
          <w:noProof/>
          <w:color w:val="00B050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3F81DBB6">
                <wp:simplePos x="0" y="0"/>
                <wp:positionH relativeFrom="margin">
                  <wp:posOffset>0</wp:posOffset>
                </wp:positionH>
                <wp:positionV relativeFrom="paragraph">
                  <wp:posOffset>1189355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9,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7DD4086E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8B3F29">
                              <w:rPr>
                                <w:rStyle w:val="WartowskanikaZnak"/>
                              </w:rPr>
                              <w:t>89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8B3F29">
                              <w:rPr>
                                <w:rStyle w:val="WartowskanikaZnak"/>
                              </w:rPr>
                              <w:t>5</w:t>
                            </w:r>
                          </w:p>
                          <w:p w14:paraId="114E94AB" w14:textId="77777777" w:rsidR="002405BE" w:rsidRPr="007D605C" w:rsidRDefault="002405BE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2554" id="Pole tekstowe 2" o:spid="_x0000_s1026" alt="Dynamika liczby mieszkań oddanych do użytkowania r/r 89,5" style="position:absolute;margin-left:0;margin-top:93.65pt;width:173.55pt;height:83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" fillcolor="#001d77" stroked="f">
                <v:stroke joinstyle="miter"/>
                <v:textbox>
                  <w:txbxContent>
                    <w:p w14:paraId="6B6EB625" w14:textId="7DD4086E" w:rsidR="002405BE" w:rsidRPr="007D605C" w:rsidRDefault="002405BE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8B3F29">
                        <w:rPr>
                          <w:rStyle w:val="WartowskanikaZnak"/>
                        </w:rPr>
                        <w:t>89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8B3F29">
                        <w:rPr>
                          <w:rStyle w:val="WartowskanikaZnak"/>
                        </w:rPr>
                        <w:t>5</w:t>
                      </w:r>
                    </w:p>
                    <w:p w14:paraId="114E94AB" w14:textId="77777777" w:rsidR="002405BE" w:rsidRPr="007D605C" w:rsidRDefault="002405BE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D5C23"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="00DD5C23" w:rsidRPr="0070289A">
        <w:t xml:space="preserve"> w </w:t>
      </w:r>
      <w:r w:rsidR="006B6D1D" w:rsidRPr="0070289A">
        <w:t>okresie styczeń-</w:t>
      </w:r>
      <w:r w:rsidR="00FA0EA4">
        <w:t>październik</w:t>
      </w:r>
      <w:r w:rsidR="00944EA3" w:rsidRPr="0070289A">
        <w:t xml:space="preserve"> 202</w:t>
      </w:r>
      <w:r w:rsidR="00087C3A" w:rsidRPr="0070289A">
        <w:t>4</w:t>
      </w:r>
      <w:r w:rsidR="00DD5C23" w:rsidRPr="0070289A">
        <w:t xml:space="preserve"> r.</w:t>
      </w:r>
      <w:r w:rsidR="00364AF9" w:rsidRPr="0070289A">
        <w:rPr>
          <w:sz w:val="32"/>
        </w:rPr>
        <w:tab/>
      </w:r>
    </w:p>
    <w:p w14:paraId="0053349A" w14:textId="14222E50" w:rsidR="00DE58F1" w:rsidRPr="00551E7E" w:rsidRDefault="00074DD8" w:rsidP="00F049AB">
      <w:pPr>
        <w:pStyle w:val="Lead"/>
        <w:rPr>
          <w:color w:val="000000" w:themeColor="text1"/>
        </w:rPr>
      </w:pPr>
      <w:r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7C373E" w:rsidRPr="00551E7E">
        <w:rPr>
          <w:color w:val="000000" w:themeColor="text1"/>
        </w:rPr>
        <w:t xml:space="preserve">W </w:t>
      </w:r>
      <w:r w:rsidR="004F21E4" w:rsidRPr="00551E7E">
        <w:rPr>
          <w:color w:val="000000" w:themeColor="text1"/>
        </w:rPr>
        <w:t xml:space="preserve">okresie </w:t>
      </w:r>
      <w:r w:rsidR="00FA0EA4">
        <w:rPr>
          <w:color w:val="000000" w:themeColor="text1"/>
        </w:rPr>
        <w:t>styczeń-październik</w:t>
      </w:r>
      <w:r w:rsidR="00087C3A" w:rsidRPr="00551E7E">
        <w:rPr>
          <w:color w:val="000000" w:themeColor="text1"/>
        </w:rPr>
        <w:t xml:space="preserve"> </w:t>
      </w:r>
      <w:r w:rsidR="00837B9A" w:rsidRPr="00551E7E">
        <w:rPr>
          <w:color w:val="000000" w:themeColor="text1"/>
        </w:rPr>
        <w:t>202</w:t>
      </w:r>
      <w:r w:rsidR="00087C3A" w:rsidRPr="00551E7E">
        <w:rPr>
          <w:color w:val="000000" w:themeColor="text1"/>
        </w:rPr>
        <w:t>4</w:t>
      </w:r>
      <w:r w:rsidR="007C373E" w:rsidRPr="00551E7E">
        <w:rPr>
          <w:color w:val="000000" w:themeColor="text1"/>
        </w:rPr>
        <w:t xml:space="preserve"> roku</w:t>
      </w:r>
      <w:r w:rsidR="00354E9A" w:rsidRPr="00551E7E">
        <w:rPr>
          <w:color w:val="000000" w:themeColor="text1"/>
        </w:rPr>
        <w:t xml:space="preserve"> oddano do</w:t>
      </w:r>
      <w:r w:rsidR="00101A3A">
        <w:rPr>
          <w:color w:val="000000" w:themeColor="text1"/>
        </w:rPr>
        <w:t> </w:t>
      </w:r>
      <w:r w:rsidR="00B95343" w:rsidRPr="00551E7E">
        <w:rPr>
          <w:color w:val="000000" w:themeColor="text1"/>
        </w:rPr>
        <w:t xml:space="preserve">użytkowania </w:t>
      </w:r>
      <w:r w:rsidR="002671E8" w:rsidRPr="00551E7E">
        <w:rPr>
          <w:color w:val="000000" w:themeColor="text1"/>
        </w:rPr>
        <w:t>mniej</w:t>
      </w:r>
      <w:r w:rsidR="00354E9A" w:rsidRPr="00551E7E">
        <w:rPr>
          <w:color w:val="000000" w:themeColor="text1"/>
        </w:rPr>
        <w:t xml:space="preserve"> mieszkań niż przed rokiem. </w:t>
      </w:r>
      <w:r w:rsidR="00A65F7C" w:rsidRPr="00551E7E">
        <w:rPr>
          <w:color w:val="000000" w:themeColor="text1"/>
        </w:rPr>
        <w:t>W</w:t>
      </w:r>
      <w:r w:rsidR="006B6D1D" w:rsidRPr="00551E7E">
        <w:rPr>
          <w:color w:val="000000" w:themeColor="text1"/>
        </w:rPr>
        <w:t>zrosła</w:t>
      </w:r>
      <w:r w:rsidR="00A65F7C" w:rsidRPr="00551E7E">
        <w:rPr>
          <w:color w:val="000000" w:themeColor="text1"/>
        </w:rPr>
        <w:t xml:space="preserve"> </w:t>
      </w:r>
      <w:r w:rsidR="00FB2103">
        <w:rPr>
          <w:color w:val="000000" w:themeColor="text1"/>
        </w:rPr>
        <w:t>natomiast</w:t>
      </w:r>
      <w:r w:rsidR="00354E9A" w:rsidRPr="00551E7E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="00DE6B58" w:rsidRPr="00551E7E">
        <w:rPr>
          <w:color w:val="000000" w:themeColor="text1"/>
        </w:rPr>
        <w:t xml:space="preserve"> </w:t>
      </w:r>
    </w:p>
    <w:p w14:paraId="1315AFFF" w14:textId="77777777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00692095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5% i 35,5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668F2B52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F73271">
                              <w:t>1</w:t>
                            </w:r>
                            <w:r w:rsidRPr="004D663A">
                              <w:t>,</w:t>
                            </w:r>
                            <w:r w:rsidR="0006072D">
                              <w:t>5</w:t>
                            </w:r>
                            <w:r w:rsidRPr="004D663A">
                              <w:t>% i 3</w:t>
                            </w:r>
                            <w:r w:rsidR="00F73271">
                              <w:t>5</w:t>
                            </w:r>
                            <w:r w:rsidRPr="004D663A">
                              <w:t>,</w:t>
                            </w:r>
                            <w:r w:rsidR="00F73271">
                              <w:t>5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1,5% i 35,5% ogólnej liczby 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" filled="f" stroked="f">
                <v:textbox>
                  <w:txbxContent>
                    <w:p w14:paraId="2DF09EE9" w14:textId="668F2B52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F73271">
                        <w:t>1</w:t>
                      </w:r>
                      <w:r w:rsidRPr="004D663A">
                        <w:t>,</w:t>
                      </w:r>
                      <w:r w:rsidR="0006072D">
                        <w:t>5</w:t>
                      </w:r>
                      <w:r w:rsidRPr="004D663A">
                        <w:t>% i 3</w:t>
                      </w:r>
                      <w:r w:rsidR="00F73271">
                        <w:t>5</w:t>
                      </w:r>
                      <w:r w:rsidRPr="004D663A">
                        <w:t>,</w:t>
                      </w:r>
                      <w:r w:rsidR="00F73271">
                        <w:t>5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137A45B6" w:rsidR="00354E9A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0B6F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293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październik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0C3C0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="00415E8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6715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87A3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="000B31B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E56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="00656B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D839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0A54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9C22A5F" w14:textId="70F6678C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="006661E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4604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E423E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77777777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62"/>
        <w:gridCol w:w="1305"/>
        <w:gridCol w:w="1191"/>
        <w:gridCol w:w="1191"/>
      </w:tblGrid>
      <w:tr w:rsidR="00F4742E" w:rsidRPr="00267F90" w14:paraId="3B9A98BA" w14:textId="1161A98F" w:rsidTr="005F2BF5">
        <w:trPr>
          <w:trHeight w:val="17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5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60F96A3" w14:textId="0234A0C7" w:rsidR="00F4742E" w:rsidRPr="00551E7E" w:rsidRDefault="00385B79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6AB2860C" w14:textId="4A9CE5A2" w:rsidR="00F4742E" w:rsidRPr="00551E7E" w:rsidRDefault="00F4742E" w:rsidP="00385B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>0 202</w:t>
            </w:r>
            <w:r w:rsidR="007F0296" w:rsidRPr="00551E7E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4742E" w:rsidRPr="00267F90" w14:paraId="77DAEFD2" w14:textId="5DCD75EA" w:rsidTr="005F2BF5">
        <w:trPr>
          <w:trHeight w:val="17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77777777" w:rsidR="00F4742E" w:rsidRPr="004D663A" w:rsidRDefault="00F4742E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6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39BDDF1E" w:rsidR="00F4742E" w:rsidRPr="00551E7E" w:rsidRDefault="00385B79" w:rsidP="00385B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0 2023=100</w:t>
            </w:r>
          </w:p>
        </w:tc>
        <w:tc>
          <w:tcPr>
            <w:tcW w:w="130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0114C6F1" w:rsidR="00F4742E" w:rsidRPr="00551E7E" w:rsidRDefault="00C23093" w:rsidP="00385B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385B79">
              <w:rPr>
                <w:color w:val="000000" w:themeColor="text1"/>
                <w:sz w:val="16"/>
                <w:szCs w:val="16"/>
              </w:rPr>
              <w:t>9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>
              <w:rPr>
                <w:color w:val="000000" w:themeColor="text1"/>
                <w:sz w:val="16"/>
                <w:szCs w:val="16"/>
              </w:rPr>
              <w:t>4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44C555" w14:textId="4ACB139F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E318001" w14:textId="1B7F6DC6" w:rsidR="00F4742E" w:rsidRPr="00551E7E" w:rsidRDefault="00F4742E" w:rsidP="00385B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>0 2023=100</w:t>
            </w:r>
          </w:p>
        </w:tc>
      </w:tr>
      <w:tr w:rsidR="0070289A" w:rsidRPr="0070289A" w14:paraId="42A58853" w14:textId="3C0872B7" w:rsidTr="005F2BF5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636E0205" w:rsidR="00F4742E" w:rsidRPr="00551E7E" w:rsidRDefault="00E11CA7" w:rsidP="0077748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7748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16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7D48F11F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82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0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682F1EC4" w:rsidR="00F4742E" w:rsidRPr="00551E7E" w:rsidRDefault="008D43D2" w:rsidP="0077748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03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77748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01314B5F" w:rsidR="00F4742E" w:rsidRPr="00551E7E" w:rsidRDefault="00CF12C1" w:rsidP="004F221B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4F221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F221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54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1AF0E814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70289A" w:rsidRPr="0070289A" w14:paraId="06ED27C4" w14:textId="60712562" w:rsidTr="005F2BF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4745DDE2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054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1B05D018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5FE06C93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27C37CA4" w:rsidR="00F4742E" w:rsidRPr="00551E7E" w:rsidRDefault="008D43D2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55FBC359" w:rsidR="00F4742E" w:rsidRPr="00551E7E" w:rsidRDefault="00E11CA7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0337" w:rsidRPr="00BD0337" w14:paraId="05DD9AEF" w14:textId="664276BB" w:rsidTr="005F2BF5">
        <w:trPr>
          <w:trHeight w:val="477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48EDF10D" w:rsidR="00F4742E" w:rsidRPr="00551E7E" w:rsidRDefault="008D43D2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6371E0A2" w:rsidR="00F4742E" w:rsidRPr="00551E7E" w:rsidRDefault="0077748D" w:rsidP="008D43D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73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53250F71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5E5B0109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611DAC38" w:rsidR="00F4742E" w:rsidRPr="00551E7E" w:rsidRDefault="00E11CA7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C861BB" w:rsidRPr="00C861BB" w14:paraId="667D384C" w14:textId="71419164" w:rsidTr="005F2BF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6F5C43F6" w:rsidR="00F4742E" w:rsidRPr="00551E7E" w:rsidRDefault="0077748D" w:rsidP="008D43D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5CF09A06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234</w:t>
            </w:r>
            <w:r w:rsidR="00CF04DA"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516CE21B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CF04DA"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501979A9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5314FD9C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FE124A" w:rsidRPr="00FE124A" w14:paraId="728CE5C8" w14:textId="1B9E01CC" w:rsidTr="005F2BF5">
        <w:trPr>
          <w:trHeight w:val="352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3A7ECE1A" w:rsidR="00F4742E" w:rsidRPr="00551E7E" w:rsidRDefault="008D43D2" w:rsidP="00A41D0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A41D0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08868CBB" w:rsidR="00F4742E" w:rsidRPr="0042460C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321,3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7BEADF1B" w:rsidR="00F4742E" w:rsidRPr="00551E7E" w:rsidRDefault="00C72083" w:rsidP="00DF0A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F0A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196</w:t>
            </w:r>
            <w:r w:rsidR="00DF0A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– </w:t>
            </w:r>
            <w:r w:rsidR="00DF0A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krotnie więcej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00BE1CBE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1 037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6EBD7872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70289A" w:rsidRPr="0070289A" w14:paraId="25FCE82E" w14:textId="7F4633B9" w:rsidTr="005F2BF5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04875736" w:rsidR="00F4742E" w:rsidRPr="00551E7E" w:rsidRDefault="0077748D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18A01F85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341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6801FF5A" w:rsidR="00F4742E" w:rsidRPr="00551E7E" w:rsidRDefault="00740F93" w:rsidP="00103B9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103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41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103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72EA9825" w:rsidR="00F4742E" w:rsidRPr="00551E7E" w:rsidRDefault="00740F93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12C0FE1D" w:rsidR="00F4742E" w:rsidRPr="00551E7E" w:rsidRDefault="00E11CA7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C861BB" w:rsidRPr="00C861BB" w14:paraId="008FEB7B" w14:textId="53ACC7AF" w:rsidTr="005F2BF5">
        <w:trPr>
          <w:trHeight w:val="34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62EEC9D1" w:rsidR="00F4742E" w:rsidRPr="00551E7E" w:rsidRDefault="0077748D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0788017E" w:rsidR="00F4742E" w:rsidRPr="00551E7E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0792932D" w:rsidR="00F4742E" w:rsidRPr="00551E7E" w:rsidRDefault="008D43D2" w:rsidP="00103B9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103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103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1489ACD1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C861BB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1D2DB5AB" w:rsidR="00F4742E" w:rsidRPr="00551E7E" w:rsidRDefault="00E11CA7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157221" w:rsidRPr="00157221" w14:paraId="66387783" w14:textId="7FC7F945" w:rsidTr="005F2BF5">
        <w:trPr>
          <w:trHeight w:val="355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104D6532" w:rsidR="00F4742E" w:rsidRPr="00551E7E" w:rsidRDefault="0077748D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6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17410F3B" w:rsidR="00F4742E" w:rsidRPr="0042460C" w:rsidRDefault="0077748D" w:rsidP="007774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8D43D2" w:rsidRP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2AE896C4" w:rsidR="00F4742E" w:rsidRPr="00A618F5" w:rsidRDefault="00103B9E" w:rsidP="00103B9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48B6234D" w:rsidR="00F4742E" w:rsidRPr="00551E7E" w:rsidRDefault="004F221B" w:rsidP="004F221B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4CC5C36C" w:rsidR="00F4742E" w:rsidRPr="00551E7E" w:rsidRDefault="004F221B" w:rsidP="004F221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177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bookmarkEnd w:id="1"/>
    </w:tbl>
    <w:p w14:paraId="1F4DC2B8" w14:textId="77777777" w:rsidR="0060108F" w:rsidRPr="00157221" w:rsidRDefault="0060108F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14:paraId="0533D66D" w14:textId="79C18338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14:paraId="30B5D550" w14:textId="5918A1DC" w:rsidR="00D972F6" w:rsidRPr="00551E7E" w:rsidRDefault="0089482A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okresie </w:t>
      </w:r>
      <w:r w:rsidR="00293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dziesięciu miesięcy</w:t>
      </w:r>
      <w:r w:rsidR="00C165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3E25F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29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7000E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="00CD15B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="0013490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9456B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14:paraId="4AC51D00" w14:textId="77777777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077"/>
        <w:gridCol w:w="1276"/>
        <w:gridCol w:w="1191"/>
        <w:gridCol w:w="1191"/>
      </w:tblGrid>
      <w:tr w:rsidR="009F4484" w:rsidRPr="00A84296" w14:paraId="51A6DDD1" w14:textId="146C3229" w:rsidTr="00DE390A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88D7D7F" w14:textId="727F38D0" w:rsidR="009F4484" w:rsidRPr="004D663A" w:rsidRDefault="00405760" w:rsidP="004057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0 2024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5CCFC61" w14:textId="6958D0E0" w:rsidR="009F4484" w:rsidRPr="00551E7E" w:rsidRDefault="009F4484" w:rsidP="004057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>0 2024</w:t>
            </w:r>
          </w:p>
        </w:tc>
      </w:tr>
      <w:tr w:rsidR="009F4484" w:rsidRPr="00A84296" w14:paraId="4B8AD3D6" w14:textId="73FAD287" w:rsidTr="00DE390A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77777777" w:rsidR="009F4484" w:rsidRPr="004D663A" w:rsidRDefault="009F4484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217F1710" w:rsidR="009F4484" w:rsidRPr="004D663A" w:rsidRDefault="00405760" w:rsidP="004057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0 2023=100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7E992DD3" w:rsidR="009F4484" w:rsidRPr="004D663A" w:rsidRDefault="007F0296" w:rsidP="004057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405760">
              <w:rPr>
                <w:color w:val="000000" w:themeColor="text1"/>
                <w:sz w:val="16"/>
                <w:szCs w:val="16"/>
              </w:rPr>
              <w:t>9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5FC7883A" w:rsidR="009F4484" w:rsidRPr="00551E7E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6F4744B7" w:rsidR="009F4484" w:rsidRPr="00551E7E" w:rsidRDefault="009F4484" w:rsidP="004057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0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="009F4484" w:rsidRPr="00A84296" w14:paraId="29FC5395" w14:textId="4D7C6F4F" w:rsidTr="00DE390A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4ED86C60" w:rsidR="009F4484" w:rsidRPr="00551E7E" w:rsidRDefault="00141173" w:rsidP="009A22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9A22C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A22C0">
              <w:rPr>
                <w:rFonts w:cs="Arial"/>
                <w:b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07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57F6EA7C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44B39414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105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1351FDFD" w:rsidR="009F4484" w:rsidRPr="00551E7E" w:rsidRDefault="00DF52EB" w:rsidP="000806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806F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43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06F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4FB92CFF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806F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4FCE1250" w14:textId="23CB4C34" w:rsidTr="00DE390A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13906FFF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437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0782D87D" w:rsidR="009F4484" w:rsidRPr="00551E7E" w:rsidRDefault="00141173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30422F48" w:rsidR="009F4484" w:rsidRPr="00551E7E" w:rsidRDefault="00DF52EB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453BEF14" w:rsidR="009F4484" w:rsidRPr="00551E7E" w:rsidRDefault="00DF52EB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3BCC0693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015B25" w:rsidRPr="00015B25" w14:paraId="4EADF348" w14:textId="6303CDEC" w:rsidTr="00DE390A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6E8F78A7" w:rsidR="009F4484" w:rsidRPr="00551E7E" w:rsidRDefault="00141173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2DB7DFCB" w:rsidR="009F4484" w:rsidRPr="00551E7E" w:rsidRDefault="00DF52EB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31CEA512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799AF967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7142ADDE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9F4484" w:rsidRPr="00A84296" w14:paraId="197E04F5" w14:textId="23C10218" w:rsidTr="00DE390A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0E8A510E" w:rsidR="009F4484" w:rsidRPr="00551E7E" w:rsidRDefault="00DF52EB" w:rsidP="00DF5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186228AF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409ABE0B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5FEA7A62" w:rsidR="009F4484" w:rsidRPr="00551E7E" w:rsidRDefault="00DF52EB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9F4484" w:rsidRPr="00A84296" w14:paraId="5EDA45B8" w14:textId="6B60716B" w:rsidTr="00DE390A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7E5EB675" w:rsidR="009F4484" w:rsidRPr="00551E7E" w:rsidRDefault="00DF52EB" w:rsidP="00DF5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65792A50" w:rsidR="009F4484" w:rsidRPr="00551E7E" w:rsidRDefault="00FD779A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53D7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55A7131E" w:rsidR="009F4484" w:rsidRPr="00551E7E" w:rsidRDefault="009A22C0" w:rsidP="00826D2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26D2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187</w:t>
            </w:r>
            <w:r w:rsidR="00FD779A" w:rsidRPr="00826D2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="00A618F5" w:rsidRPr="00826D2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 w:rsidR="00FD779A" w:rsidRPr="00826D2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krotnie </w:t>
            </w:r>
            <w:r w:rsidR="00826D28" w:rsidRPr="00826D2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więcej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00E81879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301D2E9B" w:rsidR="009F4484" w:rsidRPr="00551E7E" w:rsidRDefault="000806FC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9F4484" w:rsidRPr="00A84296" w14:paraId="76099805" w14:textId="133A7E1F" w:rsidTr="00DE390A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27E69510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05D4A1BB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06798381" w:rsidR="009F4484" w:rsidRPr="00551E7E" w:rsidRDefault="009A22C0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63CC3A2E" w:rsidR="009F4484" w:rsidRPr="00551E7E" w:rsidRDefault="00C861BB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4EF554F6" w:rsidR="009F4484" w:rsidRPr="00551E7E" w:rsidRDefault="00141173" w:rsidP="000806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7595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C861BB" w:rsidRPr="00C861BB" w14:paraId="258B13C2" w14:textId="4D7ECA13" w:rsidTr="00DE390A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4787AEBE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355B5C8A" w:rsidR="009F4484" w:rsidRPr="00551E7E" w:rsidRDefault="00B67D7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3F635457" w:rsidR="009F4484" w:rsidRPr="00551E7E" w:rsidRDefault="00D16C05" w:rsidP="00D16C0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607BE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prawie 11 – krotnie mniej</w:t>
            </w:r>
          </w:p>
        </w:tc>
      </w:tr>
    </w:tbl>
    <w:p w14:paraId="6381C17B" w14:textId="1944D975" w:rsidR="00AC280D" w:rsidRDefault="00AC280D" w:rsidP="00AC280D">
      <w:pPr>
        <w:spacing w:before="0" w:after="0"/>
        <w:rPr>
          <w:lang w:eastAsia="pl-PL"/>
        </w:rPr>
      </w:pPr>
    </w:p>
    <w:p w14:paraId="03E87AE2" w14:textId="5828ACB7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17277289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szych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dzie</w:t>
      </w:r>
      <w:r w:rsidR="00293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sięciu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miesiącach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1A50C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EA4D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600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CB615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C738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3,9 tys. w roku poprzednim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="008333F5" w:rsidRPr="002C7929" w14:paraId="6CB9BE59" w14:textId="42BE7FEE" w:rsidTr="00AB4AFF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6B7DF43" w14:textId="3270A598" w:rsidR="008333F5" w:rsidRPr="009F61F9" w:rsidRDefault="00A901AA" w:rsidP="00A901AA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>0 2024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13EB8AF" w14:textId="35B418D4" w:rsidR="008333F5" w:rsidRPr="00551E7E" w:rsidRDefault="008333F5" w:rsidP="00A901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>0 2024</w:t>
            </w:r>
          </w:p>
        </w:tc>
      </w:tr>
      <w:tr w:rsidR="008333F5" w:rsidRPr="002C7929" w14:paraId="5E42288C" w14:textId="7E3FE8A3" w:rsidTr="00AB4AFF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77777777" w:rsidR="008333F5" w:rsidRPr="00551E7E" w:rsidRDefault="008333F5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57694A9B" w:rsidR="008333F5" w:rsidRPr="009F61F9" w:rsidRDefault="00A901AA" w:rsidP="00A901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>0 2023=100</w:t>
            </w:r>
          </w:p>
        </w:tc>
        <w:tc>
          <w:tcPr>
            <w:tcW w:w="116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4DD3EE98" w:rsidR="008333F5" w:rsidRPr="009F61F9" w:rsidRDefault="007F0296" w:rsidP="00A901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A901AA">
              <w:rPr>
                <w:color w:val="000000" w:themeColor="text1"/>
                <w:sz w:val="16"/>
                <w:szCs w:val="16"/>
              </w:rPr>
              <w:t>9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>
              <w:rPr>
                <w:color w:val="000000" w:themeColor="text1"/>
                <w:sz w:val="16"/>
                <w:szCs w:val="16"/>
              </w:rPr>
              <w:t>4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031AA9A9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0640F" w14:textId="43998633" w:rsidR="00C83BAD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0 </w:t>
            </w:r>
          </w:p>
          <w:p w14:paraId="74CCB7F6" w14:textId="3CF8A14A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="008333F5" w:rsidRPr="002C7929" w14:paraId="54BD83DF" w14:textId="6CBA5738" w:rsidTr="00AB4AFF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63E35585" w:rsidR="008333F5" w:rsidRPr="00551E7E" w:rsidRDefault="00A901AA" w:rsidP="000876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23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760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4291B794" w:rsidR="008333F5" w:rsidRPr="00551E7E" w:rsidRDefault="00442090" w:rsidP="001870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18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34E94A9B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121</w:t>
            </w:r>
            <w:r w:rsidR="00442090"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67E14872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204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704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06688424" w:rsidR="008333F5" w:rsidRPr="00551E7E" w:rsidRDefault="00D606EE" w:rsidP="001870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29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BA3A1A" w:rsidRPr="00BA3A1A" w14:paraId="35D57DCE" w14:textId="75854F6B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5962B8EA" w:rsidR="008333F5" w:rsidRPr="00551E7E" w:rsidRDefault="00A901AA" w:rsidP="00A901A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084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2908A110" w:rsidR="008333F5" w:rsidRPr="00551E7E" w:rsidRDefault="00442090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610E9221" w:rsidR="008333F5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66F8B826" w:rsidR="008333F5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15E0B537" w:rsidR="008333F5" w:rsidRPr="00551E7E" w:rsidRDefault="00D606EE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8333F5" w:rsidRPr="002C7929" w14:paraId="5DEDAA89" w14:textId="639CF158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1C4720FB" w:rsidR="008333F5" w:rsidRPr="00551E7E" w:rsidRDefault="00D606EE" w:rsidP="00A901A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901A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901AA">
              <w:rPr>
                <w:rFonts w:cs="Arial"/>
                <w:color w:val="000000" w:themeColor="text1"/>
                <w:sz w:val="16"/>
                <w:szCs w:val="16"/>
              </w:rPr>
              <w:t>910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35215171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129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1FEFFD7F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134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36D13A30" w:rsidR="008333F5" w:rsidRPr="00551E7E" w:rsidRDefault="00621242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04F0E300" w:rsidR="008333F5" w:rsidRPr="00551E7E" w:rsidRDefault="00D606EE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2E5BB2" w:rsidRPr="002E5BB2" w14:paraId="01F6F875" w14:textId="3567E600" w:rsidTr="00AB4AFF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3B381F90" w:rsidR="008333F5" w:rsidRPr="00551E7E" w:rsidRDefault="00A901AA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2B443CCC" w:rsidR="008333F5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</w:t>
            </w:r>
            <w:r w:rsidR="00743746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215FDB1D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1E185383" w:rsidR="008333F5" w:rsidRPr="00551E7E" w:rsidRDefault="00621242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16CA7AF2" w:rsidR="008333F5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8333F5" w:rsidRPr="00CD4A90" w14:paraId="06341447" w14:textId="1255ECF7" w:rsidTr="00AB4AFF">
        <w:trPr>
          <w:trHeight w:val="230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4CAB7535" w:rsidR="008333F5" w:rsidRPr="00551E7E" w:rsidRDefault="00A901A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24A57D5F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49C3A1D9" w:rsidR="008333F5" w:rsidRPr="00551E7E" w:rsidRDefault="001870AD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59,1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2D842152" w:rsidR="008333F5" w:rsidRPr="00551E7E" w:rsidRDefault="001870AD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1A88C835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317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056EC2" w:rsidRPr="00056EC2" w14:paraId="2EC3ADE8" w14:textId="467384C1" w:rsidTr="00AB4AFF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6F2160CF" w:rsidR="008333F5" w:rsidRPr="00551E7E" w:rsidRDefault="00A901AA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7FD54549" w:rsidR="008333F5" w:rsidRPr="00551E7E" w:rsidRDefault="001870AD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7DED2C0B" w:rsidR="008333F5" w:rsidRPr="00551E7E" w:rsidRDefault="001870AD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0CC18A12" w:rsidR="008333F5" w:rsidRPr="00551E7E" w:rsidRDefault="00D606EE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3C450873" w:rsidR="008333F5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442090" w:rsidRPr="00056EC2" w14:paraId="4A5A6771" w14:textId="3FFC6BBF" w:rsidTr="007A573E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749027AB" w:rsidR="00442090" w:rsidRPr="00551E7E" w:rsidRDefault="00D27049" w:rsidP="00A901A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A901A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9C1F73" w14:textId="20CA9A36" w:rsidR="00442090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3E419A5A" w:rsidR="00442090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60F1387C" w:rsidR="00442090" w:rsidRPr="00551E7E" w:rsidRDefault="00D27049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3160000A" w:rsidR="00442090" w:rsidRPr="00551E7E" w:rsidRDefault="001870AD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D2704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42090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442090" w:rsidRPr="002C7929" w14:paraId="5C865AF3" w14:textId="0E11FD55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3FE37500" w:rsidR="00442090" w:rsidRPr="00551E7E" w:rsidRDefault="00A901AA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5DB11A92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06C6E987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1CE6F5EA" w:rsidR="00442090" w:rsidRPr="00551E7E" w:rsidRDefault="00442090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3299C73A" w:rsidR="00442090" w:rsidRPr="00D27049" w:rsidRDefault="00AB28C9" w:rsidP="00B44F6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322FC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B44F6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322FC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12 – krotnie mniej</w:t>
            </w:r>
          </w:p>
        </w:tc>
      </w:tr>
    </w:tbl>
    <w:p w14:paraId="295C0D0C" w14:textId="2F0A878D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29304B">
        <w:rPr>
          <w:color w:val="000000" w:themeColor="text1"/>
          <w:shd w:val="clear" w:color="auto" w:fill="FFFFFF"/>
        </w:rPr>
        <w:t>października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EF0A52" w:rsidRPr="00551E7E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roku w budowie pozostawało 8</w:t>
      </w:r>
      <w:r w:rsidR="00D105B3">
        <w:rPr>
          <w:color w:val="000000" w:themeColor="text1"/>
          <w:shd w:val="clear" w:color="auto" w:fill="FFFFFF"/>
        </w:rPr>
        <w:t>43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D105B3">
        <w:rPr>
          <w:color w:val="000000" w:themeColor="text1"/>
          <w:shd w:val="clear" w:color="auto" w:fill="FFFFFF"/>
        </w:rPr>
        <w:t>2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D105B3">
        <w:rPr>
          <w:color w:val="000000" w:themeColor="text1"/>
          <w:shd w:val="clear" w:color="auto" w:fill="FFFFFF"/>
        </w:rPr>
        <w:t>4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D105B3">
        <w:rPr>
          <w:color w:val="000000" w:themeColor="text1"/>
          <w:shd w:val="clear" w:color="auto" w:fill="FFFFFF"/>
        </w:rPr>
        <w:t>1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w analogicznym miesiącu 202</w:t>
      </w:r>
      <w:r w:rsidR="00EF0A52" w:rsidRPr="00551E7E">
        <w:rPr>
          <w:color w:val="000000" w:themeColor="text1"/>
          <w:shd w:val="clear" w:color="auto" w:fill="FFFFFF"/>
        </w:rPr>
        <w:t>3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0C1382A2" w:rsidR="00472B00" w:rsidRPr="005254C9" w:rsidRDefault="00355C3E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3F7C047D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październiku 2024 roku, w porównaniu do poprzedniego miesiąca, wzrosła liczba mieszkań oddanych do użytkowania (o 3,3%), liczba mieszkań, na których budowę wydano pozwolenia lub dokonano zgłoszenia z projektem budowlanym (o 5,9%) oraz liczba mieszkań, których budowę rozpoczęto (o 21,4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D806" w14:textId="758B5266" w:rsidR="002405BE" w:rsidRPr="009D7FA5" w:rsidRDefault="002405BE" w:rsidP="00CD6D30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1471CA">
                              <w:t>październiku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2024 roku, 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D7FA5" w:rsidRPr="004D663A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="009D7FA5" w:rsidRPr="004D663A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B9575F" w:rsidRPr="00B9575F">
                              <w:t>wzrosła</w:t>
                            </w:r>
                            <w:r w:rsidR="00B9575F">
                              <w:t xml:space="preserve"> </w:t>
                            </w:r>
                            <w:r w:rsidR="00B9575F" w:rsidRPr="00B9575F">
                              <w:t>liczba mieszkań oddanych do użytkowania (o 3,</w:t>
                            </w:r>
                            <w:r w:rsidR="001471CA">
                              <w:t>3</w:t>
                            </w:r>
                            <w:r w:rsidR="00B9575F" w:rsidRPr="00B9575F">
                              <w:t>%)</w:t>
                            </w:r>
                            <w:r w:rsidR="00B9575F">
                              <w:t xml:space="preserve">, </w:t>
                            </w:r>
                            <w:r w:rsidRPr="004D663A">
                              <w:t>liczba mieszkań</w:t>
                            </w:r>
                            <w:r w:rsidR="007B643F" w:rsidRPr="007B643F">
                              <w:t>, na których budowę wydano pozwolenia lub dokonano zgłoszenia z</w:t>
                            </w:r>
                            <w:r w:rsidR="00736C29">
                              <w:t> </w:t>
                            </w:r>
                            <w:r w:rsidR="007B643F" w:rsidRPr="007B643F">
                              <w:t>projektem budowlanym (o</w:t>
                            </w:r>
                            <w:r w:rsidR="00736C29">
                              <w:t> </w:t>
                            </w:r>
                            <w:r w:rsidR="001471CA">
                              <w:t>5</w:t>
                            </w:r>
                            <w:r w:rsidR="007B643F" w:rsidRPr="007B643F">
                              <w:t>,</w:t>
                            </w:r>
                            <w:r w:rsidR="001471CA">
                              <w:t>9</w:t>
                            </w:r>
                            <w:r w:rsidR="007B643F" w:rsidRPr="007B643F">
                              <w:t>%)</w:t>
                            </w:r>
                            <w:r w:rsidR="00F47622">
                              <w:t xml:space="preserve"> oraz </w:t>
                            </w:r>
                            <w:r w:rsidR="00F47622" w:rsidRPr="00F47622">
                              <w:t xml:space="preserve">liczba mieszkań, których budowę rozpoczęto (o </w:t>
                            </w:r>
                            <w:r w:rsidR="001471CA">
                              <w:t>21</w:t>
                            </w:r>
                            <w:r w:rsidR="00F47622" w:rsidRPr="00F47622">
                              <w:t>,</w:t>
                            </w:r>
                            <w:r w:rsidR="001471CA">
                              <w:t>4</w:t>
                            </w:r>
                            <w:r w:rsidR="00F47622" w:rsidRPr="00F47622">
                              <w:t>%)</w:t>
                            </w:r>
                            <w:r w:rsidR="00657D0A">
                              <w:t>.</w:t>
                            </w:r>
                          </w:p>
                          <w:p w14:paraId="30A018ED" w14:textId="77777777" w:rsidR="002405BE" w:rsidRPr="00CB46F1" w:rsidRDefault="002405BE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820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 październiku 2024 roku, w porównaniu do poprzedniego miesiąca, wzrosła liczba mieszkań oddanych do użytkowania (o 3,3%), liczba mieszkań, na których budowę wydano pozwolenia lub dokonano zgłoszenia z projektem budowlanym (o 5,9%) oraz liczba mieszkań, których budowę rozpoczęto (o 21,4%).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" filled="f" stroked="f">
                <v:textbox>
                  <w:txbxContent>
                    <w:p w14:paraId="0EC4D806" w14:textId="758B5266" w:rsidR="002405BE" w:rsidRPr="009D7FA5" w:rsidRDefault="002405BE" w:rsidP="00CD6D30">
                      <w:pPr>
                        <w:pStyle w:val="tekstzboku"/>
                      </w:pPr>
                      <w:bookmarkStart w:id="2" w:name="_GoBack"/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1471CA">
                        <w:t>październiku</w:t>
                      </w:r>
                      <w:r w:rsidR="00130CD6">
                        <w:t xml:space="preserve"> </w:t>
                      </w:r>
                      <w:r w:rsidRPr="004D663A">
                        <w:t>2024 roku, 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D7FA5" w:rsidRPr="004D663A">
                        <w:t xml:space="preserve">do </w:t>
                      </w:r>
                      <w:r w:rsidRPr="004D663A">
                        <w:t>poprzedniego</w:t>
                      </w:r>
                      <w:r w:rsidR="009D7FA5" w:rsidRPr="004D663A">
                        <w:t xml:space="preserve"> miesiąca</w:t>
                      </w:r>
                      <w:r w:rsidRPr="004D663A">
                        <w:t xml:space="preserve">, </w:t>
                      </w:r>
                      <w:r w:rsidR="00B9575F" w:rsidRPr="00B9575F">
                        <w:t>wzrosła</w:t>
                      </w:r>
                      <w:r w:rsidR="00B9575F">
                        <w:t xml:space="preserve"> </w:t>
                      </w:r>
                      <w:r w:rsidR="00B9575F" w:rsidRPr="00B9575F">
                        <w:t>liczba mieszkań oddanych do użytkowania (o 3,</w:t>
                      </w:r>
                      <w:r w:rsidR="001471CA">
                        <w:t>3</w:t>
                      </w:r>
                      <w:r w:rsidR="00B9575F" w:rsidRPr="00B9575F">
                        <w:t>%)</w:t>
                      </w:r>
                      <w:r w:rsidR="00B9575F">
                        <w:t xml:space="preserve">, </w:t>
                      </w:r>
                      <w:r w:rsidRPr="004D663A">
                        <w:t>liczba mieszkań</w:t>
                      </w:r>
                      <w:r w:rsidR="007B643F" w:rsidRPr="007B643F">
                        <w:t>, na których budowę wydano pozwolenia lub dokonano zgłoszenia z</w:t>
                      </w:r>
                      <w:r w:rsidR="00736C29">
                        <w:t> </w:t>
                      </w:r>
                      <w:r w:rsidR="007B643F" w:rsidRPr="007B643F">
                        <w:t>projektem budowlanym (o</w:t>
                      </w:r>
                      <w:r w:rsidR="00736C29">
                        <w:t> </w:t>
                      </w:r>
                      <w:r w:rsidR="001471CA">
                        <w:t>5</w:t>
                      </w:r>
                      <w:r w:rsidR="007B643F" w:rsidRPr="007B643F">
                        <w:t>,</w:t>
                      </w:r>
                      <w:r w:rsidR="001471CA">
                        <w:t>9</w:t>
                      </w:r>
                      <w:r w:rsidR="007B643F" w:rsidRPr="007B643F">
                        <w:t>%)</w:t>
                      </w:r>
                      <w:r w:rsidR="00F47622">
                        <w:t xml:space="preserve"> oraz </w:t>
                      </w:r>
                      <w:r w:rsidR="00F47622" w:rsidRPr="00F47622">
                        <w:t xml:space="preserve">liczba mieszkań, których budowę rozpoczęto (o </w:t>
                      </w:r>
                      <w:r w:rsidR="001471CA">
                        <w:t>21</w:t>
                      </w:r>
                      <w:r w:rsidR="00F47622" w:rsidRPr="00F47622">
                        <w:t>,</w:t>
                      </w:r>
                      <w:r w:rsidR="001471CA">
                        <w:t>4</w:t>
                      </w:r>
                      <w:r w:rsidR="00F47622" w:rsidRPr="00F47622">
                        <w:t>%)</w:t>
                      </w:r>
                      <w:r w:rsidR="00657D0A">
                        <w:t>.</w:t>
                      </w:r>
                    </w:p>
                    <w:bookmarkEnd w:id="2"/>
                    <w:p w14:paraId="30A018ED" w14:textId="77777777" w:rsidR="002405BE" w:rsidRPr="00CB46F1" w:rsidRDefault="002405BE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6645D41E" w14:textId="2BFDEFB5" w:rsidR="00355C3E" w:rsidRDefault="001211DA" w:rsidP="0056483A">
      <w:pPr>
        <w:pStyle w:val="Tytuwykresu0"/>
        <w:spacing w:after="0"/>
      </w:pPr>
      <w:r w:rsidRPr="0041714F">
        <w:drawing>
          <wp:anchor distT="0" distB="0" distL="114300" distR="114300" simplePos="0" relativeHeight="251793408" behindDoc="0" locked="0" layoutInCell="1" allowOverlap="1" wp14:anchorId="514790A3" wp14:editId="4C65F0FA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5122545" cy="2800985"/>
            <wp:effectExtent l="0" t="0" r="1905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48926" w14:textId="68DF8BFA" w:rsidR="00355C3E" w:rsidRDefault="00355C3E" w:rsidP="0056483A">
      <w:pPr>
        <w:pStyle w:val="Tytuwykresu0"/>
        <w:spacing w:after="0"/>
      </w:pPr>
    </w:p>
    <w:p w14:paraId="693FA0BA" w14:textId="21385E76" w:rsidR="00355C3E" w:rsidRDefault="00355C3E" w:rsidP="0056483A">
      <w:pPr>
        <w:pStyle w:val="Tytuwykresu0"/>
        <w:spacing w:after="0"/>
      </w:pPr>
    </w:p>
    <w:p w14:paraId="0526CCA2" w14:textId="723805BA" w:rsidR="00355C3E" w:rsidRDefault="00355C3E" w:rsidP="0056483A">
      <w:pPr>
        <w:pStyle w:val="Tytuwykresu0"/>
        <w:spacing w:after="0"/>
      </w:pPr>
    </w:p>
    <w:p w14:paraId="5896C79C" w14:textId="3A4E768F" w:rsidR="00355C3E" w:rsidRDefault="00F33181" w:rsidP="00F33181">
      <w:pPr>
        <w:pStyle w:val="Tytuwykresu0"/>
        <w:tabs>
          <w:tab w:val="left" w:pos="4641"/>
        </w:tabs>
        <w:spacing w:after="0"/>
      </w:pPr>
      <w:r>
        <w:tab/>
      </w:r>
    </w:p>
    <w:p w14:paraId="312CD903" w14:textId="14BE1DC5" w:rsidR="00355C3E" w:rsidRDefault="00355C3E" w:rsidP="0056483A">
      <w:pPr>
        <w:pStyle w:val="Tytuwykresu0"/>
        <w:spacing w:after="0"/>
      </w:pPr>
    </w:p>
    <w:p w14:paraId="05AA70CE" w14:textId="4D0419A6" w:rsidR="00355C3E" w:rsidRDefault="00355C3E" w:rsidP="0056483A">
      <w:pPr>
        <w:pStyle w:val="Tytuwykresu0"/>
        <w:spacing w:after="0"/>
      </w:pPr>
    </w:p>
    <w:p w14:paraId="47128024" w14:textId="0DED2697" w:rsidR="00355C3E" w:rsidRDefault="00355C3E" w:rsidP="0056483A">
      <w:pPr>
        <w:pStyle w:val="Tytuwykresu0"/>
        <w:spacing w:after="0"/>
      </w:pPr>
    </w:p>
    <w:p w14:paraId="064ED53F" w14:textId="6CB049D9" w:rsidR="00EE3D14" w:rsidRPr="00551E7E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293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październik</w:t>
      </w:r>
      <w:r w:rsidR="0004344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EF0A5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="00D1319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0C503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="00E3787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41714F" w:rsidRP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dolnośląskim 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41714F" w:rsidRP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7E56BE0B" w14:textId="03B6095B" w:rsidR="00355C3E" w:rsidRDefault="00A617AC" w:rsidP="00153FDC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120C1F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="004C6DF8" w:rsidRPr="00944941">
        <w:rPr>
          <w:rFonts w:ascii="Fira Sans" w:hAnsi="Fira Sans"/>
          <w:spacing w:val="-2"/>
          <w:sz w:val="18"/>
          <w:szCs w:val="18"/>
        </w:rPr>
        <w:t>styczeń-</w:t>
      </w:r>
      <w:r w:rsidR="00E25DC2">
        <w:rPr>
          <w:rFonts w:ascii="Fira Sans" w:hAnsi="Fira Sans"/>
          <w:spacing w:val="-2"/>
          <w:sz w:val="18"/>
          <w:szCs w:val="18"/>
        </w:rPr>
        <w:t>październik</w:t>
      </w:r>
      <w:r w:rsidR="0073416D" w:rsidRPr="00944941">
        <w:rPr>
          <w:rFonts w:ascii="Fira Sans" w:hAnsi="Fira Sans"/>
          <w:spacing w:val="-2"/>
          <w:sz w:val="18"/>
          <w:szCs w:val="18"/>
        </w:rPr>
        <w:t xml:space="preserve"> </w:t>
      </w:r>
      <w:r w:rsidR="004507B6" w:rsidRPr="00944941">
        <w:rPr>
          <w:rFonts w:ascii="Fira Sans" w:hAnsi="Fira Sans"/>
          <w:spacing w:val="-2"/>
          <w:sz w:val="18"/>
          <w:szCs w:val="18"/>
        </w:rPr>
        <w:t>202</w:t>
      </w:r>
      <w:r w:rsidR="0073416D" w:rsidRPr="00944941">
        <w:rPr>
          <w:rFonts w:ascii="Fira Sans" w:hAnsi="Fira Sans"/>
          <w:spacing w:val="-2"/>
          <w:sz w:val="18"/>
          <w:szCs w:val="18"/>
        </w:rPr>
        <w:t>4</w:t>
      </w:r>
      <w:r w:rsidR="00084C7F" w:rsidRPr="00120C1F">
        <w:rPr>
          <w:rFonts w:ascii="Fira Sans" w:hAnsi="Fira Sans"/>
          <w:spacing w:val="-2"/>
          <w:sz w:val="18"/>
          <w:szCs w:val="18"/>
        </w:rPr>
        <w:t> </w:t>
      </w:r>
      <w:r w:rsidR="004507B6" w:rsidRPr="00120C1F">
        <w:rPr>
          <w:rFonts w:ascii="Fira Sans" w:hAnsi="Fira Sans"/>
          <w:spacing w:val="-2"/>
          <w:sz w:val="18"/>
          <w:szCs w:val="18"/>
        </w:rPr>
        <w:t>r.</w:t>
      </w:r>
    </w:p>
    <w:p w14:paraId="1630AD42" w14:textId="7991A45F" w:rsidR="00355C3E" w:rsidRDefault="004C3449" w:rsidP="00153FDC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4C3449">
        <w:drawing>
          <wp:anchor distT="0" distB="0" distL="114300" distR="114300" simplePos="0" relativeHeight="251794432" behindDoc="0" locked="0" layoutInCell="1" allowOverlap="1" wp14:anchorId="32D5CB8B" wp14:editId="58AECA77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5122545" cy="2830830"/>
            <wp:effectExtent l="0" t="0" r="1905" b="7620"/>
            <wp:wrapNone/>
            <wp:docPr id="7" name="Obraz 7" descr="Liczba mieszkań oddanych do użytkowania, liczba mieszkań, na których budowę wydano pozwolenia lub dokonano zgłoszenia z projektem budowlanym oraz liczba mieszkań, których budowę rozpoczęto w okresie styczeń-październik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5CDA7" w14:textId="5CB99B27" w:rsidR="00355C3E" w:rsidRDefault="00171EA8" w:rsidP="00171EA8">
      <w:pPr>
        <w:pStyle w:val="Tytuwykresu0"/>
        <w:tabs>
          <w:tab w:val="left" w:pos="1293"/>
        </w:tabs>
        <w:ind w:left="851" w:hanging="851"/>
      </w:pPr>
      <w:r>
        <w:tab/>
      </w:r>
    </w:p>
    <w:p w14:paraId="551C4174" w14:textId="142F634F" w:rsidR="00355C3E" w:rsidRDefault="00355C3E" w:rsidP="00CF361E">
      <w:pPr>
        <w:pStyle w:val="Tytuwykresu0"/>
        <w:ind w:left="851" w:hanging="851"/>
      </w:pPr>
    </w:p>
    <w:p w14:paraId="214119AB" w14:textId="76BE5F4B" w:rsidR="00355C3E" w:rsidRDefault="00355C3E" w:rsidP="00CF361E">
      <w:pPr>
        <w:pStyle w:val="Tytuwykresu0"/>
        <w:ind w:left="851" w:hanging="851"/>
      </w:pPr>
    </w:p>
    <w:p w14:paraId="7B21852E" w14:textId="77777777" w:rsidR="00355C3E" w:rsidRDefault="00355C3E" w:rsidP="00CF361E">
      <w:pPr>
        <w:pStyle w:val="Tytuwykresu0"/>
        <w:ind w:left="851" w:hanging="851"/>
      </w:pPr>
    </w:p>
    <w:p w14:paraId="0E50D1E9" w14:textId="79E51379" w:rsidR="00355C3E" w:rsidRDefault="00355C3E" w:rsidP="00CF361E">
      <w:pPr>
        <w:pStyle w:val="Tytuwykresu0"/>
        <w:ind w:left="851" w:hanging="851"/>
      </w:pPr>
    </w:p>
    <w:p w14:paraId="658FBF0A" w14:textId="77777777" w:rsidR="00355C3E" w:rsidRDefault="00355C3E" w:rsidP="00CF361E">
      <w:pPr>
        <w:pStyle w:val="Tytuwykresu0"/>
        <w:ind w:left="851" w:hanging="851"/>
      </w:pPr>
    </w:p>
    <w:p w14:paraId="75059F18" w14:textId="77777777" w:rsidR="00355C3E" w:rsidRDefault="00355C3E" w:rsidP="00CF361E">
      <w:pPr>
        <w:pStyle w:val="Tytuwykresu0"/>
        <w:ind w:left="851" w:hanging="851"/>
      </w:pPr>
    </w:p>
    <w:p w14:paraId="16ED35B8" w14:textId="53BE272D" w:rsidR="003F24B9" w:rsidRPr="00355C3E" w:rsidRDefault="003F24B9" w:rsidP="00355C3E">
      <w:pPr>
        <w:pStyle w:val="Tytuwykresu0"/>
      </w:pPr>
    </w:p>
    <w:p w14:paraId="253288F8" w14:textId="48317762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1812481" w14:textId="77777777" w:rsidR="0074275C" w:rsidRDefault="0074275C" w:rsidP="00B24F84">
      <w:pPr>
        <w:spacing w:after="0"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2825D2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81541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815419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815419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81541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81541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6A78B" w14:textId="77777777" w:rsidR="00815419" w:rsidRDefault="00815419" w:rsidP="000662E2">
      <w:pPr>
        <w:spacing w:after="0" w:line="240" w:lineRule="auto"/>
      </w:pPr>
      <w:r>
        <w:separator/>
      </w:r>
    </w:p>
  </w:endnote>
  <w:endnote w:type="continuationSeparator" w:id="0">
    <w:p w14:paraId="536C6331" w14:textId="77777777" w:rsidR="00815419" w:rsidRDefault="0081541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4CA943E1-3514-438C-933C-E67B1A63FCB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C3BF5212-2AE0-4C69-9C17-4EE4FAC916BF}"/>
    <w:embedBold r:id="rId3" w:fontKey="{3D99D322-E42E-44A3-B0D3-9B2B31747140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912E6E6C-B346-4B71-AE4A-BDA88B85EAA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C35C471C-794E-4354-A990-E5D017AE6CF0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D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D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D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D9EB3" w14:textId="77777777" w:rsidR="00815419" w:rsidRDefault="00815419" w:rsidP="000662E2">
      <w:pPr>
        <w:spacing w:after="0" w:line="240" w:lineRule="auto"/>
      </w:pPr>
      <w:r>
        <w:separator/>
      </w:r>
    </w:p>
  </w:footnote>
  <w:footnote w:type="continuationSeparator" w:id="0">
    <w:p w14:paraId="0290072F" w14:textId="77777777" w:rsidR="00815419" w:rsidRDefault="00815419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348B89D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1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AE83231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44763">
                            <w:t>1</w:t>
                          </w:r>
                          <w:r>
                            <w:t>.</w:t>
                          </w:r>
                          <w:r w:rsidR="00C44763">
                            <w:t>1</w:t>
                          </w:r>
                          <w:r w:rsidR="00AF1DE9">
                            <w:t>1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11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yiIQIAABU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FfkvKI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0AE83231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C44763">
                      <w:t>1</w:t>
                    </w:r>
                    <w:r>
                      <w:t>.</w:t>
                    </w:r>
                    <w:r w:rsidR="00C44763">
                      <w:t>1</w:t>
                    </w:r>
                    <w:r w:rsidR="00AF1DE9">
                      <w:t>1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1.5pt;height:129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7AB"/>
    <w:rsid w:val="000108B8"/>
    <w:rsid w:val="00011D2F"/>
    <w:rsid w:val="00012F0D"/>
    <w:rsid w:val="00013D22"/>
    <w:rsid w:val="000152F5"/>
    <w:rsid w:val="00015B25"/>
    <w:rsid w:val="000164E8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4AA"/>
    <w:rsid w:val="000845F3"/>
    <w:rsid w:val="0008478F"/>
    <w:rsid w:val="00084C7F"/>
    <w:rsid w:val="00087603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FB3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5FF4"/>
    <w:rsid w:val="000E6227"/>
    <w:rsid w:val="000E79A9"/>
    <w:rsid w:val="000E7CAD"/>
    <w:rsid w:val="000F14B7"/>
    <w:rsid w:val="000F335F"/>
    <w:rsid w:val="000F39BF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EF2"/>
    <w:rsid w:val="002A7892"/>
    <w:rsid w:val="002A78DA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1E2E"/>
    <w:rsid w:val="00322EDD"/>
    <w:rsid w:val="00322FCA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85B79"/>
    <w:rsid w:val="003865C9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5F3"/>
    <w:rsid w:val="003E2D6E"/>
    <w:rsid w:val="003E42CD"/>
    <w:rsid w:val="003E7842"/>
    <w:rsid w:val="003E7A18"/>
    <w:rsid w:val="003F0CCE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7435"/>
    <w:rsid w:val="00410FAD"/>
    <w:rsid w:val="004141A9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60C"/>
    <w:rsid w:val="004249BE"/>
    <w:rsid w:val="0042599A"/>
    <w:rsid w:val="00425B99"/>
    <w:rsid w:val="004268D9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3449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BDE"/>
    <w:rsid w:val="004E5068"/>
    <w:rsid w:val="004E55D3"/>
    <w:rsid w:val="004E568F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516C"/>
    <w:rsid w:val="005654E8"/>
    <w:rsid w:val="005656A8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595E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179B"/>
    <w:rsid w:val="006121BD"/>
    <w:rsid w:val="006125F9"/>
    <w:rsid w:val="006145C6"/>
    <w:rsid w:val="006146F4"/>
    <w:rsid w:val="00614F2E"/>
    <w:rsid w:val="0061746E"/>
    <w:rsid w:val="00621167"/>
    <w:rsid w:val="00621242"/>
    <w:rsid w:val="00621CE1"/>
    <w:rsid w:val="00630A30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B643F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5419"/>
    <w:rsid w:val="008165F3"/>
    <w:rsid w:val="0081739B"/>
    <w:rsid w:val="0082000A"/>
    <w:rsid w:val="0082150C"/>
    <w:rsid w:val="00822978"/>
    <w:rsid w:val="00823593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0D61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43D2"/>
    <w:rsid w:val="008D604A"/>
    <w:rsid w:val="008D70C3"/>
    <w:rsid w:val="008D76BC"/>
    <w:rsid w:val="008E09E7"/>
    <w:rsid w:val="008E1337"/>
    <w:rsid w:val="008E3F99"/>
    <w:rsid w:val="008E428E"/>
    <w:rsid w:val="008E482A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79"/>
    <w:rsid w:val="009456B0"/>
    <w:rsid w:val="009465D9"/>
    <w:rsid w:val="00946F6D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96362"/>
    <w:rsid w:val="009A0E23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B678B"/>
    <w:rsid w:val="009C025C"/>
    <w:rsid w:val="009C0681"/>
    <w:rsid w:val="009C0C60"/>
    <w:rsid w:val="009C1335"/>
    <w:rsid w:val="009C143C"/>
    <w:rsid w:val="009C1AB2"/>
    <w:rsid w:val="009C3EB8"/>
    <w:rsid w:val="009C3FBE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73C1"/>
    <w:rsid w:val="00A47A2A"/>
    <w:rsid w:val="00A47D80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05F4E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F61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BBE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0B5C"/>
    <w:rsid w:val="00C11539"/>
    <w:rsid w:val="00C162C4"/>
    <w:rsid w:val="00C16573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4763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083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7049"/>
    <w:rsid w:val="00D32F11"/>
    <w:rsid w:val="00D35826"/>
    <w:rsid w:val="00D36294"/>
    <w:rsid w:val="00D373D9"/>
    <w:rsid w:val="00D378BA"/>
    <w:rsid w:val="00D37B39"/>
    <w:rsid w:val="00D40235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101D"/>
    <w:rsid w:val="00D616D2"/>
    <w:rsid w:val="00D62809"/>
    <w:rsid w:val="00D62CC1"/>
    <w:rsid w:val="00D63B5F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0FC1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390A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3E79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340A"/>
    <w:rsid w:val="00E33F48"/>
    <w:rsid w:val="00E3471B"/>
    <w:rsid w:val="00E34D1F"/>
    <w:rsid w:val="00E37406"/>
    <w:rsid w:val="00E37877"/>
    <w:rsid w:val="00E40708"/>
    <w:rsid w:val="00E423ED"/>
    <w:rsid w:val="00E42FF9"/>
    <w:rsid w:val="00E44790"/>
    <w:rsid w:val="00E44D30"/>
    <w:rsid w:val="00E45291"/>
    <w:rsid w:val="00E453D8"/>
    <w:rsid w:val="00E46466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5B21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3181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3271"/>
    <w:rsid w:val="00F75661"/>
    <w:rsid w:val="00F75AA4"/>
    <w:rsid w:val="00F7640C"/>
    <w:rsid w:val="00F764D8"/>
    <w:rsid w:val="00F800D6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A0EA4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0833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2877"/>
    <w:rsid w:val="00FD329D"/>
    <w:rsid w:val="00FD4051"/>
    <w:rsid w:val="00FD5EA7"/>
    <w:rsid w:val="00FD7480"/>
    <w:rsid w:val="00FD758E"/>
    <w:rsid w:val="00FD779A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budownictwo_mieszkaniowe__w_okresie_styczen-wrzesien_2024_roku.docx.docx</NazwaPliku>
    <Odbiorcy2 xmlns="1E9983FF-DC4B-4F4E-A072-0441E2B88E6D" xsi:nil="true"/>
    <Osoba xmlns="1E9983FF-DC4B-4F4E-A072-0441E2B88E6D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6E4E5-6589-448D-9771-38F261CE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1090</Words>
  <Characters>6544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2024-11-20T07:08:00Z</cp:lastPrinted>
  <dcterms:created xsi:type="dcterms:W3CDTF">2024-11-18T08:25:00Z</dcterms:created>
  <dcterms:modified xsi:type="dcterms:W3CDTF">2024-11-20T07:09:00Z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LUB-OSB.6360.5.2024.20</vt:lpwstr>
  </property>
  <property fmtid="{D5CDD505-2E9C-101B-9397-08002B2CF9AE}" pid="4" name="UNPPisma">
    <vt:lpwstr>2024-233425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styczeń-wrzesień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