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B1995" w:rsidR="00393761" w:rsidP="00F049AB" w:rsidRDefault="00DD5C23" w14:paraId="2D0A545D" w14:textId="49049F3E">
      <w:pPr>
        <w:pStyle w:val="Tytuinfomacjisygnalnej"/>
        <w:rPr>
          <w:color w:val="auto"/>
        </w:rPr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stycz</w:t>
      </w:r>
      <w:r w:rsidR="00087C3A">
        <w:t>niu</w:t>
      </w:r>
      <w:r w:rsidRPr="006B1995" w:rsidR="00944EA3">
        <w:rPr>
          <w:color w:val="auto"/>
        </w:rPr>
        <w:t xml:space="preserve"> 202</w:t>
      </w:r>
      <w:r w:rsidR="00087C3A">
        <w:rPr>
          <w:color w:val="auto"/>
        </w:rPr>
        <w:t>4</w:t>
      </w:r>
      <w:r w:rsidRPr="006B1995">
        <w:rPr>
          <w:color w:val="auto"/>
        </w:rPr>
        <w:t xml:space="preserve"> r.</w:t>
      </w:r>
      <w:r w:rsidRPr="006B1995" w:rsidR="00364AF9">
        <w:rPr>
          <w:color w:val="auto"/>
          <w:sz w:val="32"/>
        </w:rPr>
        <w:tab/>
      </w:r>
    </w:p>
    <w:p w:rsidRPr="00A65F7C" w:rsidR="00DE58F1" w:rsidP="00F049AB" w:rsidRDefault="00731D27" w14:paraId="0053349A" w14:textId="5DB44DE7">
      <w:pPr>
        <w:pStyle w:val="Lead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1446053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77,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8004E7" w:rsidP="00CE2AFA" w:rsidRDefault="008004E7" w14:paraId="6B6EB625" w14:textId="50343E5D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5A02ED">
                              <w:rPr>
                                <w:rStyle w:val="WartowskanikaZnak"/>
                              </w:rPr>
                              <w:t>77,</w:t>
                            </w:r>
                            <w:r w:rsidR="00A65F7C">
                              <w:rPr>
                                <w:rStyle w:val="WartowskanikaZnak"/>
                              </w:rPr>
                              <w:t>3</w:t>
                            </w:r>
                          </w:p>
                          <w:p w:rsidRPr="007D605C" w:rsidR="008004E7" w:rsidP="00354E9A" w:rsidRDefault="008004E7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77,3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hWGCB2ACAABm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8004E7" w:rsidP="00CE2AFA" w:rsidRDefault="008004E7" w14:paraId="6B6EB625" w14:textId="50343E5D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5A02ED">
                        <w:rPr>
                          <w:rStyle w:val="WartowskanikaZnak"/>
                        </w:rPr>
                        <w:t>77,</w:t>
                      </w:r>
                      <w:r w:rsidR="00A65F7C">
                        <w:rPr>
                          <w:rStyle w:val="WartowskanikaZnak"/>
                        </w:rPr>
                        <w:t>3</w:t>
                      </w:r>
                    </w:p>
                    <w:p w:rsidRPr="007D605C" w:rsidR="008004E7" w:rsidP="00354E9A" w:rsidRDefault="008004E7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6B1995" w:rsidR="007C373E">
        <w:t xml:space="preserve">W </w:t>
      </w:r>
      <w:r w:rsidR="00087C3A">
        <w:t xml:space="preserve">styczniu </w:t>
      </w:r>
      <w:r w:rsidRPr="006B1995" w:rsidR="00837B9A">
        <w:t>202</w:t>
      </w:r>
      <w:r w:rsidR="00087C3A">
        <w:t>4</w:t>
      </w:r>
      <w:r w:rsidRPr="006B1995" w:rsidR="007C373E">
        <w:t xml:space="preserve"> roku</w:t>
      </w:r>
      <w:r w:rsidRPr="006B1995" w:rsidR="00354E9A">
        <w:t xml:space="preserve"> oddano do </w:t>
      </w:r>
      <w:r w:rsidRPr="00036B6D" w:rsidR="00B95343">
        <w:t xml:space="preserve">użytkowania </w:t>
      </w:r>
      <w:r w:rsidRPr="000B2AE1" w:rsidR="002671E8">
        <w:t>mniej</w:t>
      </w:r>
      <w:r w:rsidRPr="00036B6D" w:rsidR="00354E9A">
        <w:t xml:space="preserve"> mieszkań niż przed rokiem. </w:t>
      </w:r>
      <w:r w:rsidR="00A65F7C">
        <w:t>Wzrosła z kolei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bookmarkStart w:name="_GoBack" w:id="0"/>
    <w:bookmarkEnd w:id="0"/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3FF68D56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6,3% i 41,0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135D" w:rsidR="008004E7" w:rsidP="005F45EE" w:rsidRDefault="008004E7" w14:paraId="2DF09EE9" w14:textId="48D9D161">
                            <w:pPr>
                              <w:pStyle w:val="tekstzboku"/>
                            </w:pPr>
                            <w:r w:rsidRPr="0022135D">
                              <w:t>Deweloperzy i inwestorzy</w:t>
                            </w:r>
                            <w:r w:rsidRPr="0022135D">
                              <w:br/>
                              <w:t>indywidualni oddali do</w:t>
                            </w:r>
                            <w:r w:rsidRPr="0022135D">
                              <w:br/>
                              <w:t xml:space="preserve">użytkowania odpowiednio: </w:t>
                            </w:r>
                            <w:r w:rsidRPr="0022135D" w:rsidR="00EC0819">
                              <w:t>56</w:t>
                            </w:r>
                            <w:r w:rsidRPr="0022135D">
                              <w:t>,</w:t>
                            </w:r>
                            <w:r w:rsidRPr="0022135D" w:rsidR="00EC0819">
                              <w:t>3</w:t>
                            </w:r>
                            <w:r w:rsidRPr="0022135D">
                              <w:t xml:space="preserve">% i </w:t>
                            </w:r>
                            <w:r w:rsidRPr="0022135D" w:rsidR="00EC0819">
                              <w:t>41</w:t>
                            </w:r>
                            <w:r w:rsidRPr="0022135D">
                              <w:t>,</w:t>
                            </w:r>
                            <w:r w:rsidRPr="0022135D" w:rsidR="00EC0819">
                              <w:t>0</w:t>
                            </w:r>
                            <w:r w:rsidRPr="0022135D">
                              <w:t xml:space="preserve">% ogólnej liczby </w:t>
                            </w:r>
                            <w:r w:rsidRPr="0022135D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56,3% i 41,0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B7S5Z5egIAAJI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22135D" w:rsidR="008004E7" w:rsidP="005F45EE" w:rsidRDefault="008004E7" w14:paraId="2DF09EE9" w14:textId="48D9D161">
                      <w:pPr>
                        <w:pStyle w:val="tekstzboku"/>
                      </w:pPr>
                      <w:r w:rsidRPr="0022135D">
                        <w:t>Deweloperzy i inwestorzy</w:t>
                      </w:r>
                      <w:r w:rsidRPr="0022135D">
                        <w:br/>
                        <w:t>indywidualni oddali do</w:t>
                      </w:r>
                      <w:r w:rsidRPr="0022135D">
                        <w:br/>
                        <w:t xml:space="preserve">użytkowania odpowiednio: </w:t>
                      </w:r>
                      <w:r w:rsidRPr="0022135D" w:rsidR="00EC0819">
                        <w:t>56</w:t>
                      </w:r>
                      <w:r w:rsidRPr="0022135D">
                        <w:t>,</w:t>
                      </w:r>
                      <w:r w:rsidRPr="0022135D" w:rsidR="00EC0819">
                        <w:t>3</w:t>
                      </w:r>
                      <w:r w:rsidRPr="0022135D">
                        <w:t xml:space="preserve">% i </w:t>
                      </w:r>
                      <w:r w:rsidRPr="0022135D" w:rsidR="00EC0819">
                        <w:t>41</w:t>
                      </w:r>
                      <w:r w:rsidRPr="0022135D">
                        <w:t>,</w:t>
                      </w:r>
                      <w:r w:rsidRPr="0022135D" w:rsidR="00EC0819">
                        <w:t>0</w:t>
                      </w:r>
                      <w:r w:rsidRPr="0022135D">
                        <w:t xml:space="preserve">% ogólnej liczby </w:t>
                      </w:r>
                      <w:r w:rsidRPr="0022135D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22135D" w:rsidR="00354E9A" w:rsidP="00216634" w:rsidRDefault="0021254E" w14:paraId="420D7805" w14:textId="47644AE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2135D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</w:t>
      </w:r>
      <w:r w:rsidR="002A288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22135D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tj. 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analogicznym miesiącu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2135D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8,3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 w:rsidR="00F01E8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2135D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ej niż przed rokiem, natomiast inwestorzy indywidualni – 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 w:rsidR="00746F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budownictwa, tj. spółdzielczej, komunalnej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społecznej czynszowej oddano do użytkowania łącznie 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(wobec </w:t>
      </w:r>
      <w:r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przed rokiem).</w:t>
      </w:r>
    </w:p>
    <w:p w:rsidRPr="0022135D" w:rsidR="00DE6B58" w:rsidP="00216634" w:rsidRDefault="0021254E" w14:paraId="19C22A5F" w14:textId="1EC60092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Powierzchnia użytkowa </w:t>
      </w:r>
      <w:r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tych nowo wybudowanych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22135D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mniej niż przed rokiem, a </w:t>
      </w:r>
      <w:r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22135D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986"/>
        <w:gridCol w:w="1681"/>
        <w:gridCol w:w="1494"/>
        <w:gridCol w:w="1494"/>
      </w:tblGrid>
      <w:tr w:rsidRPr="00267F90" w:rsidR="00087C3A" w:rsidTr="002A2887" w14:paraId="3B9A98BA" w14:textId="77777777">
        <w:trPr>
          <w:trHeight w:val="17"/>
        </w:trPr>
        <w:tc>
          <w:tcPr>
            <w:tcW w:w="2984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66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087C3A" w:rsidP="001C6F3D" w:rsidRDefault="00087C3A" w14:paraId="160F96A3" w14:textId="70BA837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E60352">
              <w:rPr>
                <w:sz w:val="16"/>
                <w:szCs w:val="16"/>
              </w:rPr>
              <w:t xml:space="preserve"> 2</w:t>
            </w:r>
            <w:r>
              <w:rPr>
                <w:color w:val="000000" w:themeColor="text1"/>
                <w:sz w:val="16"/>
                <w:szCs w:val="16"/>
              </w:rPr>
              <w:t>024</w:t>
            </w:r>
          </w:p>
        </w:tc>
      </w:tr>
      <w:tr w:rsidRPr="00267F90" w:rsidR="00087C3A" w:rsidTr="002A2887" w14:paraId="77DAEFD2" w14:textId="77777777">
        <w:trPr>
          <w:trHeight w:val="17"/>
        </w:trPr>
        <w:tc>
          <w:tcPr>
            <w:tcW w:w="2984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087C3A" w:rsidP="00D50A6A" w:rsidRDefault="00087C3A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492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087C3A" w:rsidP="001C6F3D" w:rsidRDefault="00087C3A" w14:paraId="64803240" w14:textId="6A0C9FC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4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087C3A" w:rsidP="001C6F3D" w:rsidRDefault="00087C3A" w14:paraId="2514C055" w14:textId="27C5112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E60352">
              <w:rPr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087C3A" w:rsidTr="002A2887" w14:paraId="42A58853" w14:textId="77777777">
        <w:trPr>
          <w:trHeight w:val="53"/>
        </w:trPr>
        <w:tc>
          <w:tcPr>
            <w:tcW w:w="2984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67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7D5E03" w14:paraId="227E51CD" w14:textId="358456F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</w:t>
            </w:r>
            <w:r w:rsidR="00087C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7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087C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7D5E03" w14:paraId="6314EA41" w14:textId="75D11D1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77</w:t>
            </w:r>
            <w:r w:rsidRPr="00423384" w:rsidR="00087C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087C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E146F8" w:rsidRDefault="00B1745C" w14:paraId="346BB613" w14:textId="1940FB45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71</w:t>
            </w:r>
            <w:r w:rsidRPr="00B1745C" w:rsidR="00087C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B1745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Pr="00267F90" w:rsidR="00087C3A" w:rsidTr="002A2887" w14:paraId="06ED27C4" w14:textId="77777777">
        <w:trPr>
          <w:trHeight w:val="53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087C3A" w14:paraId="331A0BA8" w14:textId="751E713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D5E0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057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087C3A" w14:paraId="093DFF94" w14:textId="6B87F24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7D5E0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D5E0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E146F8" w:rsidRDefault="00B1745C" w14:paraId="2A82988C" w14:textId="5A5C8AA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89</w:t>
            </w:r>
            <w:r w:rsidRPr="00B1745C"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267F90" w:rsidR="00087C3A" w:rsidTr="002A2887" w14:paraId="05DD9AEF" w14:textId="77777777">
        <w:trPr>
          <w:trHeight w:val="477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7D5E03" w14:paraId="55B2BE0C" w14:textId="0E00BB0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423384"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307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087C3A" w14:paraId="4531BC28" w14:textId="2CF8F9F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7D5E0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D5E0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E146F8" w:rsidRDefault="00B1745C" w14:paraId="200C36A8" w14:textId="0352C16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61,3</w:t>
            </w:r>
          </w:p>
        </w:tc>
      </w:tr>
      <w:tr w:rsidRPr="00267F90" w:rsidR="00087C3A" w:rsidTr="002A2887" w14:paraId="667D384C" w14:textId="77777777">
        <w:trPr>
          <w:trHeight w:val="53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D50A6A" w:rsidRDefault="007D5E03" w14:paraId="4C592A20" w14:textId="3968F9F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741D2" w:rsidRDefault="007D5E03" w14:paraId="13B1EB37" w14:textId="57227D4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</w:t>
            </w:r>
            <w:r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E146F8" w:rsidRDefault="00B1745C" w14:paraId="2B994B70" w14:textId="404F1D7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108</w:t>
            </w:r>
            <w:r w:rsidRPr="00B1745C"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267F90" w:rsidR="00087C3A" w:rsidTr="002A2887" w14:paraId="728CE5C8" w14:textId="77777777">
        <w:trPr>
          <w:trHeight w:val="352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9E19C8" w:rsidRDefault="007D5E03" w14:paraId="4323DA97" w14:textId="6E71FC2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FA138C" w:rsidRDefault="007D5E03" w14:paraId="5185A966" w14:textId="5BA73F4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538</w:t>
            </w:r>
            <w:r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E146F8" w:rsidRDefault="00B1745C" w14:paraId="0FC08008" w14:textId="1058D3F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262,8</w:t>
            </w:r>
            <w:r w:rsidRPr="00B1745C"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Pr="00267F90" w:rsidR="00087C3A" w:rsidTr="002A2887" w14:paraId="25FCE82E" w14:textId="77777777">
        <w:trPr>
          <w:trHeight w:val="359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087C3A" w14:paraId="271D5EC8" w14:textId="1DAD625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D5E0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7D5E03" w14:paraId="2CC9D727" w14:textId="431C18E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164</w:t>
            </w:r>
            <w:r w:rsidRPr="00423384"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E146F8" w:rsidRDefault="00087C3A" w14:paraId="564FCB5C" w14:textId="58CC455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B1745C" w:rsid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36,6</w:t>
            </w:r>
          </w:p>
        </w:tc>
      </w:tr>
      <w:tr w:rsidRPr="00267F90" w:rsidR="00087C3A" w:rsidTr="002A2887" w14:paraId="008FEB7B" w14:textId="77777777">
        <w:trPr>
          <w:trHeight w:val="348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7D5E03" w14:paraId="005C77EB" w14:textId="2C986F9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1C6F3D" w:rsidRDefault="007D5E03" w14:paraId="76712A0A" w14:textId="7740B82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115</w:t>
            </w:r>
            <w:r w:rsidRPr="00423384" w:rsidR="00087C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E146F8" w:rsidRDefault="00B1745C" w14:paraId="6E66C043" w14:textId="68D6C44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47,9</w:t>
            </w:r>
          </w:p>
        </w:tc>
      </w:tr>
      <w:tr w:rsidRPr="00267F90" w:rsidR="00087C3A" w:rsidTr="002A2887" w14:paraId="66387783" w14:textId="77777777">
        <w:trPr>
          <w:trHeight w:val="355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D50A6A" w:rsidRDefault="007D5E03" w14:paraId="181B5408" w14:textId="2E88589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87C3A" w:rsidP="004F6B46" w:rsidRDefault="007D5E03" w14:paraId="6B737402" w14:textId="4156774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1745C" w:rsidR="00087C3A" w:rsidP="00FA138C" w:rsidRDefault="00B1745C" w14:paraId="473662A8" w14:textId="402245B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1745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1"/>
    </w:tbl>
    <w:p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22135D" w:rsidR="00D972F6" w:rsidP="002628BA" w:rsidRDefault="0089482A" w14:paraId="30B5D550" w14:textId="2B59E47B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D25B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styczniu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Pr="0022135D" w:rsidR="00190FE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606C3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rok</w:t>
      </w:r>
      <w:r w:rsidRPr="0022135D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wcześniej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Pr="0022135D" w:rsidR="00696E6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</w:t>
      </w:r>
      <w:r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 </w:t>
      </w:r>
      <w:r w:rsidRPr="0022135D" w:rsidR="007000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%). Łącznie w ramach tych form budownictwa otrzymano pozwolenia lub dokonano zgłoszenia budowy z projektem budowlanym dla 9</w:t>
      </w:r>
      <w:r w:rsidRPr="0022135D" w:rsidR="00836BF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22135D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ubiegł</w:t>
      </w:r>
      <w:r w:rsidRPr="0022135D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ego roku 0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843"/>
        <w:gridCol w:w="1701"/>
        <w:gridCol w:w="1701"/>
      </w:tblGrid>
      <w:tr w:rsidRPr="00A84296" w:rsidR="00087C3A" w:rsidTr="00087C3A" w14:paraId="51A6DDD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245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087C3A" w:rsidP="001F1BC7" w:rsidRDefault="001A50C7" w14:paraId="388D7D7F" w14:textId="148CE20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087C3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A84296" w:rsidR="00087C3A" w:rsidTr="00087C3A" w14:paraId="4B8AD3D6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087C3A" w:rsidP="00D50A6A" w:rsidRDefault="00087C3A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087C3A" w:rsidP="001F1BC7" w:rsidRDefault="001A50C7" w14:paraId="07E28CF7" w14:textId="171CFDF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E60352" w:rsidR="00087C3A">
              <w:rPr>
                <w:sz w:val="16"/>
                <w:szCs w:val="16"/>
              </w:rPr>
              <w:t xml:space="preserve"> </w:t>
            </w:r>
            <w:r w:rsidR="00087C3A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67F90" w:rsidR="00087C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087C3A" w:rsidP="001F1BC7" w:rsidRDefault="00087C3A" w14:paraId="19469349" w14:textId="5615080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A50C7">
              <w:rPr>
                <w:sz w:val="16"/>
                <w:szCs w:val="16"/>
              </w:rPr>
              <w:t>2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38584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087C3A" w:rsidTr="00E25D06" w14:paraId="29FC5395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84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087C3A" w14:paraId="63396BFA" w14:textId="1DFAF84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22135D" w:rsidR="001A50C7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22135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2135D" w:rsidR="001A50C7">
              <w:rPr>
                <w:rFonts w:cs="Arial"/>
                <w:b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087C3A" w14:paraId="2CF03894" w14:textId="09808AA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 w:rsidR="001A50C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34</w:t>
            </w: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 w:rsidR="001A50C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087C3A" w:rsidP="00CA53B9" w:rsidRDefault="00B1745C" w14:paraId="16B748AE" w14:textId="0151CC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93</w:t>
            </w:r>
            <w:r w:rsidRPr="0022135D" w:rsidR="00087C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087C3A" w:rsidTr="00E25D06" w14:paraId="4FCE1250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087C3A" w14:paraId="5B735221" w14:textId="0FC7FF2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5 </w:t>
            </w:r>
            <w:r w:rsidRPr="0022135D" w:rsidR="001A50C7">
              <w:rPr>
                <w:rFonts w:cs="Arial"/>
                <w:color w:val="000000" w:themeColor="text1"/>
                <w:sz w:val="16"/>
                <w:szCs w:val="16"/>
              </w:rPr>
              <w:t>343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087C3A" w14:paraId="72229F1E" w14:textId="0D45435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Pr="0022135D" w:rsidR="001A50C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 w:rsidR="001A50C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087C3A" w:rsidP="001F1BC7" w:rsidRDefault="00087C3A" w14:paraId="353F27A7" w14:textId="310B25C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22135D" w:rsidR="00B1745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 w:rsidR="00B1745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Pr="00A84296" w:rsidR="00087C3A" w:rsidTr="00E25D06" w14:paraId="4EADF34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087C3A" w14:paraId="5D62ABD6" w14:textId="22E5535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 w:rsidR="001A50C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2135D" w:rsidR="001A50C7">
              <w:rPr>
                <w:rFonts w:cs="Arial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087C3A" w14:paraId="2D672C13" w14:textId="03DF26C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 w:rsidR="001A50C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087C3A" w:rsidP="001F1BC7" w:rsidRDefault="00B1745C" w14:paraId="6A12ADFD" w14:textId="7EA7C5B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  <w:r w:rsidRPr="0022135D" w:rsidR="00087C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A84296" w:rsidR="00087C3A" w:rsidTr="00E25D06" w14:paraId="197E04F5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D50A6A" w:rsidRDefault="001A50C7" w14:paraId="7820A5D6" w14:textId="0865485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1A50C7" w14:paraId="1786F743" w14:textId="186228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087C3A" w:rsidP="00044007" w:rsidRDefault="00F23393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F2339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A84296" w:rsidR="00087C3A" w:rsidTr="00E25D06" w14:paraId="5EDA45B8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087C3A" w14:paraId="5C1E160F" w14:textId="7B3C76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 w:rsidR="001A50C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CA53B9" w:rsidRDefault="001A50C7" w14:paraId="094128AD" w14:textId="5007421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403</w:t>
            </w:r>
            <w:r w:rsidRPr="0022135D" w:rsidR="00087C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087C3A" w:rsidP="001F1BC7" w:rsidRDefault="00B1745C" w14:paraId="23C2258E" w14:textId="7E48729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119</w:t>
            </w:r>
            <w:r w:rsidRPr="0022135D" w:rsidR="00087C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087C3A" w:rsidTr="00E25D06" w14:paraId="76099805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CA53B9" w:rsidRDefault="001A50C7" w14:paraId="125A924F" w14:textId="33F9D0B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1F1BC7" w:rsidRDefault="001A50C7" w14:paraId="37ABA2B6" w14:textId="0EA307D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218</w:t>
            </w:r>
            <w:r w:rsidRPr="0022135D" w:rsidR="00087C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087C3A" w:rsidP="001F1BC7" w:rsidRDefault="00B1745C" w14:paraId="4E8DFAEE" w14:textId="1B9CC6C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151</w:t>
            </w:r>
            <w:r w:rsidRPr="0022135D" w:rsidR="00087C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A84296" w:rsidR="00087C3A" w:rsidTr="00E25D06" w14:paraId="258B13C2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87C3A" w:rsidP="00D50A6A" w:rsidRDefault="00087C3A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D50A6A" w:rsidRDefault="001A50C7" w14:paraId="2113AE9B" w14:textId="726B2EC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87C3A" w:rsidP="00D50A6A" w:rsidRDefault="00087C3A" w14:paraId="0B1E432F" w14:textId="34A5B71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087C3A" w:rsidP="00D50A6A" w:rsidRDefault="00087C3A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AC280D" w:rsidR="00087C3A" w:rsidP="00AC280D" w:rsidRDefault="00087C3A" w14:paraId="01571D92" w14:textId="77777777">
      <w:pPr>
        <w:spacing w:before="0" w:after="0"/>
        <w:rPr>
          <w:lang w:eastAsia="pl-PL"/>
        </w:rPr>
      </w:pPr>
    </w:p>
    <w:p w:rsidRPr="000647A9" w:rsidR="00DA331D" w:rsidP="00AC280D" w:rsidRDefault="00087C3A" w14:paraId="03E87AE2" w14:textId="709450B6">
      <w:pPr>
        <w:pStyle w:val="Nagwek1"/>
        <w:spacing w:before="240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>
        <w:rPr>
          <w:rFonts w:ascii="Fira Sans" w:hAnsi="Fira Sans"/>
          <w:b/>
          <w:szCs w:val="19"/>
        </w:rPr>
        <w:br/>
      </w:r>
      <w:r w:rsidRPr="00AC280D" w:rsidR="00AC280D">
        <w:rPr>
          <w:rFonts w:ascii="Fira Sans" w:hAnsi="Fira Sans"/>
          <w:b/>
          <w:szCs w:val="19"/>
        </w:rPr>
        <w:t>Mieszkania, których budowę rozpoczęto</w:t>
      </w:r>
    </w:p>
    <w:p w:rsidRPr="0022135D" w:rsidR="00DA331D" w:rsidP="002628BA" w:rsidRDefault="00652BC7" w14:paraId="08BED27F" w14:textId="663F89FF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</w:t>
      </w:r>
      <w:r w:rsidRPr="0022135D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styczniu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202</w:t>
      </w:r>
      <w:r w:rsidRPr="0022135D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1</w:t>
      </w:r>
      <w:r w:rsidRPr="0022135D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66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rozpoczęli budowę </w:t>
      </w:r>
      <w:r w:rsidRPr="0022135D" w:rsidR="00B744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</w:t>
      </w:r>
      <w:r w:rsidRPr="00F23393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(o</w:t>
      </w:r>
      <w:r w:rsidRPr="00F23393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107</w:t>
      </w:r>
      <w:r w:rsidRPr="00F23393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F23393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F23393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F23393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F23393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a inwestorzy indywidualni 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mniej). Łącznie udział tych form budownictwa wyniósł 9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Pr="0022135D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tj. prawie dwukrotnie więcej niż w styczniu 2023 r.</w:t>
      </w:r>
      <w:r w:rsidRPr="0022135D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68"/>
        <w:gridCol w:w="2021"/>
        <w:gridCol w:w="1733"/>
        <w:gridCol w:w="1733"/>
      </w:tblGrid>
      <w:tr w:rsidRPr="002C7929" w:rsidR="00B6223D" w:rsidTr="002A2887" w14:paraId="6CB9BE59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38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B6223D" w:rsidP="00C6303B" w:rsidRDefault="00EF0A52" w14:paraId="36B7DF43" w14:textId="6916920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E60352" w:rsidR="00B6223D">
              <w:rPr>
                <w:sz w:val="16"/>
                <w:szCs w:val="16"/>
              </w:rPr>
              <w:t xml:space="preserve"> </w:t>
            </w:r>
            <w:r w:rsidR="00B6223D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2C7929" w:rsidR="00B6223D" w:rsidTr="002A2887" w14:paraId="5E42288C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B6223D" w:rsidP="00D50A6A" w:rsidRDefault="00B6223D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B6223D" w:rsidP="00C6303B" w:rsidRDefault="00EF0A52" w14:paraId="55D6FA78" w14:textId="7A3E2BF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B6223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 w:rsidR="00B6223D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C7929" w:rsidR="00B6223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B6223D" w:rsidP="00C6303B" w:rsidRDefault="00B6223D" w14:paraId="3353A171" w14:textId="5541456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F0A52">
              <w:rPr>
                <w:sz w:val="16"/>
                <w:szCs w:val="16"/>
              </w:rPr>
              <w:t>2</w:t>
            </w:r>
            <w:r w:rsidRPr="00E60352">
              <w:rPr>
                <w:sz w:val="16"/>
                <w:szCs w:val="16"/>
              </w:rPr>
              <w:t xml:space="preserve"> </w:t>
            </w:r>
            <w:r w:rsidRPr="00165B2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B6223D" w:rsidTr="002A2887" w14:paraId="54BD83DF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98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B6223D" w14:paraId="2D409241" w14:textId="126505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 w:rsidR="00EF0A5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22135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2135D" w:rsidR="00EF0A52">
              <w:rPr>
                <w:rFonts w:cs="Arial"/>
                <w:b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B6223D" w14:paraId="213785BB" w14:textId="3FF8A52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2135D" w:rsidR="00EF0A5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66</w:t>
            </w: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 w:rsidR="00EF0A5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DB4972" w14:paraId="6A1220A9" w14:textId="2959404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109</w:t>
            </w:r>
            <w:r w:rsidRPr="0022135D" w:rsidR="00B6223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,3</w:t>
            </w:r>
          </w:p>
        </w:tc>
      </w:tr>
      <w:tr w:rsidRPr="002C7929" w:rsidR="00B6223D" w:rsidTr="002A2887" w14:paraId="35D57DCE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0AB6536E" w14:textId="61A2912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2135D" w:rsidR="00B6223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0FAB4A60" w14:textId="17424D9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  <w:r w:rsidRPr="0022135D" w:rsidR="00B6223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DB4972" w14:paraId="39510D2E" w14:textId="2594EC8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123</w:t>
            </w:r>
            <w:r w:rsidRPr="0022135D" w:rsidR="00B6223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2C7929" w:rsidR="00B6223D" w:rsidTr="002A2887" w14:paraId="5DEDAA89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B6223D" w14:paraId="1835EA14" w14:textId="5118743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22135D" w:rsidR="00EF0A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2135D" w:rsidR="00EF0A52">
              <w:rPr>
                <w:rFonts w:cs="Arial"/>
                <w:color w:val="000000" w:themeColor="text1"/>
                <w:sz w:val="16"/>
                <w:szCs w:val="16"/>
              </w:rPr>
              <w:t>051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6761CE11" w14:textId="0FE72C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207</w:t>
            </w:r>
            <w:r w:rsidRPr="0022135D" w:rsidR="00B6223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B6223D" w14:paraId="2E2B42FC" w14:textId="085D822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22135D" w:rsidR="00DB497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 w:rsidR="00DB497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2C7929" w:rsidR="00B6223D" w:rsidTr="002A2887" w14:paraId="01F6F875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B6223D" w14:paraId="7756A2E0" w14:textId="2E95C6A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51B35CE5" w14:textId="20061C9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422</w:t>
            </w:r>
            <w:r w:rsidRPr="0022135D" w:rsidR="00B6223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F23393" w14:paraId="68FF8EC9" w14:textId="0D51AC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100,0</w:t>
            </w:r>
          </w:p>
        </w:tc>
      </w:tr>
      <w:tr w:rsidRPr="00CD4A90" w:rsidR="00B6223D" w:rsidTr="002A2887" w14:paraId="06341447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5869A772" w14:textId="0342E7A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B6223D" w14:paraId="6849A1E5" w14:textId="653C383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DB4972" w14:paraId="6BD4B417" w14:textId="0599F6B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71,9</w:t>
            </w:r>
          </w:p>
        </w:tc>
      </w:tr>
      <w:tr w:rsidRPr="002C7929" w:rsidR="00B6223D" w:rsidTr="002A2887" w14:paraId="2EC3ADE8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25ADC88D" w14:textId="1137034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16F3A144" w14:textId="1BC54B1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DB4972" w14:paraId="1B7E7197" w14:textId="6098772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54,5</w:t>
            </w:r>
          </w:p>
        </w:tc>
      </w:tr>
      <w:tr w:rsidRPr="002C7929" w:rsidR="00B6223D" w:rsidTr="002A2887" w14:paraId="4A5A6771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4B7BD0F9" w14:textId="28B2532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EF0A52" w14:paraId="139C1F73" w14:textId="08257EB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136</w:t>
            </w:r>
            <w:r w:rsidRPr="0022135D" w:rsidR="00B6223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DB4972" w14:paraId="676F4728" w14:textId="312EBF7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  <w:r w:rsidRPr="0022135D" w:rsidR="00B6223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Pr="002C7929" w:rsidR="00B6223D" w:rsidTr="002A2887" w14:paraId="5C865AF3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B6223D" w:rsidP="00D50A6A" w:rsidRDefault="00B6223D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B6223D" w14:paraId="58D62214" w14:textId="21D9AEB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B6223D" w:rsidP="000C1F60" w:rsidRDefault="00B6223D" w14:paraId="29E62BB0" w14:textId="469172E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2135D" w:rsidR="00B6223D" w:rsidP="000C1F60" w:rsidRDefault="00B6223D" w14:paraId="7E26D14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Pr="006B1995" w:rsidR="00AC280D" w:rsidP="00C87844" w:rsidRDefault="00D85BA8" w14:paraId="295C0D0C" w14:textId="36187A0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22135D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Pr="0022135D" w:rsidR="00EF0A52">
        <w:rPr>
          <w:color w:val="000000" w:themeColor="text1"/>
          <w:shd w:val="clear" w:color="auto" w:fill="FFFFFF"/>
        </w:rPr>
        <w:t>stycznia</w:t>
      </w:r>
      <w:r w:rsidRPr="0022135D" w:rsidR="00127B83">
        <w:rPr>
          <w:color w:val="000000" w:themeColor="text1"/>
          <w:shd w:val="clear" w:color="auto" w:fill="FFFFFF"/>
        </w:rPr>
        <w:t xml:space="preserve"> 202</w:t>
      </w:r>
      <w:r w:rsidRPr="0022135D" w:rsidR="00EF0A52">
        <w:rPr>
          <w:color w:val="000000" w:themeColor="text1"/>
          <w:shd w:val="clear" w:color="auto" w:fill="FFFFFF"/>
        </w:rPr>
        <w:t>4</w:t>
      </w:r>
      <w:r w:rsidRPr="0022135D" w:rsidR="00127B83">
        <w:rPr>
          <w:color w:val="000000" w:themeColor="text1"/>
          <w:shd w:val="clear" w:color="auto" w:fill="FFFFFF"/>
        </w:rPr>
        <w:t xml:space="preserve"> roku w budowie pozostawało 8</w:t>
      </w:r>
      <w:r w:rsidRPr="0022135D" w:rsidR="00D4631F">
        <w:rPr>
          <w:color w:val="000000" w:themeColor="text1"/>
          <w:shd w:val="clear" w:color="auto" w:fill="FFFFFF"/>
        </w:rPr>
        <w:t>0</w:t>
      </w:r>
      <w:r w:rsidRPr="0022135D" w:rsidR="004C049B">
        <w:rPr>
          <w:color w:val="000000" w:themeColor="text1"/>
          <w:shd w:val="clear" w:color="auto" w:fill="FFFFFF"/>
        </w:rPr>
        <w:t>2</w:t>
      </w:r>
      <w:r w:rsidRPr="0022135D" w:rsidR="00127B83">
        <w:rPr>
          <w:color w:val="000000" w:themeColor="text1"/>
          <w:shd w:val="clear" w:color="auto" w:fill="FFFFFF"/>
        </w:rPr>
        <w:t>,</w:t>
      </w:r>
      <w:r w:rsidRPr="0022135D" w:rsidR="00CF3BA1">
        <w:rPr>
          <w:color w:val="000000" w:themeColor="text1"/>
          <w:shd w:val="clear" w:color="auto" w:fill="FFFFFF"/>
        </w:rPr>
        <w:t>8</w:t>
      </w:r>
      <w:r w:rsidRPr="0022135D" w:rsidR="00127B83">
        <w:rPr>
          <w:color w:val="000000" w:themeColor="text1"/>
          <w:shd w:val="clear" w:color="auto" w:fill="FFFFFF"/>
        </w:rPr>
        <w:t xml:space="preserve"> tys. mieszkań, tj. o </w:t>
      </w:r>
      <w:r w:rsidR="00F23393">
        <w:rPr>
          <w:color w:val="000000" w:themeColor="text1"/>
          <w:shd w:val="clear" w:color="auto" w:fill="FFFFFF"/>
        </w:rPr>
        <w:t>2</w:t>
      </w:r>
      <w:r w:rsidRPr="0022135D" w:rsidR="00603637">
        <w:rPr>
          <w:color w:val="000000" w:themeColor="text1"/>
          <w:shd w:val="clear" w:color="auto" w:fill="FFFFFF"/>
        </w:rPr>
        <w:t>,</w:t>
      </w:r>
      <w:r w:rsidR="00F23393">
        <w:rPr>
          <w:color w:val="000000" w:themeColor="text1"/>
          <w:shd w:val="clear" w:color="auto" w:fill="FFFFFF"/>
        </w:rPr>
        <w:t>5</w:t>
      </w:r>
      <w:r w:rsidRPr="0022135D" w:rsidR="00127B83">
        <w:rPr>
          <w:color w:val="000000" w:themeColor="text1"/>
          <w:shd w:val="clear" w:color="auto" w:fill="FFFFFF"/>
        </w:rPr>
        <w:t xml:space="preserve">% </w:t>
      </w:r>
      <w:r w:rsidR="00F23393">
        <w:rPr>
          <w:color w:val="000000" w:themeColor="text1"/>
          <w:shd w:val="clear" w:color="auto" w:fill="FFFFFF"/>
        </w:rPr>
        <w:t>mniej</w:t>
      </w:r>
      <w:r w:rsidRPr="0022135D" w:rsidR="00127B83">
        <w:rPr>
          <w:color w:val="000000" w:themeColor="text1"/>
          <w:shd w:val="clear" w:color="auto" w:fill="FFFFFF"/>
        </w:rPr>
        <w:t xml:space="preserve"> niż w analogicznym miesiącu </w:t>
      </w:r>
      <w:r w:rsidRPr="00F23393" w:rsidR="00127B83">
        <w:rPr>
          <w:color w:val="000000" w:themeColor="text1"/>
          <w:shd w:val="clear" w:color="auto" w:fill="FFFFFF"/>
        </w:rPr>
        <w:t>202</w:t>
      </w:r>
      <w:r w:rsidRPr="00F23393" w:rsidR="00EF0A52">
        <w:rPr>
          <w:color w:val="000000" w:themeColor="text1"/>
          <w:shd w:val="clear" w:color="auto" w:fill="FFFFFF"/>
        </w:rPr>
        <w:t>3</w:t>
      </w:r>
      <w:r w:rsidRPr="00F23393" w:rsidR="00127B83">
        <w:rPr>
          <w:color w:val="000000" w:themeColor="text1"/>
          <w:shd w:val="clear" w:color="auto" w:fill="FFFFFF"/>
        </w:rPr>
        <w:t xml:space="preserve"> r.</w:t>
      </w:r>
    </w:p>
    <w:p w:rsidRPr="004C6761" w:rsidR="00472B00" w:rsidP="0056483A" w:rsidRDefault="00CD6D30" w14:paraId="4B6D46FF" w14:textId="54DB49E7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4C6761">
        <w:rPr>
          <w:rFonts w:ascii="Fira Sans" w:hAnsi="Fira Sans"/>
          <w:sz w:val="18"/>
          <w:szCs w:val="18"/>
        </w:rPr>
        <w:t xml:space="preserve">Wykres 1. </w:t>
      </w:r>
      <w:r w:rsidRPr="004C6761" w:rsidR="00246E54">
        <w:rPr>
          <w:rFonts w:ascii="Fira Sans" w:hAnsi="Fira Sans"/>
          <w:sz w:val="18"/>
          <w:szCs w:val="18"/>
        </w:rPr>
        <w:t>Budownictwo mieszkaniowe w Polsce</w:t>
      </w:r>
    </w:p>
    <w:p w:rsidR="00011D2F" w:rsidP="0056483A" w:rsidRDefault="00367227" w14:paraId="0384C3B5" w14:textId="2EB1D3FC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367227">
        <w:drawing>
          <wp:anchor distT="0" distB="0" distL="114300" distR="114300" simplePos="0" relativeHeight="251797504" behindDoc="1" locked="0" layoutInCell="1" allowOverlap="1" wp14:editId="2E3CF96C" wp14:anchorId="1E395915">
            <wp:simplePos x="0" y="0"/>
            <wp:positionH relativeFrom="column">
              <wp:posOffset>-25291</wp:posOffset>
            </wp:positionH>
            <wp:positionV relativeFrom="paragraph">
              <wp:posOffset>138313</wp:posOffset>
            </wp:positionV>
            <wp:extent cx="5122545" cy="2305685"/>
            <wp:effectExtent l="0" t="0" r="1905" b="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 2020, 2021, 2022, 2023 i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4B9" w:rsidP="002628BA" w:rsidRDefault="00A11B5E" w14:paraId="3132583C" w14:textId="683AB15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6C71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15B3D295" wp14:anchorId="7498203B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styczniu 2024 roku, w porównaniu do grudnia 2023 roku, zmalała liczba mieszkań oddanych do użytkowania (o 28,9%) oraz liczba mieszkań, na których budowę wydano pozwolenia lub dokonano zgłoszenia z projektem budowlanym (o 6,8%), wzrosła natomiast liczba mieszkań, których budowę rozpoczęto (o 9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8004E7" w:rsidP="00CD6D30" w:rsidRDefault="008004E7" w14:paraId="0EC4D806" w14:textId="474600DD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8B5581">
                              <w:t>styczniu</w:t>
                            </w:r>
                            <w:r w:rsidR="001D18F5">
                              <w:t xml:space="preserve"> 2024 r</w:t>
                            </w:r>
                            <w:r w:rsidR="002A2887">
                              <w:t>oku</w:t>
                            </w:r>
                            <w:r>
                              <w:t xml:space="preserve">, w porównaniu do </w:t>
                            </w:r>
                            <w:r w:rsidR="008B5581">
                              <w:t>grudnia</w:t>
                            </w:r>
                            <w:r w:rsidRPr="00FE1582">
                              <w:t xml:space="preserve"> 202</w:t>
                            </w:r>
                            <w:r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FA5504">
                              <w:t>zm</w:t>
                            </w:r>
                            <w:r w:rsidR="001D18F5">
                              <w:t>niejszyła się</w:t>
                            </w:r>
                            <w:r>
                              <w:t xml:space="preserve"> </w:t>
                            </w:r>
                            <w:r w:rsidRPr="008004E7">
                              <w:t xml:space="preserve">liczba mieszkań oddanych do użytkowania </w:t>
                            </w:r>
                            <w:r w:rsidR="004C6761">
                              <w:br/>
                            </w:r>
                            <w:r w:rsidRPr="008004E7">
                              <w:t xml:space="preserve">(o </w:t>
                            </w:r>
                            <w:r w:rsidR="00FA5504">
                              <w:t>28</w:t>
                            </w:r>
                            <w:r w:rsidRPr="008004E7">
                              <w:t>,9%)</w:t>
                            </w:r>
                            <w:r>
                              <w:t xml:space="preserve"> oraz</w:t>
                            </w:r>
                            <w:r w:rsidR="00FA5504">
                              <w:t xml:space="preserve"> </w:t>
                            </w:r>
                            <w:r>
                              <w:t>liczba mieszkań,</w:t>
                            </w:r>
                            <w:r w:rsidRPr="00356CC3">
                              <w:t xml:space="preserve"> na których budowę wydano pozwolenia lub dokonano zgłoszenia z projektem budowlanym (o</w:t>
                            </w:r>
                            <w:r>
                              <w:t xml:space="preserve"> 6</w:t>
                            </w:r>
                            <w:r w:rsidRPr="001D36A6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="00F711A9">
                              <w:rPr>
                                <w:color w:val="1F3864" w:themeColor="accent5" w:themeShade="80"/>
                              </w:rPr>
                              <w:t>8</w:t>
                            </w:r>
                            <w:r w:rsidRPr="000B2AE1">
                              <w:t>%</w:t>
                            </w:r>
                            <w:r w:rsidRPr="00356CC3">
                              <w:t>)</w:t>
                            </w:r>
                            <w:r>
                              <w:t xml:space="preserve">, </w:t>
                            </w:r>
                            <w:r w:rsidR="008A38D8">
                              <w:t>wzrosła</w:t>
                            </w:r>
                            <w:r w:rsidRPr="008004E7">
                              <w:t xml:space="preserve"> </w:t>
                            </w:r>
                            <w:r>
                              <w:t xml:space="preserve">natomiast liczba mieszkań, </w:t>
                            </w:r>
                            <w:r w:rsidRPr="008004E7">
                              <w:t>których budowę rozpoczęto (o</w:t>
                            </w:r>
                            <w:r w:rsidR="008B7C36">
                              <w:t> </w:t>
                            </w:r>
                            <w:r w:rsidR="008A38D8">
                              <w:t>9</w:t>
                            </w:r>
                            <w:r w:rsidRPr="008004E7">
                              <w:t>,</w:t>
                            </w:r>
                            <w:r w:rsidR="008A38D8">
                              <w:t>3</w:t>
                            </w:r>
                            <w:r w:rsidRPr="008004E7">
                              <w:t>%)</w:t>
                            </w:r>
                          </w:p>
                          <w:p w:rsidRPr="00CB46F1" w:rsidR="008004E7" w:rsidP="00CD6D30" w:rsidRDefault="008004E7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tyczniu 2024 roku, w porównaniu do grudnia 2023 roku, zmalała liczba mieszkań oddanych do użytkowania (o 28,9%) oraz liczba mieszkań, na których budowę wydano pozwolenia lub dokonano zgłoszenia z projektem budowlanym (o 6,8%), wzrosła natomiast liczba mieszkań, których budowę rozpoczęto (o 9,3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">
                <v:textbox>
                  <w:txbxContent>
                    <w:p w:rsidRPr="002B6B8F" w:rsidR="008004E7" w:rsidP="00CD6D30" w:rsidRDefault="008004E7" w14:paraId="0EC4D806" w14:textId="474600DD">
                      <w:pPr>
                        <w:pStyle w:val="tekstzboku"/>
                      </w:pPr>
                      <w:r>
                        <w:t xml:space="preserve">W </w:t>
                      </w:r>
                      <w:r w:rsidR="008B5581">
                        <w:t>styczniu</w:t>
                      </w:r>
                      <w:r w:rsidR="001D18F5">
                        <w:t xml:space="preserve"> 2024 r</w:t>
                      </w:r>
                      <w:r w:rsidR="002A2887">
                        <w:t>oku</w:t>
                      </w:r>
                      <w:r>
                        <w:t xml:space="preserve">, w porównaniu do </w:t>
                      </w:r>
                      <w:r w:rsidR="008B5581">
                        <w:t>grudnia</w:t>
                      </w:r>
                      <w:r w:rsidRPr="00FE1582">
                        <w:t xml:space="preserve"> 202</w:t>
                      </w:r>
                      <w:r>
                        <w:t>3</w:t>
                      </w:r>
                      <w:r w:rsidRPr="00FE1582">
                        <w:t xml:space="preserve"> roku, </w:t>
                      </w:r>
                      <w:r w:rsidR="00FA5504">
                        <w:t>zm</w:t>
                      </w:r>
                      <w:r w:rsidR="001D18F5">
                        <w:t>niejszyła się</w:t>
                      </w:r>
                      <w:r>
                        <w:t xml:space="preserve"> </w:t>
                      </w:r>
                      <w:r w:rsidRPr="008004E7">
                        <w:t xml:space="preserve">liczba mieszkań oddanych do użytkowania </w:t>
                      </w:r>
                      <w:r w:rsidR="004C6761">
                        <w:br/>
                      </w:r>
                      <w:r w:rsidRPr="008004E7">
                        <w:t xml:space="preserve">(o </w:t>
                      </w:r>
                      <w:r w:rsidR="00FA5504">
                        <w:t>28</w:t>
                      </w:r>
                      <w:r w:rsidRPr="008004E7">
                        <w:t>,9%)</w:t>
                      </w:r>
                      <w:r>
                        <w:t xml:space="preserve"> oraz</w:t>
                      </w:r>
                      <w:r w:rsidR="00FA5504">
                        <w:t xml:space="preserve"> </w:t>
                      </w:r>
                      <w:r>
                        <w:t>liczba mieszkań,</w:t>
                      </w:r>
                      <w:r w:rsidRPr="00356CC3">
                        <w:t xml:space="preserve"> na których budowę wydano pozwolenia lub dokonano zgłoszenia z projektem budowlanym (o</w:t>
                      </w:r>
                      <w:r>
                        <w:t xml:space="preserve"> 6</w:t>
                      </w:r>
                      <w:r w:rsidRPr="001D36A6">
                        <w:rPr>
                          <w:color w:val="1F3864" w:themeColor="accent5" w:themeShade="80"/>
                        </w:rPr>
                        <w:t>,</w:t>
                      </w:r>
                      <w:r w:rsidR="00F711A9">
                        <w:rPr>
                          <w:color w:val="1F3864" w:themeColor="accent5" w:themeShade="80"/>
                        </w:rPr>
                        <w:t>8</w:t>
                      </w:r>
                      <w:r w:rsidRPr="000B2AE1">
                        <w:t>%</w:t>
                      </w:r>
                      <w:r w:rsidRPr="00356CC3">
                        <w:t>)</w:t>
                      </w:r>
                      <w:r>
                        <w:t xml:space="preserve">, </w:t>
                      </w:r>
                      <w:r w:rsidR="008A38D8">
                        <w:t>wzrosła</w:t>
                      </w:r>
                      <w:r w:rsidRPr="008004E7">
                        <w:t xml:space="preserve"> </w:t>
                      </w:r>
                      <w:r>
                        <w:t xml:space="preserve">natomiast liczba mieszkań, </w:t>
                      </w:r>
                      <w:r w:rsidRPr="008004E7">
                        <w:t>których budowę rozpoczęto (o</w:t>
                      </w:r>
                      <w:r w:rsidR="008B7C36">
                        <w:t> </w:t>
                      </w:r>
                      <w:r w:rsidR="008A38D8">
                        <w:t>9</w:t>
                      </w:r>
                      <w:r w:rsidRPr="008004E7">
                        <w:t>,</w:t>
                      </w:r>
                      <w:r w:rsidR="008A38D8">
                        <w:t>3</w:t>
                      </w:r>
                      <w:r w:rsidRPr="008004E7">
                        <w:t>%)</w:t>
                      </w:r>
                    </w:p>
                    <w:p w:rsidRPr="00CB46F1" w:rsidR="008004E7" w:rsidP="00CD6D30" w:rsidRDefault="008004E7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F24B9" w:rsidP="002628BA" w:rsidRDefault="003F24B9" w14:paraId="736FBE1A" w14:textId="341D4EF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088263E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6347CBC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7496EF1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5634FDAB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EABBACD" w14:textId="687C1A4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0D2A1B06" w14:textId="7316AEC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229C001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22135D" w:rsidR="00EE3D14" w:rsidP="002628BA" w:rsidRDefault="00F21988" w14:paraId="064ED53F" w14:textId="4127B50F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22135D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2135D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2135D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3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22135D" w:rsidR="009315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mieszkań). Wysokie wartości zanotowano również w województwie 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 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1,8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22135D" w:rsidR="009315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 w:rsidR="00084C7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 i </w:t>
      </w:r>
      <w:r w:rsidRPr="0022135D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dolnośląskim (1,4 tys</w:t>
      </w:r>
      <w:r w:rsidRPr="002213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  <w:t xml:space="preserve">2,0 tys. i 1,8 tys.). </w:t>
      </w:r>
    </w:p>
    <w:p w:rsidRPr="00CF361E" w:rsidR="00B24F84" w:rsidP="00CF361E" w:rsidRDefault="00A617AC" w14:paraId="506FD241" w14:textId="1ED69A28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 xml:space="preserve">Budownictwo mieszkaniowe według województw w </w:t>
      </w:r>
      <w:r w:rsidR="0073416D">
        <w:rPr>
          <w:rFonts w:ascii="Fira Sans" w:hAnsi="Fira Sans"/>
          <w:spacing w:val="-2"/>
          <w:sz w:val="18"/>
          <w:szCs w:val="18"/>
        </w:rPr>
        <w:t xml:space="preserve">styczniu </w:t>
      </w:r>
      <w:r w:rsidRPr="00120C1F" w:rsidR="004507B6">
        <w:rPr>
          <w:rFonts w:ascii="Fira Sans" w:hAnsi="Fira Sans"/>
          <w:spacing w:val="-2"/>
          <w:sz w:val="18"/>
          <w:szCs w:val="18"/>
        </w:rPr>
        <w:t>202</w:t>
      </w:r>
      <w:r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4905CF" w:rsidP="00B24F84" w:rsidRDefault="001D18F5" w14:paraId="6CE1EAAB" w14:textId="29E4C188">
      <w:pPr>
        <w:spacing w:after="0" w:line="288" w:lineRule="auto"/>
        <w:rPr>
          <w:shd w:val="clear" w:color="auto" w:fill="FFFFFF"/>
        </w:rPr>
      </w:pPr>
      <w:r w:rsidRPr="0022135D">
        <w:rPr>
          <w:noProof/>
        </w:rPr>
        <w:drawing>
          <wp:anchor distT="0" distB="0" distL="114300" distR="114300" simplePos="0" relativeHeight="251796480" behindDoc="1" locked="0" layoutInCell="1" allowOverlap="1" wp14:editId="7A2BD5F2" wp14:anchorId="6C4E8CE9">
            <wp:simplePos x="0" y="0"/>
            <wp:positionH relativeFrom="margin">
              <wp:posOffset>-1270</wp:posOffset>
            </wp:positionH>
            <wp:positionV relativeFrom="paragraph">
              <wp:posOffset>101600</wp:posOffset>
            </wp:positionV>
            <wp:extent cx="5122545" cy="2385391"/>
            <wp:effectExtent l="0" t="0" r="1905" b="0"/>
            <wp:wrapNone/>
            <wp:docPr id="15" name="Obraz 15" descr="Liczba mieszkań oddanych do użytkowania, liczba mieszkań, na których budowę wydano pozwolenia lub dokonano zgłoszenia z projektem budowlanym oraz liczba mieszkań, których budowę rozpoczęto w styczniu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8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5CF" w:rsidP="00B24F84" w:rsidRDefault="004905CF" w14:paraId="31F480E8" w14:textId="4817D779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4698F174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037E487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4D638A3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581B8B9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6851F91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06B699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62A36FD9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29BE8AED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0CFC8630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0A6A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0A6A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4E5068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4E5068" w14:paraId="564DEF2B" w14:textId="77777777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4E5068" w14:paraId="06DD37F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4E5068" w14:paraId="6FB7BA91" w14:textId="43B014D5">
            <w:pPr>
              <w:rPr>
                <w:rStyle w:val="Hipercze"/>
                <w:rFonts w:cstheme="minorBidi"/>
                <w:color w:val="001D77"/>
              </w:rPr>
            </w:pPr>
            <w:hyperlink w:history="1" r:id="rId27"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4E5068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8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9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4E5068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0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77777777">
      <w:pPr>
        <w:rPr>
          <w:sz w:val="20"/>
        </w:rPr>
      </w:pPr>
    </w:p>
    <w:p w:rsidR="000470AA" w:rsidP="000470AA" w:rsidRDefault="000470AA" w14:paraId="6122336F" w14:textId="6B560468">
      <w:pPr>
        <w:rPr>
          <w:sz w:val="18"/>
        </w:rPr>
      </w:pPr>
    </w:p>
    <w:sectPr w:rsidR="000470AA" w:rsidSect="00E25D0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0BEBE" w14:textId="77777777" w:rsidR="004E5068" w:rsidRDefault="004E5068" w:rsidP="000662E2">
      <w:pPr>
        <w:spacing w:after="0" w:line="240" w:lineRule="auto"/>
      </w:pPr>
      <w:r>
        <w:separator/>
      </w:r>
    </w:p>
  </w:endnote>
  <w:endnote w:type="continuationSeparator" w:id="0">
    <w:p w14:paraId="21D4F789" w14:textId="77777777" w:rsidR="004E5068" w:rsidRDefault="004E506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A7F7F13-4333-4D05-AABF-2A413779DF76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39EB530D-9800-4329-9D39-EE808117B4FC}"/>
    <w:embedBold r:id="rId3" w:fontKey="{96C741FF-38AF-4792-852B-0958A5A545AD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A44BE4CE-817F-46A3-866A-0E0E1180839C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CC9B1A2-7D5A-4E35-BC30-A7796211108A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3F294" w14:textId="77777777" w:rsidR="004E5068" w:rsidRDefault="004E5068" w:rsidP="000662E2">
      <w:pPr>
        <w:spacing w:after="0" w:line="240" w:lineRule="auto"/>
      </w:pPr>
      <w:r>
        <w:separator/>
      </w:r>
    </w:p>
  </w:footnote>
  <w:footnote w:type="continuationSeparator" w:id="0">
    <w:p w14:paraId="3C420E2D" w14:textId="77777777" w:rsidR="004E5068" w:rsidRDefault="004E5068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8004E7" w:rsidRPr="00912473" w:rsidRDefault="008004E7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 w:rsidR="00B56F05">
        <w:rPr>
          <w:rFonts w:eastAsia="Calibri" w:cs="Times New Roman"/>
          <w:sz w:val="19"/>
          <w:szCs w:val="19"/>
        </w:rPr>
        <w:t>wstępne</w:t>
      </w:r>
      <w:r w:rsidR="00D25BB9">
        <w:rPr>
          <w:rFonts w:eastAsia="Calibri" w:cs="Times New Roman"/>
          <w:sz w:val="19"/>
          <w:szCs w:val="19"/>
        </w:rPr>
        <w:t>;</w:t>
      </w:r>
      <w:r w:rsidR="00AE6DF7">
        <w:rPr>
          <w:rFonts w:eastAsia="Calibri" w:cs="Times New Roman"/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mogą ulec zmianie</w:t>
      </w:r>
      <w:r w:rsidR="00B56F05"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1FC13FD8" w:rsidR="00A0721F" w:rsidRDefault="00A072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85C54" w:rsidRPr="00C85C54">
        <w:rPr>
          <w:sz w:val="19"/>
          <w:szCs w:val="19"/>
        </w:rPr>
        <w:t>Ł</w:t>
      </w:r>
      <w:r w:rsidRPr="00C85C54">
        <w:rPr>
          <w:sz w:val="19"/>
          <w:szCs w:val="19"/>
        </w:rPr>
        <w:t>ącznie z uproszczoną procedurą dla budynków mieszkalnych jednorodzinnych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8004E7" w:rsidRDefault="008004E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8004E7" w:rsidRDefault="008004E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8004E7" w:rsidRPr="003C6C8D" w:rsidRDefault="008004E7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8004E7" w:rsidRPr="003C6C8D" w:rsidRDefault="008004E7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8004E7" w:rsidRDefault="008004E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3BF9816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28D0A6DF" w:rsidR="008004E7" w:rsidRPr="00A01B40" w:rsidRDefault="008004E7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23393">
                            <w:t>1</w:t>
                          </w:r>
                          <w:r>
                            <w:t>.0</w:t>
                          </w:r>
                          <w:r w:rsidR="00F23393">
                            <w:t>2</w:t>
                          </w:r>
                          <w:r>
                            <w:t>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02.2024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S0HwIAABQ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" filled="f" stroked="f">
              <v:textbox>
                <w:txbxContent>
                  <w:p w14:paraId="0575E756" w14:textId="28D0A6DF" w:rsidR="008004E7" w:rsidRPr="00A01B40" w:rsidRDefault="008004E7" w:rsidP="00F049AB">
                    <w:pPr>
                      <w:pStyle w:val="Datainformacjisygnalnej"/>
                    </w:pPr>
                    <w:r>
                      <w:t>2</w:t>
                    </w:r>
                    <w:r w:rsidR="00F23393">
                      <w:t>1</w:t>
                    </w:r>
                    <w:r>
                      <w:t>.0</w:t>
                    </w:r>
                    <w:r w:rsidR="00F23393">
                      <w:t>2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8004E7" w:rsidRDefault="008004E7">
    <w:pPr>
      <w:pStyle w:val="Nagwek"/>
    </w:pPr>
  </w:p>
  <w:p w14:paraId="73E3EA25" w14:textId="77777777" w:rsidR="008004E7" w:rsidRDefault="008004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1D2F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2908"/>
    <w:rsid w:val="00035225"/>
    <w:rsid w:val="00036928"/>
    <w:rsid w:val="00036B6D"/>
    <w:rsid w:val="0004147E"/>
    <w:rsid w:val="000439E6"/>
    <w:rsid w:val="00044007"/>
    <w:rsid w:val="0004582E"/>
    <w:rsid w:val="00045CF3"/>
    <w:rsid w:val="000470AA"/>
    <w:rsid w:val="00047EE2"/>
    <w:rsid w:val="00051720"/>
    <w:rsid w:val="000533D0"/>
    <w:rsid w:val="0005453B"/>
    <w:rsid w:val="00056450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A70"/>
    <w:rsid w:val="00122FD4"/>
    <w:rsid w:val="0012471F"/>
    <w:rsid w:val="001255BB"/>
    <w:rsid w:val="00125897"/>
    <w:rsid w:val="001264F8"/>
    <w:rsid w:val="00127B83"/>
    <w:rsid w:val="0013019D"/>
    <w:rsid w:val="00130296"/>
    <w:rsid w:val="00130A92"/>
    <w:rsid w:val="00133660"/>
    <w:rsid w:val="00134145"/>
    <w:rsid w:val="001341CD"/>
    <w:rsid w:val="00134906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A1CD2"/>
    <w:rsid w:val="001A50C7"/>
    <w:rsid w:val="001A56B2"/>
    <w:rsid w:val="001B0409"/>
    <w:rsid w:val="001B053D"/>
    <w:rsid w:val="001B11C4"/>
    <w:rsid w:val="001B124F"/>
    <w:rsid w:val="001C3269"/>
    <w:rsid w:val="001C4316"/>
    <w:rsid w:val="001C6F3D"/>
    <w:rsid w:val="001D18F5"/>
    <w:rsid w:val="001D19B6"/>
    <w:rsid w:val="001D1C75"/>
    <w:rsid w:val="001D1DB4"/>
    <w:rsid w:val="001D23F1"/>
    <w:rsid w:val="001D25F9"/>
    <w:rsid w:val="001D36A6"/>
    <w:rsid w:val="001D5348"/>
    <w:rsid w:val="001D61ED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20156C"/>
    <w:rsid w:val="00203219"/>
    <w:rsid w:val="00204C30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40542"/>
    <w:rsid w:val="00240B6A"/>
    <w:rsid w:val="00242D31"/>
    <w:rsid w:val="00245964"/>
    <w:rsid w:val="002468AF"/>
    <w:rsid w:val="00246E54"/>
    <w:rsid w:val="00252A0D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61BA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E0359"/>
    <w:rsid w:val="002E3EB3"/>
    <w:rsid w:val="002E48A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1D7E"/>
    <w:rsid w:val="00363004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443"/>
    <w:rsid w:val="003B1454"/>
    <w:rsid w:val="003B18B6"/>
    <w:rsid w:val="003C072E"/>
    <w:rsid w:val="003C0D6B"/>
    <w:rsid w:val="003C0FF5"/>
    <w:rsid w:val="003C161B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60DE"/>
    <w:rsid w:val="00416EAF"/>
    <w:rsid w:val="00420945"/>
    <w:rsid w:val="00420FA6"/>
    <w:rsid w:val="004212E7"/>
    <w:rsid w:val="00423384"/>
    <w:rsid w:val="00423806"/>
    <w:rsid w:val="00423C88"/>
    <w:rsid w:val="004241AF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9CA"/>
    <w:rsid w:val="00444F6E"/>
    <w:rsid w:val="00445047"/>
    <w:rsid w:val="0044636B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D0149"/>
    <w:rsid w:val="004D1028"/>
    <w:rsid w:val="004D2312"/>
    <w:rsid w:val="004D3E5B"/>
    <w:rsid w:val="004D40A4"/>
    <w:rsid w:val="004D5C54"/>
    <w:rsid w:val="004D6033"/>
    <w:rsid w:val="004E5068"/>
    <w:rsid w:val="004E55D3"/>
    <w:rsid w:val="004E62D5"/>
    <w:rsid w:val="004E6AA8"/>
    <w:rsid w:val="004E6F2F"/>
    <w:rsid w:val="004E6FD2"/>
    <w:rsid w:val="004E77B1"/>
    <w:rsid w:val="004F0C3C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1CB"/>
    <w:rsid w:val="00533632"/>
    <w:rsid w:val="00534013"/>
    <w:rsid w:val="0053401F"/>
    <w:rsid w:val="0053645B"/>
    <w:rsid w:val="00540C5C"/>
    <w:rsid w:val="00541E6E"/>
    <w:rsid w:val="0054251F"/>
    <w:rsid w:val="005458E8"/>
    <w:rsid w:val="0054635E"/>
    <w:rsid w:val="0054683E"/>
    <w:rsid w:val="00546EBA"/>
    <w:rsid w:val="00551453"/>
    <w:rsid w:val="0055168C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3637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6F41"/>
    <w:rsid w:val="006E73E6"/>
    <w:rsid w:val="006F63CF"/>
    <w:rsid w:val="007000EA"/>
    <w:rsid w:val="0070033C"/>
    <w:rsid w:val="00700A3D"/>
    <w:rsid w:val="0070206F"/>
    <w:rsid w:val="007034B1"/>
    <w:rsid w:val="00703971"/>
    <w:rsid w:val="00704BB3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AB"/>
    <w:rsid w:val="00737E9B"/>
    <w:rsid w:val="007426A4"/>
    <w:rsid w:val="0074275C"/>
    <w:rsid w:val="00742D5B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4B03"/>
    <w:rsid w:val="007E5583"/>
    <w:rsid w:val="007E5C57"/>
    <w:rsid w:val="007F223A"/>
    <w:rsid w:val="007F324B"/>
    <w:rsid w:val="007F34D0"/>
    <w:rsid w:val="007F5986"/>
    <w:rsid w:val="008004E7"/>
    <w:rsid w:val="00801E8E"/>
    <w:rsid w:val="00802123"/>
    <w:rsid w:val="008052B9"/>
    <w:rsid w:val="0080553C"/>
    <w:rsid w:val="00805B46"/>
    <w:rsid w:val="00805DB4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31818"/>
    <w:rsid w:val="008320E2"/>
    <w:rsid w:val="00832BD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0752"/>
    <w:rsid w:val="008719CD"/>
    <w:rsid w:val="00872503"/>
    <w:rsid w:val="00872FDD"/>
    <w:rsid w:val="00875380"/>
    <w:rsid w:val="00875CF3"/>
    <w:rsid w:val="00877F6C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26D9"/>
    <w:rsid w:val="008A33AC"/>
    <w:rsid w:val="008A38C7"/>
    <w:rsid w:val="008A38D8"/>
    <w:rsid w:val="008A3CBC"/>
    <w:rsid w:val="008A4CA5"/>
    <w:rsid w:val="008A7B5B"/>
    <w:rsid w:val="008B12D2"/>
    <w:rsid w:val="008B2151"/>
    <w:rsid w:val="008B26C9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2065C"/>
    <w:rsid w:val="00920AAE"/>
    <w:rsid w:val="009227A6"/>
    <w:rsid w:val="0092355A"/>
    <w:rsid w:val="00925099"/>
    <w:rsid w:val="009315A5"/>
    <w:rsid w:val="00933EC1"/>
    <w:rsid w:val="00942F87"/>
    <w:rsid w:val="009446AD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E08DA"/>
    <w:rsid w:val="009E19C8"/>
    <w:rsid w:val="009E229C"/>
    <w:rsid w:val="009E2769"/>
    <w:rsid w:val="009E2E91"/>
    <w:rsid w:val="009E30B0"/>
    <w:rsid w:val="009E670D"/>
    <w:rsid w:val="009E7835"/>
    <w:rsid w:val="009F1988"/>
    <w:rsid w:val="009F37F2"/>
    <w:rsid w:val="009F4837"/>
    <w:rsid w:val="00A01B40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C36"/>
    <w:rsid w:val="00A57FDD"/>
    <w:rsid w:val="00A617AC"/>
    <w:rsid w:val="00A62AAF"/>
    <w:rsid w:val="00A6325C"/>
    <w:rsid w:val="00A64A1F"/>
    <w:rsid w:val="00A65CAE"/>
    <w:rsid w:val="00A65F7C"/>
    <w:rsid w:val="00A66276"/>
    <w:rsid w:val="00A66347"/>
    <w:rsid w:val="00A67093"/>
    <w:rsid w:val="00A67A57"/>
    <w:rsid w:val="00A7779A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687"/>
    <w:rsid w:val="00AC280D"/>
    <w:rsid w:val="00AC28CD"/>
    <w:rsid w:val="00AC46FE"/>
    <w:rsid w:val="00AD0E56"/>
    <w:rsid w:val="00AD1F03"/>
    <w:rsid w:val="00AD2B1F"/>
    <w:rsid w:val="00AD4D81"/>
    <w:rsid w:val="00AD5338"/>
    <w:rsid w:val="00AD69B5"/>
    <w:rsid w:val="00AD759E"/>
    <w:rsid w:val="00AD7D81"/>
    <w:rsid w:val="00AE1192"/>
    <w:rsid w:val="00AE2010"/>
    <w:rsid w:val="00AE229B"/>
    <w:rsid w:val="00AE2D4B"/>
    <w:rsid w:val="00AE4F99"/>
    <w:rsid w:val="00AE6DF7"/>
    <w:rsid w:val="00AE7DC5"/>
    <w:rsid w:val="00AF0C34"/>
    <w:rsid w:val="00AF157D"/>
    <w:rsid w:val="00AF1C33"/>
    <w:rsid w:val="00AF1CA6"/>
    <w:rsid w:val="00AF1FE9"/>
    <w:rsid w:val="00AF2E88"/>
    <w:rsid w:val="00AF3088"/>
    <w:rsid w:val="00AF46A1"/>
    <w:rsid w:val="00AF553F"/>
    <w:rsid w:val="00AF6558"/>
    <w:rsid w:val="00B0047E"/>
    <w:rsid w:val="00B011F7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1B1C"/>
    <w:rsid w:val="00B525B3"/>
    <w:rsid w:val="00B530F8"/>
    <w:rsid w:val="00B54288"/>
    <w:rsid w:val="00B56F05"/>
    <w:rsid w:val="00B60D04"/>
    <w:rsid w:val="00B61D0E"/>
    <w:rsid w:val="00B6223D"/>
    <w:rsid w:val="00B653AB"/>
    <w:rsid w:val="00B657E9"/>
    <w:rsid w:val="00B65C40"/>
    <w:rsid w:val="00B65F9E"/>
    <w:rsid w:val="00B66B19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42AA"/>
    <w:rsid w:val="00BA682B"/>
    <w:rsid w:val="00BA7498"/>
    <w:rsid w:val="00BA7AD2"/>
    <w:rsid w:val="00BB0477"/>
    <w:rsid w:val="00BB3AA7"/>
    <w:rsid w:val="00BB4F09"/>
    <w:rsid w:val="00BB5C6D"/>
    <w:rsid w:val="00BB6AF7"/>
    <w:rsid w:val="00BC138A"/>
    <w:rsid w:val="00BC25BA"/>
    <w:rsid w:val="00BC2D48"/>
    <w:rsid w:val="00BC2F14"/>
    <w:rsid w:val="00BC353D"/>
    <w:rsid w:val="00BC646E"/>
    <w:rsid w:val="00BD023B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7A7E"/>
    <w:rsid w:val="00C62238"/>
    <w:rsid w:val="00C6272E"/>
    <w:rsid w:val="00C62A7E"/>
    <w:rsid w:val="00C62F10"/>
    <w:rsid w:val="00C6303B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54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7838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42F7"/>
    <w:rsid w:val="00DB4972"/>
    <w:rsid w:val="00DB4B0F"/>
    <w:rsid w:val="00DB589E"/>
    <w:rsid w:val="00DB706E"/>
    <w:rsid w:val="00DC40C7"/>
    <w:rsid w:val="00DC4CFB"/>
    <w:rsid w:val="00DC6708"/>
    <w:rsid w:val="00DC69A7"/>
    <w:rsid w:val="00DC7612"/>
    <w:rsid w:val="00DC7809"/>
    <w:rsid w:val="00DD011A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06"/>
    <w:rsid w:val="00E25D33"/>
    <w:rsid w:val="00E2730A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F0A40"/>
    <w:rsid w:val="00EF0A52"/>
    <w:rsid w:val="00EF0C25"/>
    <w:rsid w:val="00EF1E9B"/>
    <w:rsid w:val="00EF293B"/>
    <w:rsid w:val="00EF2FD9"/>
    <w:rsid w:val="00EF449D"/>
    <w:rsid w:val="00EF588A"/>
    <w:rsid w:val="00EF6A30"/>
    <w:rsid w:val="00F0166F"/>
    <w:rsid w:val="00F017A4"/>
    <w:rsid w:val="00F01E89"/>
    <w:rsid w:val="00F01EBC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477E"/>
    <w:rsid w:val="00F46269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371A"/>
    <w:rsid w:val="00F94394"/>
    <w:rsid w:val="00F94EDD"/>
    <w:rsid w:val="00F9614B"/>
    <w:rsid w:val="00F962FB"/>
    <w:rsid w:val="00FA138C"/>
    <w:rsid w:val="00FA172A"/>
    <w:rsid w:val="00FA1857"/>
    <w:rsid w:val="00FA3173"/>
    <w:rsid w:val="00FA5128"/>
    <w:rsid w:val="00FA5504"/>
    <w:rsid w:val="00FA554F"/>
    <w:rsid w:val="00FA5B7A"/>
    <w:rsid w:val="00FA6E1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B64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budownictwo_mieszkaniowe_w_styczniu_2024_r.docx.docx</NazwaPliku>
    <Odbiorcy2 xmlns="AD3641B4-23D9-4536-AF9E-7D0EADDEB824" xsi:nil="true"/>
    <Osoba xmlns="AD3641B4-23D9-4536-AF9E-7D0EADDEB824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9D7EB656-6980-4A5A-8965-2D229FE8A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Kuchno Ewelina</dc:creator>
  <dc:description/>
  <cp:lastModifiedBy>Kuchno Ewelina</cp:lastModifiedBy>
  <cp:revision>16</cp:revision>
  <cp:lastPrinted>2024-02-19T12:36:00Z</cp:lastPrinted>
  <dcterms:created xsi:type="dcterms:W3CDTF">2024-01-16T07:35:00Z</dcterms:created>
  <dcterms:modified xsi:type="dcterms:W3CDTF">2024-02-19T12:37:00Z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LUB-OSB.6360.5.2024.3</vt:lpwstr>
  </property>
  <property fmtid="{D5CDD505-2E9C-101B-9397-08002B2CF9AE}" pid="4" name="UNPPisma">
    <vt:lpwstr>2024-41227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styczniu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2024-02-19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