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190A26" w:rsidRDefault="00CE23B4" w:rsidP="00E719AD">
      <w:pPr>
        <w:pStyle w:val="Tytuinfomacjisygnalnej"/>
        <w:spacing w:after="480"/>
      </w:pPr>
      <w:r w:rsidRPr="00587CE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D837717" wp14:editId="477C9CEC">
                <wp:simplePos x="0" y="0"/>
                <wp:positionH relativeFrom="margin">
                  <wp:posOffset>-12065</wp:posOffset>
                </wp:positionH>
                <wp:positionV relativeFrom="paragraph">
                  <wp:posOffset>977900</wp:posOffset>
                </wp:positionV>
                <wp:extent cx="2345055" cy="1248410"/>
                <wp:effectExtent l="0" t="0" r="0" b="8890"/>
                <wp:wrapSquare wrapText="bothSides"/>
                <wp:docPr id="6" name="Pole tekstowe 2" descr="0,1% - Wzrost przeciętnego zatrudnienia w 2023 r. w gospodarce narodowej w stosunku do roku poprzednieg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2484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A26" w:rsidRPr="00190A26" w:rsidRDefault="00190A26" w:rsidP="00190A2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90A26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F710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F710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190A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373050" w:rsidRPr="00190A26" w:rsidRDefault="00190A26" w:rsidP="00190A26">
                            <w:pPr>
                              <w:pStyle w:val="Opiswskanika"/>
                            </w:pPr>
                            <w:r w:rsidRPr="00190A26">
                              <w:t>Wzrost przeciętnego zatrudnienia w 202</w:t>
                            </w:r>
                            <w:r w:rsidR="00FF7104">
                              <w:t>3</w:t>
                            </w:r>
                            <w:r w:rsidRPr="00190A26">
                              <w:t xml:space="preserve"> r. w gospodarce narodowej </w:t>
                            </w:r>
                            <w:r w:rsidR="004A6BF9">
                              <w:t>w stosunku do 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37717" id="Pole tekstowe 2" o:spid="_x0000_s1026" alt="0,1% - Wzrost przeciętnego zatrudnienia w 2023 r. w gospodarce narodowej w stosunku do roku poprzedniego&#10;" style="position:absolute;margin-left:-.95pt;margin-top:77pt;width:184.65pt;height:98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" fillcolor="#001d77" stroked="f">
                <v:stroke joinstyle="miter"/>
                <v:textbox>
                  <w:txbxContent>
                    <w:p w:rsidR="00190A26" w:rsidRPr="00190A26" w:rsidRDefault="00190A26" w:rsidP="00190A2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90A26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F710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F710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190A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373050" w:rsidRPr="00190A26" w:rsidRDefault="00190A26" w:rsidP="00190A26">
                      <w:pPr>
                        <w:pStyle w:val="Opiswskanika"/>
                      </w:pPr>
                      <w:r w:rsidRPr="00190A26">
                        <w:t>Wzrost przeciętnego zatrudnienia w 202</w:t>
                      </w:r>
                      <w:r w:rsidR="00FF7104">
                        <w:t>3</w:t>
                      </w:r>
                      <w:r w:rsidRPr="00190A26">
                        <w:t xml:space="preserve"> r. w gospodarce narodowej </w:t>
                      </w:r>
                      <w:r w:rsidR="004A6BF9">
                        <w:t>w stosunku do roku poprzedniego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0A26" w:rsidRPr="00190A26">
        <w:t>Przeciętne</w:t>
      </w:r>
      <w:r w:rsidR="00190A26">
        <w:t xml:space="preserve"> zatrudnienie i wynagrodzenia w </w:t>
      </w:r>
      <w:r w:rsidR="00190A26" w:rsidRPr="00190A26">
        <w:t>gospodarce narodowej w 202</w:t>
      </w:r>
      <w:r w:rsidR="00FF7104">
        <w:t>3</w:t>
      </w:r>
      <w:r w:rsidR="00190A26" w:rsidRPr="00190A26">
        <w:t xml:space="preserve"> r. – dane wstępne</w:t>
      </w:r>
    </w:p>
    <w:p w:rsidR="006D7409" w:rsidRPr="00157508" w:rsidRDefault="00190A26" w:rsidP="00E719AD">
      <w:pPr>
        <w:pStyle w:val="Lead"/>
        <w:spacing w:before="240" w:after="1320"/>
      </w:pPr>
      <w:r w:rsidRPr="00190A26">
        <w:t>Według danych wstępnych przeciętne zatrudnienie w gospodarce narodo</w:t>
      </w:r>
      <w:r>
        <w:t>wej</w:t>
      </w:r>
      <w:r w:rsidR="0025599C" w:rsidRPr="0025599C">
        <w:t xml:space="preserve"> </w:t>
      </w:r>
      <w:r w:rsidR="0025599C" w:rsidRPr="00190A26">
        <w:t>w 202</w:t>
      </w:r>
      <w:r w:rsidR="0025599C">
        <w:t>3</w:t>
      </w:r>
      <w:r w:rsidR="008F2339">
        <w:t> </w:t>
      </w:r>
      <w:r w:rsidR="0025599C" w:rsidRPr="00190A26">
        <w:t>r</w:t>
      </w:r>
      <w:r>
        <w:t xml:space="preserve"> wyniosło 11,0 mln etatów. W </w:t>
      </w:r>
      <w:r w:rsidRPr="00190A26">
        <w:t xml:space="preserve">stosunku do poprzedniego roku było to więcej o </w:t>
      </w:r>
      <w:r w:rsidR="00FF7104">
        <w:t>0</w:t>
      </w:r>
      <w:r w:rsidRPr="00190A26">
        <w:t>,</w:t>
      </w:r>
      <w:r w:rsidR="00FF7104">
        <w:t>1</w:t>
      </w:r>
      <w:r w:rsidRPr="00190A26">
        <w:t>%.</w:t>
      </w:r>
    </w:p>
    <w:p w:rsidR="00190A26" w:rsidRPr="00E719AD" w:rsidRDefault="00176FB7" w:rsidP="008B4635">
      <w:pPr>
        <w:pStyle w:val="Nagwek1"/>
        <w:rPr>
          <w:rFonts w:ascii="Fira Sans" w:hAnsi="Fira Sans"/>
          <w:b/>
          <w:szCs w:val="19"/>
        </w:rPr>
      </w:pPr>
      <w:r w:rsidRPr="00E719AD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129CF556" wp14:editId="2A7C916D">
                <wp:simplePos x="0" y="0"/>
                <wp:positionH relativeFrom="column">
                  <wp:posOffset>5255895</wp:posOffset>
                </wp:positionH>
                <wp:positionV relativeFrom="paragraph">
                  <wp:posOffset>135890</wp:posOffset>
                </wp:positionV>
                <wp:extent cx="1760855" cy="1067435"/>
                <wp:effectExtent l="0" t="0" r="0" b="0"/>
                <wp:wrapTight wrapText="bothSides">
                  <wp:wrapPolygon edited="0">
                    <wp:start x="701" y="0"/>
                    <wp:lineTo x="701" y="21202"/>
                    <wp:lineTo x="20798" y="21202"/>
                    <wp:lineTo x="20798" y="0"/>
                    <wp:lineTo x="701" y="0"/>
                  </wp:wrapPolygon>
                </wp:wrapTight>
                <wp:docPr id="3" name="Pole tekstowe 3" descr="Przeciętne zatrudnienie uwzględnia pracowników pełnozatrudnionych oraz niepełnozatrudnionych w przeliczeniu na pełne eta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FB7" w:rsidRPr="000A2282" w:rsidRDefault="00176FB7" w:rsidP="000A2282">
                            <w:pPr>
                              <w:pStyle w:val="tekstzboku"/>
                            </w:pPr>
                            <w:r w:rsidRPr="000A2282">
                              <w:t>Przeciętne zatrudnienie uwzględnia pracowników pełnozatrudnionych oraz niepełnozatrudnionych w przeliczeniu na pełne etaty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9CF55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Przeciętne zatrudnienie uwzględnia pracowników pełnozatrudnionych oraz niepełnozatrudnionych w przeliczeniu na pełne etaty" style="position:absolute;margin-left:413.85pt;margin-top:10.7pt;width:138.65pt;height:84.0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" filled="f" stroked="f">
                <v:textbox>
                  <w:txbxContent>
                    <w:p w:rsidR="00176FB7" w:rsidRPr="000A2282" w:rsidRDefault="00176FB7" w:rsidP="000A2282">
                      <w:pPr>
                        <w:pStyle w:val="tekstzboku"/>
                      </w:pPr>
                      <w:r w:rsidRPr="000A2282">
                        <w:t>Przeciętne zatrudnienie uwzględnia pracowników pełnozatrudnionych oraz niepełnozatrudnionych w przeliczeniu na pełne etaty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4635" w:rsidRPr="00E719AD">
        <w:rPr>
          <w:rFonts w:ascii="Fira Sans" w:hAnsi="Fira Sans"/>
          <w:b/>
          <w:szCs w:val="19"/>
        </w:rPr>
        <w:t>Przeciętne zatrudnienie w gospodarce narodowej</w:t>
      </w:r>
    </w:p>
    <w:p w:rsidR="00190A26" w:rsidRDefault="008B4635" w:rsidP="008B4635">
      <w:pPr>
        <w:spacing w:line="288" w:lineRule="auto"/>
      </w:pPr>
      <w:r w:rsidRPr="008B4635">
        <w:t>W 202</w:t>
      </w:r>
      <w:r w:rsidR="00FF7104">
        <w:t>3</w:t>
      </w:r>
      <w:r w:rsidRPr="008B4635">
        <w:t xml:space="preserve"> r</w:t>
      </w:r>
      <w:r>
        <w:t>.</w:t>
      </w:r>
      <w:r w:rsidRPr="008B4635">
        <w:t xml:space="preserve"> najwięcej etatów skupionych było w sekcji Przetwórstwo przemysłowe – 2</w:t>
      </w:r>
      <w:r w:rsidR="00FF7104">
        <w:t>2</w:t>
      </w:r>
      <w:r w:rsidRPr="008B4635">
        <w:t>,</w:t>
      </w:r>
      <w:r w:rsidR="00FF7104">
        <w:t>8</w:t>
      </w:r>
      <w:r w:rsidRPr="008B4635">
        <w:t>% przeciętnego zatrudnienia ogółem. W odniesieniu do 202</w:t>
      </w:r>
      <w:r w:rsidR="00FF7104">
        <w:t>2</w:t>
      </w:r>
      <w:r w:rsidRPr="008B4635">
        <w:t xml:space="preserve"> r. przeciętne zatrudnienie zmniejszyło się w </w:t>
      </w:r>
      <w:r w:rsidR="00FF7104">
        <w:t>sześciu</w:t>
      </w:r>
      <w:r w:rsidRPr="008B4635">
        <w:t xml:space="preserve"> sekcjach, najwyższy spadek odno</w:t>
      </w:r>
      <w:r>
        <w:t xml:space="preserve">towano w sekcjach </w:t>
      </w:r>
      <w:r w:rsidR="002244C5">
        <w:t xml:space="preserve">Przetwórstwo przemysłowe </w:t>
      </w:r>
      <w:r w:rsidRPr="008B4635">
        <w:t xml:space="preserve">oraz </w:t>
      </w:r>
      <w:r w:rsidR="002244C5">
        <w:t>Budownictwo</w:t>
      </w:r>
      <w:r w:rsidRPr="008B4635">
        <w:t xml:space="preserve"> (</w:t>
      </w:r>
      <w:r w:rsidR="002244C5">
        <w:t>odpowiednio o 1,3% i</w:t>
      </w:r>
      <w:r w:rsidRPr="008B4635">
        <w:t xml:space="preserve"> 1,2%). W stosunku do 202</w:t>
      </w:r>
      <w:r w:rsidR="002244C5">
        <w:t>2</w:t>
      </w:r>
      <w:r w:rsidRPr="008B4635">
        <w:t xml:space="preserve"> r. przeciętne zatrudnienie najbardziej wzrosło w sekcjach Informacja i komunikacja </w:t>
      </w:r>
      <w:r w:rsidR="00537B7A">
        <w:t xml:space="preserve">(o </w:t>
      </w:r>
      <w:r w:rsidR="002244C5">
        <w:t>3,1</w:t>
      </w:r>
      <w:r w:rsidR="00537B7A">
        <w:t xml:space="preserve">%) oraz </w:t>
      </w:r>
      <w:r w:rsidR="002244C5" w:rsidRPr="002244C5">
        <w:t xml:space="preserve">Działalność profesjonalna, naukowa i techniczna </w:t>
      </w:r>
      <w:r w:rsidRPr="008B4635">
        <w:t xml:space="preserve">(o </w:t>
      </w:r>
      <w:r w:rsidR="002244C5">
        <w:t>3,0</w:t>
      </w:r>
      <w:r w:rsidRPr="008B4635">
        <w:t>%).</w:t>
      </w:r>
    </w:p>
    <w:p w:rsidR="008B4635" w:rsidRPr="00176FB7" w:rsidRDefault="00E719AD" w:rsidP="00176FB7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541572</wp:posOffset>
            </wp:positionV>
            <wp:extent cx="5041392" cy="4581144"/>
            <wp:effectExtent l="0" t="0" r="6985" b="0"/>
            <wp:wrapSquare wrapText="bothSides"/>
            <wp:docPr id="13" name="Obraz 13" descr="Na wykresie przedstawiono przeciętne zatrudnienie w gospodarce narodowej według sekcji PKD w tys. etatów. Dane zaprezentowane na wykresie są danymi wstępnymi. Najwyższe przeciętne zatrudnienie wystąpiło w sekcji Przetwórstwo przemysłowe, natomiast najniższe w sekcji Wytwarzanie i zaopatrywanie w energię elektryczną, gaz, parę wodną i gorącą wodę.&#10;Zmiana przeciętnego zatrudnienia w stosunku do 2022 r.&#10;Wykres przedstawia zmianę przeciętnego zatrudnienia w stosunku do 2022 r. Dane zaprezentowane na wykresie są danymi wstępnymi. Najwyższa zmiana w przeciętnym zatrudnieniu wystąpiła w sekcji Informacja i komunikacja, z kolei najniższa w sekcjach Rolnictwo, leśnictwo, łowiectwo i rybactwo oraz Pozostała działalność usług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y_01_p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635" w:rsidRPr="00176FB7">
        <w:rPr>
          <w:sz w:val="19"/>
          <w:szCs w:val="19"/>
        </w:rPr>
        <w:t>Wykres 1 . Przeciętne zatrudnienie w gospodarce narodowej według sekcji PKD w 202</w:t>
      </w:r>
      <w:r w:rsidR="002244C5">
        <w:rPr>
          <w:sz w:val="19"/>
          <w:szCs w:val="19"/>
        </w:rPr>
        <w:t>3</w:t>
      </w:r>
      <w:r w:rsidR="008B4635" w:rsidRPr="00176FB7">
        <w:rPr>
          <w:sz w:val="19"/>
          <w:szCs w:val="19"/>
        </w:rPr>
        <w:t xml:space="preserve"> r. </w:t>
      </w:r>
      <w:r w:rsidR="00176FB7">
        <w:rPr>
          <w:sz w:val="19"/>
          <w:szCs w:val="19"/>
        </w:rPr>
        <w:br/>
      </w:r>
      <w:r w:rsidR="008B4635" w:rsidRPr="00176FB7">
        <w:rPr>
          <w:sz w:val="19"/>
          <w:szCs w:val="19"/>
        </w:rPr>
        <w:t>– dane wstępne</w:t>
      </w:r>
    </w:p>
    <w:p w:rsidR="008B4635" w:rsidRDefault="008B4635" w:rsidP="008B4635">
      <w:pPr>
        <w:spacing w:line="288" w:lineRule="auto"/>
      </w:pPr>
    </w:p>
    <w:p w:rsidR="00176FB7" w:rsidRPr="00E719AD" w:rsidRDefault="000D04D6" w:rsidP="00176FB7">
      <w:pPr>
        <w:pStyle w:val="Nagwek1"/>
        <w:rPr>
          <w:rFonts w:ascii="Fira Sans" w:hAnsi="Fira Sans"/>
          <w:b/>
        </w:rPr>
      </w:pPr>
      <w:r w:rsidRPr="00E719AD">
        <w:rPr>
          <w:rFonts w:ascii="Fira Sans" w:hAnsi="Fira Sans"/>
          <w:b/>
          <w:noProof/>
          <w:color w:val="FF000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5AC080C" wp14:editId="13BDB34A">
                <wp:simplePos x="0" y="0"/>
                <wp:positionH relativeFrom="page">
                  <wp:posOffset>5748655</wp:posOffset>
                </wp:positionH>
                <wp:positionV relativeFrom="paragraph">
                  <wp:posOffset>235585</wp:posOffset>
                </wp:positionV>
                <wp:extent cx="1739265" cy="1199515"/>
                <wp:effectExtent l="0" t="0" r="0" b="635"/>
                <wp:wrapTight wrapText="bothSides">
                  <wp:wrapPolygon edited="0">
                    <wp:start x="710" y="0"/>
                    <wp:lineTo x="710" y="21268"/>
                    <wp:lineTo x="20819" y="21268"/>
                    <wp:lineTo x="20819" y="0"/>
                    <wp:lineTo x="710" y="0"/>
                  </wp:wrapPolygon>
                </wp:wrapTight>
                <wp:docPr id="4" name="Pole tekstowe 4" descr="W 2023 r. w stosunku do 2022 r. przeciętne &#10;miesięczne wynagrodzenie nominalne brutto w gospodarce narodowej wzrosło o 12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FB7" w:rsidRPr="000A2282" w:rsidRDefault="00176FB7" w:rsidP="000A2282">
                            <w:pPr>
                              <w:pStyle w:val="tekstzboku"/>
                            </w:pPr>
                            <w:r w:rsidRPr="000A2282">
                              <w:t>W 202</w:t>
                            </w:r>
                            <w:r w:rsidR="00D21FB1">
                              <w:t>3</w:t>
                            </w:r>
                            <w:r w:rsidRPr="000A2282">
                              <w:t xml:space="preserve"> r. w stosunku </w:t>
                            </w:r>
                            <w:r w:rsidRPr="000A2282">
                              <w:br/>
                              <w:t>do 202</w:t>
                            </w:r>
                            <w:r w:rsidR="00D21FB1">
                              <w:t>2</w:t>
                            </w:r>
                            <w:r w:rsidRPr="000A2282">
                              <w:t xml:space="preserve"> r. przeciętne </w:t>
                            </w:r>
                            <w:r w:rsidRPr="000A2282">
                              <w:br/>
                              <w:t xml:space="preserve">miesięczne wynagrodzenie nominalne brutto w gospodarce narodowej wzrosło o </w:t>
                            </w:r>
                            <w:r w:rsidR="00D21FB1">
                              <w:t>12,5</w:t>
                            </w:r>
                            <w:r w:rsidRPr="000A2282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C080C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W 2023 r. w stosunku do 2022 r. przeciętne &#10;miesięczne wynagrodzenie nominalne brutto w gospodarce narodowej wzrosło o 12,5%&#10;" style="position:absolute;margin-left:452.65pt;margin-top:18.55pt;width:136.95pt;height:94.4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" filled="f" stroked="f">
                <v:textbox>
                  <w:txbxContent>
                    <w:p w:rsidR="00176FB7" w:rsidRPr="000A2282" w:rsidRDefault="00176FB7" w:rsidP="000A2282">
                      <w:pPr>
                        <w:pStyle w:val="tekstzboku"/>
                      </w:pPr>
                      <w:r w:rsidRPr="000A2282">
                        <w:t>W 202</w:t>
                      </w:r>
                      <w:r w:rsidR="00D21FB1">
                        <w:t>3</w:t>
                      </w:r>
                      <w:r w:rsidRPr="000A2282">
                        <w:t xml:space="preserve"> r. w stosunku </w:t>
                      </w:r>
                      <w:r w:rsidRPr="000A2282">
                        <w:br/>
                        <w:t>do 202</w:t>
                      </w:r>
                      <w:r w:rsidR="00D21FB1">
                        <w:t>2</w:t>
                      </w:r>
                      <w:r w:rsidRPr="000A2282">
                        <w:t xml:space="preserve"> r. przeciętne </w:t>
                      </w:r>
                      <w:r w:rsidRPr="000A2282">
                        <w:br/>
                        <w:t xml:space="preserve">miesięczne wynagrodzenie nominalne brutto w gospodarce narodowej wzrosło o </w:t>
                      </w:r>
                      <w:r w:rsidR="00D21FB1">
                        <w:t>12,5</w:t>
                      </w:r>
                      <w:r w:rsidRPr="000A2282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76FB7" w:rsidRPr="00E719AD">
        <w:rPr>
          <w:rFonts w:ascii="Fira Sans" w:hAnsi="Fira Sans"/>
          <w:b/>
          <w:noProof/>
        </w:rPr>
        <w:t>Przeciętne miesięczne wynagrodzenia brutto w gospodarce narodowej</w:t>
      </w:r>
    </w:p>
    <w:p w:rsidR="00176FB7" w:rsidRDefault="00176FB7" w:rsidP="00E719AD">
      <w:pPr>
        <w:spacing w:line="288" w:lineRule="auto"/>
      </w:pPr>
      <w:r w:rsidRPr="00A808F0">
        <w:t>Według danych wstępnych prze</w:t>
      </w:r>
      <w:r>
        <w:t xml:space="preserve">ciętne miesięczne wynagrodzenie </w:t>
      </w:r>
      <w:r w:rsidRPr="00A808F0">
        <w:t xml:space="preserve">brutto w gospodarce narodowej </w:t>
      </w:r>
      <w:r>
        <w:t>w Polsce w 202</w:t>
      </w:r>
      <w:r w:rsidR="004A6E65">
        <w:t>3</w:t>
      </w:r>
      <w:r w:rsidRPr="00A808F0">
        <w:t xml:space="preserve"> r. wyniosło </w:t>
      </w:r>
      <w:r w:rsidR="002244C5">
        <w:t>7155,48</w:t>
      </w:r>
      <w:r>
        <w:t xml:space="preserve"> zł. W porównaniu z 202</w:t>
      </w:r>
      <w:r w:rsidR="002244C5">
        <w:t>2</w:t>
      </w:r>
      <w:r w:rsidRPr="00A808F0">
        <w:t xml:space="preserve"> r. wzrosło </w:t>
      </w:r>
      <w:r>
        <w:t>nominalnie</w:t>
      </w:r>
      <w:r>
        <w:br/>
      </w:r>
      <w:r w:rsidRPr="00A808F0">
        <w:t xml:space="preserve">o </w:t>
      </w:r>
      <w:r>
        <w:t>1</w:t>
      </w:r>
      <w:r w:rsidR="00D21FB1">
        <w:t>2</w:t>
      </w:r>
      <w:r>
        <w:t>,</w:t>
      </w:r>
      <w:r w:rsidR="00D21FB1">
        <w:t>5</w:t>
      </w:r>
      <w:r w:rsidRPr="00A808F0">
        <w:t>%.</w:t>
      </w:r>
      <w:r>
        <w:t xml:space="preserve"> </w:t>
      </w:r>
      <w:r w:rsidRPr="00A808F0">
        <w:t xml:space="preserve">Jest to </w:t>
      </w:r>
      <w:r w:rsidRPr="00616CFA">
        <w:t xml:space="preserve">wzrost </w:t>
      </w:r>
      <w:r>
        <w:t>większy niż notowany w 202</w:t>
      </w:r>
      <w:r w:rsidR="00D21FB1">
        <w:t>2</w:t>
      </w:r>
      <w:r w:rsidRPr="00A808F0">
        <w:t xml:space="preserve"> r.</w:t>
      </w:r>
      <w:r>
        <w:t xml:space="preserve"> w porównaniu z 202</w:t>
      </w:r>
      <w:r w:rsidR="00D21FB1">
        <w:t>1</w:t>
      </w:r>
      <w:r w:rsidRPr="00A808F0">
        <w:t xml:space="preserve"> r. </w:t>
      </w:r>
      <w:r>
        <w:t>– </w:t>
      </w:r>
      <w:r w:rsidRPr="00A808F0">
        <w:t>przeciętne miesięczne wynagrodzenie brutto wzrosło</w:t>
      </w:r>
      <w:r>
        <w:t xml:space="preserve"> wówczas</w:t>
      </w:r>
      <w:r w:rsidRPr="00A808F0">
        <w:t xml:space="preserve"> o </w:t>
      </w:r>
      <w:r w:rsidR="00D21FB1">
        <w:t>12,0</w:t>
      </w:r>
      <w:r w:rsidR="008F2339">
        <w:t>%.</w:t>
      </w:r>
    </w:p>
    <w:p w:rsidR="00176FB7" w:rsidRPr="00A808F0" w:rsidRDefault="00176FB7" w:rsidP="00E719AD">
      <w:pPr>
        <w:spacing w:line="288" w:lineRule="auto"/>
      </w:pPr>
      <w:r w:rsidRPr="00A808F0">
        <w:t xml:space="preserve">Przeciętne miesięczne wynagrodzenie brutto </w:t>
      </w:r>
      <w:r w:rsidRPr="00042EEB">
        <w:t xml:space="preserve">według sekcji PKD </w:t>
      </w:r>
      <w:r w:rsidRPr="00A808F0">
        <w:t xml:space="preserve">pozostało </w:t>
      </w:r>
      <w:r>
        <w:t>nadal zróżnicowane. W 202</w:t>
      </w:r>
      <w:r w:rsidR="00D21FB1">
        <w:t>3</w:t>
      </w:r>
      <w:r w:rsidRPr="00A808F0">
        <w:t xml:space="preserve"> r. wah</w:t>
      </w:r>
      <w:r>
        <w:t xml:space="preserve">ało się od </w:t>
      </w:r>
      <w:r w:rsidR="00D21FB1">
        <w:t>4702,56</w:t>
      </w:r>
      <w:r>
        <w:t xml:space="preserve"> zł w sekcji Z</w:t>
      </w:r>
      <w:r w:rsidRPr="00A808F0">
        <w:t>akwaterowanie i gastronomia</w:t>
      </w:r>
      <w:r w:rsidRPr="00A808F0">
        <w:rPr>
          <w:vertAlign w:val="superscript"/>
        </w:rPr>
        <w:t>∆</w:t>
      </w:r>
      <w:r>
        <w:t xml:space="preserve"> do </w:t>
      </w:r>
      <w:r w:rsidR="00D21FB1">
        <w:t>12822,80</w:t>
      </w:r>
      <w:r>
        <w:t xml:space="preserve"> zł w sekcji Górnictwo i wydobywanie</w:t>
      </w:r>
      <w:r w:rsidRPr="00A808F0">
        <w:t xml:space="preserve">. Było to odpowiednio o </w:t>
      </w:r>
      <w:r w:rsidR="00D21FB1">
        <w:t>34,3</w:t>
      </w:r>
      <w:r>
        <w:t xml:space="preserve">% mniej i o </w:t>
      </w:r>
      <w:r w:rsidR="00D21FB1">
        <w:t>79,2</w:t>
      </w:r>
      <w:r>
        <w:t xml:space="preserve">% więcej </w:t>
      </w:r>
      <w:r w:rsidRPr="00A808F0">
        <w:t>od przeciętnego miesięcznego</w:t>
      </w:r>
      <w:r w:rsidR="00E719AD">
        <w:t xml:space="preserve"> wynagrodzenia brutto w Polsce.</w:t>
      </w:r>
    </w:p>
    <w:p w:rsidR="00176FB7" w:rsidRDefault="00005EA0" w:rsidP="00176FB7">
      <w:pPr>
        <w:spacing w:before="360" w:line="240" w:lineRule="auto"/>
        <w:ind w:left="851" w:hanging="851"/>
        <w:rPr>
          <w:b/>
          <w:szCs w:val="19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533179</wp:posOffset>
            </wp:positionV>
            <wp:extent cx="5041392" cy="4550664"/>
            <wp:effectExtent l="0" t="0" r="6985" b="2540"/>
            <wp:wrapSquare wrapText="bothSides"/>
            <wp:docPr id="2" name="Obraz 2" descr="Na wykresie przedstawiono przeciętne miesięczne wynagrodzenia brutto w gospodarce narodowej według sekcji PKD w tys. zł. Dane zaprezentowane na wykresie są danymi wstępnymi. Najwyższą wartość przeciętnego miesięcznego wynagrodzenia brutto odnotowano w sekcji Górnictwo i wydobywanie, natomiast najniższą w sekcji Zakwaterowanie i gastronomia.&#10;Zmiana przeciętnych miesięcznych wynagrodzeń nominalnych brutto w stosunku do 2022 r.&#10;Wykres przedstawia zmianę przeciętnych miesięcznych wynagrodzeń nominalnych brutto w stosunku do 2022 r. Dane zaprezentowane na wykresie są danymi wstępnymi. Najwyższy wzrost przeciętnego miesięcznego wynagrodzenia brutto wystąpił w sekcjach Górnictwo i wydobywanie oraz Transport i gospodarka magazynowa, natomiast najniższy w sekcji Rolnictwo, leśnictwo, łowiectwo i rybact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y_02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55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76FB7" w:rsidRPr="00176FB7">
        <w:rPr>
          <w:b/>
          <w:szCs w:val="19"/>
        </w:rPr>
        <w:t xml:space="preserve">Wykres 2. Przeciętne miesięczne wynagrodzenia brutto w gospodarce narodowej według </w:t>
      </w:r>
      <w:r w:rsidR="00176FB7">
        <w:rPr>
          <w:b/>
          <w:szCs w:val="19"/>
        </w:rPr>
        <w:br/>
      </w:r>
      <w:r w:rsidR="00176FB7" w:rsidRPr="00176FB7">
        <w:rPr>
          <w:b/>
          <w:szCs w:val="19"/>
        </w:rPr>
        <w:t>sekcji PKD w 202</w:t>
      </w:r>
      <w:r w:rsidR="00D21FB1">
        <w:rPr>
          <w:b/>
          <w:szCs w:val="19"/>
        </w:rPr>
        <w:t>3</w:t>
      </w:r>
      <w:r w:rsidR="00176FB7" w:rsidRPr="00176FB7">
        <w:rPr>
          <w:b/>
          <w:szCs w:val="19"/>
        </w:rPr>
        <w:t xml:space="preserve"> r</w:t>
      </w:r>
      <w:r w:rsidR="00176FB7">
        <w:rPr>
          <w:b/>
          <w:szCs w:val="19"/>
        </w:rPr>
        <w:t>.</w:t>
      </w:r>
      <w:r w:rsidR="00F16408">
        <w:rPr>
          <w:b/>
          <w:szCs w:val="19"/>
        </w:rPr>
        <w:t xml:space="preserve"> </w:t>
      </w:r>
      <w:r w:rsidR="00F16408" w:rsidRPr="00F16408">
        <w:rPr>
          <w:b/>
          <w:szCs w:val="19"/>
        </w:rPr>
        <w:t>– dane wstępne</w:t>
      </w:r>
    </w:p>
    <w:p w:rsidR="00176FB7" w:rsidRPr="00A808F0" w:rsidRDefault="00176FB7" w:rsidP="00E719AD">
      <w:pPr>
        <w:spacing w:before="360" w:line="288" w:lineRule="auto"/>
      </w:pPr>
      <w:r w:rsidRPr="00A808F0">
        <w:t>We wszystkich</w:t>
      </w:r>
      <w:r>
        <w:t xml:space="preserve"> sekcjach PKD</w:t>
      </w:r>
      <w:r w:rsidRPr="00A808F0">
        <w:t xml:space="preserve">. zanotowano wzrost przeciętnego miesięcznego wynagrodzenia </w:t>
      </w:r>
      <w:r>
        <w:t xml:space="preserve">nominalnego </w:t>
      </w:r>
      <w:r w:rsidRPr="00A808F0">
        <w:t>brutto</w:t>
      </w:r>
      <w:r w:rsidR="00506699" w:rsidRPr="00506699">
        <w:t xml:space="preserve"> </w:t>
      </w:r>
      <w:r w:rsidR="00506699">
        <w:t>w stosunku do 2022</w:t>
      </w:r>
      <w:r w:rsidR="00506699" w:rsidRPr="00A808F0">
        <w:t xml:space="preserve"> r</w:t>
      </w:r>
      <w:r w:rsidRPr="00A808F0">
        <w:t>. Wzros</w:t>
      </w:r>
      <w:r>
        <w:t xml:space="preserve">t ten wyniósł od </w:t>
      </w:r>
      <w:r w:rsidR="00D21FB1">
        <w:t>9,2</w:t>
      </w:r>
      <w:r>
        <w:t xml:space="preserve">% w sekcji </w:t>
      </w:r>
      <w:r w:rsidR="00D21FB1" w:rsidRPr="00D21FB1">
        <w:t>Rolnictwo, leśnictwo, łowiectwo i rybactwo</w:t>
      </w:r>
      <w:r>
        <w:t xml:space="preserve"> do </w:t>
      </w:r>
      <w:r w:rsidR="00D21FB1">
        <w:t>15,5</w:t>
      </w:r>
      <w:r>
        <w:t>% w sekcj</w:t>
      </w:r>
      <w:r w:rsidR="00D21FB1">
        <w:t>ach</w:t>
      </w:r>
      <w:r>
        <w:t xml:space="preserve"> Górnictwo i wydobywanie</w:t>
      </w:r>
      <w:r w:rsidR="00D21FB1">
        <w:t xml:space="preserve"> oraz </w:t>
      </w:r>
      <w:r w:rsidR="00D21FB1" w:rsidRPr="00D21FB1">
        <w:t>Transport i gospodarka magazynowa</w:t>
      </w:r>
      <w:r w:rsidR="00D21FB1">
        <w:t>.</w:t>
      </w:r>
    </w:p>
    <w:p w:rsidR="00E719AD" w:rsidRDefault="00E719AD">
      <w:pPr>
        <w:spacing w:before="0" w:after="160" w:line="259" w:lineRule="auto"/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</w:pPr>
      <w:r>
        <w:rPr>
          <w:b/>
          <w:noProof/>
        </w:rPr>
        <w:br w:type="page"/>
      </w:r>
    </w:p>
    <w:p w:rsidR="00176FB7" w:rsidRPr="00E719AD" w:rsidRDefault="00176FB7" w:rsidP="00176FB7">
      <w:pPr>
        <w:pStyle w:val="Nagwek1"/>
        <w:rPr>
          <w:rFonts w:ascii="Fira Sans" w:hAnsi="Fira Sans"/>
          <w:b/>
          <w:noProof/>
        </w:rPr>
      </w:pPr>
      <w:r w:rsidRPr="00E719AD">
        <w:rPr>
          <w:rFonts w:ascii="Fira Sans" w:hAnsi="Fira Sans"/>
          <w:b/>
          <w:noProof/>
        </w:rPr>
        <w:lastRenderedPageBreak/>
        <w:t>Minimalne wynagrodzenie brutto</w:t>
      </w:r>
    </w:p>
    <w:p w:rsidR="00176FB7" w:rsidRPr="00176FB7" w:rsidRDefault="00176FB7" w:rsidP="00E719AD">
      <w:pPr>
        <w:spacing w:line="288" w:lineRule="auto"/>
        <w:rPr>
          <w:shd w:val="clear" w:color="auto" w:fill="FFFFFF"/>
        </w:rPr>
      </w:pPr>
      <w:r w:rsidRPr="00176FB7">
        <w:t>W 202</w:t>
      </w:r>
      <w:r w:rsidR="003A3729">
        <w:t>3</w:t>
      </w:r>
      <w:r w:rsidRPr="00176FB7">
        <w:t xml:space="preserve"> r. minimalne wynagrodzenie brutto wzrosło w stosunku do 202</w:t>
      </w:r>
      <w:r w:rsidR="003A3729">
        <w:t>2</w:t>
      </w:r>
      <w:r w:rsidRPr="00176FB7">
        <w:t xml:space="preserve"> r. o </w:t>
      </w:r>
      <w:r w:rsidR="00C26C12">
        <w:t>480</w:t>
      </w:r>
      <w:r>
        <w:t>,00</w:t>
      </w:r>
      <w:r w:rsidR="008F2339">
        <w:t> </w:t>
      </w:r>
      <w:r>
        <w:t xml:space="preserve">zł </w:t>
      </w:r>
      <w:r w:rsidR="00C26C12">
        <w:t>w</w:t>
      </w:r>
      <w:r w:rsidR="008F2339">
        <w:t> </w:t>
      </w:r>
      <w:r w:rsidR="00C26C12">
        <w:t>okresie od stycznia do czerwca i o 590,00 zł</w:t>
      </w:r>
      <w:r w:rsidR="00721814">
        <w:t xml:space="preserve"> w okresie od lipca do grudnia –</w:t>
      </w:r>
      <w:r w:rsidR="00C26C12">
        <w:t xml:space="preserve"> wyniosło odpowiednio 3490,00 i 3600,00 zł</w:t>
      </w:r>
      <w:r w:rsidRPr="00176FB7">
        <w:t xml:space="preserve">. </w:t>
      </w:r>
      <w:r w:rsidR="00C26C12">
        <w:t>W okresie od stycznia do czerwca stanowiło 49,2</w:t>
      </w:r>
      <w:r w:rsidRPr="00176FB7">
        <w:t>% przeciętnego mies</w:t>
      </w:r>
      <w:r>
        <w:t>ięcznego wynagrodzenia brutto w </w:t>
      </w:r>
      <w:r w:rsidRPr="00176FB7">
        <w:t>gospodarce narodowej bez wypłat nagród rocznych</w:t>
      </w:r>
      <w:r w:rsidRPr="00176FB7">
        <w:rPr>
          <w:vertAlign w:val="superscript"/>
        </w:rPr>
        <w:footnoteReference w:id="1"/>
      </w:r>
      <w:r w:rsidR="00C26C12">
        <w:t>, natomiast w okresie od lipca do grudnia 50,8%</w:t>
      </w:r>
      <w:r w:rsidRPr="00176FB7">
        <w:t>. Według danych wstępnych w grudniu 202</w:t>
      </w:r>
      <w:r w:rsidR="00C26C12">
        <w:t>3</w:t>
      </w:r>
      <w:r w:rsidRPr="00176FB7">
        <w:t xml:space="preserve"> r. wynagrodzenie, które było równe lub niższe niż minimalne wynagrodzenie brutto pobierało </w:t>
      </w:r>
      <w:r w:rsidR="009267B4">
        <w:t>412,3</w:t>
      </w:r>
      <w:r w:rsidRPr="00176FB7">
        <w:t xml:space="preserve"> tys. zatrudnionych osób</w:t>
      </w:r>
      <w:r w:rsidRPr="00176FB7">
        <w:rPr>
          <w:vertAlign w:val="superscript"/>
        </w:rPr>
        <w:footnoteReference w:id="2"/>
      </w:r>
      <w:r w:rsidRPr="00176FB7">
        <w:t>.</w:t>
      </w:r>
    </w:p>
    <w:p w:rsidR="00176FB7" w:rsidRPr="00176FB7" w:rsidRDefault="00287018" w:rsidP="00E719AD">
      <w:pPr>
        <w:spacing w:before="940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Znak (∆) </w:t>
      </w:r>
      <w:r w:rsidR="00176FB7" w:rsidRPr="00176FB7">
        <w:rPr>
          <w:szCs w:val="19"/>
          <w:shd w:val="clear" w:color="auto" w:fill="FFFFFF"/>
        </w:rPr>
        <w:t>— oznacza, że nazwy zostały skrócone w stosunku do obowiązującej klasyfikacji;</w:t>
      </w:r>
      <w:r w:rsidR="00176FB7" w:rsidRPr="00176FB7">
        <w:rPr>
          <w:szCs w:val="19"/>
          <w:shd w:val="clear" w:color="auto" w:fill="FFFFFF"/>
        </w:rPr>
        <w:br/>
        <w:t xml:space="preserve">ich pełne nazwy dostępne są na stronie GUS pod adresem: </w:t>
      </w:r>
      <w:hyperlink r:id="rId12" w:history="1">
        <w:r w:rsidR="00176FB7" w:rsidRPr="00176FB7">
          <w:rPr>
            <w:color w:val="0000FF"/>
            <w:szCs w:val="19"/>
            <w:u w:val="single"/>
            <w:shd w:val="clear" w:color="auto" w:fill="FFFFFF"/>
          </w:rPr>
          <w:t>http://stat.gov.pl/Klasyfikacje/.</w:t>
        </w:r>
      </w:hyperlink>
    </w:p>
    <w:p w:rsidR="00694AF0" w:rsidRPr="00CE23B4" w:rsidRDefault="0082764A" w:rsidP="00E719AD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1E3345" w:rsidRDefault="001E3345" w:rsidP="001E334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1E3345" w:rsidRPr="0091780E" w:rsidRDefault="001E3345" w:rsidP="001E3345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:rsidR="001E3345" w:rsidRPr="0091780E" w:rsidRDefault="001E3345" w:rsidP="001E3345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:rsidR="001E3345" w:rsidRDefault="001E3345" w:rsidP="001E334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DE2400" w:rsidRDefault="00DE2400" w:rsidP="001E3345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69D291A8" wp14:editId="4E2AD8A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719AD" w:rsidTr="00B84C43">
        <w:trPr>
          <w:trHeight w:val="418"/>
        </w:trPr>
        <w:tc>
          <w:tcPr>
            <w:tcW w:w="4926" w:type="dxa"/>
            <w:vMerge/>
          </w:tcPr>
          <w:p w:rsidR="00E719AD" w:rsidRPr="00C91687" w:rsidRDefault="00E719AD" w:rsidP="00E719A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719AD" w:rsidRDefault="00E719AD" w:rsidP="00E719A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318F8DC1" wp14:editId="6B3DE58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41B3CA84" wp14:editId="296CF2E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3B09184" wp14:editId="37CB54D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E8368F2" wp14:editId="625DCA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32ABDFD" wp14:editId="59C7745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176FB7" w:rsidRPr="00176FB7" w:rsidRDefault="00176FB7" w:rsidP="00176FB7">
            <w:pPr>
              <w:shd w:val="clear" w:color="auto" w:fill="D9D9D9" w:themeFill="background1" w:themeFillShade="D9"/>
              <w:rPr>
                <w:b/>
              </w:rPr>
            </w:pPr>
            <w:r w:rsidRPr="00176FB7">
              <w:rPr>
                <w:b/>
              </w:rPr>
              <w:t>Powiązane opracowania</w:t>
            </w:r>
          </w:p>
          <w:p w:rsidR="00176FB7" w:rsidRPr="00FE5D55" w:rsidRDefault="00176FB7" w:rsidP="00176FB7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begin"/>
            </w:r>
            <w:r w:rsidR="00E719AD">
              <w:rPr>
                <w:color w:val="001D77"/>
                <w:szCs w:val="19"/>
              </w:rPr>
              <w:instrText>HYPERLINK "https://stat.gov.pl/obszary-tematyczne/roczniki-statystyczne/roczniki-statystyczne/rocznik-statystyczny-pracy-2023,7,8.html" \o "Link do opracowania pt. Rocznik Statystyczny Pracy 2023"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Rocznik Statystyczny Pr</w:t>
            </w:r>
            <w:r w:rsidR="00721814">
              <w:rPr>
                <w:rFonts w:cs="Times New Roman"/>
                <w:color w:val="001D77"/>
                <w:szCs w:val="19"/>
                <w:u w:val="single"/>
              </w:rPr>
              <w:t>acy 2023</w:t>
            </w:r>
          </w:p>
          <w:p w:rsidR="00176FB7" w:rsidRPr="00FE5D55" w:rsidRDefault="00176FB7" w:rsidP="00176FB7">
            <w:pPr>
              <w:rPr>
                <w:rFonts w:cs="Times New Roman"/>
                <w:b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176FB7">
              <w:rPr>
                <w:color w:val="001D77"/>
                <w:szCs w:val="19"/>
              </w:rPr>
              <w:fldChar w:fldCharType="begin"/>
            </w:r>
            <w:r w:rsidR="00E719AD">
              <w:rPr>
                <w:color w:val="001D77"/>
                <w:szCs w:val="19"/>
              </w:rPr>
              <w:instrText>HYPERLINK "http://stat.gov.pl/publikacje/szukaj.html?topic=11&amp;page=2" \o "Link do innych opracowań dotyczących rynku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Inne opracowania dot. rynku pracy</w:t>
            </w:r>
          </w:p>
          <w:p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176FB7" w:rsidRPr="00FE5D55" w:rsidRDefault="00C04E22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hyperlink r:id="rId24" w:tooltip="Link do danych w bazie: Bank Danych lokalnych -&gt; Rynek pracy " w:history="1">
              <w:r w:rsidR="00176FB7" w:rsidRPr="00FE5D55">
                <w:rPr>
                  <w:rFonts w:cs="Times New Roman"/>
                  <w:color w:val="001D77"/>
                  <w:szCs w:val="19"/>
                  <w:u w:val="single"/>
                </w:rPr>
                <w:t>Bank Danych lokalnych -&gt; Rynek pracy</w:t>
              </w:r>
            </w:hyperlink>
            <w:r w:rsidR="00176FB7" w:rsidRPr="00FE5D55">
              <w:rPr>
                <w:rFonts w:cs="Times New Roman"/>
                <w:color w:val="001D77"/>
                <w:szCs w:val="19"/>
                <w:u w:val="single"/>
              </w:rPr>
              <w:t xml:space="preserve"> </w:t>
            </w:r>
          </w:p>
          <w:p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begin"/>
            </w:r>
            <w:r w:rsidRPr="00176FB7">
              <w:rPr>
                <w:color w:val="001D77"/>
                <w:szCs w:val="19"/>
              </w:rPr>
              <w:instrText>HYPERLINK "http://old-strateg.stat.gov.pl/Home/Strateg" \o "Link do danych w bazie: Strateg -&gt; Obszary tematyczne -&gt; Rynek pracy"</w:instrText>
            </w:r>
            <w:r w:rsidRPr="00176FB7">
              <w:rPr>
                <w:color w:val="001D77"/>
                <w:szCs w:val="19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Strateg -&gt; Obszary tematyczne -&gt; Rynek pracy</w:t>
            </w:r>
          </w:p>
          <w:p w:rsidR="00176FB7" w:rsidRPr="00FE5D55" w:rsidRDefault="00176FB7" w:rsidP="00176FB7">
            <w:pPr>
              <w:rPr>
                <w:rFonts w:cs="Times New Roman"/>
                <w:color w:val="001D77"/>
                <w:szCs w:val="19"/>
                <w:u w:val="single"/>
              </w:rPr>
            </w:pPr>
            <w:r w:rsidRPr="00176FB7">
              <w:rPr>
                <w:color w:val="001D77"/>
                <w:szCs w:val="19"/>
              </w:rPr>
              <w:fldChar w:fldCharType="end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begin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instrText>HYPERLINK "http://swaid.stat.gov.pl/SitePages/StronaGlownaDBW.aspx" \o "Link do danych w bazie: Dziedzinowa Baza Wiedzy -&gt; Rynek pracy"</w:instrText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separate"/>
            </w:r>
            <w:r w:rsidRPr="00FE5D55">
              <w:rPr>
                <w:rFonts w:cs="Times New Roman"/>
                <w:color w:val="001D77"/>
                <w:szCs w:val="19"/>
                <w:u w:val="single"/>
              </w:rPr>
              <w:t>Dziedzinowa Baza Wiedzy -&gt; Rynek pracy</w:t>
            </w:r>
          </w:p>
          <w:p w:rsidR="00176FB7" w:rsidRPr="00176FB7" w:rsidRDefault="00176FB7" w:rsidP="00176FB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E5D55">
              <w:rPr>
                <w:rFonts w:cs="Times New Roman"/>
                <w:color w:val="001D77"/>
                <w:szCs w:val="19"/>
                <w:u w:val="single"/>
              </w:rPr>
              <w:fldChar w:fldCharType="end"/>
            </w:r>
            <w:r w:rsidRPr="00176FB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176FB7" w:rsidRPr="00176FB7" w:rsidRDefault="00176FB7" w:rsidP="00176FB7">
            <w:pPr>
              <w:rPr>
                <w:rFonts w:cs="Times New Roman"/>
                <w:color w:val="001D77"/>
                <w:u w:val="single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begin"/>
            </w:r>
            <w:r>
              <w:rPr>
                <w:rFonts w:cs="Times New Roman"/>
                <w:color w:val="001D77"/>
                <w:u w:val="single"/>
              </w:rPr>
              <w:instrText>HYPERLINK "http://stat.gov.pl/metainformacje/slownik-pojec/pojecia-stosowane-w-statystyce-publicznej/376,pojecie.html" \o "Link do słownika pojęć: Przeciętne zatrudnienie"</w:instrText>
            </w:r>
            <w:r w:rsidRPr="00176FB7">
              <w:rPr>
                <w:rFonts w:cs="Times New Roman"/>
                <w:color w:val="001D77"/>
                <w:u w:val="single"/>
              </w:rPr>
              <w:fldChar w:fldCharType="separate"/>
            </w:r>
            <w:r w:rsidRPr="00176FB7">
              <w:rPr>
                <w:rFonts w:cs="Times New Roman"/>
                <w:color w:val="001D77"/>
                <w:u w:val="single"/>
              </w:rPr>
              <w:t>Przeciętne zatrudnienie</w:t>
            </w:r>
          </w:p>
          <w:p w:rsidR="00531873" w:rsidRPr="00FE5D55" w:rsidRDefault="00176FB7" w:rsidP="00176FB7">
            <w:pPr>
              <w:spacing w:after="600"/>
              <w:rPr>
                <w:b/>
                <w:color w:val="001D77"/>
                <w:szCs w:val="24"/>
              </w:rPr>
            </w:pPr>
            <w:r w:rsidRPr="00176FB7">
              <w:rPr>
                <w:rFonts w:cs="Times New Roman"/>
                <w:color w:val="001D77"/>
                <w:u w:val="single"/>
              </w:rPr>
              <w:fldChar w:fldCharType="end"/>
            </w:r>
            <w:hyperlink r:id="rId25" w:tooltip="Link do słownika pojęć: Przeciętne miesięczne wynagrodzenie brutto" w:history="1">
              <w:r w:rsidRPr="00FE5D55">
                <w:rPr>
                  <w:color w:val="001D77"/>
                  <w:szCs w:val="24"/>
                  <w:u w:val="single"/>
                </w:rPr>
                <w:t>Przeciętne miesięczne wynagrodzenie brutto</w:t>
              </w:r>
            </w:hyperlink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E22" w:rsidRDefault="00C04E22" w:rsidP="000662E2">
      <w:pPr>
        <w:spacing w:after="0" w:line="240" w:lineRule="auto"/>
      </w:pPr>
      <w:r>
        <w:separator/>
      </w:r>
    </w:p>
  </w:endnote>
  <w:endnote w:type="continuationSeparator" w:id="0">
    <w:p w:rsidR="00C04E22" w:rsidRDefault="00C04E2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D6325F8-F878-496F-B84B-447C7EBEA386}"/>
    <w:embedBold r:id="rId2" w:fontKey="{163CAE66-9C7D-49F9-85BB-05905852F1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09C7DF7-4CD0-4CD0-B79E-0FC6CE04D5BC}"/>
    <w:embedBold r:id="rId4" w:fontKey="{A3F3BBBF-91DF-4BE7-AE18-447F6C3298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2192291-5B4C-4E57-BB2A-C3AE5B4D4E5E}"/>
    <w:embedBold r:id="rId6" w:fontKey="{931BF443-72B7-4A8C-A5D1-F7B2BFA289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AD1D40D-8FB5-43D3-8361-B25ACD998642}"/>
    <w:embedItalic r:id="rId8" w:fontKey="{16ED988E-D16E-444D-BF01-4B194A1EF4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888EEB8-24B3-4C5A-8510-1FEEDA7C43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55CA32A-C18C-404C-B296-26C2C90176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5F6C494-AA10-4BB7-8E80-89C927D1AB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EA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EA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EA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E22" w:rsidRDefault="00C04E22" w:rsidP="000662E2">
      <w:pPr>
        <w:spacing w:after="0" w:line="240" w:lineRule="auto"/>
      </w:pPr>
      <w:r>
        <w:separator/>
      </w:r>
    </w:p>
  </w:footnote>
  <w:footnote w:type="continuationSeparator" w:id="0">
    <w:p w:rsidR="00C04E22" w:rsidRDefault="00C04E22" w:rsidP="000662E2">
      <w:pPr>
        <w:spacing w:after="0" w:line="240" w:lineRule="auto"/>
      </w:pPr>
      <w:r>
        <w:continuationSeparator/>
      </w:r>
    </w:p>
  </w:footnote>
  <w:footnote w:id="1">
    <w:p w:rsidR="00176FB7" w:rsidRPr="006E732C" w:rsidRDefault="00176FB7" w:rsidP="00176FB7">
      <w:pPr>
        <w:pStyle w:val="Przypis"/>
        <w:rPr>
          <w:lang w:val="pl-PL"/>
        </w:rPr>
      </w:pPr>
      <w:r w:rsidRPr="006E732C">
        <w:rPr>
          <w:rStyle w:val="Odwoanieprzypisudolnego"/>
          <w:lang w:val="pl-PL"/>
        </w:rPr>
        <w:footnoteRef/>
      </w:r>
      <w:r w:rsidRPr="006E732C">
        <w:rPr>
          <w:lang w:val="pl-PL"/>
        </w:rPr>
        <w:t xml:space="preserve"> Z tytułu udziału w zysku do podziału i w nadwyżce bilansowej w spółdzielniach oraz dodatkowe wynagrodzenia roczne dla pracowników jednostek sfery budżetowej.</w:t>
      </w:r>
    </w:p>
  </w:footnote>
  <w:footnote w:id="2">
    <w:p w:rsidR="00176FB7" w:rsidRPr="00F16408" w:rsidRDefault="00176FB7" w:rsidP="00176FB7">
      <w:pPr>
        <w:pStyle w:val="Przypis"/>
        <w:rPr>
          <w:lang w:val="pl-PL"/>
        </w:rPr>
      </w:pPr>
      <w:r w:rsidRPr="006E732C">
        <w:rPr>
          <w:rStyle w:val="Odwoanieprzypisudolnego"/>
          <w:lang w:val="pl-PL"/>
        </w:rPr>
        <w:footnoteRef/>
      </w:r>
      <w:r w:rsidRPr="006E732C">
        <w:rPr>
          <w:lang w:val="pl-PL"/>
        </w:rPr>
        <w:t xml:space="preserve"> Dane dotyczą podmiotów gospodarki narodowej o liczbie pracujących 10 i więcej osób oraz jednostek sfery budżetowej niezależnie od liczby pracujących.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9C6EE29" wp14:editId="1FAB6EF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87B18B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ECCCBEE" wp14:editId="61B826E7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B943A8" wp14:editId="0E6578C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0B943A8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D6F767" wp14:editId="02DE227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D78405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EDC9588" wp14:editId="0F6150A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6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C0553B" w:rsidP="00F049AB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 w:rsidR="00176FB7">
                            <w:t>6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C958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0.06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8rFKD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:rsidR="00F37172" w:rsidRPr="00A01B40" w:rsidRDefault="00C0553B" w:rsidP="00F049AB">
                    <w:pPr>
                      <w:pStyle w:val="Datainformacjisygnalnej"/>
                    </w:pPr>
                    <w:r>
                      <w:t>20</w:t>
                    </w:r>
                    <w:r w:rsidR="00DE6B58">
                      <w:t>.</w:t>
                    </w:r>
                    <w:r w:rsidR="007B2FEB">
                      <w:t>0</w:t>
                    </w:r>
                    <w:r w:rsidR="00176FB7">
                      <w:t>6</w:t>
                    </w:r>
                    <w:r w:rsidR="00DE6B58">
                      <w:t>.</w:t>
                    </w:r>
                    <w:r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pt;height:124.6pt;visibility:visible;mso-wrap-style:square" o:bullet="t">
        <v:imagedata r:id="rId1" o:title=""/>
      </v:shape>
    </w:pict>
  </w:numPicBullet>
  <w:numPicBullet w:numPicBulletId="1">
    <w:pict>
      <v:shape id="_x0000_i1031" type="#_x0000_t75" style="width:124.6pt;height:124.6pt;visibility:visible;mso-wrap-style:square" o:bullet="t">
        <v:imagedata r:id="rId2" o:title=""/>
      </v:shape>
    </w:pict>
  </w:numPicBullet>
  <w:numPicBullet w:numPicBulletId="2">
    <w:pict>
      <v:shape id="_x0000_i1032" type="#_x0000_t75" style="width:20.05pt;height:23.15pt;visibility:visible;mso-wrap-style:square" o:bullet="t">
        <v:imagedata r:id="rId3" o:title=""/>
      </v:shape>
    </w:pict>
  </w:numPicBullet>
  <w:numPicBullet w:numPicBulletId="3">
    <w:pict>
      <v:shape id="_x0000_i1033" type="#_x0000_t75" style="width:20.05pt;height:23.1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EA0"/>
    <w:rsid w:val="0000709F"/>
    <w:rsid w:val="000108B8"/>
    <w:rsid w:val="000152F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1DD6"/>
    <w:rsid w:val="00097840"/>
    <w:rsid w:val="000A2282"/>
    <w:rsid w:val="000B0727"/>
    <w:rsid w:val="000C135D"/>
    <w:rsid w:val="000C4324"/>
    <w:rsid w:val="000D04D6"/>
    <w:rsid w:val="000D1D43"/>
    <w:rsid w:val="000D225C"/>
    <w:rsid w:val="000D2A5C"/>
    <w:rsid w:val="000D39F0"/>
    <w:rsid w:val="000E0918"/>
    <w:rsid w:val="000E79A9"/>
    <w:rsid w:val="000F25BE"/>
    <w:rsid w:val="001011C3"/>
    <w:rsid w:val="00104306"/>
    <w:rsid w:val="00106DA3"/>
    <w:rsid w:val="00110214"/>
    <w:rsid w:val="00110D87"/>
    <w:rsid w:val="00111CF4"/>
    <w:rsid w:val="00112399"/>
    <w:rsid w:val="00114DB9"/>
    <w:rsid w:val="0011503D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76FB7"/>
    <w:rsid w:val="00190A26"/>
    <w:rsid w:val="001951DA"/>
    <w:rsid w:val="001A3791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E3345"/>
    <w:rsid w:val="001E5B2D"/>
    <w:rsid w:val="001F56C3"/>
    <w:rsid w:val="0020156C"/>
    <w:rsid w:val="00216634"/>
    <w:rsid w:val="002244C5"/>
    <w:rsid w:val="00242D31"/>
    <w:rsid w:val="00253AB6"/>
    <w:rsid w:val="0025481E"/>
    <w:rsid w:val="0025599C"/>
    <w:rsid w:val="002574F9"/>
    <w:rsid w:val="00262B61"/>
    <w:rsid w:val="00262CC6"/>
    <w:rsid w:val="00263E08"/>
    <w:rsid w:val="002715BD"/>
    <w:rsid w:val="002762FD"/>
    <w:rsid w:val="00276811"/>
    <w:rsid w:val="00282699"/>
    <w:rsid w:val="00287018"/>
    <w:rsid w:val="002926DF"/>
    <w:rsid w:val="00296697"/>
    <w:rsid w:val="002B0472"/>
    <w:rsid w:val="002B6B12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0FDE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843DB"/>
    <w:rsid w:val="00393761"/>
    <w:rsid w:val="003937A5"/>
    <w:rsid w:val="00394E26"/>
    <w:rsid w:val="00396691"/>
    <w:rsid w:val="00397D18"/>
    <w:rsid w:val="003A1B36"/>
    <w:rsid w:val="003A3729"/>
    <w:rsid w:val="003B1454"/>
    <w:rsid w:val="003B18B6"/>
    <w:rsid w:val="003C161B"/>
    <w:rsid w:val="003C59E0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A6BF9"/>
    <w:rsid w:val="004A6E65"/>
    <w:rsid w:val="004B4292"/>
    <w:rsid w:val="004C1895"/>
    <w:rsid w:val="004C6D40"/>
    <w:rsid w:val="004C6FB7"/>
    <w:rsid w:val="004E4740"/>
    <w:rsid w:val="004E5C04"/>
    <w:rsid w:val="004E6AA8"/>
    <w:rsid w:val="004F0C3C"/>
    <w:rsid w:val="004F2280"/>
    <w:rsid w:val="004F23BB"/>
    <w:rsid w:val="004F63FC"/>
    <w:rsid w:val="00505A92"/>
    <w:rsid w:val="00506699"/>
    <w:rsid w:val="005203F1"/>
    <w:rsid w:val="00521BC3"/>
    <w:rsid w:val="00531873"/>
    <w:rsid w:val="00533632"/>
    <w:rsid w:val="00534013"/>
    <w:rsid w:val="00537B7A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40DF8"/>
    <w:rsid w:val="00654BB6"/>
    <w:rsid w:val="006673CA"/>
    <w:rsid w:val="00673C26"/>
    <w:rsid w:val="00674DE5"/>
    <w:rsid w:val="0067706F"/>
    <w:rsid w:val="00677ACA"/>
    <w:rsid w:val="006812AF"/>
    <w:rsid w:val="0068327D"/>
    <w:rsid w:val="00691534"/>
    <w:rsid w:val="006921D5"/>
    <w:rsid w:val="00693880"/>
    <w:rsid w:val="00694AF0"/>
    <w:rsid w:val="006A3FBF"/>
    <w:rsid w:val="006A4686"/>
    <w:rsid w:val="006B0E9E"/>
    <w:rsid w:val="006B486D"/>
    <w:rsid w:val="006B5AE4"/>
    <w:rsid w:val="006C7D97"/>
    <w:rsid w:val="006D1507"/>
    <w:rsid w:val="006D1608"/>
    <w:rsid w:val="006D4054"/>
    <w:rsid w:val="006D7409"/>
    <w:rsid w:val="006E02EC"/>
    <w:rsid w:val="006E2044"/>
    <w:rsid w:val="006E3C4F"/>
    <w:rsid w:val="006E628D"/>
    <w:rsid w:val="006E6C9F"/>
    <w:rsid w:val="006E6F41"/>
    <w:rsid w:val="006E732C"/>
    <w:rsid w:val="006E73E6"/>
    <w:rsid w:val="006F67D7"/>
    <w:rsid w:val="00710E54"/>
    <w:rsid w:val="007211B1"/>
    <w:rsid w:val="00721814"/>
    <w:rsid w:val="007277DA"/>
    <w:rsid w:val="00731D27"/>
    <w:rsid w:val="007357EB"/>
    <w:rsid w:val="00741535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2764A"/>
    <w:rsid w:val="00834AD3"/>
    <w:rsid w:val="00843795"/>
    <w:rsid w:val="00847F0F"/>
    <w:rsid w:val="00852448"/>
    <w:rsid w:val="0085362C"/>
    <w:rsid w:val="00877F6C"/>
    <w:rsid w:val="0088258A"/>
    <w:rsid w:val="00886332"/>
    <w:rsid w:val="008925F0"/>
    <w:rsid w:val="008938CA"/>
    <w:rsid w:val="00894026"/>
    <w:rsid w:val="0089448A"/>
    <w:rsid w:val="00897877"/>
    <w:rsid w:val="008A26D9"/>
    <w:rsid w:val="008A7B5B"/>
    <w:rsid w:val="008B12D2"/>
    <w:rsid w:val="008B4635"/>
    <w:rsid w:val="008C0C29"/>
    <w:rsid w:val="008C628E"/>
    <w:rsid w:val="008D02DA"/>
    <w:rsid w:val="008D22D7"/>
    <w:rsid w:val="008D76BC"/>
    <w:rsid w:val="008E44D3"/>
    <w:rsid w:val="008E7DBA"/>
    <w:rsid w:val="008F0829"/>
    <w:rsid w:val="008F2339"/>
    <w:rsid w:val="008F3638"/>
    <w:rsid w:val="008F4441"/>
    <w:rsid w:val="008F6B20"/>
    <w:rsid w:val="008F6F31"/>
    <w:rsid w:val="008F74DF"/>
    <w:rsid w:val="00902274"/>
    <w:rsid w:val="00903C13"/>
    <w:rsid w:val="009127BA"/>
    <w:rsid w:val="00920AAE"/>
    <w:rsid w:val="00921055"/>
    <w:rsid w:val="009227A6"/>
    <w:rsid w:val="009267B4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25AA"/>
    <w:rsid w:val="0097310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7251"/>
    <w:rsid w:val="009D0892"/>
    <w:rsid w:val="009E2E91"/>
    <w:rsid w:val="00A01B40"/>
    <w:rsid w:val="00A01C66"/>
    <w:rsid w:val="00A05906"/>
    <w:rsid w:val="00A139F5"/>
    <w:rsid w:val="00A148D7"/>
    <w:rsid w:val="00A16921"/>
    <w:rsid w:val="00A322B7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74682"/>
    <w:rsid w:val="00A810F9"/>
    <w:rsid w:val="00A82D31"/>
    <w:rsid w:val="00A85E7E"/>
    <w:rsid w:val="00A86ECC"/>
    <w:rsid w:val="00A86FCC"/>
    <w:rsid w:val="00A90A6D"/>
    <w:rsid w:val="00A92B87"/>
    <w:rsid w:val="00A971E5"/>
    <w:rsid w:val="00AA08EE"/>
    <w:rsid w:val="00AA710D"/>
    <w:rsid w:val="00AB1F20"/>
    <w:rsid w:val="00AB64F3"/>
    <w:rsid w:val="00AB6D25"/>
    <w:rsid w:val="00AC1977"/>
    <w:rsid w:val="00AD04DF"/>
    <w:rsid w:val="00AD0E56"/>
    <w:rsid w:val="00AE229B"/>
    <w:rsid w:val="00AE2D4B"/>
    <w:rsid w:val="00AE4F99"/>
    <w:rsid w:val="00B11AE5"/>
    <w:rsid w:val="00B11B69"/>
    <w:rsid w:val="00B14952"/>
    <w:rsid w:val="00B16101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0EFC"/>
    <w:rsid w:val="00B914E9"/>
    <w:rsid w:val="00B956EE"/>
    <w:rsid w:val="00BA2BA1"/>
    <w:rsid w:val="00BA3447"/>
    <w:rsid w:val="00BA3562"/>
    <w:rsid w:val="00BB4F09"/>
    <w:rsid w:val="00BB54B5"/>
    <w:rsid w:val="00BC60A4"/>
    <w:rsid w:val="00BD4E33"/>
    <w:rsid w:val="00C030DE"/>
    <w:rsid w:val="00C04AA3"/>
    <w:rsid w:val="00C04E22"/>
    <w:rsid w:val="00C051A8"/>
    <w:rsid w:val="00C0553B"/>
    <w:rsid w:val="00C166E9"/>
    <w:rsid w:val="00C22105"/>
    <w:rsid w:val="00C244B6"/>
    <w:rsid w:val="00C26C12"/>
    <w:rsid w:val="00C27BF1"/>
    <w:rsid w:val="00C310E6"/>
    <w:rsid w:val="00C3702F"/>
    <w:rsid w:val="00C43990"/>
    <w:rsid w:val="00C4500A"/>
    <w:rsid w:val="00C50F83"/>
    <w:rsid w:val="00C62238"/>
    <w:rsid w:val="00C64A37"/>
    <w:rsid w:val="00C66F9B"/>
    <w:rsid w:val="00C7158E"/>
    <w:rsid w:val="00C7250B"/>
    <w:rsid w:val="00C7346B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4980"/>
    <w:rsid w:val="00CB6AD4"/>
    <w:rsid w:val="00CC739E"/>
    <w:rsid w:val="00CD1EBB"/>
    <w:rsid w:val="00CD28CF"/>
    <w:rsid w:val="00CD58B7"/>
    <w:rsid w:val="00CD7967"/>
    <w:rsid w:val="00CE23B4"/>
    <w:rsid w:val="00CE6A09"/>
    <w:rsid w:val="00CF18EE"/>
    <w:rsid w:val="00CF30BD"/>
    <w:rsid w:val="00CF4099"/>
    <w:rsid w:val="00D00796"/>
    <w:rsid w:val="00D21FB1"/>
    <w:rsid w:val="00D261A2"/>
    <w:rsid w:val="00D60EF8"/>
    <w:rsid w:val="00D616D2"/>
    <w:rsid w:val="00D63B5F"/>
    <w:rsid w:val="00D70179"/>
    <w:rsid w:val="00D70EF7"/>
    <w:rsid w:val="00D8397C"/>
    <w:rsid w:val="00D9099F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7B77"/>
    <w:rsid w:val="00E231AB"/>
    <w:rsid w:val="00E23337"/>
    <w:rsid w:val="00E24F9F"/>
    <w:rsid w:val="00E259EA"/>
    <w:rsid w:val="00E25D33"/>
    <w:rsid w:val="00E2752C"/>
    <w:rsid w:val="00E32054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14E"/>
    <w:rsid w:val="00E63B0C"/>
    <w:rsid w:val="00E664C5"/>
    <w:rsid w:val="00E671A2"/>
    <w:rsid w:val="00E708B6"/>
    <w:rsid w:val="00E719AD"/>
    <w:rsid w:val="00E76D26"/>
    <w:rsid w:val="00E76EE5"/>
    <w:rsid w:val="00E77D2D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5ACA"/>
    <w:rsid w:val="00ED682B"/>
    <w:rsid w:val="00EE41D5"/>
    <w:rsid w:val="00F0166F"/>
    <w:rsid w:val="00F037A4"/>
    <w:rsid w:val="00F03D62"/>
    <w:rsid w:val="00F049AB"/>
    <w:rsid w:val="00F142DB"/>
    <w:rsid w:val="00F16408"/>
    <w:rsid w:val="00F27C8F"/>
    <w:rsid w:val="00F30544"/>
    <w:rsid w:val="00F30CE1"/>
    <w:rsid w:val="00F32749"/>
    <w:rsid w:val="00F37172"/>
    <w:rsid w:val="00F37727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D08AE"/>
    <w:rsid w:val="00FD5EA7"/>
    <w:rsid w:val="00FD7549"/>
    <w:rsid w:val="00FE36CF"/>
    <w:rsid w:val="00FE5D55"/>
    <w:rsid w:val="00FE74C8"/>
    <w:rsid w:val="00FF0246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bdl.stat.gov.pl/BDL/star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Przecietne_zatrudnienie_i_wynagrodzenia_w_gospodarce_narodowej_w_2023_r._-_dane_wstepne.docx.docx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CF462-AED9-430D-B9F4-8ABD2D556CE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61A7FD1-20C4-4E19-B155-78736FECF2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718</Words>
  <Characters>4309</Characters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wynagrodzenia w gospodarce narodowej w 2023 r. – dane wstępne</vt:lpstr>
    </vt:vector>
  </TitlesOfParts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Printed>2024-06-11T11:54:00Z</cp:lastPrinted>
  <dcterms:created xsi:type="dcterms:W3CDTF">2024-06-12T11:20:00Z</dcterms:created>
  <dcterms:modified xsi:type="dcterms:W3CDTF">2024-06-13T06:55:00Z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