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08B5C" w14:textId="6D74D307" w:rsidR="00393761" w:rsidRPr="00553C9F" w:rsidRDefault="009C58FF" w:rsidP="00A26BE1">
      <w:pPr>
        <w:pStyle w:val="Tytuinfomacjisygnalnej"/>
        <w:rPr>
          <w:szCs w:val="40"/>
        </w:rPr>
      </w:pPr>
      <w:r w:rsidRPr="00553C9F">
        <w:rPr>
          <w:szCs w:val="40"/>
        </w:rPr>
        <w:t>Wyniki finansowe przedsiębiorstw niefinans</w:t>
      </w:r>
      <w:r w:rsidR="00523AD1" w:rsidRPr="00553C9F">
        <w:rPr>
          <w:szCs w:val="40"/>
        </w:rPr>
        <w:t xml:space="preserve">owych </w:t>
      </w:r>
      <w:r w:rsidR="00523AD1" w:rsidRPr="00553C9F">
        <w:rPr>
          <w:szCs w:val="40"/>
        </w:rPr>
        <w:br/>
      </w:r>
      <w:r w:rsidR="001B3E7F">
        <w:rPr>
          <w:szCs w:val="40"/>
        </w:rPr>
        <w:t xml:space="preserve">w </w:t>
      </w:r>
      <w:r w:rsidR="007D2027">
        <w:rPr>
          <w:szCs w:val="40"/>
        </w:rPr>
        <w:t>1 półroczu</w:t>
      </w:r>
      <w:r w:rsidR="00523AD1" w:rsidRPr="00553C9F">
        <w:rPr>
          <w:szCs w:val="40"/>
        </w:rPr>
        <w:t xml:space="preserve"> </w:t>
      </w:r>
      <w:r w:rsidR="00B41803">
        <w:rPr>
          <w:szCs w:val="40"/>
        </w:rPr>
        <w:t>2024</w:t>
      </w:r>
      <w:r w:rsidRPr="00553C9F">
        <w:rPr>
          <w:szCs w:val="40"/>
        </w:rPr>
        <w:t xml:space="preserve"> roku</w:t>
      </w:r>
      <w:r w:rsidR="00364AF9" w:rsidRPr="00553C9F">
        <w:rPr>
          <w:szCs w:val="40"/>
        </w:rPr>
        <w:tab/>
      </w:r>
    </w:p>
    <w:p w14:paraId="49CFEEE3" w14:textId="4EDAAA25" w:rsidR="00126A1E" w:rsidRDefault="00731D27" w:rsidP="00F049AB">
      <w:pPr>
        <w:pStyle w:val="Lead"/>
        <w:rPr>
          <w:rFonts w:eastAsia="Times New Roman" w:cs="Times New Roman"/>
          <w:bCs/>
          <w:noProof w:val="0"/>
        </w:rPr>
      </w:pPr>
      <w:r w:rsidRPr="00AE1A1C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5640349F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5,4% &#10;Spadek przychodów ogółem (rok do roku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E30" w14:textId="0B3B0132" w:rsidR="005C0CAC" w:rsidRPr="009C58FF" w:rsidRDefault="00D16455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</w:pPr>
                            <w:r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2"/>
                            </w:r>
                            <w:r w:rsidR="00DE6B58" w:rsidRPr="009C58FF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  <w:t xml:space="preserve"> </w:t>
                            </w:r>
                            <w:r w:rsidR="009B1484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5,4</w:t>
                            </w:r>
                            <w:r w:rsidR="009C58FF" w:rsidRPr="00B03B2C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%</w:t>
                            </w:r>
                          </w:p>
                          <w:p w14:paraId="63B3F253" w14:textId="7447F19C" w:rsidR="005C0CAC" w:rsidRPr="009C58FF" w:rsidRDefault="00375BB7" w:rsidP="00F049AB">
                            <w:pPr>
                              <w:pStyle w:val="Opiswskanika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Spadek</w:t>
                            </w:r>
                            <w:proofErr w:type="spellEnd"/>
                            <w:r w:rsidR="009C58F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C58FF">
                              <w:rPr>
                                <w:lang w:val="en-US"/>
                              </w:rPr>
                              <w:t>przychodów</w:t>
                            </w:r>
                            <w:proofErr w:type="spellEnd"/>
                            <w:r w:rsidR="009C58F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C58FF">
                              <w:rPr>
                                <w:lang w:val="en-US"/>
                              </w:rPr>
                              <w:t>ogółem</w:t>
                            </w:r>
                            <w:proofErr w:type="spellEnd"/>
                            <w:r w:rsidR="009C58FF">
                              <w:rPr>
                                <w:lang w:val="en-US"/>
                              </w:rPr>
                              <w:t xml:space="preserve">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FC13F97" id="Pole tekstowe 2" o:spid="_x0000_s1026" alt="5,4% &#10;Spadek przychodów ogółem (rok do roku)" style="position:absolute;margin-left:0;margin-top: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" fillcolor="#001d77" stroked="f">
                <v:stroke joinstyle="miter"/>
                <v:textbox>
                  <w:txbxContent>
                    <w:p w14:paraId="30951E30" w14:textId="0B3B0132" w:rsidR="005C0CAC" w:rsidRPr="009C58FF" w:rsidRDefault="00D16455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</w:pPr>
                      <w:r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2"/>
                      </w:r>
                      <w:r w:rsidR="00DE6B58" w:rsidRPr="009C58FF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  <w:t xml:space="preserve"> </w:t>
                      </w:r>
                      <w:r w:rsidR="009B1484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>5,4</w:t>
                      </w:r>
                      <w:r w:rsidR="009C58FF" w:rsidRPr="00B03B2C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>%</w:t>
                      </w:r>
                    </w:p>
                    <w:p w14:paraId="63B3F253" w14:textId="7447F19C" w:rsidR="005C0CAC" w:rsidRPr="009C58FF" w:rsidRDefault="00375BB7" w:rsidP="00F049AB">
                      <w:pPr>
                        <w:pStyle w:val="Opiswskanika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Spadek</w:t>
                      </w:r>
                      <w:proofErr w:type="spellEnd"/>
                      <w:r w:rsidR="009C58F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="009C58FF">
                        <w:rPr>
                          <w:lang w:val="en-US"/>
                        </w:rPr>
                        <w:t>przychodów</w:t>
                      </w:r>
                      <w:proofErr w:type="spellEnd"/>
                      <w:r w:rsidR="009C58F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="009C58FF">
                        <w:rPr>
                          <w:lang w:val="en-US"/>
                        </w:rPr>
                        <w:t>ogółem</w:t>
                      </w:r>
                      <w:proofErr w:type="spellEnd"/>
                      <w:r w:rsidR="009C58FF">
                        <w:rPr>
                          <w:lang w:val="en-US"/>
                        </w:rPr>
                        <w:t xml:space="preserve">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0695A">
        <w:rPr>
          <w:rFonts w:eastAsia="Times New Roman" w:cs="Times New Roman"/>
          <w:bCs/>
          <w:noProof w:val="0"/>
        </w:rPr>
        <w:t>W</w:t>
      </w:r>
      <w:r w:rsidR="00920935">
        <w:rPr>
          <w:rFonts w:eastAsia="Times New Roman" w:cs="Times New Roman"/>
          <w:bCs/>
          <w:noProof w:val="0"/>
        </w:rPr>
        <w:t xml:space="preserve"> 1 półroczu</w:t>
      </w:r>
      <w:r w:rsidR="00B0695A">
        <w:rPr>
          <w:rFonts w:eastAsia="Times New Roman" w:cs="Times New Roman"/>
          <w:bCs/>
          <w:noProof w:val="0"/>
        </w:rPr>
        <w:t xml:space="preserve"> </w:t>
      </w:r>
      <w:r w:rsidR="00375BB7">
        <w:rPr>
          <w:rFonts w:eastAsia="Times New Roman" w:cs="Times New Roman"/>
          <w:bCs/>
          <w:noProof w:val="0"/>
        </w:rPr>
        <w:t>2024</w:t>
      </w:r>
      <w:r w:rsidR="00C37793" w:rsidRPr="00AE1A1C">
        <w:rPr>
          <w:rFonts w:eastAsia="Times New Roman" w:cs="Times New Roman"/>
          <w:bCs/>
          <w:noProof w:val="0"/>
        </w:rPr>
        <w:t xml:space="preserve"> roku wyniki finansowe badanych przedsiębiorstw </w:t>
      </w:r>
      <w:r w:rsidR="00E6400D" w:rsidRPr="00AE1A1C">
        <w:rPr>
          <w:rFonts w:eastAsia="Times New Roman" w:cs="Times New Roman"/>
          <w:bCs/>
          <w:noProof w:val="0"/>
        </w:rPr>
        <w:t xml:space="preserve">niefinansowych </w:t>
      </w:r>
      <w:r w:rsidR="00A144A0">
        <w:rPr>
          <w:rFonts w:eastAsia="Times New Roman" w:cs="Times New Roman"/>
          <w:bCs/>
          <w:noProof w:val="0"/>
        </w:rPr>
        <w:t xml:space="preserve">były </w:t>
      </w:r>
      <w:r w:rsidR="00E85248">
        <w:rPr>
          <w:rFonts w:eastAsia="Times New Roman" w:cs="Times New Roman"/>
          <w:bCs/>
          <w:noProof w:val="0"/>
        </w:rPr>
        <w:t xml:space="preserve">znacznie </w:t>
      </w:r>
      <w:r w:rsidR="00A144A0">
        <w:rPr>
          <w:rFonts w:eastAsia="Times New Roman" w:cs="Times New Roman"/>
          <w:bCs/>
          <w:noProof w:val="0"/>
        </w:rPr>
        <w:t>niższe od</w:t>
      </w:r>
      <w:r w:rsidR="00CE101E" w:rsidRPr="00AE1A1C">
        <w:rPr>
          <w:rFonts w:eastAsia="Times New Roman" w:cs="Times New Roman"/>
          <w:bCs/>
          <w:noProof w:val="0"/>
        </w:rPr>
        <w:t xml:space="preserve"> uzyskany</w:t>
      </w:r>
      <w:r w:rsidR="00AE1A1C" w:rsidRPr="00AE1A1C">
        <w:rPr>
          <w:rFonts w:eastAsia="Times New Roman" w:cs="Times New Roman"/>
          <w:bCs/>
          <w:noProof w:val="0"/>
        </w:rPr>
        <w:t xml:space="preserve">ch </w:t>
      </w:r>
      <w:r w:rsidR="00AE1A1C" w:rsidRPr="00373F1B">
        <w:rPr>
          <w:rFonts w:eastAsia="Times New Roman" w:cs="Times New Roman"/>
          <w:bCs/>
          <w:noProof w:val="0"/>
        </w:rPr>
        <w:t xml:space="preserve">rok wcześniej. </w:t>
      </w:r>
      <w:r w:rsidR="00AE1A1C" w:rsidRPr="00124901">
        <w:rPr>
          <w:rFonts w:eastAsia="Times New Roman" w:cs="Times New Roman"/>
          <w:bCs/>
          <w:noProof w:val="0"/>
        </w:rPr>
        <w:t>P</w:t>
      </w:r>
      <w:r w:rsidR="00CE101E" w:rsidRPr="00124901">
        <w:rPr>
          <w:rFonts w:eastAsia="Times New Roman" w:cs="Times New Roman"/>
          <w:bCs/>
          <w:noProof w:val="0"/>
        </w:rPr>
        <w:t>ogorszeniu uległy</w:t>
      </w:r>
      <w:r w:rsidR="00C37793" w:rsidRPr="00124901">
        <w:rPr>
          <w:rFonts w:eastAsia="Times New Roman" w:cs="Times New Roman"/>
          <w:bCs/>
          <w:noProof w:val="0"/>
        </w:rPr>
        <w:t xml:space="preserve"> wskaźniki ekonomiczno-finansowe. Nakład</w:t>
      </w:r>
      <w:r w:rsidR="002213A2" w:rsidRPr="00124901">
        <w:rPr>
          <w:rFonts w:eastAsia="Times New Roman" w:cs="Times New Roman"/>
          <w:bCs/>
          <w:noProof w:val="0"/>
        </w:rPr>
        <w:t>y</w:t>
      </w:r>
      <w:r w:rsidR="00124901" w:rsidRPr="00124901">
        <w:rPr>
          <w:rFonts w:eastAsia="Times New Roman" w:cs="Times New Roman"/>
          <w:bCs/>
          <w:noProof w:val="0"/>
        </w:rPr>
        <w:t xml:space="preserve"> inwestycyjne były niższe o 5,5</w:t>
      </w:r>
      <w:r w:rsidR="00C37793" w:rsidRPr="00124901">
        <w:rPr>
          <w:rFonts w:eastAsia="Times New Roman" w:cs="Times New Roman"/>
          <w:bCs/>
          <w:noProof w:val="0"/>
        </w:rPr>
        <w:t>% od notow</w:t>
      </w:r>
      <w:r w:rsidR="00C54145" w:rsidRPr="00124901">
        <w:rPr>
          <w:rFonts w:eastAsia="Times New Roman" w:cs="Times New Roman"/>
          <w:bCs/>
          <w:noProof w:val="0"/>
        </w:rPr>
        <w:t>anych w</w:t>
      </w:r>
      <w:r w:rsidR="00C37793" w:rsidRPr="00124901">
        <w:rPr>
          <w:rFonts w:eastAsia="Times New Roman" w:cs="Times New Roman"/>
          <w:bCs/>
          <w:noProof w:val="0"/>
        </w:rPr>
        <w:t xml:space="preserve"> </w:t>
      </w:r>
      <w:r w:rsidR="009B1484" w:rsidRPr="00124901">
        <w:rPr>
          <w:rFonts w:eastAsia="Times New Roman" w:cs="Times New Roman"/>
          <w:bCs/>
          <w:noProof w:val="0"/>
        </w:rPr>
        <w:t>1 półroczu</w:t>
      </w:r>
      <w:r w:rsidR="00534157" w:rsidRPr="00124901">
        <w:rPr>
          <w:rFonts w:eastAsia="Times New Roman" w:cs="Times New Roman"/>
          <w:bCs/>
          <w:noProof w:val="0"/>
        </w:rPr>
        <w:t xml:space="preserve"> 2023</w:t>
      </w:r>
      <w:r w:rsidR="00C37793" w:rsidRPr="00124901">
        <w:rPr>
          <w:rFonts w:eastAsia="Times New Roman" w:cs="Times New Roman"/>
          <w:bCs/>
          <w:noProof w:val="0"/>
        </w:rPr>
        <w:t xml:space="preserve"> roku </w:t>
      </w:r>
      <w:r w:rsidR="00022056" w:rsidRPr="00124901">
        <w:rPr>
          <w:rFonts w:eastAsia="Times New Roman" w:cs="Times New Roman"/>
          <w:bCs/>
          <w:noProof w:val="0"/>
        </w:rPr>
        <w:t xml:space="preserve">(kiedy </w:t>
      </w:r>
      <w:r w:rsidR="004E3DF0" w:rsidRPr="00124901">
        <w:rPr>
          <w:rFonts w:eastAsia="Times New Roman" w:cs="Times New Roman"/>
          <w:bCs/>
          <w:noProof w:val="0"/>
        </w:rPr>
        <w:t>mi</w:t>
      </w:r>
      <w:r w:rsidR="00373F1B" w:rsidRPr="00124901">
        <w:rPr>
          <w:rFonts w:eastAsia="Times New Roman" w:cs="Times New Roman"/>
          <w:bCs/>
          <w:noProof w:val="0"/>
        </w:rPr>
        <w:t>ał miejsce w</w:t>
      </w:r>
      <w:r w:rsidR="00124901" w:rsidRPr="00124901">
        <w:rPr>
          <w:rFonts w:eastAsia="Times New Roman" w:cs="Times New Roman"/>
          <w:bCs/>
          <w:noProof w:val="0"/>
        </w:rPr>
        <w:t>zrost o 10,4</w:t>
      </w:r>
      <w:r w:rsidR="00C37793" w:rsidRPr="00124901">
        <w:rPr>
          <w:rFonts w:eastAsia="Times New Roman" w:cs="Times New Roman"/>
          <w:bCs/>
          <w:noProof w:val="0"/>
        </w:rPr>
        <w:t>%).</w:t>
      </w:r>
      <w:r w:rsidR="00126A1E">
        <w:rPr>
          <w:rFonts w:eastAsia="Times New Roman" w:cs="Times New Roman"/>
          <w:bCs/>
          <w:noProof w:val="0"/>
        </w:rPr>
        <w:t xml:space="preserve"> </w:t>
      </w:r>
      <w:r w:rsidR="00D33455">
        <w:rPr>
          <w:rFonts w:eastAsia="Times New Roman" w:cs="Times New Roman"/>
          <w:bCs/>
          <w:noProof w:val="0"/>
        </w:rPr>
        <w:br/>
      </w:r>
    </w:p>
    <w:p w14:paraId="75708857" w14:textId="27BB593D" w:rsidR="004B62A1" w:rsidRDefault="00846E02" w:rsidP="0021663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46E02">
        <w:rPr>
          <w:rFonts w:eastAsia="Times New Roman" w:cs="Times New Roman"/>
          <w:szCs w:val="19"/>
          <w:lang w:eastAsia="pl-PL"/>
        </w:rPr>
        <w:t>Prz</w:t>
      </w:r>
      <w:r w:rsidR="00263FCE">
        <w:rPr>
          <w:rFonts w:eastAsia="Times New Roman" w:cs="Times New Roman"/>
          <w:szCs w:val="19"/>
          <w:lang w:eastAsia="pl-PL"/>
        </w:rPr>
        <w:t>ychody ogółem</w:t>
      </w:r>
      <w:r w:rsidR="0057774C">
        <w:rPr>
          <w:rFonts w:eastAsia="Times New Roman" w:cs="Times New Roman"/>
          <w:szCs w:val="19"/>
          <w:lang w:eastAsia="pl-PL"/>
        </w:rPr>
        <w:t xml:space="preserve"> </w:t>
      </w:r>
      <w:r w:rsidR="009B1484">
        <w:rPr>
          <w:rFonts w:eastAsia="Times New Roman" w:cs="Times New Roman"/>
          <w:szCs w:val="19"/>
          <w:lang w:eastAsia="pl-PL"/>
        </w:rPr>
        <w:t>były niższe o 5,4</w:t>
      </w:r>
      <w:r w:rsidRPr="00846E02">
        <w:rPr>
          <w:rFonts w:eastAsia="Times New Roman" w:cs="Times New Roman"/>
          <w:szCs w:val="19"/>
          <w:lang w:eastAsia="pl-PL"/>
        </w:rPr>
        <w:t>% od osiągniętych rok wcześniej, a kos</w:t>
      </w:r>
      <w:r w:rsidR="00F11016">
        <w:rPr>
          <w:rFonts w:eastAsia="Times New Roman" w:cs="Times New Roman"/>
          <w:szCs w:val="19"/>
          <w:lang w:eastAsia="pl-PL"/>
        </w:rPr>
        <w:t>zty ich uzyskania spadły</w:t>
      </w:r>
      <w:r w:rsidR="009B1484">
        <w:rPr>
          <w:rFonts w:eastAsia="Times New Roman" w:cs="Times New Roman"/>
          <w:szCs w:val="19"/>
          <w:lang w:eastAsia="pl-PL"/>
        </w:rPr>
        <w:t xml:space="preserve"> o 3,9</w:t>
      </w:r>
      <w:r w:rsidRPr="00782DC6">
        <w:rPr>
          <w:rFonts w:eastAsia="Times New Roman" w:cs="Times New Roman"/>
          <w:szCs w:val="19"/>
          <w:lang w:eastAsia="pl-PL"/>
        </w:rPr>
        <w:t xml:space="preserve">%. </w:t>
      </w:r>
      <w:r w:rsidR="00461329">
        <w:rPr>
          <w:rFonts w:eastAsia="Times New Roman" w:cs="Times New Roman"/>
          <w:szCs w:val="19"/>
          <w:lang w:eastAsia="pl-PL"/>
        </w:rPr>
        <w:t>P</w:t>
      </w:r>
      <w:r w:rsidR="00CE101E" w:rsidRPr="00782DC6">
        <w:rPr>
          <w:rFonts w:eastAsia="Times New Roman" w:cs="Times New Roman"/>
          <w:szCs w:val="19"/>
          <w:lang w:eastAsia="pl-PL"/>
        </w:rPr>
        <w:t>ogorszył</w:t>
      </w:r>
      <w:r w:rsidRPr="00782DC6">
        <w:rPr>
          <w:rFonts w:eastAsia="Times New Roman" w:cs="Times New Roman"/>
          <w:szCs w:val="19"/>
          <w:lang w:eastAsia="pl-PL"/>
        </w:rPr>
        <w:t xml:space="preserve"> się</w:t>
      </w:r>
      <w:r w:rsidR="00263FCE" w:rsidRPr="00782DC6">
        <w:rPr>
          <w:rFonts w:eastAsia="Times New Roman" w:cs="Times New Roman"/>
          <w:szCs w:val="19"/>
          <w:lang w:eastAsia="pl-PL"/>
        </w:rPr>
        <w:t xml:space="preserve"> wskaźnik poziomu kosz</w:t>
      </w:r>
      <w:r w:rsidR="009B1484">
        <w:rPr>
          <w:rFonts w:eastAsia="Times New Roman" w:cs="Times New Roman"/>
          <w:szCs w:val="19"/>
          <w:lang w:eastAsia="pl-PL"/>
        </w:rPr>
        <w:t>tów z 93,9% przed rokiem do 95</w:t>
      </w:r>
      <w:r w:rsidR="00375BB7">
        <w:rPr>
          <w:rFonts w:eastAsia="Times New Roman" w:cs="Times New Roman"/>
          <w:szCs w:val="19"/>
          <w:lang w:eastAsia="pl-PL"/>
        </w:rPr>
        <w:t>,3</w:t>
      </w:r>
      <w:r w:rsidRPr="00782DC6">
        <w:rPr>
          <w:rFonts w:eastAsia="Times New Roman" w:cs="Times New Roman"/>
          <w:szCs w:val="19"/>
          <w:lang w:eastAsia="pl-PL"/>
        </w:rPr>
        <w:t>%. Przychody netto ze sprzedaży produktów, tow</w:t>
      </w:r>
      <w:r w:rsidR="00DB7CAC" w:rsidRPr="00782DC6">
        <w:rPr>
          <w:rFonts w:eastAsia="Times New Roman" w:cs="Times New Roman"/>
          <w:szCs w:val="19"/>
          <w:lang w:eastAsia="pl-PL"/>
        </w:rPr>
        <w:t>arów</w:t>
      </w:r>
      <w:r w:rsidR="00DB7CAC">
        <w:rPr>
          <w:rFonts w:eastAsia="Times New Roman" w:cs="Times New Roman"/>
          <w:szCs w:val="19"/>
          <w:lang w:eastAsia="pl-PL"/>
        </w:rPr>
        <w:t xml:space="preserve"> i </w:t>
      </w:r>
      <w:r w:rsidR="00375BB7">
        <w:rPr>
          <w:rFonts w:eastAsia="Times New Roman" w:cs="Times New Roman"/>
          <w:szCs w:val="19"/>
          <w:lang w:eastAsia="pl-PL"/>
        </w:rPr>
        <w:t>materiałów spadły</w:t>
      </w:r>
      <w:r w:rsidR="00126A1E">
        <w:rPr>
          <w:rFonts w:eastAsia="Times New Roman" w:cs="Times New Roman"/>
          <w:szCs w:val="19"/>
          <w:lang w:eastAsia="pl-PL"/>
        </w:rPr>
        <w:t xml:space="preserve"> o </w:t>
      </w:r>
      <w:r w:rsidR="009B1484">
        <w:rPr>
          <w:rFonts w:eastAsia="Times New Roman" w:cs="Times New Roman"/>
          <w:szCs w:val="19"/>
          <w:lang w:eastAsia="pl-PL"/>
        </w:rPr>
        <w:t>5,3</w:t>
      </w:r>
      <w:r w:rsidRPr="00846E02">
        <w:rPr>
          <w:rFonts w:eastAsia="Times New Roman" w:cs="Times New Roman"/>
          <w:szCs w:val="19"/>
          <w:lang w:eastAsia="pl-PL"/>
        </w:rPr>
        <w:t xml:space="preserve">%, a </w:t>
      </w:r>
      <w:r w:rsidR="00CB65D5">
        <w:rPr>
          <w:rFonts w:eastAsia="Times New Roman" w:cs="Times New Roman"/>
          <w:szCs w:val="19"/>
          <w:lang w:eastAsia="pl-PL"/>
        </w:rPr>
        <w:t>koszty tej dział</w:t>
      </w:r>
      <w:r w:rsidR="009B1484">
        <w:rPr>
          <w:rFonts w:eastAsia="Times New Roman" w:cs="Times New Roman"/>
          <w:szCs w:val="19"/>
          <w:lang w:eastAsia="pl-PL"/>
        </w:rPr>
        <w:t>alności – o 3,9</w:t>
      </w:r>
      <w:r w:rsidRPr="00846E02">
        <w:rPr>
          <w:rFonts w:eastAsia="Times New Roman" w:cs="Times New Roman"/>
          <w:szCs w:val="19"/>
          <w:lang w:eastAsia="pl-PL"/>
        </w:rPr>
        <w:t>%.</w:t>
      </w:r>
    </w:p>
    <w:p w14:paraId="11E42F49" w14:textId="00ED1D95" w:rsidR="00846E02" w:rsidRPr="00CB4299" w:rsidRDefault="00E06F14" w:rsidP="0021663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40133F88">
                <wp:simplePos x="0" y="0"/>
                <wp:positionH relativeFrom="column">
                  <wp:posOffset>5238750</wp:posOffset>
                </wp:positionH>
                <wp:positionV relativeFrom="paragraph">
                  <wp:posOffset>812800</wp:posOffset>
                </wp:positionV>
                <wp:extent cx="1647825" cy="1057275"/>
                <wp:effectExtent l="0" t="0" r="0" b="0"/>
                <wp:wrapTight wrapText="bothSides">
                  <wp:wrapPolygon edited="0">
                    <wp:start x="749" y="0"/>
                    <wp:lineTo x="749" y="21016"/>
                    <wp:lineTo x="20726" y="21016"/>
                    <wp:lineTo x="20726" y="0"/>
                    <wp:lineTo x="749" y="0"/>
                  </wp:wrapPolygon>
                </wp:wrapTight>
                <wp:docPr id="2" name="Pole tekstowe 2" descr="W 1 półroczu 2024 roku wynik finansowy netto przedsiębiorstw niefinansowych był niższy o 28,4% niż przed rok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13316" w14:textId="2FC43AFE" w:rsidR="00D616D2" w:rsidRPr="00846E02" w:rsidRDefault="005D7B3F" w:rsidP="005F45E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</w:rPr>
                              <w:t>W</w:t>
                            </w:r>
                            <w:r w:rsidR="00191E88">
                              <w:rPr>
                                <w:bCs w:val="0"/>
                              </w:rPr>
                              <w:t xml:space="preserve"> </w:t>
                            </w:r>
                            <w:r w:rsidR="00BB5F38">
                              <w:rPr>
                                <w:bCs w:val="0"/>
                              </w:rPr>
                              <w:t>1 półroczu</w:t>
                            </w:r>
                            <w:r w:rsidR="001C4DF4">
                              <w:rPr>
                                <w:bCs w:val="0"/>
                              </w:rPr>
                              <w:t xml:space="preserve"> 2024</w:t>
                            </w:r>
                            <w:r w:rsidR="00846E02" w:rsidRPr="00846E02">
                              <w:rPr>
                                <w:bCs w:val="0"/>
                              </w:rPr>
                              <w:t xml:space="preserve"> roku</w:t>
                            </w:r>
                            <w:r w:rsidR="00E06F14">
                              <w:rPr>
                                <w:bCs w:val="0"/>
                              </w:rPr>
                              <w:t xml:space="preserve"> wynik finansowy netto przedsię</w:t>
                            </w:r>
                            <w:r w:rsidR="00846E02" w:rsidRPr="00846E02">
                              <w:rPr>
                                <w:bCs w:val="0"/>
                              </w:rPr>
                              <w:t xml:space="preserve">biorstw </w:t>
                            </w:r>
                            <w:r>
                              <w:rPr>
                                <w:bCs w:val="0"/>
                              </w:rPr>
                              <w:t xml:space="preserve">niefinansowych był niższy o </w:t>
                            </w:r>
                            <w:r w:rsidR="005D4795" w:rsidRPr="00CB4299">
                              <w:rPr>
                                <w:bCs w:val="0"/>
                              </w:rPr>
                              <w:t>28,4</w:t>
                            </w:r>
                            <w:r w:rsidR="00846E02" w:rsidRPr="00CB4299">
                              <w:rPr>
                                <w:bCs w:val="0"/>
                              </w:rPr>
                              <w:t>%</w:t>
                            </w:r>
                            <w:r w:rsidR="00846E02" w:rsidRPr="00846E02">
                              <w:rPr>
                                <w:bCs w:val="0"/>
                              </w:rPr>
                              <w:t xml:space="preserve"> niż przed rokiem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1 półroczu 2024 roku wynik finansowy netto przedsiębiorstw niefinansowych był niższy o 28,4% niż przed rokiem" style="position:absolute;margin-left:412.5pt;margin-top:64pt;width:129.75pt;height:83.2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" filled="f" stroked="f">
                <v:textbox>
                  <w:txbxContent>
                    <w:p w14:paraId="66113316" w14:textId="2FC43AFE" w:rsidR="00D616D2" w:rsidRPr="00846E02" w:rsidRDefault="005D7B3F" w:rsidP="005F45EE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rPr>
                          <w:bCs w:val="0"/>
                        </w:rPr>
                        <w:t>W</w:t>
                      </w:r>
                      <w:r w:rsidR="00191E88">
                        <w:rPr>
                          <w:bCs w:val="0"/>
                        </w:rPr>
                        <w:t xml:space="preserve"> </w:t>
                      </w:r>
                      <w:r w:rsidR="00BB5F38">
                        <w:rPr>
                          <w:bCs w:val="0"/>
                        </w:rPr>
                        <w:t>1 półroczu</w:t>
                      </w:r>
                      <w:r w:rsidR="001C4DF4">
                        <w:rPr>
                          <w:bCs w:val="0"/>
                        </w:rPr>
                        <w:t xml:space="preserve"> 2024</w:t>
                      </w:r>
                      <w:r w:rsidR="00846E02" w:rsidRPr="00846E02">
                        <w:rPr>
                          <w:bCs w:val="0"/>
                        </w:rPr>
                        <w:t xml:space="preserve"> roku</w:t>
                      </w:r>
                      <w:r w:rsidR="00E06F14">
                        <w:rPr>
                          <w:bCs w:val="0"/>
                        </w:rPr>
                        <w:t xml:space="preserve"> wynik finansowy netto przedsię</w:t>
                      </w:r>
                      <w:r w:rsidR="00846E02" w:rsidRPr="00846E02">
                        <w:rPr>
                          <w:bCs w:val="0"/>
                        </w:rPr>
                        <w:t xml:space="preserve">biorstw </w:t>
                      </w:r>
                      <w:r>
                        <w:rPr>
                          <w:bCs w:val="0"/>
                        </w:rPr>
                        <w:t xml:space="preserve">niefinansowych był niższy o </w:t>
                      </w:r>
                      <w:r w:rsidR="005D4795" w:rsidRPr="00CB4299">
                        <w:rPr>
                          <w:bCs w:val="0"/>
                        </w:rPr>
                        <w:t>28,4</w:t>
                      </w:r>
                      <w:r w:rsidR="00846E02" w:rsidRPr="00CB4299">
                        <w:rPr>
                          <w:bCs w:val="0"/>
                        </w:rPr>
                        <w:t>%</w:t>
                      </w:r>
                      <w:r w:rsidR="00846E02" w:rsidRPr="00846E02">
                        <w:rPr>
                          <w:bCs w:val="0"/>
                        </w:rPr>
                        <w:t xml:space="preserve"> niż przed rokiem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46E02" w:rsidRPr="00846E02">
        <w:rPr>
          <w:rFonts w:eastAsia="Times New Roman" w:cs="Times New Roman"/>
          <w:szCs w:val="19"/>
          <w:lang w:eastAsia="pl-PL"/>
        </w:rPr>
        <w:t xml:space="preserve">Wynik finansowy ze sprzedaży </w:t>
      </w:r>
      <w:r w:rsidR="00846E02" w:rsidRPr="00CB4299">
        <w:rPr>
          <w:rFonts w:eastAsia="Times New Roman" w:cs="Times New Roman"/>
          <w:szCs w:val="19"/>
          <w:lang w:eastAsia="pl-PL"/>
        </w:rPr>
        <w:t>produktów, to</w:t>
      </w:r>
      <w:r w:rsidR="00CE101E" w:rsidRPr="00CB4299">
        <w:rPr>
          <w:rFonts w:eastAsia="Times New Roman" w:cs="Times New Roman"/>
          <w:szCs w:val="19"/>
          <w:lang w:eastAsia="pl-PL"/>
        </w:rPr>
        <w:t xml:space="preserve">warów i materiałów </w:t>
      </w:r>
      <w:r w:rsidR="00F11F49" w:rsidRPr="00CB4299">
        <w:rPr>
          <w:rFonts w:eastAsia="Times New Roman" w:cs="Times New Roman"/>
          <w:szCs w:val="19"/>
          <w:lang w:eastAsia="pl-PL"/>
        </w:rPr>
        <w:t>wyni</w:t>
      </w:r>
      <w:r w:rsidR="00267D9F" w:rsidRPr="00CB4299">
        <w:rPr>
          <w:rFonts w:eastAsia="Times New Roman" w:cs="Times New Roman"/>
          <w:szCs w:val="19"/>
          <w:lang w:eastAsia="pl-PL"/>
        </w:rPr>
        <w:t>ósł 105,4</w:t>
      </w:r>
      <w:r w:rsidR="000A7803" w:rsidRPr="00CB4299">
        <w:rPr>
          <w:rFonts w:eastAsia="Times New Roman" w:cs="Times New Roman"/>
          <w:szCs w:val="19"/>
          <w:lang w:eastAsia="pl-PL"/>
        </w:rPr>
        <w:t xml:space="preserve"> ml</w:t>
      </w:r>
      <w:r w:rsidR="00191E88" w:rsidRPr="00CB4299">
        <w:rPr>
          <w:rFonts w:eastAsia="Times New Roman" w:cs="Times New Roman"/>
          <w:szCs w:val="19"/>
          <w:lang w:eastAsia="pl-PL"/>
        </w:rPr>
        <w:t>d</w:t>
      </w:r>
      <w:r w:rsidR="00267D9F" w:rsidRPr="00CB4299">
        <w:rPr>
          <w:rFonts w:eastAsia="Times New Roman" w:cs="Times New Roman"/>
          <w:szCs w:val="19"/>
          <w:lang w:eastAsia="pl-PL"/>
        </w:rPr>
        <w:t xml:space="preserve"> zł i był niższy o 28,2</w:t>
      </w:r>
      <w:r w:rsidR="0057774C" w:rsidRPr="00CB4299">
        <w:rPr>
          <w:rFonts w:eastAsia="Times New Roman" w:cs="Times New Roman"/>
          <w:szCs w:val="19"/>
          <w:lang w:eastAsia="pl-PL"/>
        </w:rPr>
        <w:t>%</w:t>
      </w:r>
      <w:r w:rsidR="009472EF" w:rsidRPr="00CB4299">
        <w:rPr>
          <w:rFonts w:eastAsia="Times New Roman" w:cs="Times New Roman"/>
          <w:szCs w:val="19"/>
          <w:lang w:eastAsia="pl-PL"/>
        </w:rPr>
        <w:t xml:space="preserve"> w stosunku do</w:t>
      </w:r>
      <w:r w:rsidR="00F11F49" w:rsidRPr="00CB4299">
        <w:rPr>
          <w:rFonts w:eastAsia="Times New Roman" w:cs="Times New Roman"/>
          <w:szCs w:val="19"/>
          <w:lang w:eastAsia="pl-PL"/>
        </w:rPr>
        <w:t xml:space="preserve"> </w:t>
      </w:r>
      <w:r w:rsidR="00267D9F" w:rsidRPr="00CB4299">
        <w:rPr>
          <w:rFonts w:eastAsia="Times New Roman" w:cs="Times New Roman"/>
          <w:szCs w:val="19"/>
          <w:lang w:eastAsia="pl-PL"/>
        </w:rPr>
        <w:t>1 półrocza</w:t>
      </w:r>
      <w:r w:rsidR="009472EF" w:rsidRPr="00CB4299">
        <w:rPr>
          <w:rFonts w:eastAsia="Times New Roman" w:cs="Times New Roman"/>
          <w:szCs w:val="19"/>
          <w:lang w:eastAsia="pl-PL"/>
        </w:rPr>
        <w:t xml:space="preserve"> 2023 roku</w:t>
      </w:r>
      <w:r w:rsidR="00846E02" w:rsidRPr="00CB4299">
        <w:rPr>
          <w:rFonts w:eastAsia="Times New Roman" w:cs="Times New Roman"/>
          <w:szCs w:val="19"/>
          <w:lang w:eastAsia="pl-PL"/>
        </w:rPr>
        <w:t>. Wynik finansowy z pozostałej działalności operacyjnej u</w:t>
      </w:r>
      <w:r w:rsidR="00370F01" w:rsidRPr="00CB4299">
        <w:rPr>
          <w:rFonts w:eastAsia="Times New Roman" w:cs="Times New Roman"/>
          <w:szCs w:val="19"/>
          <w:lang w:eastAsia="pl-PL"/>
        </w:rPr>
        <w:t>kształtował się na pozio</w:t>
      </w:r>
      <w:r w:rsidR="00462193" w:rsidRPr="00CB4299">
        <w:rPr>
          <w:rFonts w:eastAsia="Times New Roman" w:cs="Times New Roman"/>
          <w:szCs w:val="19"/>
          <w:lang w:eastAsia="pl-PL"/>
        </w:rPr>
        <w:t>mie 8,6</w:t>
      </w:r>
      <w:r w:rsidR="004850D8" w:rsidRPr="00CB4299">
        <w:rPr>
          <w:rFonts w:eastAsia="Times New Roman" w:cs="Times New Roman"/>
          <w:szCs w:val="19"/>
          <w:lang w:eastAsia="pl-PL"/>
        </w:rPr>
        <w:t xml:space="preserve"> mld zł i był</w:t>
      </w:r>
      <w:r w:rsidR="00462193" w:rsidRPr="00CB4299">
        <w:rPr>
          <w:rFonts w:eastAsia="Times New Roman" w:cs="Times New Roman"/>
          <w:szCs w:val="19"/>
          <w:lang w:eastAsia="pl-PL"/>
        </w:rPr>
        <w:t xml:space="preserve"> niższy o 0,8</w:t>
      </w:r>
      <w:r w:rsidR="00846E02" w:rsidRPr="00CB4299">
        <w:rPr>
          <w:rFonts w:eastAsia="Times New Roman" w:cs="Times New Roman"/>
          <w:szCs w:val="19"/>
          <w:lang w:eastAsia="pl-PL"/>
        </w:rPr>
        <w:t xml:space="preserve"> mld zł niż </w:t>
      </w:r>
      <w:r w:rsidR="002A65A4" w:rsidRPr="00CB4299">
        <w:rPr>
          <w:rFonts w:eastAsia="Times New Roman" w:cs="Times New Roman"/>
          <w:szCs w:val="19"/>
          <w:lang w:eastAsia="pl-PL"/>
        </w:rPr>
        <w:t>prze</w:t>
      </w:r>
      <w:r w:rsidR="00267D9F" w:rsidRPr="00CB4299">
        <w:rPr>
          <w:rFonts w:eastAsia="Times New Roman" w:cs="Times New Roman"/>
          <w:szCs w:val="19"/>
          <w:lang w:eastAsia="pl-PL"/>
        </w:rPr>
        <w:t>d rokiem. Zanotowano pogorszenie</w:t>
      </w:r>
      <w:r w:rsidR="00846E02" w:rsidRPr="00CB4299">
        <w:rPr>
          <w:rFonts w:eastAsia="Times New Roman" w:cs="Times New Roman"/>
          <w:szCs w:val="19"/>
          <w:lang w:eastAsia="pl-PL"/>
        </w:rPr>
        <w:t xml:space="preserve"> wyniku</w:t>
      </w:r>
      <w:r w:rsidR="00AA1F7D" w:rsidRPr="00CB4299">
        <w:rPr>
          <w:rFonts w:eastAsia="Times New Roman" w:cs="Times New Roman"/>
          <w:szCs w:val="19"/>
          <w:lang w:eastAsia="pl-PL"/>
        </w:rPr>
        <w:t xml:space="preserve"> na operacjach finansowych (</w:t>
      </w:r>
      <w:r w:rsidR="00267D9F" w:rsidRPr="00CB4299">
        <w:rPr>
          <w:rFonts w:eastAsia="Times New Roman" w:cs="Times New Roman"/>
          <w:szCs w:val="19"/>
          <w:lang w:eastAsia="pl-PL"/>
        </w:rPr>
        <w:t>2,9</w:t>
      </w:r>
      <w:r w:rsidR="000C136B" w:rsidRPr="00CB4299">
        <w:rPr>
          <w:rFonts w:eastAsia="Times New Roman" w:cs="Times New Roman"/>
          <w:szCs w:val="19"/>
          <w:lang w:eastAsia="pl-PL"/>
        </w:rPr>
        <w:t xml:space="preserve"> mld </w:t>
      </w:r>
      <w:r w:rsidR="00267D9F" w:rsidRPr="00CB4299">
        <w:rPr>
          <w:rFonts w:eastAsia="Times New Roman" w:cs="Times New Roman"/>
          <w:szCs w:val="19"/>
          <w:lang w:eastAsia="pl-PL"/>
        </w:rPr>
        <w:t>zł wobec 6,5</w:t>
      </w:r>
      <w:r w:rsidR="00846E02" w:rsidRPr="00CB4299">
        <w:rPr>
          <w:rFonts w:eastAsia="Times New Roman" w:cs="Times New Roman"/>
          <w:szCs w:val="19"/>
          <w:lang w:eastAsia="pl-PL"/>
        </w:rPr>
        <w:t xml:space="preserve"> m</w:t>
      </w:r>
      <w:r w:rsidR="00E26E99" w:rsidRPr="00CB4299">
        <w:rPr>
          <w:rFonts w:eastAsia="Times New Roman" w:cs="Times New Roman"/>
          <w:szCs w:val="19"/>
          <w:lang w:eastAsia="pl-PL"/>
        </w:rPr>
        <w:t xml:space="preserve">ld zł w </w:t>
      </w:r>
      <w:r w:rsidR="00267D9F" w:rsidRPr="00CB4299">
        <w:rPr>
          <w:rFonts w:eastAsia="Times New Roman" w:cs="Times New Roman"/>
          <w:szCs w:val="19"/>
          <w:lang w:eastAsia="pl-PL"/>
        </w:rPr>
        <w:t>1 półroczu</w:t>
      </w:r>
      <w:r w:rsidR="00D471C1" w:rsidRPr="00CB4299">
        <w:rPr>
          <w:rFonts w:eastAsia="Times New Roman" w:cs="Times New Roman"/>
          <w:szCs w:val="19"/>
          <w:lang w:eastAsia="pl-PL"/>
        </w:rPr>
        <w:t xml:space="preserve"> 2023</w:t>
      </w:r>
      <w:r w:rsidR="00846E02" w:rsidRPr="00CB4299">
        <w:rPr>
          <w:rFonts w:eastAsia="Times New Roman" w:cs="Times New Roman"/>
          <w:szCs w:val="19"/>
          <w:lang w:eastAsia="pl-PL"/>
        </w:rPr>
        <w:t xml:space="preserve"> roku).</w:t>
      </w:r>
    </w:p>
    <w:p w14:paraId="6189446F" w14:textId="707F4424" w:rsidR="00DE6B58" w:rsidRPr="00782DC6" w:rsidRDefault="00846E02" w:rsidP="0021663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CB4299">
        <w:rPr>
          <w:rFonts w:eastAsia="Times New Roman" w:cs="Times New Roman"/>
          <w:szCs w:val="19"/>
          <w:lang w:eastAsia="pl-PL"/>
        </w:rPr>
        <w:t>Wyni</w:t>
      </w:r>
      <w:r w:rsidR="001F10BB" w:rsidRPr="00CB4299">
        <w:rPr>
          <w:rFonts w:eastAsia="Times New Roman" w:cs="Times New Roman"/>
          <w:szCs w:val="19"/>
          <w:lang w:eastAsia="pl-PL"/>
        </w:rPr>
        <w:t>k finansowy br</w:t>
      </w:r>
      <w:r w:rsidR="003D161F" w:rsidRPr="00CB4299">
        <w:rPr>
          <w:rFonts w:eastAsia="Times New Roman" w:cs="Times New Roman"/>
          <w:szCs w:val="19"/>
          <w:lang w:eastAsia="pl-PL"/>
        </w:rPr>
        <w:t>utto wyniósł 116,9</w:t>
      </w:r>
      <w:r w:rsidR="001F10BB" w:rsidRPr="00CB4299">
        <w:rPr>
          <w:rFonts w:eastAsia="Times New Roman" w:cs="Times New Roman"/>
          <w:szCs w:val="19"/>
          <w:lang w:eastAsia="pl-PL"/>
        </w:rPr>
        <w:t xml:space="preserve"> mld zł </w:t>
      </w:r>
      <w:r w:rsidR="0057774C" w:rsidRPr="00CB4299">
        <w:rPr>
          <w:rFonts w:eastAsia="Times New Roman" w:cs="Times New Roman"/>
          <w:szCs w:val="19"/>
          <w:lang w:eastAsia="pl-PL"/>
        </w:rPr>
        <w:t>(</w:t>
      </w:r>
      <w:r w:rsidR="00BB5F38" w:rsidRPr="00CB4299">
        <w:rPr>
          <w:rFonts w:eastAsia="Times New Roman" w:cs="Times New Roman"/>
          <w:szCs w:val="19"/>
          <w:lang w:eastAsia="pl-PL"/>
        </w:rPr>
        <w:t>wobec 162,6</w:t>
      </w:r>
      <w:r w:rsidRPr="00CB4299">
        <w:rPr>
          <w:rFonts w:eastAsia="Times New Roman" w:cs="Times New Roman"/>
          <w:szCs w:val="19"/>
          <w:lang w:eastAsia="pl-PL"/>
        </w:rPr>
        <w:t xml:space="preserve"> mld zł przed rokiem</w:t>
      </w:r>
      <w:r w:rsidR="0057774C" w:rsidRPr="00CB4299">
        <w:rPr>
          <w:rFonts w:eastAsia="Times New Roman" w:cs="Times New Roman"/>
          <w:szCs w:val="19"/>
          <w:lang w:eastAsia="pl-PL"/>
        </w:rPr>
        <w:t>)</w:t>
      </w:r>
      <w:r w:rsidRPr="00CB4299">
        <w:rPr>
          <w:rFonts w:eastAsia="Times New Roman" w:cs="Times New Roman"/>
          <w:szCs w:val="19"/>
          <w:lang w:eastAsia="pl-PL"/>
        </w:rPr>
        <w:t>, a jego obciążenia uk</w:t>
      </w:r>
      <w:r w:rsidR="003D161F" w:rsidRPr="00CB4299">
        <w:rPr>
          <w:rFonts w:eastAsia="Times New Roman" w:cs="Times New Roman"/>
          <w:szCs w:val="19"/>
          <w:lang w:eastAsia="pl-PL"/>
        </w:rPr>
        <w:t>ształtowały się na poziomie 20,9</w:t>
      </w:r>
      <w:r w:rsidRPr="00CB4299">
        <w:rPr>
          <w:rFonts w:eastAsia="Times New Roman" w:cs="Times New Roman"/>
          <w:szCs w:val="19"/>
          <w:lang w:eastAsia="pl-PL"/>
        </w:rPr>
        <w:t xml:space="preserve"> mld zł (w</w:t>
      </w:r>
      <w:r w:rsidR="00BB5F38" w:rsidRPr="00CB4299">
        <w:rPr>
          <w:rFonts w:eastAsia="Times New Roman" w:cs="Times New Roman"/>
          <w:szCs w:val="19"/>
          <w:lang w:eastAsia="pl-PL"/>
        </w:rPr>
        <w:t>obec 28,5</w:t>
      </w:r>
      <w:r w:rsidRPr="00CB4299">
        <w:rPr>
          <w:rFonts w:eastAsia="Times New Roman" w:cs="Times New Roman"/>
          <w:szCs w:val="19"/>
          <w:lang w:eastAsia="pl-PL"/>
        </w:rPr>
        <w:t xml:space="preserve"> mld zł</w:t>
      </w:r>
      <w:r w:rsidR="00E87AAD" w:rsidRPr="00CB4299">
        <w:rPr>
          <w:rFonts w:eastAsia="Times New Roman" w:cs="Times New Roman"/>
          <w:szCs w:val="19"/>
          <w:lang w:eastAsia="pl-PL"/>
        </w:rPr>
        <w:t xml:space="preserve"> przed rokiem</w:t>
      </w:r>
      <w:r w:rsidRPr="00CB4299">
        <w:rPr>
          <w:rFonts w:eastAsia="Times New Roman" w:cs="Times New Roman"/>
          <w:szCs w:val="19"/>
          <w:lang w:eastAsia="pl-PL"/>
        </w:rPr>
        <w:t>). Wyn</w:t>
      </w:r>
      <w:r w:rsidR="0074565A" w:rsidRPr="00CB4299">
        <w:rPr>
          <w:rFonts w:eastAsia="Times New Roman" w:cs="Times New Roman"/>
          <w:szCs w:val="19"/>
          <w:lang w:eastAsia="pl-PL"/>
        </w:rPr>
        <w:t>ik finansowy netto wyn</w:t>
      </w:r>
      <w:r w:rsidR="00BB5F38" w:rsidRPr="00CB4299">
        <w:rPr>
          <w:rFonts w:eastAsia="Times New Roman" w:cs="Times New Roman"/>
          <w:szCs w:val="19"/>
          <w:lang w:eastAsia="pl-PL"/>
        </w:rPr>
        <w:t xml:space="preserve">iósł </w:t>
      </w:r>
      <w:r w:rsidR="00F43F4B" w:rsidRPr="00CB4299">
        <w:rPr>
          <w:rFonts w:eastAsia="Times New Roman" w:cs="Times New Roman"/>
          <w:szCs w:val="19"/>
          <w:lang w:eastAsia="pl-PL"/>
        </w:rPr>
        <w:t>96,0</w:t>
      </w:r>
      <w:r w:rsidR="002837B0" w:rsidRPr="00CB4299">
        <w:rPr>
          <w:rFonts w:eastAsia="Times New Roman" w:cs="Times New Roman"/>
          <w:szCs w:val="19"/>
          <w:lang w:eastAsia="pl-PL"/>
        </w:rPr>
        <w:t xml:space="preserve"> mld zł i był niższy o </w:t>
      </w:r>
      <w:r w:rsidR="005D4795" w:rsidRPr="00CB4299">
        <w:rPr>
          <w:rFonts w:eastAsia="Times New Roman" w:cs="Times New Roman"/>
          <w:szCs w:val="19"/>
          <w:lang w:eastAsia="pl-PL"/>
        </w:rPr>
        <w:t>28,4</w:t>
      </w:r>
      <w:r w:rsidRPr="00CB4299">
        <w:rPr>
          <w:rFonts w:eastAsia="Times New Roman" w:cs="Times New Roman"/>
          <w:szCs w:val="19"/>
          <w:lang w:eastAsia="pl-PL"/>
        </w:rPr>
        <w:t xml:space="preserve">% niż przed </w:t>
      </w:r>
      <w:r w:rsidR="00436653" w:rsidRPr="00CB4299">
        <w:rPr>
          <w:rFonts w:eastAsia="Times New Roman" w:cs="Times New Roman"/>
          <w:szCs w:val="19"/>
          <w:lang w:eastAsia="pl-PL"/>
        </w:rPr>
        <w:t xml:space="preserve">rokiem. Zysk netto wyniósł </w:t>
      </w:r>
      <w:r w:rsidR="0002274D" w:rsidRPr="00CB4299">
        <w:rPr>
          <w:rFonts w:eastAsia="Times New Roman" w:cs="Times New Roman"/>
          <w:szCs w:val="19"/>
          <w:lang w:eastAsia="pl-PL"/>
        </w:rPr>
        <w:t>130,7 mld zł i był niższy o 32,9</w:t>
      </w:r>
      <w:r w:rsidR="00A159F5" w:rsidRPr="00CB4299">
        <w:rPr>
          <w:rFonts w:eastAsia="Times New Roman" w:cs="Times New Roman"/>
          <w:szCs w:val="19"/>
          <w:lang w:eastAsia="pl-PL"/>
        </w:rPr>
        <w:t xml:space="preserve"> </w:t>
      </w:r>
      <w:r w:rsidRPr="00CB4299">
        <w:rPr>
          <w:rFonts w:eastAsia="Times New Roman" w:cs="Times New Roman"/>
          <w:szCs w:val="19"/>
          <w:lang w:eastAsia="pl-PL"/>
        </w:rPr>
        <w:t>mld zł od uzysk</w:t>
      </w:r>
      <w:r w:rsidR="00436653" w:rsidRPr="00CB4299">
        <w:rPr>
          <w:rFonts w:eastAsia="Times New Roman" w:cs="Times New Roman"/>
          <w:szCs w:val="19"/>
          <w:lang w:eastAsia="pl-PL"/>
        </w:rPr>
        <w:t>anego w</w:t>
      </w:r>
      <w:r w:rsidRPr="00CB4299">
        <w:rPr>
          <w:rFonts w:eastAsia="Times New Roman" w:cs="Times New Roman"/>
          <w:szCs w:val="19"/>
          <w:lang w:eastAsia="pl-PL"/>
        </w:rPr>
        <w:t xml:space="preserve"> </w:t>
      </w:r>
      <w:r w:rsidR="00BB5F38" w:rsidRPr="00CB4299">
        <w:rPr>
          <w:rFonts w:eastAsia="Times New Roman" w:cs="Times New Roman"/>
          <w:szCs w:val="19"/>
          <w:lang w:eastAsia="pl-PL"/>
        </w:rPr>
        <w:t>1 półroczu</w:t>
      </w:r>
      <w:r w:rsidR="001E15B3" w:rsidRPr="00CB4299">
        <w:rPr>
          <w:rFonts w:eastAsia="Times New Roman" w:cs="Times New Roman"/>
          <w:szCs w:val="19"/>
          <w:lang w:eastAsia="pl-PL"/>
        </w:rPr>
        <w:t xml:space="preserve"> 2023</w:t>
      </w:r>
      <w:r w:rsidRPr="00CB4299">
        <w:rPr>
          <w:rFonts w:eastAsia="Times New Roman" w:cs="Times New Roman"/>
          <w:szCs w:val="19"/>
          <w:lang w:eastAsia="pl-PL"/>
        </w:rPr>
        <w:t xml:space="preserve"> ro</w:t>
      </w:r>
      <w:r w:rsidR="00230BD4" w:rsidRPr="00CB4299">
        <w:rPr>
          <w:rFonts w:eastAsia="Times New Roman" w:cs="Times New Roman"/>
          <w:szCs w:val="19"/>
          <w:lang w:eastAsia="pl-PL"/>
        </w:rPr>
        <w:t>ku, a strata netto wyniosła 34,7 mld zł i zwiększyła się o 5,2</w:t>
      </w:r>
      <w:r w:rsidRPr="00CB4299">
        <w:rPr>
          <w:rFonts w:eastAsia="Times New Roman" w:cs="Times New Roman"/>
          <w:szCs w:val="19"/>
          <w:lang w:eastAsia="pl-PL"/>
        </w:rPr>
        <w:t xml:space="preserve"> mld zł w skal</w:t>
      </w:r>
      <w:r w:rsidR="009145CF" w:rsidRPr="00CB4299">
        <w:rPr>
          <w:rFonts w:eastAsia="Times New Roman" w:cs="Times New Roman"/>
          <w:szCs w:val="19"/>
          <w:lang w:eastAsia="pl-PL"/>
        </w:rPr>
        <w:t>i r</w:t>
      </w:r>
      <w:r w:rsidR="009145CF">
        <w:rPr>
          <w:rFonts w:eastAsia="Times New Roman" w:cs="Times New Roman"/>
          <w:szCs w:val="19"/>
          <w:lang w:eastAsia="pl-PL"/>
        </w:rPr>
        <w:t xml:space="preserve">oku. Zysk </w:t>
      </w:r>
      <w:r w:rsidR="00202F30">
        <w:rPr>
          <w:rFonts w:eastAsia="Times New Roman" w:cs="Times New Roman"/>
          <w:szCs w:val="19"/>
          <w:lang w:eastAsia="pl-PL"/>
        </w:rPr>
        <w:t>netto wykazało</w:t>
      </w:r>
      <w:r w:rsidR="00230BD4">
        <w:rPr>
          <w:rFonts w:eastAsia="Times New Roman" w:cs="Times New Roman"/>
          <w:szCs w:val="19"/>
          <w:lang w:eastAsia="pl-PL"/>
        </w:rPr>
        <w:t xml:space="preserve"> 71,0</w:t>
      </w:r>
      <w:r w:rsidRPr="00846E02">
        <w:rPr>
          <w:rFonts w:eastAsia="Times New Roman" w:cs="Times New Roman"/>
          <w:szCs w:val="19"/>
          <w:lang w:eastAsia="pl-PL"/>
        </w:rPr>
        <w:t>% o</w:t>
      </w:r>
      <w:r w:rsidR="00B25067">
        <w:rPr>
          <w:rFonts w:eastAsia="Times New Roman" w:cs="Times New Roman"/>
          <w:szCs w:val="19"/>
          <w:lang w:eastAsia="pl-PL"/>
        </w:rPr>
        <w:t xml:space="preserve">gółu </w:t>
      </w:r>
      <w:r w:rsidR="00230BD4">
        <w:rPr>
          <w:rFonts w:eastAsia="Times New Roman" w:cs="Times New Roman"/>
          <w:szCs w:val="19"/>
          <w:lang w:eastAsia="pl-PL"/>
        </w:rPr>
        <w:t>przedsiębiorstw (wobec 75,6</w:t>
      </w:r>
      <w:r w:rsidR="00894961">
        <w:rPr>
          <w:rFonts w:eastAsia="Times New Roman" w:cs="Times New Roman"/>
          <w:szCs w:val="19"/>
          <w:lang w:eastAsia="pl-PL"/>
        </w:rPr>
        <w:t xml:space="preserve">% rok wcześniej), </w:t>
      </w:r>
      <w:r w:rsidR="00894961" w:rsidRPr="00894961">
        <w:rPr>
          <w:rFonts w:eastAsia="Times New Roman" w:cs="Times New Roman"/>
          <w:szCs w:val="19"/>
          <w:lang w:eastAsia="pl-PL"/>
        </w:rPr>
        <w:t xml:space="preserve">a uzyskane </w:t>
      </w:r>
      <w:r w:rsidR="00610153">
        <w:rPr>
          <w:rFonts w:eastAsia="Times New Roman" w:cs="Times New Roman"/>
          <w:szCs w:val="19"/>
          <w:lang w:eastAsia="pl-PL"/>
        </w:rPr>
        <w:t>pr</w:t>
      </w:r>
      <w:r w:rsidR="00230BD4">
        <w:rPr>
          <w:rFonts w:eastAsia="Times New Roman" w:cs="Times New Roman"/>
          <w:szCs w:val="19"/>
          <w:lang w:eastAsia="pl-PL"/>
        </w:rPr>
        <w:t>zez nie przychody stanowiły 79,9</w:t>
      </w:r>
      <w:r w:rsidR="00894961" w:rsidRPr="00894961">
        <w:rPr>
          <w:rFonts w:eastAsia="Times New Roman" w:cs="Times New Roman"/>
          <w:szCs w:val="19"/>
          <w:lang w:eastAsia="pl-PL"/>
        </w:rPr>
        <w:t>% przychodów ogółem bada</w:t>
      </w:r>
      <w:r w:rsidR="00230BD4">
        <w:rPr>
          <w:rFonts w:eastAsia="Times New Roman" w:cs="Times New Roman"/>
          <w:szCs w:val="19"/>
          <w:lang w:eastAsia="pl-PL"/>
        </w:rPr>
        <w:t>nych przedsiębiorstw (wobec 81,3</w:t>
      </w:r>
      <w:r w:rsidR="00827374">
        <w:rPr>
          <w:rFonts w:eastAsia="Times New Roman" w:cs="Times New Roman"/>
          <w:szCs w:val="19"/>
          <w:lang w:eastAsia="pl-PL"/>
        </w:rPr>
        <w:t>% przed rokiem)</w:t>
      </w:r>
      <w:r w:rsidRPr="00846E02">
        <w:rPr>
          <w:rFonts w:eastAsia="Times New Roman" w:cs="Times New Roman"/>
          <w:szCs w:val="19"/>
          <w:lang w:eastAsia="pl-PL"/>
        </w:rPr>
        <w:t xml:space="preserve">. </w:t>
      </w:r>
      <w:r w:rsidRPr="003F7993">
        <w:rPr>
          <w:rFonts w:eastAsia="Times New Roman" w:cs="Times New Roman"/>
          <w:szCs w:val="19"/>
          <w:lang w:eastAsia="pl-PL"/>
        </w:rPr>
        <w:t>W przetwórstwie przem</w:t>
      </w:r>
      <w:r w:rsidR="003F7993" w:rsidRPr="003F7993">
        <w:rPr>
          <w:rFonts w:eastAsia="Times New Roman" w:cs="Times New Roman"/>
          <w:szCs w:val="19"/>
          <w:lang w:eastAsia="pl-PL"/>
        </w:rPr>
        <w:t>ys</w:t>
      </w:r>
      <w:r w:rsidR="00177514">
        <w:rPr>
          <w:rFonts w:eastAsia="Times New Roman" w:cs="Times New Roman"/>
          <w:szCs w:val="19"/>
          <w:lang w:eastAsia="pl-PL"/>
        </w:rPr>
        <w:t xml:space="preserve">łowym </w:t>
      </w:r>
      <w:r w:rsidR="005A2B33">
        <w:rPr>
          <w:rFonts w:eastAsia="Times New Roman" w:cs="Times New Roman"/>
          <w:szCs w:val="19"/>
          <w:lang w:eastAsia="pl-PL"/>
        </w:rPr>
        <w:t>zysk netto odnotowało 70,9</w:t>
      </w:r>
      <w:r w:rsidR="008C2DD9">
        <w:rPr>
          <w:rFonts w:eastAsia="Times New Roman" w:cs="Times New Roman"/>
          <w:szCs w:val="19"/>
          <w:lang w:eastAsia="pl-PL"/>
        </w:rPr>
        <w:t>% jednostek</w:t>
      </w:r>
      <w:r w:rsidR="005A2B33">
        <w:rPr>
          <w:rFonts w:eastAsia="Times New Roman" w:cs="Times New Roman"/>
          <w:szCs w:val="19"/>
          <w:lang w:eastAsia="pl-PL"/>
        </w:rPr>
        <w:t xml:space="preserve"> (przed rokiem 77,9</w:t>
      </w:r>
      <w:r w:rsidRPr="003F7993">
        <w:rPr>
          <w:rFonts w:eastAsia="Times New Roman" w:cs="Times New Roman"/>
          <w:szCs w:val="19"/>
          <w:lang w:eastAsia="pl-PL"/>
        </w:rPr>
        <w:t xml:space="preserve">%), a udział uzyskanych przez nie przychodów w przychodach wszystkich </w:t>
      </w:r>
      <w:r w:rsidRPr="00782DC6">
        <w:rPr>
          <w:rFonts w:eastAsia="Times New Roman" w:cs="Times New Roman"/>
          <w:szCs w:val="19"/>
          <w:lang w:eastAsia="pl-PL"/>
        </w:rPr>
        <w:t>p</w:t>
      </w:r>
      <w:r w:rsidR="003F7993" w:rsidRPr="00782DC6">
        <w:rPr>
          <w:rFonts w:eastAsia="Times New Roman" w:cs="Times New Roman"/>
          <w:szCs w:val="19"/>
          <w:lang w:eastAsia="pl-PL"/>
        </w:rPr>
        <w:t>odmiotów tej</w:t>
      </w:r>
      <w:r w:rsidR="005A2B33">
        <w:rPr>
          <w:rFonts w:eastAsia="Times New Roman" w:cs="Times New Roman"/>
          <w:szCs w:val="19"/>
          <w:lang w:eastAsia="pl-PL"/>
        </w:rPr>
        <w:t xml:space="preserve"> sekcji wyniósł</w:t>
      </w:r>
      <w:r w:rsidR="003C4460">
        <w:rPr>
          <w:rFonts w:eastAsia="Times New Roman" w:cs="Times New Roman"/>
          <w:szCs w:val="19"/>
          <w:lang w:eastAsia="pl-PL"/>
        </w:rPr>
        <w:t xml:space="preserve"> </w:t>
      </w:r>
      <w:r w:rsidR="005A2B33">
        <w:rPr>
          <w:rFonts w:eastAsia="Times New Roman" w:cs="Times New Roman"/>
          <w:szCs w:val="19"/>
          <w:lang w:eastAsia="pl-PL"/>
        </w:rPr>
        <w:t>80,7% (wobec odpowiednio 80,6</w:t>
      </w:r>
      <w:r w:rsidRPr="00782DC6">
        <w:rPr>
          <w:rFonts w:eastAsia="Times New Roman" w:cs="Times New Roman"/>
          <w:szCs w:val="19"/>
          <w:lang w:eastAsia="pl-PL"/>
        </w:rPr>
        <w:t>% przed rokiem).</w:t>
      </w:r>
    </w:p>
    <w:p w14:paraId="7ED9935B" w14:textId="10D67D54" w:rsidR="000B2172" w:rsidRDefault="000B2172" w:rsidP="00216634">
      <w:pPr>
        <w:spacing w:line="288" w:lineRule="auto"/>
        <w:rPr>
          <w:rFonts w:eastAsia="Times New Roman" w:cs="Times New Roman"/>
          <w:b/>
          <w:szCs w:val="19"/>
          <w:lang w:eastAsia="pl-PL"/>
        </w:rPr>
      </w:pPr>
      <w:r w:rsidRPr="00782DC6">
        <w:rPr>
          <w:rFonts w:eastAsia="Times New Roman" w:cs="Times New Roman"/>
          <w:b/>
          <w:szCs w:val="19"/>
          <w:lang w:eastAsia="pl-PL"/>
        </w:rPr>
        <w:t>Wy</w:t>
      </w:r>
      <w:r w:rsidR="009929D5">
        <w:rPr>
          <w:rFonts w:eastAsia="Times New Roman" w:cs="Times New Roman"/>
          <w:b/>
          <w:szCs w:val="19"/>
          <w:lang w:eastAsia="pl-PL"/>
        </w:rPr>
        <w:t>kres 1. Wskaźniki rentowności</w:t>
      </w:r>
      <w:r w:rsidR="00B7572E">
        <w:rPr>
          <w:rFonts w:eastAsia="Times New Roman" w:cs="Times New Roman"/>
          <w:b/>
          <w:szCs w:val="19"/>
          <w:lang w:eastAsia="pl-PL"/>
        </w:rPr>
        <w:t xml:space="preserve"> </w:t>
      </w:r>
      <w:r w:rsidR="00230BD4">
        <w:rPr>
          <w:rFonts w:eastAsia="Times New Roman" w:cs="Times New Roman"/>
          <w:b/>
          <w:szCs w:val="19"/>
          <w:lang w:eastAsia="pl-PL"/>
        </w:rPr>
        <w:t>w 1 półroczu</w:t>
      </w:r>
      <w:r w:rsidR="0006389B">
        <w:rPr>
          <w:rFonts w:eastAsia="Times New Roman" w:cs="Times New Roman"/>
          <w:b/>
          <w:szCs w:val="19"/>
          <w:lang w:eastAsia="pl-PL"/>
        </w:rPr>
        <w:t xml:space="preserve"> w latach 2005-2024</w:t>
      </w:r>
    </w:p>
    <w:p w14:paraId="38FD6AA7" w14:textId="3E7F929C" w:rsidR="00136008" w:rsidRDefault="00440316" w:rsidP="00216634">
      <w:pPr>
        <w:spacing w:line="288" w:lineRule="auto"/>
        <w:rPr>
          <w:rFonts w:eastAsia="Times New Roman" w:cs="Times New Roman"/>
          <w:b/>
          <w:noProof/>
          <w:szCs w:val="19"/>
          <w:lang w:eastAsia="pl-PL"/>
        </w:rPr>
      </w:pPr>
      <w:r>
        <w:rPr>
          <w:rFonts w:eastAsia="Times New Roman" w:cs="Times New Roman"/>
          <w:b/>
          <w:noProof/>
          <w:szCs w:val="19"/>
          <w:lang w:eastAsia="pl-PL"/>
        </w:rPr>
        <w:drawing>
          <wp:inline distT="0" distB="0" distL="0" distR="0" wp14:anchorId="7BA5C6C2" wp14:editId="41964FC8">
            <wp:extent cx="4944110" cy="3011805"/>
            <wp:effectExtent l="0" t="0" r="889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110" cy="301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2B437A" w14:textId="654CE86D" w:rsidR="00136008" w:rsidRPr="00553C9F" w:rsidRDefault="00136008" w:rsidP="00136008">
      <w:pPr>
        <w:pStyle w:val="LID"/>
        <w:contextualSpacing/>
      </w:pPr>
      <w:r w:rsidRPr="00553C9F">
        <w:lastRenderedPageBreak/>
        <w:t xml:space="preserve">Tablica 1. Podstawowe dane o badanych </w:t>
      </w:r>
      <w:r w:rsidR="005654AA">
        <w:t>przedsiębiorstwach niefinansowych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320"/>
        <w:gridCol w:w="1320"/>
        <w:gridCol w:w="1480"/>
      </w:tblGrid>
      <w:tr w:rsidR="00136008" w:rsidRPr="00957F9B" w14:paraId="12127367" w14:textId="77777777" w:rsidTr="00340E2C">
        <w:trPr>
          <w:trHeight w:val="219"/>
        </w:trPr>
        <w:tc>
          <w:tcPr>
            <w:tcW w:w="3860" w:type="dxa"/>
            <w:vMerge w:val="restart"/>
            <w:tcBorders>
              <w:top w:val="single" w:sz="4" w:space="0" w:color="212492"/>
              <w:left w:val="nil"/>
              <w:bottom w:val="single" w:sz="8" w:space="0" w:color="000000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BC877D0" w14:textId="77777777" w:rsidR="00136008" w:rsidRPr="00480B4F" w:rsidRDefault="00136008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WYSZCZEGÓLNIENIE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4A92DE4" w14:textId="176EA7AD" w:rsidR="00136008" w:rsidRPr="00480B4F" w:rsidRDefault="00230BD4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01-06</w:t>
            </w:r>
            <w:r w:rsidR="006C1E21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2023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9528109" w14:textId="6796F816" w:rsidR="00136008" w:rsidRPr="00480B4F" w:rsidRDefault="00230BD4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01-06</w:t>
            </w:r>
            <w:r w:rsidR="006C1E21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2024</w:t>
            </w:r>
          </w:p>
        </w:tc>
        <w:tc>
          <w:tcPr>
            <w:tcW w:w="1480" w:type="dxa"/>
            <w:vMerge w:val="restart"/>
            <w:tcBorders>
              <w:top w:val="single" w:sz="4" w:space="0" w:color="212492"/>
              <w:left w:val="single" w:sz="4" w:space="0" w:color="212492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2CFDD4" w14:textId="29063C18" w:rsidR="00136008" w:rsidRPr="002F2DC7" w:rsidRDefault="00230BD4" w:rsidP="00BC631E">
            <w:pPr>
              <w:spacing w:before="0" w:after="0" w:line="240" w:lineRule="auto"/>
              <w:jc w:val="center"/>
              <w:rPr>
                <w:rFonts w:eastAsia="Times New Roman" w:cs="Calibri"/>
                <w:spacing w:val="-4"/>
                <w:szCs w:val="19"/>
                <w:lang w:eastAsia="pl-PL"/>
              </w:rPr>
            </w:pPr>
            <w:r>
              <w:rPr>
                <w:rFonts w:eastAsia="Times New Roman" w:cs="Calibri"/>
                <w:spacing w:val="-4"/>
                <w:szCs w:val="19"/>
                <w:lang w:eastAsia="pl-PL"/>
              </w:rPr>
              <w:t>01-06</w:t>
            </w:r>
            <w:r w:rsidR="006C1E21" w:rsidRPr="002F2DC7">
              <w:rPr>
                <w:rFonts w:eastAsia="Times New Roman" w:cs="Calibri"/>
                <w:spacing w:val="-4"/>
                <w:szCs w:val="19"/>
                <w:lang w:eastAsia="pl-PL"/>
              </w:rPr>
              <w:t xml:space="preserve"> 2023</w:t>
            </w:r>
            <w:r w:rsidR="00136008" w:rsidRPr="002F2DC7">
              <w:rPr>
                <w:rFonts w:eastAsia="Times New Roman" w:cs="Calibri"/>
                <w:spacing w:val="-4"/>
                <w:szCs w:val="19"/>
                <w:lang w:eastAsia="pl-PL"/>
              </w:rPr>
              <w:t xml:space="preserve"> = 100</w:t>
            </w:r>
          </w:p>
        </w:tc>
      </w:tr>
      <w:tr w:rsidR="00136008" w:rsidRPr="00957F9B" w14:paraId="3578A9C2" w14:textId="77777777" w:rsidTr="007E6E53">
        <w:trPr>
          <w:trHeight w:val="216"/>
        </w:trPr>
        <w:tc>
          <w:tcPr>
            <w:tcW w:w="3860" w:type="dxa"/>
            <w:vMerge/>
            <w:tcBorders>
              <w:top w:val="single" w:sz="8" w:space="0" w:color="000000"/>
              <w:left w:val="nil"/>
              <w:bottom w:val="single" w:sz="4" w:space="0" w:color="212492"/>
              <w:right w:val="single" w:sz="4" w:space="0" w:color="212492"/>
            </w:tcBorders>
            <w:vAlign w:val="center"/>
            <w:hideMark/>
          </w:tcPr>
          <w:p w14:paraId="68E1F189" w14:textId="77777777" w:rsidR="00136008" w:rsidRPr="00480B4F" w:rsidRDefault="00136008" w:rsidP="00BC631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EFBFAAC" w14:textId="77777777" w:rsidR="00136008" w:rsidRPr="00480B4F" w:rsidRDefault="00136008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w milionach złotych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212492"/>
              <w:bottom w:val="single" w:sz="4" w:space="0" w:color="212492"/>
              <w:right w:val="nil"/>
            </w:tcBorders>
            <w:vAlign w:val="center"/>
            <w:hideMark/>
          </w:tcPr>
          <w:p w14:paraId="63CC7385" w14:textId="77777777" w:rsidR="00136008" w:rsidRPr="00480B4F" w:rsidRDefault="00136008" w:rsidP="00BC631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</w:tr>
      <w:tr w:rsidR="009F1580" w:rsidRPr="00957F9B" w14:paraId="4218A4D3" w14:textId="77777777" w:rsidTr="0097711E">
        <w:trPr>
          <w:trHeight w:val="504"/>
        </w:trPr>
        <w:tc>
          <w:tcPr>
            <w:tcW w:w="386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115354A" w14:textId="77777777" w:rsidR="009F1580" w:rsidRPr="00480B4F" w:rsidRDefault="009F1580" w:rsidP="009F158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0" w:name="_GoBack" w:colFirst="1" w:colLast="3"/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Przychody ogółem (przychody z całokształtu działalności)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5AA5277" w14:textId="550C8DCA" w:rsidR="009F1580" w:rsidRPr="00480B4F" w:rsidRDefault="009F1580" w:rsidP="009F1580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2 647 610,6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22A7F5E" w14:textId="1CDD64EF" w:rsidR="009F1580" w:rsidRPr="00480B4F" w:rsidRDefault="009F1580" w:rsidP="009F1580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2 505 192,4</w:t>
            </w:r>
          </w:p>
        </w:tc>
        <w:tc>
          <w:tcPr>
            <w:tcW w:w="148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3364EE59" w14:textId="6C3662C2" w:rsidR="009F1580" w:rsidRPr="00480B4F" w:rsidRDefault="009F1580" w:rsidP="009F1580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94,6</w:t>
            </w:r>
          </w:p>
        </w:tc>
      </w:tr>
      <w:tr w:rsidR="009F1580" w:rsidRPr="00957F9B" w14:paraId="21CFADB5" w14:textId="77777777" w:rsidTr="009771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10FD" w14:textId="77777777" w:rsidR="009F1580" w:rsidRPr="00480B4F" w:rsidRDefault="009F1580" w:rsidP="009F1580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w tym przychody netto ze sprzedaży </w:t>
            </w: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>produktów, towarów i materiałów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73087B1" w14:textId="6F9C09D2" w:rsidR="009F1580" w:rsidRPr="00480B4F" w:rsidRDefault="009F1580" w:rsidP="009F1580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2 559 625,0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BD2333E" w14:textId="1FEBD4C3" w:rsidR="009F1580" w:rsidRPr="00480B4F" w:rsidRDefault="009F1580" w:rsidP="009F1580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2 424 101,1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7A04B639" w14:textId="0E33951F" w:rsidR="009F1580" w:rsidRPr="00480B4F" w:rsidRDefault="009F1580" w:rsidP="009F1580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94,7</w:t>
            </w:r>
          </w:p>
        </w:tc>
      </w:tr>
      <w:tr w:rsidR="009F1580" w:rsidRPr="00957F9B" w14:paraId="42360218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3747BC1E" w14:textId="77777777" w:rsidR="009F1580" w:rsidRPr="00480B4F" w:rsidRDefault="009F1580" w:rsidP="009F158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Koszty ogółem (koszty uzyskania przychodów z całokształtu działalności)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60889B0" w14:textId="6ACD7068" w:rsidR="009F1580" w:rsidRPr="00480B4F" w:rsidRDefault="009F1580" w:rsidP="009F1580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2 484 990,0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0970705" w14:textId="4742C23A" w:rsidR="009F1580" w:rsidRPr="00480B4F" w:rsidRDefault="009F1580" w:rsidP="009F1580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2 388 301,9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5CF51BBD" w14:textId="2148379E" w:rsidR="009F1580" w:rsidRPr="00480B4F" w:rsidRDefault="009F1580" w:rsidP="009F1580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96,1</w:t>
            </w:r>
          </w:p>
        </w:tc>
      </w:tr>
      <w:tr w:rsidR="009F1580" w:rsidRPr="00957F9B" w14:paraId="222ECA46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2CFB23CB" w14:textId="77777777" w:rsidR="009F1580" w:rsidRPr="00480B4F" w:rsidRDefault="009F1580" w:rsidP="009F1580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w tym koszty sprzedanych produktów, </w:t>
            </w: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>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998EAC1" w14:textId="5BA832E1" w:rsidR="009F1580" w:rsidRPr="00480B4F" w:rsidRDefault="009F1580" w:rsidP="009F1580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2 412 920,1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A72B6F2" w14:textId="571F87D7" w:rsidR="009F1580" w:rsidRPr="00480B4F" w:rsidRDefault="009F1580" w:rsidP="009F1580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2 318 716,3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5DE12AAB" w14:textId="15707FD6" w:rsidR="009F1580" w:rsidRPr="00480B4F" w:rsidRDefault="009F1580" w:rsidP="009F1580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96,1</w:t>
            </w:r>
          </w:p>
        </w:tc>
      </w:tr>
      <w:tr w:rsidR="009F1580" w:rsidRPr="00957F9B" w14:paraId="102B6AD3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7812A556" w14:textId="77777777" w:rsidR="009F1580" w:rsidRPr="00480B4F" w:rsidRDefault="009F1580" w:rsidP="009F158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Wynik finansowy ze sprzedaży produktów, </w:t>
            </w: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>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E5DC023" w14:textId="4368811F" w:rsidR="009F1580" w:rsidRPr="00480B4F" w:rsidRDefault="009F1580" w:rsidP="009F1580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146 704,9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DA0EE21" w14:textId="5A11FFD4" w:rsidR="009F1580" w:rsidRPr="00480B4F" w:rsidRDefault="009F1580" w:rsidP="009F1580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105 384,8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51DC6C16" w14:textId="5B49CB18" w:rsidR="009F1580" w:rsidRPr="00480B4F" w:rsidRDefault="009F1580" w:rsidP="009F1580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71,8</w:t>
            </w:r>
          </w:p>
        </w:tc>
      </w:tr>
      <w:tr w:rsidR="009F1580" w:rsidRPr="00957F9B" w14:paraId="2359B9DD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6CADEA87" w14:textId="77777777" w:rsidR="009F1580" w:rsidRPr="00480B4F" w:rsidRDefault="009F1580" w:rsidP="009F158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Wynik finansowy z pozostałej działalności </w:t>
            </w: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>operacyjnej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70B40FD" w14:textId="7DEE0B95" w:rsidR="009F1580" w:rsidRPr="00480B4F" w:rsidRDefault="009F1580" w:rsidP="009F1580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9 418,3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5C9252B" w14:textId="092A6D18" w:rsidR="009F1580" w:rsidRPr="00CB4299" w:rsidRDefault="009F1580" w:rsidP="009F1580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8 586,0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0A3B4BF" w14:textId="33865B89" w:rsidR="009F1580" w:rsidRPr="00CB4299" w:rsidRDefault="009F1580" w:rsidP="009F1580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91,2</w:t>
            </w:r>
          </w:p>
        </w:tc>
      </w:tr>
      <w:tr w:rsidR="009F1580" w:rsidRPr="00957F9B" w14:paraId="224A4BEF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443C08C9" w14:textId="77777777" w:rsidR="009F1580" w:rsidRPr="00480B4F" w:rsidRDefault="009F1580" w:rsidP="009F158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Wynik na operacjach finansowych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E29E085" w14:textId="72F29DE3" w:rsidR="009F1580" w:rsidRPr="00480B4F" w:rsidRDefault="009F1580" w:rsidP="009F1580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6 497,4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7973A37" w14:textId="76789374" w:rsidR="009F1580" w:rsidRPr="00CB4299" w:rsidRDefault="009F1580" w:rsidP="009F1580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2 919,7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3FA11909" w14:textId="2EF31A81" w:rsidR="009F1580" w:rsidRPr="00CB4299" w:rsidRDefault="009F1580" w:rsidP="009F1580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44,9</w:t>
            </w:r>
          </w:p>
        </w:tc>
      </w:tr>
      <w:tr w:rsidR="009F1580" w:rsidRPr="00957F9B" w14:paraId="347C9B4E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174FC540" w14:textId="77777777" w:rsidR="009F1580" w:rsidRPr="00480B4F" w:rsidRDefault="009F1580" w:rsidP="009F158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Wynik finansowy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A4EEF48" w14:textId="7A95815C" w:rsidR="009F1580" w:rsidRPr="00480B4F" w:rsidRDefault="009F1580" w:rsidP="009F1580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162 620,6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13E7E7C" w14:textId="4BF07E53" w:rsidR="009F1580" w:rsidRPr="00CB4299" w:rsidRDefault="009F1580" w:rsidP="009F1580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116 890,5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5875961" w14:textId="619E85A0" w:rsidR="009F1580" w:rsidRPr="00CB4299" w:rsidRDefault="009F1580" w:rsidP="009F1580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71,9</w:t>
            </w:r>
          </w:p>
        </w:tc>
      </w:tr>
      <w:tr w:rsidR="009F1580" w:rsidRPr="00957F9B" w14:paraId="2434B374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B5EDA9A" w14:textId="77777777" w:rsidR="009F1580" w:rsidRPr="00480B4F" w:rsidRDefault="009F1580" w:rsidP="009F158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Wynik finansowy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0F5028F" w14:textId="5C689167" w:rsidR="009F1580" w:rsidRPr="00480B4F" w:rsidRDefault="009F1580" w:rsidP="009F1580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134 080,8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2702622" w14:textId="1A14943A" w:rsidR="009F1580" w:rsidRPr="00CB4299" w:rsidRDefault="009F1580" w:rsidP="009F1580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95 952,4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3739555" w14:textId="3581BC2A" w:rsidR="009F1580" w:rsidRPr="00CB4299" w:rsidRDefault="009F1580" w:rsidP="009F1580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71,6</w:t>
            </w:r>
          </w:p>
        </w:tc>
      </w:tr>
      <w:tr w:rsidR="009F1580" w:rsidRPr="00957F9B" w14:paraId="04428AF8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14D51DE5" w14:textId="77777777" w:rsidR="009F1580" w:rsidRPr="00480B4F" w:rsidRDefault="009F1580" w:rsidP="009F158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Zysk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EE888DF" w14:textId="534BEA5F" w:rsidR="009F1580" w:rsidRPr="00480B4F" w:rsidRDefault="009F1580" w:rsidP="009F1580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163 607,8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9D7B312" w14:textId="01D9E323" w:rsidR="009F1580" w:rsidRPr="00CB4299" w:rsidRDefault="009F1580" w:rsidP="009F1580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130 693,9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72FD8E21" w14:textId="49ECDA6E" w:rsidR="009F1580" w:rsidRPr="00CB4299" w:rsidRDefault="009F1580" w:rsidP="009F1580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79,9</w:t>
            </w:r>
          </w:p>
        </w:tc>
      </w:tr>
      <w:tr w:rsidR="009F1580" w:rsidRPr="00957F9B" w14:paraId="240DB1E9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7D9ECB1" w14:textId="77777777" w:rsidR="009F1580" w:rsidRPr="00480B4F" w:rsidRDefault="009F1580" w:rsidP="009F158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Strata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E59F64D" w14:textId="5CFE9948" w:rsidR="009F1580" w:rsidRPr="00480B4F" w:rsidRDefault="009F1580" w:rsidP="009F1580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29 527,0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C4AC40F" w14:textId="1949041E" w:rsidR="009F1580" w:rsidRPr="00480B4F" w:rsidRDefault="009F1580" w:rsidP="009F1580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34 741,4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B50565C" w14:textId="3F55DCC9" w:rsidR="009F1580" w:rsidRPr="00480B4F" w:rsidRDefault="009F1580" w:rsidP="009F1580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117,7</w:t>
            </w:r>
          </w:p>
        </w:tc>
      </w:tr>
      <w:bookmarkEnd w:id="0"/>
      <w:tr w:rsidR="00136008" w:rsidRPr="00957F9B" w14:paraId="0C41F9C4" w14:textId="77777777" w:rsidTr="00BC631E">
        <w:trPr>
          <w:trHeight w:val="2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bottom"/>
            <w:hideMark/>
          </w:tcPr>
          <w:p w14:paraId="3C6EEABF" w14:textId="77777777" w:rsidR="00136008" w:rsidRPr="00957F9B" w:rsidRDefault="00136008" w:rsidP="00BC631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212492"/>
              <w:left w:val="nil"/>
              <w:bottom w:val="single" w:sz="4" w:space="0" w:color="212492"/>
            </w:tcBorders>
            <w:shd w:val="clear" w:color="auto" w:fill="auto"/>
            <w:noWrap/>
            <w:vAlign w:val="bottom"/>
            <w:hideMark/>
          </w:tcPr>
          <w:p w14:paraId="06307696" w14:textId="77777777" w:rsidR="00136008" w:rsidRPr="00EF1EBD" w:rsidRDefault="00136008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%</w:t>
            </w:r>
          </w:p>
        </w:tc>
      </w:tr>
      <w:tr w:rsidR="00240D44" w:rsidRPr="00957F9B" w14:paraId="18C9A756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A177A31" w14:textId="77777777" w:rsidR="00240D44" w:rsidRPr="00EF1EBD" w:rsidRDefault="00240D44" w:rsidP="00240D4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Wskaźnik poziomu kosztów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1B78729" w14:textId="3E160219" w:rsidR="00240D44" w:rsidRPr="00EF1EBD" w:rsidRDefault="00240D44" w:rsidP="00240D44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8C9162D" w14:textId="640493D8" w:rsidR="00240D44" w:rsidRPr="00EF1EBD" w:rsidRDefault="00240D44" w:rsidP="00240D44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95,3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5646D81" w14:textId="77777777" w:rsidR="00240D44" w:rsidRPr="00EF1EBD" w:rsidRDefault="00240D44" w:rsidP="00240D4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240D44" w:rsidRPr="00957F9B" w14:paraId="42991F23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B254DEF" w14:textId="77777777" w:rsidR="00240D44" w:rsidRPr="00EF1EBD" w:rsidRDefault="00240D44" w:rsidP="00240D4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Wskaźnik rentowności sprzedaży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12B8C70" w14:textId="481692CD" w:rsidR="00240D44" w:rsidRPr="00EF1EBD" w:rsidRDefault="00240D44" w:rsidP="00240D44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EB76A85" w14:textId="20AE96AC" w:rsidR="00240D44" w:rsidRPr="00EF1EBD" w:rsidRDefault="00240D44" w:rsidP="00240D44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D7E5540" w14:textId="77777777" w:rsidR="00240D44" w:rsidRPr="00EF1EBD" w:rsidRDefault="00240D44" w:rsidP="00240D4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240D44" w:rsidRPr="00957F9B" w14:paraId="70961FEA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74C65F9" w14:textId="77777777" w:rsidR="00240D44" w:rsidRPr="00EF1EBD" w:rsidRDefault="00240D44" w:rsidP="00240D4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Wskaźnik rentowności obrotu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8F0B649" w14:textId="270D1D5E" w:rsidR="00240D44" w:rsidRPr="00EF1EBD" w:rsidRDefault="00240D44" w:rsidP="00240D44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6,1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58DC42B" w14:textId="6B10F746" w:rsidR="00240D44" w:rsidRPr="00EF1EBD" w:rsidRDefault="00240D44" w:rsidP="00240D44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AAB8190" w14:textId="77777777" w:rsidR="00240D44" w:rsidRPr="00EF1EBD" w:rsidRDefault="00240D44" w:rsidP="00240D4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240D44" w:rsidRPr="00957F9B" w14:paraId="4801AF4C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A535376" w14:textId="77777777" w:rsidR="00240D44" w:rsidRPr="00EF1EBD" w:rsidRDefault="00240D44" w:rsidP="00240D4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Wskaźnik rentowności obrotu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9B5AEA7" w14:textId="4CD1C8A7" w:rsidR="00240D44" w:rsidRPr="00EF1EBD" w:rsidRDefault="00240D44" w:rsidP="00240D44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9FA463C" w14:textId="015E0AF2" w:rsidR="00240D44" w:rsidRPr="00CB4299" w:rsidRDefault="00240D44" w:rsidP="00240D44">
            <w:pPr>
              <w:jc w:val="right"/>
              <w:rPr>
                <w:rFonts w:cs="Calibri"/>
                <w:color w:val="000000"/>
                <w:szCs w:val="19"/>
              </w:rPr>
            </w:pPr>
            <w:r w:rsidRPr="00CB4299">
              <w:rPr>
                <w:rFonts w:cs="Calibri"/>
                <w:color w:val="000000"/>
                <w:szCs w:val="19"/>
              </w:rPr>
              <w:t>3,8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1655885" w14:textId="77777777" w:rsidR="00240D44" w:rsidRPr="00EF1EBD" w:rsidRDefault="00240D44" w:rsidP="00240D4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240D44" w:rsidRPr="00957F9B" w14:paraId="71676C3C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3AECD4E" w14:textId="77777777" w:rsidR="00240D44" w:rsidRPr="00EF1EBD" w:rsidRDefault="00240D44" w:rsidP="00240D4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Wskaźnik płynności finansowej I stopnia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406E2E1" w14:textId="352695C1" w:rsidR="00240D44" w:rsidRPr="00EF1EBD" w:rsidRDefault="00240D44" w:rsidP="00240D44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37,3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73ABEC2" w14:textId="07B20CCE" w:rsidR="00240D44" w:rsidRPr="00CB4299" w:rsidRDefault="00EC1D77" w:rsidP="00240D44">
            <w:pPr>
              <w:jc w:val="right"/>
              <w:rPr>
                <w:rFonts w:cs="Calibri"/>
                <w:color w:val="000000"/>
                <w:szCs w:val="19"/>
              </w:rPr>
            </w:pPr>
            <w:r w:rsidRPr="00CB4299">
              <w:rPr>
                <w:rFonts w:cs="Calibri"/>
                <w:color w:val="000000"/>
                <w:szCs w:val="19"/>
              </w:rPr>
              <w:t>41,2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3B4FD55" w14:textId="77777777" w:rsidR="00240D44" w:rsidRPr="00EF1EBD" w:rsidRDefault="00240D44" w:rsidP="00240D4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240D44" w:rsidRPr="00957F9B" w14:paraId="61C4FF27" w14:textId="77777777" w:rsidTr="00BC631E">
        <w:trPr>
          <w:trHeight w:val="388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27B02924" w14:textId="77777777" w:rsidR="00240D44" w:rsidRPr="00EF1EBD" w:rsidRDefault="00240D44" w:rsidP="00240D4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Wskaźnik płynności finansowej II stopnia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C2720EC" w14:textId="7DFB9845" w:rsidR="00240D44" w:rsidRPr="00EF1EBD" w:rsidRDefault="00240D44" w:rsidP="00240D44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105,8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426C537" w14:textId="64C45346" w:rsidR="00240D44" w:rsidRPr="00CB4299" w:rsidRDefault="00EC1D77" w:rsidP="00240D44">
            <w:pPr>
              <w:jc w:val="right"/>
              <w:rPr>
                <w:rFonts w:cs="Calibri"/>
                <w:color w:val="000000"/>
                <w:szCs w:val="19"/>
              </w:rPr>
            </w:pPr>
            <w:r w:rsidRPr="00CB4299">
              <w:rPr>
                <w:rFonts w:cs="Calibri"/>
                <w:color w:val="000000"/>
                <w:szCs w:val="19"/>
              </w:rPr>
              <w:t>106,3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8B3C3" w14:textId="77777777" w:rsidR="00240D44" w:rsidRPr="00EF1EBD" w:rsidRDefault="00240D44" w:rsidP="00240D4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</w:tbl>
    <w:p w14:paraId="5D7D67AA" w14:textId="254A6AC3" w:rsidR="00136008" w:rsidRPr="007A2842" w:rsidRDefault="00136008" w:rsidP="00600561">
      <w:pPr>
        <w:pStyle w:val="LID"/>
        <w:spacing w:line="288" w:lineRule="auto"/>
        <w:rPr>
          <w:b w:val="0"/>
        </w:rPr>
      </w:pPr>
      <w:r>
        <w:rPr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71E97720" wp14:editId="66CD24A3">
                <wp:simplePos x="0" y="0"/>
                <wp:positionH relativeFrom="column">
                  <wp:posOffset>5267325</wp:posOffset>
                </wp:positionH>
                <wp:positionV relativeFrom="paragraph">
                  <wp:posOffset>715645</wp:posOffset>
                </wp:positionV>
                <wp:extent cx="1685290" cy="1447800"/>
                <wp:effectExtent l="0" t="0" r="0" b="0"/>
                <wp:wrapSquare wrapText="bothSides"/>
                <wp:docPr id="18" name="Pole tekstowe 5" descr="Największe pogorszenie wskaźnika rentowności obrotu netto odnotowano w górnictwie i wydobywaniu (o 12,6 p. proc.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29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783D6" w14:textId="30481669" w:rsidR="00136008" w:rsidRPr="00BF2F65" w:rsidRDefault="00627266" w:rsidP="00136008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Największe</w:t>
                            </w:r>
                            <w:r w:rsidR="0041373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pogorszenie</w:t>
                            </w:r>
                            <w:r w:rsidR="00F225D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136008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</w:t>
                            </w:r>
                            <w:r w:rsidR="0013600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aźnika rentowności obrotu netto </w:t>
                            </w:r>
                            <w:r w:rsidR="00136008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odnotowano </w:t>
                            </w:r>
                            <w:r w:rsidR="0041373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górnictwie i wydobywaniu (o </w:t>
                            </w:r>
                            <w:r w:rsidR="00C464A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12,6</w:t>
                            </w:r>
                            <w:r w:rsidR="0041373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p. proc.)</w:t>
                            </w:r>
                          </w:p>
                          <w:p w14:paraId="2AD96D9A" w14:textId="77777777" w:rsidR="00136008" w:rsidRDefault="00136008" w:rsidP="001360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E97720" id="Pole tekstowe 5" o:spid="_x0000_s1028" type="#_x0000_t202" alt="Największe pogorszenie wskaźnika rentowności obrotu netto odnotowano w górnictwie i wydobywaniu (o 12,6 p. proc.)" style="position:absolute;margin-left:414.75pt;margin-top:56.35pt;width:132.7pt;height:114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" filled="f" stroked="f">
                <v:textbox>
                  <w:txbxContent>
                    <w:p w14:paraId="358783D6" w14:textId="30481669" w:rsidR="00136008" w:rsidRPr="00BF2F65" w:rsidRDefault="00627266" w:rsidP="00136008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Największe</w:t>
                      </w:r>
                      <w:r w:rsidR="0041373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pogorszenie</w:t>
                      </w:r>
                      <w:r w:rsidR="00F225D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136008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</w:t>
                      </w:r>
                      <w:r w:rsidR="0013600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aźnika rentowności obrotu netto </w:t>
                      </w:r>
                      <w:r w:rsidR="00136008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odnotowano </w:t>
                      </w:r>
                      <w:r w:rsidR="0041373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górnictwie i wydobywaniu (o </w:t>
                      </w:r>
                      <w:r w:rsidR="00C464A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12,6</w:t>
                      </w:r>
                      <w:r w:rsidR="0041373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p. proc.)</w:t>
                      </w:r>
                    </w:p>
                    <w:p w14:paraId="2AD96D9A" w14:textId="77777777" w:rsidR="00136008" w:rsidRDefault="00136008" w:rsidP="00136008"/>
                  </w:txbxContent>
                </v:textbox>
                <w10:wrap type="square"/>
              </v:shape>
            </w:pict>
          </mc:Fallback>
        </mc:AlternateContent>
      </w:r>
      <w:r w:rsidRPr="00583934">
        <w:rPr>
          <w:b w:val="0"/>
        </w:rPr>
        <w:t>Wskaźnik poziomu kosztów dla og</w:t>
      </w:r>
      <w:r w:rsidR="00361319">
        <w:rPr>
          <w:b w:val="0"/>
        </w:rPr>
        <w:t xml:space="preserve">ółu </w:t>
      </w:r>
      <w:r w:rsidR="0057774C">
        <w:rPr>
          <w:b w:val="0"/>
        </w:rPr>
        <w:t xml:space="preserve">badanych </w:t>
      </w:r>
      <w:r w:rsidR="00240D44">
        <w:rPr>
          <w:b w:val="0"/>
        </w:rPr>
        <w:t>przedsiębiorstw wyniósł 95,3% (wobec 93,9</w:t>
      </w:r>
      <w:r w:rsidRPr="00583934">
        <w:rPr>
          <w:b w:val="0"/>
        </w:rPr>
        <w:t>% przed ro</w:t>
      </w:r>
      <w:r>
        <w:rPr>
          <w:b w:val="0"/>
        </w:rPr>
        <w:t>kiem). Wskaźnik rentowności</w:t>
      </w:r>
      <w:r w:rsidRPr="00583934">
        <w:rPr>
          <w:b w:val="0"/>
        </w:rPr>
        <w:t xml:space="preserve"> sprzedaży </w:t>
      </w:r>
      <w:r>
        <w:rPr>
          <w:b w:val="0"/>
        </w:rPr>
        <w:t>br</w:t>
      </w:r>
      <w:r w:rsidR="00240D44">
        <w:rPr>
          <w:b w:val="0"/>
        </w:rPr>
        <w:t>utto zmniejszył się z 5,7% do 4,3</w:t>
      </w:r>
      <w:r w:rsidR="00D86572">
        <w:rPr>
          <w:b w:val="0"/>
        </w:rPr>
        <w:t xml:space="preserve">%, </w:t>
      </w:r>
      <w:r>
        <w:rPr>
          <w:b w:val="0"/>
        </w:rPr>
        <w:t>wskaźnik</w:t>
      </w:r>
      <w:r w:rsidR="00C22A86">
        <w:rPr>
          <w:b w:val="0"/>
        </w:rPr>
        <w:t xml:space="preserve"> rentowności obro</w:t>
      </w:r>
      <w:r w:rsidR="00441A92">
        <w:rPr>
          <w:b w:val="0"/>
        </w:rPr>
        <w:t>tu brutto</w:t>
      </w:r>
      <w:r w:rsidR="00D86572">
        <w:rPr>
          <w:b w:val="0"/>
        </w:rPr>
        <w:t xml:space="preserve"> –</w:t>
      </w:r>
      <w:r w:rsidR="00240D44">
        <w:rPr>
          <w:b w:val="0"/>
        </w:rPr>
        <w:t xml:space="preserve"> z 6,1</w:t>
      </w:r>
      <w:r w:rsidR="00147650">
        <w:rPr>
          <w:b w:val="0"/>
        </w:rPr>
        <w:t>% do</w:t>
      </w:r>
      <w:r w:rsidR="00240D44">
        <w:rPr>
          <w:b w:val="0"/>
        </w:rPr>
        <w:t xml:space="preserve"> 4</w:t>
      </w:r>
      <w:r w:rsidR="00147650">
        <w:rPr>
          <w:b w:val="0"/>
        </w:rPr>
        <w:t>,7</w:t>
      </w:r>
      <w:r>
        <w:rPr>
          <w:b w:val="0"/>
        </w:rPr>
        <w:t>%, a w</w:t>
      </w:r>
      <w:r w:rsidRPr="00583934">
        <w:rPr>
          <w:b w:val="0"/>
        </w:rPr>
        <w:t xml:space="preserve">skaźnik rentowności obrotu </w:t>
      </w:r>
      <w:r w:rsidRPr="007A2842">
        <w:rPr>
          <w:b w:val="0"/>
        </w:rPr>
        <w:t>netto</w:t>
      </w:r>
      <w:r w:rsidR="006D3CAD">
        <w:rPr>
          <w:b w:val="0"/>
        </w:rPr>
        <w:t xml:space="preserve"> –</w:t>
      </w:r>
      <w:r w:rsidR="0057774C">
        <w:rPr>
          <w:b w:val="0"/>
        </w:rPr>
        <w:t xml:space="preserve"> </w:t>
      </w:r>
      <w:r w:rsidR="00240D44">
        <w:rPr>
          <w:b w:val="0"/>
        </w:rPr>
        <w:t>z 5,1</w:t>
      </w:r>
      <w:r w:rsidRPr="007A2842">
        <w:rPr>
          <w:b w:val="0"/>
        </w:rPr>
        <w:t>%</w:t>
      </w:r>
      <w:r w:rsidR="00C22A86">
        <w:rPr>
          <w:b w:val="0"/>
        </w:rPr>
        <w:t xml:space="preserve"> do </w:t>
      </w:r>
      <w:r w:rsidR="00240D44">
        <w:rPr>
          <w:b w:val="0"/>
        </w:rPr>
        <w:t>3</w:t>
      </w:r>
      <w:r w:rsidR="00147650">
        <w:rPr>
          <w:b w:val="0"/>
        </w:rPr>
        <w:t>,8</w:t>
      </w:r>
      <w:r>
        <w:rPr>
          <w:b w:val="0"/>
        </w:rPr>
        <w:t>%</w:t>
      </w:r>
      <w:r w:rsidRPr="007A2842">
        <w:rPr>
          <w:b w:val="0"/>
        </w:rPr>
        <w:t>.</w:t>
      </w:r>
    </w:p>
    <w:p w14:paraId="5062E554" w14:textId="0430A7B1" w:rsidR="00BC1B0E" w:rsidRPr="00CB4299" w:rsidRDefault="00FA62BC" w:rsidP="00BC1B0E">
      <w:pPr>
        <w:pStyle w:val="LID"/>
        <w:spacing w:line="288" w:lineRule="auto"/>
        <w:rPr>
          <w:b w:val="0"/>
        </w:rPr>
      </w:pPr>
      <w:r w:rsidRPr="0062183F">
        <w:rPr>
          <w:b w:val="0"/>
        </w:rPr>
        <w:t>Pogorszenie wskaźnika rentowności obrotu netto odnotowano</w:t>
      </w:r>
      <w:r>
        <w:rPr>
          <w:b w:val="0"/>
        </w:rPr>
        <w:t xml:space="preserve"> m.in.</w:t>
      </w:r>
      <w:r w:rsidRPr="0062183F">
        <w:rPr>
          <w:b w:val="0"/>
        </w:rPr>
        <w:t xml:space="preserve"> w górni</w:t>
      </w:r>
      <w:r w:rsidR="0028500C">
        <w:rPr>
          <w:b w:val="0"/>
        </w:rPr>
        <w:t>ctwie i wydobywaniu (z 11,7</w:t>
      </w:r>
      <w:r w:rsidR="00F05479">
        <w:rPr>
          <w:b w:val="0"/>
        </w:rPr>
        <w:t>% do minus 0</w:t>
      </w:r>
      <w:r w:rsidR="00AB163E">
        <w:rPr>
          <w:b w:val="0"/>
        </w:rPr>
        <w:t>,</w:t>
      </w:r>
      <w:r w:rsidR="0028500C">
        <w:rPr>
          <w:b w:val="0"/>
        </w:rPr>
        <w:t>9</w:t>
      </w:r>
      <w:r>
        <w:rPr>
          <w:b w:val="0"/>
        </w:rPr>
        <w:t xml:space="preserve">%), </w:t>
      </w:r>
      <w:r w:rsidR="00B935C9" w:rsidRPr="0062183F">
        <w:rPr>
          <w:b w:val="0"/>
        </w:rPr>
        <w:t>obsłudze rynku nieruchomośc</w:t>
      </w:r>
      <w:r w:rsidR="0028500C">
        <w:rPr>
          <w:b w:val="0"/>
        </w:rPr>
        <w:t>i (z 8,6% do 5,7%), budownictwie (z 7,0% do 5,1%),</w:t>
      </w:r>
      <w:r w:rsidR="00AD7D05">
        <w:rPr>
          <w:b w:val="0"/>
        </w:rPr>
        <w:t xml:space="preserve"> </w:t>
      </w:r>
      <w:r w:rsidR="00B935C9" w:rsidRPr="008F1ED8">
        <w:rPr>
          <w:b w:val="0"/>
        </w:rPr>
        <w:t>transporcie i gospodar</w:t>
      </w:r>
      <w:r w:rsidR="00AD7D05">
        <w:rPr>
          <w:b w:val="0"/>
        </w:rPr>
        <w:t>ce magazynowej (z 5,8% do 4,1</w:t>
      </w:r>
      <w:r w:rsidR="00B935C9">
        <w:rPr>
          <w:b w:val="0"/>
        </w:rPr>
        <w:t xml:space="preserve">%), </w:t>
      </w:r>
      <w:r w:rsidR="00AD7D05" w:rsidRPr="00F30587">
        <w:rPr>
          <w:b w:val="0"/>
        </w:rPr>
        <w:t>handlu; naprawie pojazdów samochodowych</w:t>
      </w:r>
      <w:r w:rsidR="00AD7D05">
        <w:rPr>
          <w:b w:val="0"/>
        </w:rPr>
        <w:t xml:space="preserve"> (z 3,8% do 2,2%),</w:t>
      </w:r>
      <w:r w:rsidR="001A0234">
        <w:rPr>
          <w:b w:val="0"/>
        </w:rPr>
        <w:t xml:space="preserve"> zakwa</w:t>
      </w:r>
      <w:r w:rsidR="001A0234" w:rsidRPr="0062183F">
        <w:rPr>
          <w:b w:val="0"/>
        </w:rPr>
        <w:t>terowaniu</w:t>
      </w:r>
      <w:r w:rsidR="001A0234">
        <w:rPr>
          <w:b w:val="0"/>
        </w:rPr>
        <w:t xml:space="preserve"> i gastronomii (z 8,8</w:t>
      </w:r>
      <w:r w:rsidR="001A0234" w:rsidRPr="0062183F">
        <w:rPr>
          <w:b w:val="0"/>
        </w:rPr>
        <w:t xml:space="preserve">% </w:t>
      </w:r>
      <w:r w:rsidR="001A0234">
        <w:rPr>
          <w:b w:val="0"/>
        </w:rPr>
        <w:t xml:space="preserve">do 7,6%), </w:t>
      </w:r>
      <w:r w:rsidR="001A0234" w:rsidRPr="00215766">
        <w:rPr>
          <w:b w:val="0"/>
        </w:rPr>
        <w:t>przetwórstwi</w:t>
      </w:r>
      <w:r w:rsidR="00F5416E">
        <w:rPr>
          <w:b w:val="0"/>
        </w:rPr>
        <w:t>e przemysłowym (</w:t>
      </w:r>
      <w:r w:rsidR="00F5416E" w:rsidRPr="00CB4299">
        <w:rPr>
          <w:b w:val="0"/>
        </w:rPr>
        <w:t>z 5,1% do 4,0</w:t>
      </w:r>
      <w:r w:rsidR="001A0234" w:rsidRPr="00CB4299">
        <w:rPr>
          <w:b w:val="0"/>
        </w:rPr>
        <w:t>%), administrowaniu i działalności wspierającej (z 7,5% do 6,5%) oraz w informacji i komunikacji (z 8,0% do 7,8%).</w:t>
      </w:r>
      <w:r w:rsidR="003D4A8F" w:rsidRPr="00CB4299">
        <w:rPr>
          <w:b w:val="0"/>
        </w:rPr>
        <w:t xml:space="preserve"> </w:t>
      </w:r>
      <w:r w:rsidR="00BC1B0E" w:rsidRPr="00CB4299">
        <w:rPr>
          <w:b w:val="0"/>
        </w:rPr>
        <w:t>Poprawę wskaźnika rentowności obrotu netto odnotowano m.in. w działalności profesjonalnej, naukowej i technicznej (z 5,6% do 7,1%), pozostałej działalności usługowej (z 6,4% do 7,8</w:t>
      </w:r>
      <w:r w:rsidR="00723C06" w:rsidRPr="00CB4299">
        <w:rPr>
          <w:b w:val="0"/>
        </w:rPr>
        <w:t>%),</w:t>
      </w:r>
      <w:r w:rsidR="00BC1B0E" w:rsidRPr="00CB4299">
        <w:rPr>
          <w:b w:val="0"/>
        </w:rPr>
        <w:t xml:space="preserve"> dostawie wody; gospodarowaniu ściekami</w:t>
      </w:r>
      <w:r w:rsidR="00723C06" w:rsidRPr="00CB4299">
        <w:rPr>
          <w:b w:val="0"/>
        </w:rPr>
        <w:t xml:space="preserve"> i odpadami; rekultywacji (z 6,5% do 7,7</w:t>
      </w:r>
      <w:r w:rsidR="00BC1B0E" w:rsidRPr="00CB4299">
        <w:rPr>
          <w:b w:val="0"/>
        </w:rPr>
        <w:t>%</w:t>
      </w:r>
      <w:r w:rsidR="00723C06" w:rsidRPr="00CB4299">
        <w:rPr>
          <w:b w:val="0"/>
        </w:rPr>
        <w:t>) oraz w wytwarzaniu i zaopatrywaniu w energię elektryczną, gaz, parę wod</w:t>
      </w:r>
      <w:r w:rsidR="003D4A8F" w:rsidRPr="00CB4299">
        <w:rPr>
          <w:b w:val="0"/>
        </w:rPr>
        <w:t>ną i gorącą wodę (z 5,2% do 5,8</w:t>
      </w:r>
      <w:r w:rsidR="00723C06" w:rsidRPr="00CB4299">
        <w:rPr>
          <w:b w:val="0"/>
        </w:rPr>
        <w:t>%)</w:t>
      </w:r>
      <w:r w:rsidR="003D4A8F" w:rsidRPr="00CB4299">
        <w:rPr>
          <w:b w:val="0"/>
        </w:rPr>
        <w:t>.</w:t>
      </w:r>
    </w:p>
    <w:p w14:paraId="7DF9C437" w14:textId="498558A4" w:rsidR="00136008" w:rsidRDefault="00136008" w:rsidP="00600561">
      <w:pPr>
        <w:pStyle w:val="LID"/>
        <w:spacing w:line="288" w:lineRule="auto"/>
        <w:rPr>
          <w:b w:val="0"/>
        </w:rPr>
      </w:pPr>
      <w:r w:rsidRPr="00CB4299">
        <w:rPr>
          <w:b w:val="0"/>
        </w:rPr>
        <w:t>Wskaźnik płynności finansowej I stopnia wynió</w:t>
      </w:r>
      <w:r w:rsidR="00A756D0" w:rsidRPr="00CB4299">
        <w:rPr>
          <w:b w:val="0"/>
        </w:rPr>
        <w:t>sł 41,2</w:t>
      </w:r>
      <w:r w:rsidR="00BF2477" w:rsidRPr="00CB4299">
        <w:rPr>
          <w:b w:val="0"/>
        </w:rPr>
        <w:t>% (wobec 37,3</w:t>
      </w:r>
      <w:r w:rsidRPr="00CB4299">
        <w:rPr>
          <w:b w:val="0"/>
        </w:rPr>
        <w:t>% przed rokiem), a płynn</w:t>
      </w:r>
      <w:r w:rsidR="00E23D97" w:rsidRPr="00CB4299">
        <w:rPr>
          <w:b w:val="0"/>
        </w:rPr>
        <w:t>ości finansowej II stopn</w:t>
      </w:r>
      <w:r w:rsidR="00A756D0" w:rsidRPr="00CB4299">
        <w:rPr>
          <w:b w:val="0"/>
        </w:rPr>
        <w:t>ia 106,3</w:t>
      </w:r>
      <w:r w:rsidR="00BF2477" w:rsidRPr="00CB4299">
        <w:rPr>
          <w:b w:val="0"/>
        </w:rPr>
        <w:t>% (wobec 105,8</w:t>
      </w:r>
      <w:r w:rsidRPr="00CB4299">
        <w:rPr>
          <w:b w:val="0"/>
        </w:rPr>
        <w:t>% pr</w:t>
      </w:r>
      <w:r w:rsidRPr="00583934">
        <w:rPr>
          <w:b w:val="0"/>
        </w:rPr>
        <w:t xml:space="preserve">zed rokiem). </w:t>
      </w:r>
      <w:r w:rsidRPr="006A4389">
        <w:rPr>
          <w:b w:val="0"/>
        </w:rPr>
        <w:t xml:space="preserve">Wskaźnik płynności </w:t>
      </w:r>
      <w:r>
        <w:rPr>
          <w:b w:val="0"/>
        </w:rPr>
        <w:br/>
      </w:r>
      <w:r w:rsidRPr="006A4389">
        <w:rPr>
          <w:b w:val="0"/>
        </w:rPr>
        <w:t>I s</w:t>
      </w:r>
      <w:r w:rsidR="00ED75DA">
        <w:rPr>
          <w:b w:val="0"/>
        </w:rPr>
        <w:t>topnia powyżej 20% uz</w:t>
      </w:r>
      <w:r w:rsidR="00BF2477">
        <w:rPr>
          <w:b w:val="0"/>
        </w:rPr>
        <w:t>yskało 56,5</w:t>
      </w:r>
      <w:r>
        <w:rPr>
          <w:b w:val="0"/>
        </w:rPr>
        <w:t>% bada</w:t>
      </w:r>
      <w:r w:rsidR="00BF2477">
        <w:rPr>
          <w:b w:val="0"/>
        </w:rPr>
        <w:t>nych przedsiębiorstw (wobec 55,2</w:t>
      </w:r>
      <w:r w:rsidRPr="006A4389">
        <w:rPr>
          <w:b w:val="0"/>
        </w:rPr>
        <w:t xml:space="preserve">% przed </w:t>
      </w:r>
      <w:r w:rsidRPr="006A4389">
        <w:rPr>
          <w:b w:val="0"/>
        </w:rPr>
        <w:lastRenderedPageBreak/>
        <w:t xml:space="preserve">rokiem). </w:t>
      </w:r>
      <w:r w:rsidRPr="00736490">
        <w:rPr>
          <w:b w:val="0"/>
        </w:rPr>
        <w:t xml:space="preserve">Wskaźnik płynności </w:t>
      </w:r>
      <w:r w:rsidR="005530B6">
        <w:rPr>
          <w:b w:val="0"/>
        </w:rPr>
        <w:t xml:space="preserve">finansowej </w:t>
      </w:r>
      <w:r w:rsidRPr="00736490">
        <w:rPr>
          <w:b w:val="0"/>
        </w:rPr>
        <w:t>II stopnia w przedziale</w:t>
      </w:r>
      <w:r w:rsidR="00BF2477">
        <w:rPr>
          <w:b w:val="0"/>
        </w:rPr>
        <w:t xml:space="preserve"> od 100% do 130% odnotowało 12,0</w:t>
      </w:r>
      <w:r w:rsidRPr="00736490">
        <w:rPr>
          <w:b w:val="0"/>
        </w:rPr>
        <w:t xml:space="preserve">% badanych </w:t>
      </w:r>
      <w:r w:rsidR="00736490" w:rsidRPr="00736490">
        <w:rPr>
          <w:b w:val="0"/>
        </w:rPr>
        <w:t>przedsiębiorstw (</w:t>
      </w:r>
      <w:r w:rsidR="00BF2477">
        <w:rPr>
          <w:b w:val="0"/>
        </w:rPr>
        <w:t>wobec 12,3</w:t>
      </w:r>
      <w:r w:rsidR="00F9478F">
        <w:rPr>
          <w:b w:val="0"/>
        </w:rPr>
        <w:t>%</w:t>
      </w:r>
      <w:r w:rsidR="00BA536A">
        <w:rPr>
          <w:b w:val="0"/>
        </w:rPr>
        <w:t xml:space="preserve"> </w:t>
      </w:r>
      <w:r w:rsidRPr="00736490">
        <w:rPr>
          <w:b w:val="0"/>
        </w:rPr>
        <w:t>przed rokiem).</w:t>
      </w:r>
    </w:p>
    <w:p w14:paraId="6927858E" w14:textId="2C89C525" w:rsidR="00BA1968" w:rsidRPr="00553C9F" w:rsidRDefault="00BA1968" w:rsidP="00BA1968">
      <w:pPr>
        <w:pStyle w:val="LID"/>
        <w:contextualSpacing/>
      </w:pPr>
      <w:r w:rsidRPr="00553C9F">
        <w:t>Wykres 2. Wskaźnik rentowności obrotu netto</w:t>
      </w:r>
    </w:p>
    <w:p w14:paraId="2C3B8AC7" w14:textId="6319D77A" w:rsidR="00BA1968" w:rsidRDefault="002C1699" w:rsidP="00BA1968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793408" behindDoc="0" locked="0" layoutInCell="1" allowOverlap="1" wp14:anchorId="56844851" wp14:editId="1A472A7D">
            <wp:simplePos x="0" y="0"/>
            <wp:positionH relativeFrom="margin">
              <wp:align>left</wp:align>
            </wp:positionH>
            <wp:positionV relativeFrom="paragraph">
              <wp:posOffset>26753</wp:posOffset>
            </wp:positionV>
            <wp:extent cx="5084445" cy="3560445"/>
            <wp:effectExtent l="0" t="0" r="1905" b="190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3560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347C73E" w14:textId="21BCCD39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73B34BEB" w14:textId="00AC7DB5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07471A1" w14:textId="58A61408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E38169D" w14:textId="565D7C94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58C858CE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1903B386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3E0AE99B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3B0B58D" w14:textId="36D1951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6D31BEAF" w14:textId="4DA055A0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86D1EF6" w14:textId="06D6C6AC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7D497FAE" w14:textId="5B1D57D0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7B43EE2" w14:textId="213F7E33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8DD2391" w14:textId="6309B11E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6AA45BF" w14:textId="6427D44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D428296" w14:textId="782F43FD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B9871EF" w14:textId="3D49DDCC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3257B591" w14:textId="4761213C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69DD4A0C" w14:textId="38D1EBA9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696EAE69" w14:textId="380670E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5625DC3E" w14:textId="7CCB9FDF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57F1829" w14:textId="48728874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77CE8401" w14:textId="26E2E0D2" w:rsidR="00BA1968" w:rsidRPr="005E4242" w:rsidRDefault="00BA1968" w:rsidP="00BA1968">
      <w:pPr>
        <w:pStyle w:val="LID"/>
        <w:contextualSpacing/>
        <w:rPr>
          <w:sz w:val="18"/>
          <w:szCs w:val="18"/>
        </w:rPr>
      </w:pPr>
    </w:p>
    <w:p w14:paraId="48AB1386" w14:textId="28F58F70" w:rsidR="00BA1968" w:rsidRDefault="00BA1968" w:rsidP="00BA1968">
      <w:pPr>
        <w:pStyle w:val="LID"/>
        <w:contextualSpacing/>
      </w:pPr>
    </w:p>
    <w:p w14:paraId="2AA7E20E" w14:textId="46892CB8" w:rsidR="005B6111" w:rsidRDefault="00BA1968" w:rsidP="00600561">
      <w:pPr>
        <w:pStyle w:val="LID"/>
        <w:spacing w:line="288" w:lineRule="auto"/>
        <w:contextualSpacing/>
        <w:rPr>
          <w:b w:val="0"/>
        </w:rPr>
      </w:pPr>
      <w:r w:rsidRPr="00A9459D">
        <w:rPr>
          <w:b w:val="0"/>
        </w:rPr>
        <w:t xml:space="preserve">W strukturze rodzajowej kosztów ogółem zwiększył się udział </w:t>
      </w:r>
      <w:r w:rsidR="001706F1" w:rsidRPr="00A9459D">
        <w:rPr>
          <w:b w:val="0"/>
        </w:rPr>
        <w:t>wynagrodzeń</w:t>
      </w:r>
      <w:r w:rsidR="005B6111">
        <w:rPr>
          <w:b w:val="0"/>
        </w:rPr>
        <w:t xml:space="preserve"> </w:t>
      </w:r>
      <w:r w:rsidR="00DA432B">
        <w:rPr>
          <w:b w:val="0"/>
        </w:rPr>
        <w:t>(o 2,0 p. proc.), usług obcych (o 1,7</w:t>
      </w:r>
      <w:r w:rsidR="006946B9">
        <w:rPr>
          <w:b w:val="0"/>
        </w:rPr>
        <w:t xml:space="preserve"> p. proc.), </w:t>
      </w:r>
      <w:r w:rsidR="00040632" w:rsidRPr="005641B7">
        <w:rPr>
          <w:b w:val="0"/>
        </w:rPr>
        <w:t>ubezpieczeń społecznych i innych świadczeń</w:t>
      </w:r>
      <w:r w:rsidR="00040632">
        <w:rPr>
          <w:b w:val="0"/>
        </w:rPr>
        <w:t xml:space="preserve"> oraz pozostałych kosztów rodzajowych (po 0,6 p. proc.), </w:t>
      </w:r>
      <w:r w:rsidR="00040632" w:rsidRPr="005641B7">
        <w:rPr>
          <w:b w:val="0"/>
        </w:rPr>
        <w:t>podatkó</w:t>
      </w:r>
      <w:r w:rsidR="00040632">
        <w:rPr>
          <w:b w:val="0"/>
        </w:rPr>
        <w:t xml:space="preserve">w i opłat oraz amortyzacji (po 0,4 p. proc.). </w:t>
      </w:r>
      <w:r w:rsidR="000E7C5A" w:rsidRPr="00A9459D">
        <w:rPr>
          <w:b w:val="0"/>
        </w:rPr>
        <w:t>Zmniejszył się udział</w:t>
      </w:r>
      <w:r w:rsidR="000E7C5A">
        <w:rPr>
          <w:b w:val="0"/>
        </w:rPr>
        <w:t xml:space="preserve"> zużycia materiałów</w:t>
      </w:r>
      <w:r w:rsidR="000E7C5A" w:rsidRPr="00A9459D">
        <w:rPr>
          <w:b w:val="0"/>
        </w:rPr>
        <w:t xml:space="preserve"> (</w:t>
      </w:r>
      <w:r w:rsidR="00DA432B">
        <w:rPr>
          <w:b w:val="0"/>
        </w:rPr>
        <w:t>o 5,2</w:t>
      </w:r>
      <w:r w:rsidR="006946B9">
        <w:rPr>
          <w:b w:val="0"/>
        </w:rPr>
        <w:t xml:space="preserve"> p. pr</w:t>
      </w:r>
      <w:r w:rsidR="00DA432B">
        <w:rPr>
          <w:b w:val="0"/>
        </w:rPr>
        <w:t>oc.) oraz zużycia energii (o 0,5</w:t>
      </w:r>
      <w:r w:rsidR="006946B9">
        <w:rPr>
          <w:b w:val="0"/>
        </w:rPr>
        <w:t xml:space="preserve"> p. proc.).</w:t>
      </w:r>
    </w:p>
    <w:p w14:paraId="602073DE" w14:textId="487EA534" w:rsidR="00BA1968" w:rsidRDefault="00BA1968" w:rsidP="00BA1968">
      <w:pPr>
        <w:pStyle w:val="LID"/>
        <w:contextualSpacing/>
      </w:pPr>
    </w:p>
    <w:p w14:paraId="5809FF43" w14:textId="65CB5D1C" w:rsidR="00BA1968" w:rsidRPr="00553C9F" w:rsidRDefault="00BA1968" w:rsidP="00BA1968">
      <w:pPr>
        <w:pStyle w:val="LID"/>
        <w:contextualSpacing/>
      </w:pPr>
      <w:r w:rsidRPr="00553C9F">
        <w:t>Wykres 3. Struktura kosztów rodzajowych w</w:t>
      </w:r>
      <w:r w:rsidR="00200E19">
        <w:t xml:space="preserve"> </w:t>
      </w:r>
      <w:r w:rsidR="00EB6532">
        <w:t>1 półroczu</w:t>
      </w:r>
      <w:r w:rsidR="00EC0527">
        <w:t xml:space="preserve"> </w:t>
      </w:r>
      <w:r w:rsidR="00BC58FB">
        <w:t>2024</w:t>
      </w:r>
      <w:r w:rsidRPr="00553C9F">
        <w:t xml:space="preserve"> roku</w:t>
      </w:r>
    </w:p>
    <w:p w14:paraId="12929199" w14:textId="10671C4F" w:rsidR="00BA1968" w:rsidRDefault="00F869C1" w:rsidP="00BA1968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792384" behindDoc="0" locked="0" layoutInCell="1" allowOverlap="1" wp14:anchorId="77E874CF" wp14:editId="0315345B">
            <wp:simplePos x="0" y="0"/>
            <wp:positionH relativeFrom="margin">
              <wp:align>left</wp:align>
            </wp:positionH>
            <wp:positionV relativeFrom="paragraph">
              <wp:posOffset>135255</wp:posOffset>
            </wp:positionV>
            <wp:extent cx="5096510" cy="3450590"/>
            <wp:effectExtent l="0" t="0" r="8890" b="0"/>
            <wp:wrapNone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510" cy="3450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E84F69" w14:textId="1FAECFD0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3A3B24CB" w14:textId="7A63564E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9FF5BB0" w14:textId="05018D7C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46D1D8B" w14:textId="19FCDCF1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9133697" w14:textId="281CCFC9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121F135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E2F5A7D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9AF5E41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7BFAC38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7F3EBA8E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487CE1A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8FA804F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D190768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143DD6CF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3667541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CACFEFA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3BE97CA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1D1C120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6EAD0ED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195DE7F2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297EC35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594D770F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BDD5112" w14:textId="77777777" w:rsidR="00BA1968" w:rsidRDefault="00BA1968" w:rsidP="00BA1968">
      <w:pPr>
        <w:pStyle w:val="LID"/>
        <w:contextualSpacing/>
      </w:pPr>
    </w:p>
    <w:p w14:paraId="447BD21E" w14:textId="77777777" w:rsidR="00BA1968" w:rsidRDefault="00BA1968" w:rsidP="00BA1968">
      <w:pPr>
        <w:pStyle w:val="LID"/>
        <w:contextualSpacing/>
      </w:pPr>
    </w:p>
    <w:p w14:paraId="275C52AA" w14:textId="4A381F3B" w:rsidR="00E40D45" w:rsidRPr="007F48B8" w:rsidRDefault="0089543A" w:rsidP="00AB4FBD">
      <w:pPr>
        <w:pStyle w:val="LID"/>
        <w:rPr>
          <w:b w:val="0"/>
        </w:rPr>
      </w:pPr>
      <w:r>
        <w:rPr>
          <w:b w:val="0"/>
        </w:rPr>
        <w:lastRenderedPageBreak/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070CA320" wp14:editId="4395D5D7">
                <wp:simplePos x="0" y="0"/>
                <wp:positionH relativeFrom="page">
                  <wp:posOffset>5733415</wp:posOffset>
                </wp:positionH>
                <wp:positionV relativeFrom="paragraph">
                  <wp:posOffset>1168400</wp:posOffset>
                </wp:positionV>
                <wp:extent cx="1609725" cy="1066800"/>
                <wp:effectExtent l="0" t="0" r="0" b="0"/>
                <wp:wrapSquare wrapText="bothSides"/>
                <wp:docPr id="29" name="Pole tekstowe 2" descr="Odnotowano spadek nakładów inwestycyjnych badanych przedsiębiorstw o 5,5% w stosunku do 1 półrocza 2023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632EC" w14:textId="7A7D3E17" w:rsidR="00E40D45" w:rsidRDefault="00665D9F" w:rsidP="00E40D45"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Odnotowano spadek</w:t>
                            </w:r>
                            <w:r w:rsidR="00E40D45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nakładów inwestycyjnych</w:t>
                            </w:r>
                            <w:r w:rsidR="00E40D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badanych przedsiębiorstw</w:t>
                            </w:r>
                            <w:r w:rsidR="00E40D45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 </w:t>
                            </w:r>
                            <w:r w:rsidR="0012490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5,5</w:t>
                            </w:r>
                            <w:r w:rsidR="0053462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 w stosunku do</w:t>
                            </w:r>
                            <w:r w:rsidR="008A5D4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D776F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1 półrocza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2023</w:t>
                            </w:r>
                            <w:r w:rsidR="00E40D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0CA320" id="_x0000_s1029" type="#_x0000_t202" alt="Odnotowano spadek nakładów inwestycyjnych badanych przedsiębiorstw o 5,5% w stosunku do 1 półrocza 2023 roku" style="position:absolute;margin-left:451.45pt;margin-top:92pt;width:126.75pt;height:84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" filled="f" stroked="f">
                <v:textbox>
                  <w:txbxContent>
                    <w:p w14:paraId="308632EC" w14:textId="7A7D3E17" w:rsidR="00E40D45" w:rsidRDefault="00665D9F" w:rsidP="00E40D45"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Odnotowano spadek</w:t>
                      </w:r>
                      <w:r w:rsidR="00E40D45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nakładów inwestycyjnych</w:t>
                      </w:r>
                      <w:r w:rsidR="00E40D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badanych przedsiębiorstw</w:t>
                      </w:r>
                      <w:r w:rsidR="00E40D45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 </w:t>
                      </w:r>
                      <w:r w:rsidR="0012490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5,5</w:t>
                      </w:r>
                      <w:r w:rsidR="0053462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 w stosunku do</w:t>
                      </w:r>
                      <w:r w:rsidR="008A5D4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D776F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1 półrocza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2023</w:t>
                      </w:r>
                      <w:r w:rsidR="00E40D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roku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40D45" w:rsidRPr="008C358E">
        <w:rPr>
          <w:b w:val="0"/>
        </w:rPr>
        <w:t>Z grupy przeds</w:t>
      </w:r>
      <w:r w:rsidR="00363492">
        <w:rPr>
          <w:b w:val="0"/>
        </w:rPr>
        <w:t xml:space="preserve">iębiorstw objętych badaniem </w:t>
      </w:r>
      <w:r w:rsidR="00661FD4">
        <w:rPr>
          <w:b w:val="0"/>
        </w:rPr>
        <w:t>53,9</w:t>
      </w:r>
      <w:r w:rsidR="00E40D45" w:rsidRPr="008C358E">
        <w:rPr>
          <w:b w:val="0"/>
        </w:rPr>
        <w:t>% wykazało</w:t>
      </w:r>
      <w:r w:rsidR="00363492">
        <w:rPr>
          <w:b w:val="0"/>
        </w:rPr>
        <w:t xml:space="preserve"> w</w:t>
      </w:r>
      <w:r w:rsidR="00661FD4">
        <w:rPr>
          <w:b w:val="0"/>
        </w:rPr>
        <w:t xml:space="preserve"> 1 półroczu</w:t>
      </w:r>
      <w:r w:rsidR="00E40D45">
        <w:rPr>
          <w:b w:val="0"/>
        </w:rPr>
        <w:t xml:space="preserve"> </w:t>
      </w:r>
      <w:r w:rsidR="00400163">
        <w:rPr>
          <w:b w:val="0"/>
        </w:rPr>
        <w:t>2024</w:t>
      </w:r>
      <w:r w:rsidR="00E40D45" w:rsidRPr="008C358E">
        <w:rPr>
          <w:b w:val="0"/>
        </w:rPr>
        <w:t xml:space="preserve"> roku przychody netto ze sprzedaży produktów, towarów i m</w:t>
      </w:r>
      <w:r w:rsidR="00661FD4">
        <w:rPr>
          <w:b w:val="0"/>
        </w:rPr>
        <w:t>ateriałów na eksport (wobec 53,8</w:t>
      </w:r>
      <w:r w:rsidR="00E40D45" w:rsidRPr="008C358E">
        <w:rPr>
          <w:b w:val="0"/>
        </w:rPr>
        <w:t>% rok wcześniej).</w:t>
      </w:r>
      <w:r w:rsidR="00E40D45">
        <w:rPr>
          <w:b w:val="0"/>
        </w:rPr>
        <w:t xml:space="preserve"> </w:t>
      </w:r>
      <w:r w:rsidR="00E40D45" w:rsidRPr="00E2185D">
        <w:rPr>
          <w:b w:val="0"/>
        </w:rPr>
        <w:t>Poziom przychodów ze sprzedaży na eksport</w:t>
      </w:r>
      <w:r w:rsidR="00661FD4">
        <w:rPr>
          <w:b w:val="0"/>
        </w:rPr>
        <w:t xml:space="preserve"> był o 8,7</w:t>
      </w:r>
      <w:r w:rsidR="00E40D45" w:rsidRPr="00E2185D">
        <w:rPr>
          <w:b w:val="0"/>
        </w:rPr>
        <w:t xml:space="preserve">% </w:t>
      </w:r>
      <w:r w:rsidR="00722C74">
        <w:rPr>
          <w:b w:val="0"/>
        </w:rPr>
        <w:t>ni</w:t>
      </w:r>
      <w:r w:rsidR="00E40D45" w:rsidRPr="00E2185D">
        <w:rPr>
          <w:b w:val="0"/>
        </w:rPr>
        <w:t>ższy niż</w:t>
      </w:r>
      <w:r w:rsidR="00E40D45">
        <w:rPr>
          <w:b w:val="0"/>
        </w:rPr>
        <w:t xml:space="preserve"> rok wcześniej</w:t>
      </w:r>
      <w:r w:rsidR="00E40D45" w:rsidRPr="00E2185D">
        <w:rPr>
          <w:b w:val="0"/>
        </w:rPr>
        <w:t>. Udział tych przychodów w przychodach netto ze sprzedaży produktów, towarów i materiałów ogółu badan</w:t>
      </w:r>
      <w:r w:rsidR="00E40D45">
        <w:rPr>
          <w:b w:val="0"/>
        </w:rPr>
        <w:t>yc</w:t>
      </w:r>
      <w:r w:rsidR="002B04F2">
        <w:rPr>
          <w:b w:val="0"/>
        </w:rPr>
        <w:t>h podmiotó</w:t>
      </w:r>
      <w:r w:rsidR="00661FD4">
        <w:rPr>
          <w:b w:val="0"/>
        </w:rPr>
        <w:t>w zmniejszył się z 24,8% do 23,9</w:t>
      </w:r>
      <w:r w:rsidR="00E40D45" w:rsidRPr="00A67E22">
        <w:rPr>
          <w:b w:val="0"/>
        </w:rPr>
        <w:t xml:space="preserve">%. Spośród jednostek eksportujących, zysk netto wykazało </w:t>
      </w:r>
      <w:r w:rsidR="00A67E22">
        <w:rPr>
          <w:b w:val="0"/>
        </w:rPr>
        <w:t>71,6</w:t>
      </w:r>
      <w:r w:rsidR="00E40D45" w:rsidRPr="00A67E22">
        <w:rPr>
          <w:b w:val="0"/>
        </w:rPr>
        <w:t xml:space="preserve">% przedsiębiorstw wobec </w:t>
      </w:r>
      <w:r w:rsidR="001146E7" w:rsidRPr="00A67E22">
        <w:rPr>
          <w:b w:val="0"/>
        </w:rPr>
        <w:t>7</w:t>
      </w:r>
      <w:r w:rsidR="00A67E22">
        <w:rPr>
          <w:b w:val="0"/>
        </w:rPr>
        <w:t>7,5</w:t>
      </w:r>
      <w:r w:rsidR="00E40D45" w:rsidRPr="00A67E22">
        <w:rPr>
          <w:b w:val="0"/>
        </w:rPr>
        <w:t>% przed rokiem. Podstawowe relacje ekonomiczno-finansowe eksporterów</w:t>
      </w:r>
      <w:r w:rsidR="00D55DD3" w:rsidRPr="00A67E22">
        <w:rPr>
          <w:b w:val="0"/>
        </w:rPr>
        <w:t xml:space="preserve"> </w:t>
      </w:r>
      <w:r w:rsidR="00AB3BF7" w:rsidRPr="00A67E22">
        <w:rPr>
          <w:b w:val="0"/>
        </w:rPr>
        <w:t xml:space="preserve">uległy pogorszeniu i były </w:t>
      </w:r>
      <w:r w:rsidR="00C501DD">
        <w:rPr>
          <w:b w:val="0"/>
        </w:rPr>
        <w:t>słabsze od</w:t>
      </w:r>
      <w:r w:rsidR="00AB3BF7" w:rsidRPr="00A67E22">
        <w:rPr>
          <w:b w:val="0"/>
        </w:rPr>
        <w:t xml:space="preserve"> </w:t>
      </w:r>
      <w:r w:rsidR="00E40D45" w:rsidRPr="00A67E22">
        <w:rPr>
          <w:b w:val="0"/>
        </w:rPr>
        <w:t>ogółu badanych przedsiębiorstw.</w:t>
      </w:r>
    </w:p>
    <w:p w14:paraId="1BDC0FD0" w14:textId="4936CFA1" w:rsidR="00E40D45" w:rsidRPr="007F48B8" w:rsidRDefault="007F71DE" w:rsidP="00AB4FBD">
      <w:pPr>
        <w:pStyle w:val="LID"/>
        <w:rPr>
          <w:b w:val="0"/>
        </w:rPr>
      </w:pPr>
      <w:r>
        <w:rPr>
          <w:b w:val="0"/>
        </w:rPr>
        <w:t>Nakłady</w:t>
      </w:r>
      <w:r w:rsidR="00375A14" w:rsidRPr="00375A14">
        <w:rPr>
          <w:b w:val="0"/>
        </w:rPr>
        <w:t xml:space="preserve"> </w:t>
      </w:r>
      <w:r w:rsidR="00F4541D" w:rsidRPr="00F4541D">
        <w:rPr>
          <w:b w:val="0"/>
        </w:rPr>
        <w:t>inwest</w:t>
      </w:r>
      <w:r w:rsidR="00F4541D">
        <w:rPr>
          <w:b w:val="0"/>
        </w:rPr>
        <w:t>ycyjne badanych przedsiębiorstw</w:t>
      </w:r>
      <w:r w:rsidR="00F4541D" w:rsidRPr="00F4541D">
        <w:rPr>
          <w:b w:val="0"/>
        </w:rPr>
        <w:t xml:space="preserve"> w 1 półroczu br. wyniosły 87,6 mld zł i były (w cenach stałych) o 5,5% niższe niż przed rokiem (w 1 półroczu ub. roku odnotowano wzrost o 10,4%). Nakłady na budynki i budowle zmniejszyły się o 12,6% (wobec wzrostu przed ro</w:t>
      </w:r>
      <w:r w:rsidR="00F4541D">
        <w:rPr>
          <w:b w:val="0"/>
        </w:rPr>
        <w:t>kiem o 2,0%). Nakłady na zakupy</w:t>
      </w:r>
      <w:r w:rsidR="00F4541D" w:rsidRPr="00F4541D">
        <w:rPr>
          <w:b w:val="0"/>
        </w:rPr>
        <w:t xml:space="preserve"> obniżyły się o 1,3%, w tym na maszyny, urządzenia techniczne i narzędzia – o 2,2% (wobec wzrostu przed rokiem o 14,1%), natomiast na środki transportu – wzrosły o 0,9% (wobec wzrostu przed rokiem o 19,7%).</w:t>
      </w:r>
    </w:p>
    <w:p w14:paraId="227CE102" w14:textId="676C857E" w:rsidR="00BA1968" w:rsidRPr="007F48B8" w:rsidRDefault="00D5328F" w:rsidP="00AB4FBD">
      <w:pPr>
        <w:rPr>
          <w:rFonts w:eastAsia="Times New Roman" w:cs="Times New Roman"/>
          <w:b/>
          <w:szCs w:val="19"/>
          <w:lang w:eastAsia="pl-PL"/>
        </w:rPr>
      </w:pPr>
      <w:r w:rsidRPr="00D5328F">
        <w:t xml:space="preserve">Wzrost nakładów (w cenach bieżących) notowano m.in. w działalności profesjonalnej, naukowej i technicznej (o 119,1% wobec wzrostu przed rokiem o 5,0%), w budownictwie (o 20,0% wobec wzrostu przed rokiem o 50,7%) oraz w górnictwie i wydobywaniu (o 12,9% wobec wzrostu przed rokiem o 64,5%). Spadek nakładów notowano m.in. w transporcie i gospodarce magazynowej (o 27,2% wobec wzrostu przed rokiem o 7,6%), w obsłudze rynku nieruchomości (o 15,7% wobec wzrostu </w:t>
      </w:r>
      <w:r w:rsidR="0038653E">
        <w:t xml:space="preserve">przed rokiem </w:t>
      </w:r>
      <w:r w:rsidRPr="00D5328F">
        <w:t xml:space="preserve">o 14,0%), w informacji i komunikacji (o 14,6% wobec wzrostu przed rokiem o 1,0%), w dostawie wody; gospodarowaniu ściekami i odpadami, rekultywacji (o 9,9% wobec wzrostu przed rokiem o 3,6%), w wytwarzaniu i zaopatrywaniu w energię elektryczną, gaz, parę wodną i gorącą wodę (o 9,2% wobec wzrostu przed rokiem o 55,2%) oraz w przetwórstwie przemysłowym (o 6,4% wobec wzrostu </w:t>
      </w:r>
      <w:r w:rsidR="0038653E">
        <w:t xml:space="preserve">przed rokiem </w:t>
      </w:r>
      <w:r w:rsidRPr="00D5328F">
        <w:t>o 16,3%).</w:t>
      </w:r>
    </w:p>
    <w:p w14:paraId="1C663285" w14:textId="77777777" w:rsidR="007F7A8F" w:rsidRPr="00553C9F" w:rsidRDefault="007F7A8F" w:rsidP="007F7A8F">
      <w:pPr>
        <w:pStyle w:val="LID"/>
        <w:ind w:left="851" w:hanging="851"/>
        <w:contextualSpacing/>
      </w:pPr>
      <w:r w:rsidRPr="007F48B8">
        <w:t>Wykres 4. Dynamika nakładów inwestycyjnych – wzrost</w:t>
      </w:r>
      <w:r w:rsidRPr="00553C9F">
        <w:t>/spadek w stosunku do analogicznego okresu roku poprzedniego</w:t>
      </w:r>
    </w:p>
    <w:p w14:paraId="2BD0D7BA" w14:textId="69F184D9" w:rsidR="00BA1968" w:rsidRDefault="00A63DEF" w:rsidP="00216634">
      <w:pPr>
        <w:spacing w:line="288" w:lineRule="auto"/>
        <w:rPr>
          <w:rFonts w:eastAsia="Times New Roman" w:cs="Times New Roman"/>
          <w:b/>
          <w:noProof/>
          <w:szCs w:val="19"/>
          <w:lang w:eastAsia="pl-PL"/>
        </w:rPr>
      </w:pPr>
      <w:r>
        <w:rPr>
          <w:rFonts w:eastAsia="Times New Roman" w:cs="Times New Roman"/>
          <w:b/>
          <w:noProof/>
          <w:szCs w:val="19"/>
          <w:lang w:eastAsia="pl-PL"/>
        </w:rPr>
        <w:drawing>
          <wp:inline distT="0" distB="0" distL="0" distR="0" wp14:anchorId="364A11C6" wp14:editId="7CC34315">
            <wp:extent cx="5090795" cy="3084830"/>
            <wp:effectExtent l="0" t="0" r="0" b="127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795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4ACF40" w14:textId="37F59AFB" w:rsidR="00BA1968" w:rsidRDefault="009E4D7B" w:rsidP="008821B2">
      <w:pPr>
        <w:rPr>
          <w:rFonts w:eastAsia="Times New Roman" w:cs="Times New Roman"/>
          <w:szCs w:val="19"/>
          <w:lang w:eastAsia="pl-PL"/>
        </w:rPr>
      </w:pPr>
      <w:r w:rsidRPr="009E4D7B">
        <w:rPr>
          <w:rFonts w:eastAsia="Times New Roman" w:cs="Times New Roman"/>
          <w:szCs w:val="19"/>
          <w:lang w:eastAsia="pl-PL"/>
        </w:rPr>
        <w:t>Dane prezentowane w ninie</w:t>
      </w:r>
      <w:r w:rsidR="00C37602">
        <w:rPr>
          <w:rFonts w:eastAsia="Times New Roman" w:cs="Times New Roman"/>
          <w:szCs w:val="19"/>
          <w:lang w:eastAsia="pl-PL"/>
        </w:rPr>
        <w:t xml:space="preserve">jszym opracowaniu </w:t>
      </w:r>
      <w:r w:rsidR="00AF5213">
        <w:rPr>
          <w:rFonts w:eastAsia="Times New Roman" w:cs="Times New Roman"/>
          <w:szCs w:val="19"/>
          <w:lang w:eastAsia="pl-PL"/>
        </w:rPr>
        <w:t>dotyczą 17</w:t>
      </w:r>
      <w:r w:rsidR="005E24B5">
        <w:rPr>
          <w:rFonts w:eastAsia="Times New Roman" w:cs="Times New Roman"/>
          <w:szCs w:val="19"/>
          <w:lang w:eastAsia="pl-PL"/>
        </w:rPr>
        <w:t xml:space="preserve"> </w:t>
      </w:r>
      <w:r w:rsidR="00AF5213">
        <w:rPr>
          <w:rFonts w:eastAsia="Times New Roman" w:cs="Times New Roman"/>
          <w:szCs w:val="19"/>
          <w:lang w:eastAsia="pl-PL"/>
        </w:rPr>
        <w:t>251</w:t>
      </w:r>
      <w:r w:rsidRPr="009E4D7B">
        <w:rPr>
          <w:rFonts w:eastAsia="Times New Roman" w:cs="Times New Roman"/>
          <w:szCs w:val="19"/>
          <w:lang w:eastAsia="pl-PL"/>
        </w:rPr>
        <w:t xml:space="preserve"> przedsiębiorstw niefinansowych (jednostek prawnych) prowadzących księgi rachunkowe, w których liczba pracujących wynosi 50 i więcej osób. Dane nie obejmują rolnictwa, leśnictwa, łowiectwa i rybactwa (sekcja A według PKD 2007); działalności finansowej i ubezpieczeniowej (sekcja K według PKD 2007); szkół wyższych; samodzielnych publicznych zakładów opieki zdrowotnej; instytucji kultury posiadających osobowość prawną oraz związków zawodowych, organizacji religijnych i politycznych</w:t>
      </w:r>
      <w:r>
        <w:rPr>
          <w:rFonts w:eastAsia="Times New Roman" w:cs="Times New Roman"/>
          <w:szCs w:val="19"/>
          <w:lang w:eastAsia="pl-PL"/>
        </w:rPr>
        <w:t>.</w:t>
      </w:r>
    </w:p>
    <w:p w14:paraId="537C6358" w14:textId="6038A60D" w:rsidR="009E4D7B" w:rsidRPr="009E4D7B" w:rsidRDefault="009E4D7B" w:rsidP="009E4D7B">
      <w:pPr>
        <w:rPr>
          <w:rFonts w:eastAsia="Times New Roman" w:cs="Times New Roman"/>
          <w:szCs w:val="19"/>
          <w:lang w:eastAsia="pl-PL"/>
        </w:rPr>
      </w:pPr>
      <w:r w:rsidRPr="009E4D7B">
        <w:rPr>
          <w:rFonts w:eastAsia="Times New Roman" w:cs="Times New Roman"/>
          <w:szCs w:val="19"/>
          <w:lang w:eastAsia="pl-PL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3C222B0C" w14:textId="77777777" w:rsidR="00DA331D" w:rsidRPr="00523AD1" w:rsidRDefault="00DA331D" w:rsidP="00DA331D">
      <w:pPr>
        <w:spacing w:before="360"/>
        <w:rPr>
          <w:sz w:val="18"/>
        </w:rPr>
        <w:sectPr w:rsidR="00DA331D" w:rsidRPr="00523AD1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196D0BDA" w14:textId="77777777" w:rsidTr="00B84C43">
        <w:trPr>
          <w:trHeight w:val="1626"/>
        </w:trPr>
        <w:tc>
          <w:tcPr>
            <w:tcW w:w="4926" w:type="dxa"/>
          </w:tcPr>
          <w:p w14:paraId="05DA311F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E9B29DC" w14:textId="59519330" w:rsidR="00DE2400" w:rsidRPr="008925F0" w:rsidRDefault="00DE2400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925F0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EA6761">
              <w:rPr>
                <w:rFonts w:cs="Arial"/>
                <w:b/>
                <w:color w:val="000000" w:themeColor="text1"/>
                <w:sz w:val="20"/>
              </w:rPr>
              <w:t>Przedsięb</w:t>
            </w:r>
            <w:r w:rsidR="00B92903">
              <w:rPr>
                <w:rFonts w:cs="Arial"/>
                <w:b/>
                <w:color w:val="000000" w:themeColor="text1"/>
                <w:sz w:val="20"/>
              </w:rPr>
              <w:t>iorstw</w:t>
            </w:r>
          </w:p>
          <w:p w14:paraId="41A1AE38" w14:textId="44ED81F6" w:rsidR="00DE2400" w:rsidRPr="00DE2400" w:rsidRDefault="00DE2400" w:rsidP="00747B8C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B92903">
              <w:rPr>
                <w:b/>
                <w:lang w:val="fi-FI"/>
              </w:rPr>
              <w:t>Katarzyna Walkowska</w:t>
            </w:r>
          </w:p>
          <w:p w14:paraId="5425F0B4" w14:textId="7060B347" w:rsidR="00DE2400" w:rsidRPr="00AB24E4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="00B929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31 25</w:t>
            </w:r>
          </w:p>
        </w:tc>
        <w:tc>
          <w:tcPr>
            <w:tcW w:w="4927" w:type="dxa"/>
          </w:tcPr>
          <w:p w14:paraId="5299494D" w14:textId="77777777" w:rsidR="00CD320E" w:rsidRDefault="00DE2400" w:rsidP="00CD320E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="00CD320E">
              <w:rPr>
                <w:rFonts w:cs="Arial"/>
                <w:b/>
                <w:sz w:val="20"/>
              </w:rPr>
              <w:t>Wydział Współpracy z Mediami</w:t>
            </w:r>
          </w:p>
          <w:p w14:paraId="5D9DDE05" w14:textId="77777777" w:rsidR="00CD320E" w:rsidRDefault="00CD320E" w:rsidP="00CD320E">
            <w:r>
              <w:t>Tel. komórkowy: +48 695 255 032</w:t>
            </w:r>
          </w:p>
          <w:p w14:paraId="0C5B57DC" w14:textId="77777777" w:rsidR="00CD320E" w:rsidRDefault="00CD320E" w:rsidP="00CD320E">
            <w:pPr>
              <w:ind w:left="1494" w:hanging="1494"/>
            </w:pPr>
            <w:r>
              <w:t>Tel. stacjonarne: +48 22 608 38 04, +48 22 449 41 45,     +48 22 608 30 09</w:t>
            </w:r>
          </w:p>
          <w:p w14:paraId="5C5B201B" w14:textId="0E7E37D1" w:rsidR="00CD320E" w:rsidRDefault="00CD320E" w:rsidP="00CD320E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8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3CC62B04" w14:textId="1887971E" w:rsidR="00CD320E" w:rsidRPr="00CD320E" w:rsidRDefault="00CD320E" w:rsidP="00CD320E"/>
        </w:tc>
      </w:tr>
      <w:tr w:rsidR="00DE2400" w14:paraId="28647E7C" w14:textId="77777777" w:rsidTr="00B84C43">
        <w:trPr>
          <w:trHeight w:val="418"/>
        </w:trPr>
        <w:tc>
          <w:tcPr>
            <w:tcW w:w="4926" w:type="dxa"/>
            <w:vMerge w:val="restart"/>
          </w:tcPr>
          <w:p w14:paraId="076C640B" w14:textId="41EB318B" w:rsidR="00CD320E" w:rsidRPr="00F01205" w:rsidRDefault="00CD320E" w:rsidP="00CD320E">
            <w:pPr>
              <w:rPr>
                <w:sz w:val="18"/>
                <w:lang w:val="fr-FR"/>
              </w:rPr>
            </w:pPr>
            <w:r w:rsidRPr="00F01205">
              <w:rPr>
                <w:sz w:val="18"/>
                <w:lang w:val="fr-FR"/>
              </w:rPr>
              <w:t xml:space="preserve"> </w:t>
            </w:r>
          </w:p>
          <w:p w14:paraId="07C73DA1" w14:textId="50A82A77" w:rsidR="00DE2400" w:rsidRPr="00F01205" w:rsidRDefault="00DE2400" w:rsidP="00747B8C">
            <w:pPr>
              <w:rPr>
                <w:sz w:val="18"/>
                <w:lang w:val="fr-FR"/>
              </w:rPr>
            </w:pPr>
          </w:p>
        </w:tc>
        <w:tc>
          <w:tcPr>
            <w:tcW w:w="4927" w:type="dxa"/>
            <w:vAlign w:val="center"/>
          </w:tcPr>
          <w:p w14:paraId="01941133" w14:textId="709BB15D" w:rsidR="00DE2400" w:rsidRDefault="00DE2400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704A9D1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</w:p>
        </w:tc>
      </w:tr>
      <w:tr w:rsidR="00A031F5" w14:paraId="36A99721" w14:textId="77777777" w:rsidTr="00B84C43">
        <w:trPr>
          <w:trHeight w:val="418"/>
        </w:trPr>
        <w:tc>
          <w:tcPr>
            <w:tcW w:w="4926" w:type="dxa"/>
            <w:vMerge/>
          </w:tcPr>
          <w:p w14:paraId="3255344A" w14:textId="77777777" w:rsidR="00A031F5" w:rsidRPr="00C91687" w:rsidRDefault="00A031F5" w:rsidP="00A031F5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9C3C6AD" w14:textId="46021B16" w:rsidR="00A031F5" w:rsidRDefault="00A031F5" w:rsidP="00A031F5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59D602EB" wp14:editId="023AC8BE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A031F5" w14:paraId="549C3B1C" w14:textId="77777777" w:rsidTr="00B84C43">
        <w:trPr>
          <w:trHeight w:val="476"/>
        </w:trPr>
        <w:tc>
          <w:tcPr>
            <w:tcW w:w="4926" w:type="dxa"/>
            <w:vMerge/>
          </w:tcPr>
          <w:p w14:paraId="231798A1" w14:textId="77777777" w:rsidR="00A031F5" w:rsidRPr="00C91687" w:rsidRDefault="00A031F5" w:rsidP="00A031F5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723B51E1" w:rsidR="00A031F5" w:rsidRDefault="00A031F5" w:rsidP="00A031F5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68C123F7" wp14:editId="548DA50E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31873" w14:paraId="4884FF26" w14:textId="77777777" w:rsidTr="00B84C43">
        <w:trPr>
          <w:trHeight w:val="426"/>
        </w:trPr>
        <w:tc>
          <w:tcPr>
            <w:tcW w:w="4926" w:type="dxa"/>
          </w:tcPr>
          <w:p w14:paraId="282131AD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C7B7D5C" w14:textId="5165892B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0C16ECD2" wp14:editId="5495C90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531873" w14:paraId="2C7A5D68" w14:textId="77777777" w:rsidTr="00B84C43">
        <w:trPr>
          <w:trHeight w:val="504"/>
        </w:trPr>
        <w:tc>
          <w:tcPr>
            <w:tcW w:w="4926" w:type="dxa"/>
          </w:tcPr>
          <w:p w14:paraId="627AA41B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5F67F32" w14:textId="6D0277E9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0FC606A4" wp14:editId="448A684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531873" w14:paraId="373CEFAE" w14:textId="77777777" w:rsidTr="00B84C43">
        <w:trPr>
          <w:trHeight w:val="1546"/>
        </w:trPr>
        <w:tc>
          <w:tcPr>
            <w:tcW w:w="4926" w:type="dxa"/>
          </w:tcPr>
          <w:p w14:paraId="7F9FD058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108BCBA" w14:textId="01C12363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033A47C4" wp14:editId="5DFF71A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1873" w:rsidRPr="00F93103" w14:paraId="385E56CC" w14:textId="77777777" w:rsidTr="00B84C43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8948A60" w14:textId="4752F018" w:rsidR="00FD1E89" w:rsidRDefault="00531873" w:rsidP="00FD1E89">
            <w:pPr>
              <w:shd w:val="clear" w:color="auto" w:fill="D9D9D9" w:themeFill="background1" w:themeFillShade="D9"/>
            </w:pPr>
            <w:r w:rsidRPr="00210B1C">
              <w:rPr>
                <w:b/>
              </w:rPr>
              <w:t>Powiązane opracowania</w:t>
            </w:r>
          </w:p>
          <w:p w14:paraId="3D42CCCE" w14:textId="539ED4D0" w:rsidR="00FD1E89" w:rsidRPr="00FA5E94" w:rsidRDefault="00E93580" w:rsidP="00FD1E89">
            <w:pPr>
              <w:rPr>
                <w:rStyle w:val="Hipercze"/>
                <w:rFonts w:cs="Arial"/>
                <w:sz w:val="18"/>
                <w:szCs w:val="18"/>
                <w:shd w:val="clear" w:color="auto" w:fill="F0F0F0"/>
              </w:rPr>
            </w:pPr>
            <w:hyperlink r:id="rId25" w:tooltip="Biuletyn Statystyczny" w:history="1">
              <w:r w:rsidR="00FD1E89" w:rsidRPr="00FA5E94">
                <w:rPr>
                  <w:rStyle w:val="Hipercze"/>
                  <w:sz w:val="18"/>
                  <w:szCs w:val="18"/>
                </w:rPr>
                <w:t>Biuletyn Statystyczny</w:t>
              </w:r>
            </w:hyperlink>
          </w:p>
          <w:p w14:paraId="46B7CD8F" w14:textId="2BAC8427" w:rsidR="00FD1E89" w:rsidRPr="00FA5E94" w:rsidRDefault="00E93580" w:rsidP="00FA6A83">
            <w:pPr>
              <w:rPr>
                <w:sz w:val="18"/>
                <w:szCs w:val="18"/>
              </w:rPr>
            </w:pPr>
            <w:hyperlink r:id="rId26" w:tooltip="Informacja o sytuacji społeczno-gospodarczej kraju" w:history="1">
              <w:r w:rsidR="00FD1E89" w:rsidRPr="00FA5E94">
                <w:rPr>
                  <w:rStyle w:val="Hipercze"/>
                  <w:sz w:val="18"/>
                  <w:szCs w:val="18"/>
                </w:rPr>
                <w:t>Informacja o sytuacji społeczno-gospodarczej kraju</w:t>
              </w:r>
            </w:hyperlink>
          </w:p>
          <w:p w14:paraId="1455AECF" w14:textId="02A47692" w:rsidR="00FD1E89" w:rsidRPr="00FA5E94" w:rsidRDefault="00E93580" w:rsidP="001628E4">
            <w:pPr>
              <w:rPr>
                <w:sz w:val="18"/>
                <w:szCs w:val="18"/>
              </w:rPr>
            </w:pPr>
            <w:hyperlink r:id="rId27" w:tooltip="Informacje sygnalne. Wyniki finansowe przedsiębiorstw niefinansowych" w:history="1">
              <w:r w:rsidR="00FD1E89" w:rsidRPr="00FA5E94">
                <w:rPr>
                  <w:rStyle w:val="Hipercze"/>
                  <w:sz w:val="18"/>
                  <w:szCs w:val="18"/>
                </w:rPr>
                <w:t>Informacje sygnalne. Wyniki finansowe przedsiębiorstw niefinansowych</w:t>
              </w:r>
            </w:hyperlink>
          </w:p>
          <w:p w14:paraId="7D9034BF" w14:textId="01974044" w:rsidR="00FD1E89" w:rsidRPr="00FA5E94" w:rsidRDefault="00E93580" w:rsidP="001628E4">
            <w:pPr>
              <w:rPr>
                <w:sz w:val="18"/>
                <w:szCs w:val="18"/>
              </w:rPr>
            </w:pPr>
            <w:hyperlink r:id="rId28" w:tooltip="Zeszyt metodologiczny. Badania przedsiębiorstw niefinansowych" w:history="1">
              <w:r w:rsidR="00FD1E89" w:rsidRPr="00FA5E94">
                <w:rPr>
                  <w:rStyle w:val="Hipercze"/>
                  <w:sz w:val="18"/>
                  <w:szCs w:val="18"/>
                </w:rPr>
                <w:t>Zeszyt metodologiczny. Badania przedsiębiorstw niefinansowych</w:t>
              </w:r>
            </w:hyperlink>
          </w:p>
          <w:p w14:paraId="55DA24D0" w14:textId="0BA40879" w:rsidR="00FA5E94" w:rsidRDefault="00531873" w:rsidP="00FA5E94">
            <w:pPr>
              <w:shd w:val="clear" w:color="auto" w:fill="D9D9D9" w:themeFill="background1" w:themeFillShade="D9"/>
              <w:spacing w:before="360"/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74525852" w14:textId="3534A8CD" w:rsidR="00FA5E94" w:rsidRPr="00FA5E94" w:rsidRDefault="00E93580" w:rsidP="00FA5E94">
            <w:pPr>
              <w:rPr>
                <w:sz w:val="18"/>
                <w:szCs w:val="18"/>
              </w:rPr>
            </w:pPr>
            <w:hyperlink r:id="rId29" w:tooltip="Bank Danych Lokalnych (BDL)" w:history="1">
              <w:r w:rsidR="00FA5E94" w:rsidRPr="00FA5E94">
                <w:rPr>
                  <w:rStyle w:val="Hipercze"/>
                  <w:sz w:val="18"/>
                  <w:szCs w:val="18"/>
                </w:rPr>
                <w:t>Bank Danych Lokalnych (BDL)</w:t>
              </w:r>
            </w:hyperlink>
          </w:p>
          <w:p w14:paraId="16134644" w14:textId="2C21AC42" w:rsidR="00FA5E94" w:rsidRPr="00FA5E94" w:rsidRDefault="00E93580" w:rsidP="00FA5E94">
            <w:pPr>
              <w:rPr>
                <w:sz w:val="18"/>
                <w:szCs w:val="18"/>
              </w:rPr>
            </w:pPr>
            <w:hyperlink r:id="rId30" w:tooltip="Dziedzinowa Baza Wiedzy Przedsiębiorstwa Niefinansowe (DBW)" w:history="1">
              <w:r w:rsidR="00FA5E94" w:rsidRPr="00FA5E94">
                <w:rPr>
                  <w:rStyle w:val="Hipercze"/>
                  <w:sz w:val="18"/>
                  <w:szCs w:val="18"/>
                </w:rPr>
                <w:t>Dziedzinowa Baza Wiedzy Przedsiębiorstwa Niefinansowe (DBW)</w:t>
              </w:r>
            </w:hyperlink>
          </w:p>
          <w:p w14:paraId="57B767CA" w14:textId="00DD9BE1" w:rsidR="00FA5E94" w:rsidRPr="00FA5E94" w:rsidRDefault="00E93580" w:rsidP="00FA5E94">
            <w:pPr>
              <w:rPr>
                <w:sz w:val="18"/>
                <w:szCs w:val="18"/>
              </w:rPr>
            </w:pPr>
            <w:hyperlink r:id="rId31" w:tooltip="Bank Danych Makroekonomicznych" w:history="1">
              <w:r w:rsidR="00FA5E94" w:rsidRPr="00FA5E94">
                <w:rPr>
                  <w:rStyle w:val="Hipercze"/>
                  <w:sz w:val="18"/>
                  <w:szCs w:val="18"/>
                </w:rPr>
                <w:t>Bank Danych Makroekonomicznych</w:t>
              </w:r>
            </w:hyperlink>
            <w:r w:rsidR="00FA5E94" w:rsidRPr="00FA5E94">
              <w:rPr>
                <w:sz w:val="18"/>
                <w:szCs w:val="18"/>
              </w:rPr>
              <w:t xml:space="preserve"> </w:t>
            </w:r>
          </w:p>
          <w:p w14:paraId="6EC7A51E" w14:textId="00D14188" w:rsidR="00531873" w:rsidRPr="00694D63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13820B01" w14:textId="01C4F905" w:rsidR="00F93103" w:rsidRPr="008223FC" w:rsidRDefault="00E93580" w:rsidP="008223FC">
            <w:pPr>
              <w:rPr>
                <w:color w:val="0000FF"/>
                <w:sz w:val="18"/>
                <w:szCs w:val="18"/>
              </w:rPr>
            </w:pPr>
            <w:hyperlink r:id="rId32" w:tooltip="Przychody ogółem (przychody z całokształtu działalności)" w:history="1">
              <w:r w:rsidR="00F93103" w:rsidRPr="008223FC">
                <w:rPr>
                  <w:rStyle w:val="Hipercze"/>
                  <w:sz w:val="18"/>
                  <w:szCs w:val="18"/>
                </w:rPr>
                <w:t>Przychody ogółem (przychody z całokształtu działalności</w:t>
              </w:r>
            </w:hyperlink>
            <w:r w:rsidR="00F93103" w:rsidRPr="008223FC">
              <w:rPr>
                <w:color w:val="0000FF"/>
                <w:sz w:val="18"/>
                <w:szCs w:val="18"/>
              </w:rPr>
              <w:t>)</w:t>
            </w:r>
          </w:p>
          <w:p w14:paraId="7EECDDB5" w14:textId="4A7BCC90" w:rsidR="00F93103" w:rsidRPr="001D388C" w:rsidRDefault="00A96E59" w:rsidP="00A96E59">
            <w:pPr>
              <w:rPr>
                <w:rStyle w:val="Hipercze"/>
                <w:rFonts w:cstheme="minorBidi"/>
                <w:sz w:val="18"/>
                <w:szCs w:val="18"/>
              </w:rPr>
            </w:pPr>
            <w:r w:rsidRPr="001D388C">
              <w:rPr>
                <w:color w:val="0000FF"/>
                <w:sz w:val="18"/>
                <w:szCs w:val="18"/>
              </w:rPr>
              <w:fldChar w:fldCharType="begin"/>
            </w:r>
            <w:r w:rsidR="00C94432">
              <w:rPr>
                <w:color w:val="0000FF"/>
                <w:sz w:val="18"/>
                <w:szCs w:val="18"/>
              </w:rPr>
              <w:instrText>HYPERLINK "http://stat.gov.pl/metainformacje/slownik-pojec/pojecia-stosowane-w-statystyce-publicznej/158,pojecie.html" \o "Koszty ogółem (koszty uzyskania przychodów z całokształtu działalności)"</w:instrText>
            </w:r>
            <w:r w:rsidRPr="001D388C">
              <w:rPr>
                <w:color w:val="0000FF"/>
                <w:sz w:val="18"/>
                <w:szCs w:val="18"/>
              </w:rPr>
              <w:fldChar w:fldCharType="separate"/>
            </w:r>
            <w:r w:rsidR="00F93103" w:rsidRPr="001D388C">
              <w:rPr>
                <w:rStyle w:val="Hipercze"/>
                <w:rFonts w:cstheme="minorBidi"/>
                <w:sz w:val="18"/>
                <w:szCs w:val="18"/>
              </w:rPr>
              <w:t>Koszty ogółem (</w:t>
            </w:r>
            <w:r w:rsidR="00F93103" w:rsidRPr="001D388C">
              <w:rPr>
                <w:rStyle w:val="Hipercze"/>
                <w:sz w:val="18"/>
                <w:szCs w:val="18"/>
              </w:rPr>
              <w:t>koszty uzyskania przychodów z całokształtu działalności</w:t>
            </w:r>
            <w:r w:rsidR="00F93103" w:rsidRPr="001D388C">
              <w:rPr>
                <w:rStyle w:val="Hipercze"/>
                <w:rFonts w:cstheme="minorBidi"/>
                <w:sz w:val="18"/>
                <w:szCs w:val="18"/>
              </w:rPr>
              <w:t>)</w:t>
            </w:r>
          </w:p>
          <w:p w14:paraId="6002595F" w14:textId="47627593" w:rsidR="00F93103" w:rsidRPr="00F93103" w:rsidRDefault="00A96E59" w:rsidP="00F93103">
            <w:pPr>
              <w:rPr>
                <w:sz w:val="18"/>
                <w:szCs w:val="18"/>
              </w:rPr>
            </w:pPr>
            <w:r w:rsidRPr="001D388C">
              <w:rPr>
                <w:color w:val="0000FF"/>
                <w:sz w:val="18"/>
                <w:szCs w:val="18"/>
              </w:rPr>
              <w:fldChar w:fldCharType="end"/>
            </w:r>
            <w:hyperlink r:id="rId33" w:tooltip="Wynik finansowy brutto" w:history="1">
              <w:r w:rsidR="00F93103" w:rsidRPr="00F93103">
                <w:rPr>
                  <w:rStyle w:val="Hipercze"/>
                  <w:sz w:val="18"/>
                  <w:szCs w:val="18"/>
                </w:rPr>
                <w:t>Wynik finansowy brutto</w:t>
              </w:r>
            </w:hyperlink>
          </w:p>
          <w:p w14:paraId="552B6BA6" w14:textId="0D56C563" w:rsidR="00F93103" w:rsidRPr="00F93103" w:rsidRDefault="00E93580" w:rsidP="00F93103">
            <w:pPr>
              <w:rPr>
                <w:sz w:val="18"/>
                <w:szCs w:val="18"/>
              </w:rPr>
            </w:pPr>
            <w:hyperlink r:id="rId34" w:tooltip="Wynik finansowy netto" w:history="1">
              <w:r w:rsidR="00F93103" w:rsidRPr="00F93103">
                <w:rPr>
                  <w:rStyle w:val="Hipercze"/>
                  <w:sz w:val="18"/>
                  <w:szCs w:val="18"/>
                </w:rPr>
                <w:t>Wynik finansowy netto</w:t>
              </w:r>
            </w:hyperlink>
          </w:p>
          <w:p w14:paraId="7DCDACD9" w14:textId="58A2BFDE" w:rsidR="00F93103" w:rsidRPr="00F93103" w:rsidRDefault="00E93580" w:rsidP="00F93103">
            <w:pPr>
              <w:rPr>
                <w:sz w:val="18"/>
                <w:szCs w:val="18"/>
              </w:rPr>
            </w:pPr>
            <w:hyperlink r:id="rId35" w:tooltip="Wskaźnik poziomu kosztów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poziomu kosztów</w:t>
              </w:r>
            </w:hyperlink>
          </w:p>
          <w:p w14:paraId="566CF019" w14:textId="44F53D95" w:rsidR="00F93103" w:rsidRPr="00F93103" w:rsidRDefault="00E93580" w:rsidP="00F93103">
            <w:pPr>
              <w:rPr>
                <w:sz w:val="18"/>
                <w:szCs w:val="18"/>
              </w:rPr>
            </w:pPr>
            <w:hyperlink r:id="rId36" w:tooltip="Wskaźnik rentowności obrotu brutto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rentowności obrotu brutto</w:t>
              </w:r>
            </w:hyperlink>
          </w:p>
          <w:p w14:paraId="2C43E53F" w14:textId="2B0E56F9" w:rsidR="00F93103" w:rsidRPr="00F93103" w:rsidRDefault="00E93580" w:rsidP="00F93103">
            <w:pPr>
              <w:rPr>
                <w:sz w:val="18"/>
                <w:szCs w:val="18"/>
              </w:rPr>
            </w:pPr>
            <w:hyperlink r:id="rId37" w:tooltip="Wskaźnik rentowności obrotu netto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rentowności obrotu netto</w:t>
              </w:r>
            </w:hyperlink>
          </w:p>
          <w:p w14:paraId="43BE6685" w14:textId="04F75646" w:rsidR="00F93103" w:rsidRPr="00F93103" w:rsidRDefault="00E93580" w:rsidP="00F93103">
            <w:pPr>
              <w:rPr>
                <w:sz w:val="18"/>
                <w:szCs w:val="18"/>
              </w:rPr>
            </w:pPr>
            <w:hyperlink r:id="rId38" w:tooltip="Wskaźnik płynności finansowej I stopnia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płynności finansowej I stopnia</w:t>
              </w:r>
            </w:hyperlink>
          </w:p>
          <w:p w14:paraId="7A6FE4D7" w14:textId="10DDB2DE" w:rsidR="00F93103" w:rsidRPr="00F93103" w:rsidRDefault="00E93580" w:rsidP="00F93103">
            <w:pPr>
              <w:rPr>
                <w:sz w:val="18"/>
                <w:szCs w:val="18"/>
              </w:rPr>
            </w:pPr>
            <w:hyperlink r:id="rId39" w:tooltip="Wskaźnik płynności finansowej II stopnia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płynności finansowej II stopnia</w:t>
              </w:r>
            </w:hyperlink>
          </w:p>
          <w:p w14:paraId="31AAF4DB" w14:textId="0ECBAE54" w:rsidR="00F93103" w:rsidRPr="00F93103" w:rsidRDefault="00E93580" w:rsidP="00F93103">
            <w:pPr>
              <w:rPr>
                <w:sz w:val="18"/>
                <w:szCs w:val="18"/>
              </w:rPr>
            </w:pPr>
            <w:hyperlink r:id="rId40" w:tooltip="Nakłady inwestycyjne" w:history="1">
              <w:r w:rsidR="00F93103" w:rsidRPr="00F93103">
                <w:rPr>
                  <w:rStyle w:val="Hipercze"/>
                  <w:sz w:val="18"/>
                  <w:szCs w:val="18"/>
                </w:rPr>
                <w:t>Nakłady inwestycyjne</w:t>
              </w:r>
            </w:hyperlink>
          </w:p>
          <w:p w14:paraId="59EB7117" w14:textId="77777777" w:rsidR="00531873" w:rsidRPr="00F93103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7C19EFAE" w14:textId="5AAD912C" w:rsidR="00D261A2" w:rsidRPr="00F93103" w:rsidRDefault="00D261A2" w:rsidP="00AD0E56">
      <w:pPr>
        <w:rPr>
          <w:sz w:val="18"/>
        </w:rPr>
      </w:pPr>
    </w:p>
    <w:sectPr w:rsidR="00D261A2" w:rsidRPr="00F93103" w:rsidSect="003B18B6">
      <w:headerReference w:type="default" r:id="rId41"/>
      <w:footerReference w:type="default" r:id="rId4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0DB1C1" w14:textId="77777777" w:rsidR="00E93580" w:rsidRDefault="00E93580" w:rsidP="000662E2">
      <w:pPr>
        <w:spacing w:after="0" w:line="240" w:lineRule="auto"/>
      </w:pPr>
      <w:r>
        <w:separator/>
      </w:r>
    </w:p>
  </w:endnote>
  <w:endnote w:type="continuationSeparator" w:id="0">
    <w:p w14:paraId="10EF9002" w14:textId="77777777" w:rsidR="00E93580" w:rsidRDefault="00E9358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580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580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580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28952" w14:textId="77777777" w:rsidR="00E93580" w:rsidRDefault="00E93580" w:rsidP="000662E2">
      <w:pPr>
        <w:spacing w:after="0" w:line="240" w:lineRule="auto"/>
      </w:pPr>
      <w:r>
        <w:separator/>
      </w:r>
    </w:p>
  </w:footnote>
  <w:footnote w:type="continuationSeparator" w:id="0">
    <w:p w14:paraId="75168E21" w14:textId="77777777" w:rsidR="00E93580" w:rsidRDefault="00E93580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03DCE83E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34D8C" w14:textId="66F013EC"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390F1D18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F7ED3C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F37172" w:rsidRPr="003C6C8D" w:rsidRDefault="00F37172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9BCBEE3" id="Schemat blokowy: opóźnienie 6" o:spid="_x0000_s1030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F37172" w:rsidRPr="003C6C8D" w:rsidRDefault="00F37172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E74FC4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14:paraId="5DF2C6CE" w14:textId="57EF9372" w:rsidR="00540C5C" w:rsidRDefault="00540C5C">
    <w:pPr>
      <w:pStyle w:val="Nagwek"/>
      <w:rPr>
        <w:noProof/>
        <w:lang w:eastAsia="pl-PL"/>
      </w:rPr>
    </w:pPr>
  </w:p>
  <w:p w14:paraId="45C1A999" w14:textId="77777777" w:rsidR="00540C5C" w:rsidRDefault="00540C5C">
    <w:pPr>
      <w:pStyle w:val="Nagwek"/>
      <w:rPr>
        <w:noProof/>
        <w:lang w:eastAsia="pl-PL"/>
      </w:rPr>
    </w:pPr>
  </w:p>
  <w:p w14:paraId="3194277A" w14:textId="5E6F66AE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7D22DF2E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6.08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5C636F47" w:rsidR="00F37172" w:rsidRPr="00A01B40" w:rsidRDefault="007758D4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686CEC">
                            <w:t>6.08</w:t>
                          </w:r>
                          <w:r w:rsidR="00E765D5">
                            <w:t>.2024</w:t>
                          </w:r>
                          <w:r w:rsidR="00DE6B58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6.08.2024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" filled="f" stroked="f">
              <v:textbox>
                <w:txbxContent>
                  <w:p w14:paraId="71967FEA" w14:textId="5C636F47" w:rsidR="00F37172" w:rsidRPr="00A01B40" w:rsidRDefault="007758D4" w:rsidP="00F049AB">
                    <w:pPr>
                      <w:pStyle w:val="Datainformacjisygnalnej"/>
                    </w:pPr>
                    <w:r>
                      <w:t>2</w:t>
                    </w:r>
                    <w:r w:rsidR="00686CEC">
                      <w:t>6.08</w:t>
                    </w:r>
                    <w:r w:rsidR="00E765D5">
                      <w:t>.2024</w:t>
                    </w:r>
                    <w:r w:rsidR="00DE6B58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85pt;height:1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85pt;height:12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360A"/>
    <w:rsid w:val="00004112"/>
    <w:rsid w:val="0000709F"/>
    <w:rsid w:val="000108B8"/>
    <w:rsid w:val="000122CF"/>
    <w:rsid w:val="000152F5"/>
    <w:rsid w:val="000171CF"/>
    <w:rsid w:val="00022056"/>
    <w:rsid w:val="0002274D"/>
    <w:rsid w:val="00023F4D"/>
    <w:rsid w:val="00040632"/>
    <w:rsid w:val="0004582E"/>
    <w:rsid w:val="000470AA"/>
    <w:rsid w:val="00050EF3"/>
    <w:rsid w:val="000545E7"/>
    <w:rsid w:val="000547D4"/>
    <w:rsid w:val="00057CA1"/>
    <w:rsid w:val="0006389B"/>
    <w:rsid w:val="000647A9"/>
    <w:rsid w:val="00065FF6"/>
    <w:rsid w:val="000662E2"/>
    <w:rsid w:val="00066883"/>
    <w:rsid w:val="000677E1"/>
    <w:rsid w:val="00071B39"/>
    <w:rsid w:val="0007228D"/>
    <w:rsid w:val="00074DD8"/>
    <w:rsid w:val="00075759"/>
    <w:rsid w:val="00076158"/>
    <w:rsid w:val="00077EE1"/>
    <w:rsid w:val="000806F7"/>
    <w:rsid w:val="00085739"/>
    <w:rsid w:val="00090180"/>
    <w:rsid w:val="00091B51"/>
    <w:rsid w:val="0009301E"/>
    <w:rsid w:val="0009551C"/>
    <w:rsid w:val="00097840"/>
    <w:rsid w:val="000A52D6"/>
    <w:rsid w:val="000A7803"/>
    <w:rsid w:val="000B03F9"/>
    <w:rsid w:val="000B0727"/>
    <w:rsid w:val="000B1E93"/>
    <w:rsid w:val="000B1FB4"/>
    <w:rsid w:val="000B2172"/>
    <w:rsid w:val="000B4FD1"/>
    <w:rsid w:val="000B6EE9"/>
    <w:rsid w:val="000C135D"/>
    <w:rsid w:val="000C136B"/>
    <w:rsid w:val="000C6B65"/>
    <w:rsid w:val="000C78F5"/>
    <w:rsid w:val="000D1D43"/>
    <w:rsid w:val="000D225C"/>
    <w:rsid w:val="000D2A5C"/>
    <w:rsid w:val="000D39F0"/>
    <w:rsid w:val="000E0918"/>
    <w:rsid w:val="000E1FB7"/>
    <w:rsid w:val="000E70A9"/>
    <w:rsid w:val="000E79A9"/>
    <w:rsid w:val="000E7C5A"/>
    <w:rsid w:val="000F1D9C"/>
    <w:rsid w:val="001011C3"/>
    <w:rsid w:val="001029F4"/>
    <w:rsid w:val="00103124"/>
    <w:rsid w:val="00106DA3"/>
    <w:rsid w:val="00110214"/>
    <w:rsid w:val="00110D87"/>
    <w:rsid w:val="00112263"/>
    <w:rsid w:val="00112399"/>
    <w:rsid w:val="001146E7"/>
    <w:rsid w:val="00114DB9"/>
    <w:rsid w:val="00116087"/>
    <w:rsid w:val="001161F4"/>
    <w:rsid w:val="00117711"/>
    <w:rsid w:val="00124901"/>
    <w:rsid w:val="00126A1E"/>
    <w:rsid w:val="00130296"/>
    <w:rsid w:val="00134145"/>
    <w:rsid w:val="001346D8"/>
    <w:rsid w:val="00136008"/>
    <w:rsid w:val="00136736"/>
    <w:rsid w:val="00136740"/>
    <w:rsid w:val="00136D67"/>
    <w:rsid w:val="00137D3A"/>
    <w:rsid w:val="001423B6"/>
    <w:rsid w:val="00142C8A"/>
    <w:rsid w:val="001448A7"/>
    <w:rsid w:val="00145AB6"/>
    <w:rsid w:val="001465CB"/>
    <w:rsid w:val="00146621"/>
    <w:rsid w:val="00146D29"/>
    <w:rsid w:val="001471B6"/>
    <w:rsid w:val="00147650"/>
    <w:rsid w:val="00150487"/>
    <w:rsid w:val="00150A63"/>
    <w:rsid w:val="00153044"/>
    <w:rsid w:val="00157C39"/>
    <w:rsid w:val="00160DE9"/>
    <w:rsid w:val="001617E3"/>
    <w:rsid w:val="00162325"/>
    <w:rsid w:val="001624A7"/>
    <w:rsid w:val="001628E4"/>
    <w:rsid w:val="0016538E"/>
    <w:rsid w:val="00167C3B"/>
    <w:rsid w:val="001706F1"/>
    <w:rsid w:val="001720FC"/>
    <w:rsid w:val="00172818"/>
    <w:rsid w:val="00177514"/>
    <w:rsid w:val="00180C00"/>
    <w:rsid w:val="00183708"/>
    <w:rsid w:val="00183E9E"/>
    <w:rsid w:val="00191E88"/>
    <w:rsid w:val="001951DA"/>
    <w:rsid w:val="0019780D"/>
    <w:rsid w:val="001A0234"/>
    <w:rsid w:val="001A0E5C"/>
    <w:rsid w:val="001A1039"/>
    <w:rsid w:val="001A4114"/>
    <w:rsid w:val="001A6107"/>
    <w:rsid w:val="001A6375"/>
    <w:rsid w:val="001B053D"/>
    <w:rsid w:val="001B26F9"/>
    <w:rsid w:val="001B3369"/>
    <w:rsid w:val="001B3E7F"/>
    <w:rsid w:val="001C07C3"/>
    <w:rsid w:val="001C1489"/>
    <w:rsid w:val="001C3269"/>
    <w:rsid w:val="001C445B"/>
    <w:rsid w:val="001C4DF4"/>
    <w:rsid w:val="001C7BA5"/>
    <w:rsid w:val="001D19B6"/>
    <w:rsid w:val="001D1DB4"/>
    <w:rsid w:val="001D23F1"/>
    <w:rsid w:val="001D25F9"/>
    <w:rsid w:val="001D388C"/>
    <w:rsid w:val="001D41EF"/>
    <w:rsid w:val="001D61ED"/>
    <w:rsid w:val="001D7C2E"/>
    <w:rsid w:val="001E15B3"/>
    <w:rsid w:val="001E5B2D"/>
    <w:rsid w:val="001E7332"/>
    <w:rsid w:val="001F080F"/>
    <w:rsid w:val="001F10BB"/>
    <w:rsid w:val="0020041B"/>
    <w:rsid w:val="00200E19"/>
    <w:rsid w:val="0020156C"/>
    <w:rsid w:val="002016A2"/>
    <w:rsid w:val="00202F30"/>
    <w:rsid w:val="00207B7B"/>
    <w:rsid w:val="00211583"/>
    <w:rsid w:val="00215766"/>
    <w:rsid w:val="00216634"/>
    <w:rsid w:val="002213A2"/>
    <w:rsid w:val="00223BEB"/>
    <w:rsid w:val="00230BD4"/>
    <w:rsid w:val="00233E64"/>
    <w:rsid w:val="00240D44"/>
    <w:rsid w:val="00242D31"/>
    <w:rsid w:val="00250763"/>
    <w:rsid w:val="0025481E"/>
    <w:rsid w:val="00256234"/>
    <w:rsid w:val="002574F9"/>
    <w:rsid w:val="00257D53"/>
    <w:rsid w:val="00260A32"/>
    <w:rsid w:val="00262B61"/>
    <w:rsid w:val="00262CC6"/>
    <w:rsid w:val="00263E08"/>
    <w:rsid w:val="00263FCE"/>
    <w:rsid w:val="0026446F"/>
    <w:rsid w:val="00264B8C"/>
    <w:rsid w:val="00267D9F"/>
    <w:rsid w:val="00272F9B"/>
    <w:rsid w:val="00273D09"/>
    <w:rsid w:val="00276811"/>
    <w:rsid w:val="00282699"/>
    <w:rsid w:val="002837B0"/>
    <w:rsid w:val="0028500C"/>
    <w:rsid w:val="00285054"/>
    <w:rsid w:val="00291478"/>
    <w:rsid w:val="002926DF"/>
    <w:rsid w:val="00296697"/>
    <w:rsid w:val="002979F7"/>
    <w:rsid w:val="002A151C"/>
    <w:rsid w:val="002A5B61"/>
    <w:rsid w:val="002A65A4"/>
    <w:rsid w:val="002B0472"/>
    <w:rsid w:val="002B04F2"/>
    <w:rsid w:val="002B2537"/>
    <w:rsid w:val="002B6B12"/>
    <w:rsid w:val="002C1699"/>
    <w:rsid w:val="002C21F0"/>
    <w:rsid w:val="002C4E59"/>
    <w:rsid w:val="002C567C"/>
    <w:rsid w:val="002D01DF"/>
    <w:rsid w:val="002D03BA"/>
    <w:rsid w:val="002D425F"/>
    <w:rsid w:val="002E11B7"/>
    <w:rsid w:val="002E248C"/>
    <w:rsid w:val="002E2B73"/>
    <w:rsid w:val="002E3EB3"/>
    <w:rsid w:val="002E6140"/>
    <w:rsid w:val="002E6985"/>
    <w:rsid w:val="002E71B6"/>
    <w:rsid w:val="002F2DC7"/>
    <w:rsid w:val="002F2FCD"/>
    <w:rsid w:val="002F35F6"/>
    <w:rsid w:val="002F384B"/>
    <w:rsid w:val="002F66CB"/>
    <w:rsid w:val="002F77C8"/>
    <w:rsid w:val="003032A3"/>
    <w:rsid w:val="003035F1"/>
    <w:rsid w:val="00304F22"/>
    <w:rsid w:val="00306C7C"/>
    <w:rsid w:val="00311006"/>
    <w:rsid w:val="003129CF"/>
    <w:rsid w:val="00314F86"/>
    <w:rsid w:val="0031550E"/>
    <w:rsid w:val="00317F4D"/>
    <w:rsid w:val="00322EDD"/>
    <w:rsid w:val="003235B9"/>
    <w:rsid w:val="00324C78"/>
    <w:rsid w:val="00325CDD"/>
    <w:rsid w:val="003270D2"/>
    <w:rsid w:val="00327A28"/>
    <w:rsid w:val="0033030B"/>
    <w:rsid w:val="003309FA"/>
    <w:rsid w:val="00332320"/>
    <w:rsid w:val="003325FE"/>
    <w:rsid w:val="00332AA3"/>
    <w:rsid w:val="00340972"/>
    <w:rsid w:val="00340E2C"/>
    <w:rsid w:val="0034626A"/>
    <w:rsid w:val="00347587"/>
    <w:rsid w:val="00347D72"/>
    <w:rsid w:val="00353F45"/>
    <w:rsid w:val="00357611"/>
    <w:rsid w:val="00361319"/>
    <w:rsid w:val="00363492"/>
    <w:rsid w:val="0036432A"/>
    <w:rsid w:val="00364AF9"/>
    <w:rsid w:val="00365C16"/>
    <w:rsid w:val="00367237"/>
    <w:rsid w:val="0037077F"/>
    <w:rsid w:val="00370F01"/>
    <w:rsid w:val="0037191E"/>
    <w:rsid w:val="00372411"/>
    <w:rsid w:val="00373882"/>
    <w:rsid w:val="00373F1B"/>
    <w:rsid w:val="00375A14"/>
    <w:rsid w:val="00375BB7"/>
    <w:rsid w:val="003843DB"/>
    <w:rsid w:val="00385D4F"/>
    <w:rsid w:val="0038653E"/>
    <w:rsid w:val="00391D23"/>
    <w:rsid w:val="00393761"/>
    <w:rsid w:val="00394E26"/>
    <w:rsid w:val="00396691"/>
    <w:rsid w:val="00396698"/>
    <w:rsid w:val="00397D18"/>
    <w:rsid w:val="003A1B36"/>
    <w:rsid w:val="003A3874"/>
    <w:rsid w:val="003A4407"/>
    <w:rsid w:val="003A49D1"/>
    <w:rsid w:val="003A719E"/>
    <w:rsid w:val="003B08A6"/>
    <w:rsid w:val="003B099C"/>
    <w:rsid w:val="003B1454"/>
    <w:rsid w:val="003B18B6"/>
    <w:rsid w:val="003B793A"/>
    <w:rsid w:val="003C161B"/>
    <w:rsid w:val="003C4460"/>
    <w:rsid w:val="003C59E0"/>
    <w:rsid w:val="003C655D"/>
    <w:rsid w:val="003C6962"/>
    <w:rsid w:val="003C6C8D"/>
    <w:rsid w:val="003D0D30"/>
    <w:rsid w:val="003D161F"/>
    <w:rsid w:val="003D2656"/>
    <w:rsid w:val="003D2F72"/>
    <w:rsid w:val="003D4A8F"/>
    <w:rsid w:val="003D4F7C"/>
    <w:rsid w:val="003D4F95"/>
    <w:rsid w:val="003D5F42"/>
    <w:rsid w:val="003D60A9"/>
    <w:rsid w:val="003E3C57"/>
    <w:rsid w:val="003E4367"/>
    <w:rsid w:val="003E4655"/>
    <w:rsid w:val="003E4658"/>
    <w:rsid w:val="003F47E7"/>
    <w:rsid w:val="003F4C97"/>
    <w:rsid w:val="003F666D"/>
    <w:rsid w:val="003F74C2"/>
    <w:rsid w:val="003F7993"/>
    <w:rsid w:val="003F7FE6"/>
    <w:rsid w:val="00400163"/>
    <w:rsid w:val="00400193"/>
    <w:rsid w:val="00403044"/>
    <w:rsid w:val="004038E2"/>
    <w:rsid w:val="00407264"/>
    <w:rsid w:val="00413738"/>
    <w:rsid w:val="00416EAF"/>
    <w:rsid w:val="004212E7"/>
    <w:rsid w:val="00422B20"/>
    <w:rsid w:val="00423C88"/>
    <w:rsid w:val="0042446D"/>
    <w:rsid w:val="004270BF"/>
    <w:rsid w:val="004272CA"/>
    <w:rsid w:val="00427BF8"/>
    <w:rsid w:val="00431C02"/>
    <w:rsid w:val="0043254E"/>
    <w:rsid w:val="00435E2B"/>
    <w:rsid w:val="00436653"/>
    <w:rsid w:val="00437395"/>
    <w:rsid w:val="00440316"/>
    <w:rsid w:val="00441A92"/>
    <w:rsid w:val="00445047"/>
    <w:rsid w:val="00446186"/>
    <w:rsid w:val="00446749"/>
    <w:rsid w:val="0045002B"/>
    <w:rsid w:val="00451EF6"/>
    <w:rsid w:val="00453EB7"/>
    <w:rsid w:val="00461329"/>
    <w:rsid w:val="00462193"/>
    <w:rsid w:val="00463E39"/>
    <w:rsid w:val="0046425B"/>
    <w:rsid w:val="004650FA"/>
    <w:rsid w:val="004657FC"/>
    <w:rsid w:val="00466E22"/>
    <w:rsid w:val="004677C5"/>
    <w:rsid w:val="004733F6"/>
    <w:rsid w:val="00474E69"/>
    <w:rsid w:val="00480B4F"/>
    <w:rsid w:val="004837DC"/>
    <w:rsid w:val="00483E9F"/>
    <w:rsid w:val="004850D8"/>
    <w:rsid w:val="00485A2C"/>
    <w:rsid w:val="00493E20"/>
    <w:rsid w:val="0049621B"/>
    <w:rsid w:val="004A1D19"/>
    <w:rsid w:val="004A4106"/>
    <w:rsid w:val="004B5C2A"/>
    <w:rsid w:val="004B62A1"/>
    <w:rsid w:val="004C1895"/>
    <w:rsid w:val="004C4F63"/>
    <w:rsid w:val="004C6D40"/>
    <w:rsid w:val="004D4336"/>
    <w:rsid w:val="004D5BDF"/>
    <w:rsid w:val="004E3DF0"/>
    <w:rsid w:val="004E6AA8"/>
    <w:rsid w:val="004F0AA3"/>
    <w:rsid w:val="004F0C3C"/>
    <w:rsid w:val="004F2280"/>
    <w:rsid w:val="004F23BB"/>
    <w:rsid w:val="004F63FC"/>
    <w:rsid w:val="004F7EE5"/>
    <w:rsid w:val="00502AC9"/>
    <w:rsid w:val="00505A92"/>
    <w:rsid w:val="005171F1"/>
    <w:rsid w:val="005203F1"/>
    <w:rsid w:val="00521BC3"/>
    <w:rsid w:val="00523AD1"/>
    <w:rsid w:val="0052403C"/>
    <w:rsid w:val="00531570"/>
    <w:rsid w:val="00531873"/>
    <w:rsid w:val="00533632"/>
    <w:rsid w:val="00534013"/>
    <w:rsid w:val="00534157"/>
    <w:rsid w:val="00534624"/>
    <w:rsid w:val="005356BD"/>
    <w:rsid w:val="00535DD3"/>
    <w:rsid w:val="00540C5C"/>
    <w:rsid w:val="00541E6E"/>
    <w:rsid w:val="0054251F"/>
    <w:rsid w:val="00545AA7"/>
    <w:rsid w:val="005479FE"/>
    <w:rsid w:val="005520D8"/>
    <w:rsid w:val="005530B6"/>
    <w:rsid w:val="00553C9F"/>
    <w:rsid w:val="00554191"/>
    <w:rsid w:val="00555CFB"/>
    <w:rsid w:val="00556ADB"/>
    <w:rsid w:val="00556CF1"/>
    <w:rsid w:val="00556CF6"/>
    <w:rsid w:val="005641B7"/>
    <w:rsid w:val="00564C2C"/>
    <w:rsid w:val="005654AA"/>
    <w:rsid w:val="00572449"/>
    <w:rsid w:val="00572A63"/>
    <w:rsid w:val="00573E8B"/>
    <w:rsid w:val="005762A7"/>
    <w:rsid w:val="0057774C"/>
    <w:rsid w:val="005809D0"/>
    <w:rsid w:val="00583FD0"/>
    <w:rsid w:val="0058423A"/>
    <w:rsid w:val="00587B47"/>
    <w:rsid w:val="00587CEE"/>
    <w:rsid w:val="005907AA"/>
    <w:rsid w:val="00590D7D"/>
    <w:rsid w:val="005916D7"/>
    <w:rsid w:val="0059427F"/>
    <w:rsid w:val="005A0DE6"/>
    <w:rsid w:val="005A1228"/>
    <w:rsid w:val="005A1386"/>
    <w:rsid w:val="005A2B33"/>
    <w:rsid w:val="005A3DD0"/>
    <w:rsid w:val="005A41AE"/>
    <w:rsid w:val="005A698C"/>
    <w:rsid w:val="005B2597"/>
    <w:rsid w:val="005B39F0"/>
    <w:rsid w:val="005B49A0"/>
    <w:rsid w:val="005B567F"/>
    <w:rsid w:val="005B6111"/>
    <w:rsid w:val="005C04A4"/>
    <w:rsid w:val="005C0CAC"/>
    <w:rsid w:val="005C21E4"/>
    <w:rsid w:val="005D062E"/>
    <w:rsid w:val="005D1BD8"/>
    <w:rsid w:val="005D2F6B"/>
    <w:rsid w:val="005D4795"/>
    <w:rsid w:val="005D7B3F"/>
    <w:rsid w:val="005E0799"/>
    <w:rsid w:val="005E10F9"/>
    <w:rsid w:val="005E1200"/>
    <w:rsid w:val="005E1ED0"/>
    <w:rsid w:val="005E1EF1"/>
    <w:rsid w:val="005E24B5"/>
    <w:rsid w:val="005E2D74"/>
    <w:rsid w:val="005E361F"/>
    <w:rsid w:val="005E3B1A"/>
    <w:rsid w:val="005E3B9E"/>
    <w:rsid w:val="005E6159"/>
    <w:rsid w:val="005E6FAF"/>
    <w:rsid w:val="005F45EE"/>
    <w:rsid w:val="005F5A80"/>
    <w:rsid w:val="005F70A7"/>
    <w:rsid w:val="005F7627"/>
    <w:rsid w:val="00600561"/>
    <w:rsid w:val="006044FF"/>
    <w:rsid w:val="00604509"/>
    <w:rsid w:val="00604F2C"/>
    <w:rsid w:val="00607654"/>
    <w:rsid w:val="00607CC5"/>
    <w:rsid w:val="00610153"/>
    <w:rsid w:val="0061179B"/>
    <w:rsid w:val="006125F9"/>
    <w:rsid w:val="006132C2"/>
    <w:rsid w:val="00616199"/>
    <w:rsid w:val="00621F67"/>
    <w:rsid w:val="00625810"/>
    <w:rsid w:val="00627266"/>
    <w:rsid w:val="00633014"/>
    <w:rsid w:val="0063437B"/>
    <w:rsid w:val="0064017E"/>
    <w:rsid w:val="006443F0"/>
    <w:rsid w:val="00647330"/>
    <w:rsid w:val="00651763"/>
    <w:rsid w:val="00654BB6"/>
    <w:rsid w:val="00654DD9"/>
    <w:rsid w:val="00656298"/>
    <w:rsid w:val="00660DB0"/>
    <w:rsid w:val="00661FD4"/>
    <w:rsid w:val="006638A4"/>
    <w:rsid w:val="00663A20"/>
    <w:rsid w:val="0066421C"/>
    <w:rsid w:val="00664AB5"/>
    <w:rsid w:val="00665D9F"/>
    <w:rsid w:val="006673CA"/>
    <w:rsid w:val="0067004F"/>
    <w:rsid w:val="00673C26"/>
    <w:rsid w:val="00674DE5"/>
    <w:rsid w:val="00677ACA"/>
    <w:rsid w:val="006812AF"/>
    <w:rsid w:val="00682D82"/>
    <w:rsid w:val="0068327D"/>
    <w:rsid w:val="00686CEC"/>
    <w:rsid w:val="00691534"/>
    <w:rsid w:val="00692695"/>
    <w:rsid w:val="00693880"/>
    <w:rsid w:val="006946B9"/>
    <w:rsid w:val="00694AF0"/>
    <w:rsid w:val="006954DA"/>
    <w:rsid w:val="006A4686"/>
    <w:rsid w:val="006A5F66"/>
    <w:rsid w:val="006B0E9E"/>
    <w:rsid w:val="006B2455"/>
    <w:rsid w:val="006B486D"/>
    <w:rsid w:val="006B5672"/>
    <w:rsid w:val="006B5AE4"/>
    <w:rsid w:val="006B7831"/>
    <w:rsid w:val="006C1E21"/>
    <w:rsid w:val="006C674F"/>
    <w:rsid w:val="006D1507"/>
    <w:rsid w:val="006D3C5B"/>
    <w:rsid w:val="006D3CAD"/>
    <w:rsid w:val="006D4054"/>
    <w:rsid w:val="006E02EC"/>
    <w:rsid w:val="006E0442"/>
    <w:rsid w:val="006E21CC"/>
    <w:rsid w:val="006E3AF2"/>
    <w:rsid w:val="006E3C4F"/>
    <w:rsid w:val="006E47F3"/>
    <w:rsid w:val="006E6AE4"/>
    <w:rsid w:val="006E6F41"/>
    <w:rsid w:val="006E6F4C"/>
    <w:rsid w:val="006E73E6"/>
    <w:rsid w:val="006F0BE9"/>
    <w:rsid w:val="006F0DA5"/>
    <w:rsid w:val="006F221F"/>
    <w:rsid w:val="006F3782"/>
    <w:rsid w:val="007037E7"/>
    <w:rsid w:val="00714656"/>
    <w:rsid w:val="007153E3"/>
    <w:rsid w:val="007211B1"/>
    <w:rsid w:val="00722C74"/>
    <w:rsid w:val="00722D35"/>
    <w:rsid w:val="00723C06"/>
    <w:rsid w:val="00724476"/>
    <w:rsid w:val="00725A18"/>
    <w:rsid w:val="007277DA"/>
    <w:rsid w:val="00730B7A"/>
    <w:rsid w:val="00731D27"/>
    <w:rsid w:val="00736490"/>
    <w:rsid w:val="007430E6"/>
    <w:rsid w:val="0074565A"/>
    <w:rsid w:val="00746187"/>
    <w:rsid w:val="00752289"/>
    <w:rsid w:val="00754A09"/>
    <w:rsid w:val="00757C5F"/>
    <w:rsid w:val="00762355"/>
    <w:rsid w:val="0076254F"/>
    <w:rsid w:val="00773B3B"/>
    <w:rsid w:val="0077583C"/>
    <w:rsid w:val="007758D4"/>
    <w:rsid w:val="00776427"/>
    <w:rsid w:val="007801F5"/>
    <w:rsid w:val="00782DC6"/>
    <w:rsid w:val="007839AC"/>
    <w:rsid w:val="00783CA4"/>
    <w:rsid w:val="007842FB"/>
    <w:rsid w:val="00786124"/>
    <w:rsid w:val="00787060"/>
    <w:rsid w:val="00792FA4"/>
    <w:rsid w:val="0079514B"/>
    <w:rsid w:val="00795252"/>
    <w:rsid w:val="007973C9"/>
    <w:rsid w:val="007A1BE8"/>
    <w:rsid w:val="007A2DC1"/>
    <w:rsid w:val="007A3970"/>
    <w:rsid w:val="007A58D5"/>
    <w:rsid w:val="007B58EB"/>
    <w:rsid w:val="007B6630"/>
    <w:rsid w:val="007C7D79"/>
    <w:rsid w:val="007D0869"/>
    <w:rsid w:val="007D14C4"/>
    <w:rsid w:val="007D2027"/>
    <w:rsid w:val="007D3319"/>
    <w:rsid w:val="007D335D"/>
    <w:rsid w:val="007D3B37"/>
    <w:rsid w:val="007D605C"/>
    <w:rsid w:val="007E2CD4"/>
    <w:rsid w:val="007E2D98"/>
    <w:rsid w:val="007E3010"/>
    <w:rsid w:val="007E3314"/>
    <w:rsid w:val="007E3514"/>
    <w:rsid w:val="007E4415"/>
    <w:rsid w:val="007E4B03"/>
    <w:rsid w:val="007E6E53"/>
    <w:rsid w:val="007E7211"/>
    <w:rsid w:val="007E7E95"/>
    <w:rsid w:val="007F324B"/>
    <w:rsid w:val="007F411C"/>
    <w:rsid w:val="007F48B8"/>
    <w:rsid w:val="007F4CBF"/>
    <w:rsid w:val="007F58C0"/>
    <w:rsid w:val="007F71DE"/>
    <w:rsid w:val="007F7A8F"/>
    <w:rsid w:val="0080553C"/>
    <w:rsid w:val="00805B46"/>
    <w:rsid w:val="00805DB4"/>
    <w:rsid w:val="00811368"/>
    <w:rsid w:val="00815A32"/>
    <w:rsid w:val="00820E10"/>
    <w:rsid w:val="0082105D"/>
    <w:rsid w:val="00821CD9"/>
    <w:rsid w:val="00821DA7"/>
    <w:rsid w:val="008223FC"/>
    <w:rsid w:val="0082252F"/>
    <w:rsid w:val="00823593"/>
    <w:rsid w:val="00824D0D"/>
    <w:rsid w:val="00825DC2"/>
    <w:rsid w:val="00827362"/>
    <w:rsid w:val="00827374"/>
    <w:rsid w:val="00831AE5"/>
    <w:rsid w:val="00834AD3"/>
    <w:rsid w:val="00842817"/>
    <w:rsid w:val="00843795"/>
    <w:rsid w:val="00844FAB"/>
    <w:rsid w:val="0084593E"/>
    <w:rsid w:val="00846E02"/>
    <w:rsid w:val="00846E71"/>
    <w:rsid w:val="00847F0F"/>
    <w:rsid w:val="00850751"/>
    <w:rsid w:val="00852448"/>
    <w:rsid w:val="00853F23"/>
    <w:rsid w:val="00854F2A"/>
    <w:rsid w:val="00867F32"/>
    <w:rsid w:val="00873000"/>
    <w:rsid w:val="00875E1E"/>
    <w:rsid w:val="008762BD"/>
    <w:rsid w:val="00877F6C"/>
    <w:rsid w:val="008821B2"/>
    <w:rsid w:val="0088258A"/>
    <w:rsid w:val="008834E3"/>
    <w:rsid w:val="00886332"/>
    <w:rsid w:val="0089016A"/>
    <w:rsid w:val="00890F9A"/>
    <w:rsid w:val="008925F0"/>
    <w:rsid w:val="00893ADE"/>
    <w:rsid w:val="0089448A"/>
    <w:rsid w:val="0089453F"/>
    <w:rsid w:val="00894961"/>
    <w:rsid w:val="0089543A"/>
    <w:rsid w:val="00897877"/>
    <w:rsid w:val="008A17B6"/>
    <w:rsid w:val="008A26D9"/>
    <w:rsid w:val="008A4630"/>
    <w:rsid w:val="008A5D49"/>
    <w:rsid w:val="008A73BD"/>
    <w:rsid w:val="008A7B5B"/>
    <w:rsid w:val="008A7C8C"/>
    <w:rsid w:val="008A7F75"/>
    <w:rsid w:val="008B0E9B"/>
    <w:rsid w:val="008B12D2"/>
    <w:rsid w:val="008C0C29"/>
    <w:rsid w:val="008C1CCF"/>
    <w:rsid w:val="008C2DD9"/>
    <w:rsid w:val="008C7E50"/>
    <w:rsid w:val="008D02DA"/>
    <w:rsid w:val="008D313B"/>
    <w:rsid w:val="008D5177"/>
    <w:rsid w:val="008D68DF"/>
    <w:rsid w:val="008D76BC"/>
    <w:rsid w:val="008E097C"/>
    <w:rsid w:val="008E6E90"/>
    <w:rsid w:val="008E70E9"/>
    <w:rsid w:val="008E782E"/>
    <w:rsid w:val="008E7DBA"/>
    <w:rsid w:val="008F0829"/>
    <w:rsid w:val="008F1ED8"/>
    <w:rsid w:val="008F35EB"/>
    <w:rsid w:val="008F3638"/>
    <w:rsid w:val="008F4441"/>
    <w:rsid w:val="008F56BD"/>
    <w:rsid w:val="008F5B8A"/>
    <w:rsid w:val="008F6B20"/>
    <w:rsid w:val="008F6F31"/>
    <w:rsid w:val="008F7414"/>
    <w:rsid w:val="008F74DF"/>
    <w:rsid w:val="008F7A89"/>
    <w:rsid w:val="00902274"/>
    <w:rsid w:val="009060BE"/>
    <w:rsid w:val="0091012C"/>
    <w:rsid w:val="009127A6"/>
    <w:rsid w:val="009127BA"/>
    <w:rsid w:val="009145CF"/>
    <w:rsid w:val="009153F7"/>
    <w:rsid w:val="009157C4"/>
    <w:rsid w:val="0092013C"/>
    <w:rsid w:val="00920935"/>
    <w:rsid w:val="00920AAE"/>
    <w:rsid w:val="009227A6"/>
    <w:rsid w:val="00923B3A"/>
    <w:rsid w:val="0092777D"/>
    <w:rsid w:val="009278C4"/>
    <w:rsid w:val="0093019B"/>
    <w:rsid w:val="00933EC1"/>
    <w:rsid w:val="009446AD"/>
    <w:rsid w:val="00945B28"/>
    <w:rsid w:val="009472EF"/>
    <w:rsid w:val="0095003E"/>
    <w:rsid w:val="00950796"/>
    <w:rsid w:val="009524AB"/>
    <w:rsid w:val="009530DB"/>
    <w:rsid w:val="00953676"/>
    <w:rsid w:val="00953E79"/>
    <w:rsid w:val="00956F30"/>
    <w:rsid w:val="00961210"/>
    <w:rsid w:val="0096263D"/>
    <w:rsid w:val="0096690E"/>
    <w:rsid w:val="00966C9A"/>
    <w:rsid w:val="009705EE"/>
    <w:rsid w:val="00971F43"/>
    <w:rsid w:val="00976AC9"/>
    <w:rsid w:val="0097711E"/>
    <w:rsid w:val="00977927"/>
    <w:rsid w:val="0098135C"/>
    <w:rsid w:val="0098156A"/>
    <w:rsid w:val="009819BE"/>
    <w:rsid w:val="00991BAC"/>
    <w:rsid w:val="009929D5"/>
    <w:rsid w:val="009950C6"/>
    <w:rsid w:val="00996BED"/>
    <w:rsid w:val="0099757D"/>
    <w:rsid w:val="009A2927"/>
    <w:rsid w:val="009A63AF"/>
    <w:rsid w:val="009A6EA0"/>
    <w:rsid w:val="009B1484"/>
    <w:rsid w:val="009B4B76"/>
    <w:rsid w:val="009B5572"/>
    <w:rsid w:val="009B56A5"/>
    <w:rsid w:val="009B7F8F"/>
    <w:rsid w:val="009C1335"/>
    <w:rsid w:val="009C1AB2"/>
    <w:rsid w:val="009C3C29"/>
    <w:rsid w:val="009C4A79"/>
    <w:rsid w:val="009C58FF"/>
    <w:rsid w:val="009C5FD8"/>
    <w:rsid w:val="009C61B6"/>
    <w:rsid w:val="009C7251"/>
    <w:rsid w:val="009D05F6"/>
    <w:rsid w:val="009E2E91"/>
    <w:rsid w:val="009E3427"/>
    <w:rsid w:val="009E3BFF"/>
    <w:rsid w:val="009E4516"/>
    <w:rsid w:val="009E4D7B"/>
    <w:rsid w:val="009E5988"/>
    <w:rsid w:val="009F1580"/>
    <w:rsid w:val="009F33A8"/>
    <w:rsid w:val="00A01B40"/>
    <w:rsid w:val="00A01D40"/>
    <w:rsid w:val="00A031F5"/>
    <w:rsid w:val="00A033EC"/>
    <w:rsid w:val="00A03BD3"/>
    <w:rsid w:val="00A04526"/>
    <w:rsid w:val="00A05BC0"/>
    <w:rsid w:val="00A06450"/>
    <w:rsid w:val="00A070F2"/>
    <w:rsid w:val="00A12EAC"/>
    <w:rsid w:val="00A139F5"/>
    <w:rsid w:val="00A144A0"/>
    <w:rsid w:val="00A159F5"/>
    <w:rsid w:val="00A20B1F"/>
    <w:rsid w:val="00A22B05"/>
    <w:rsid w:val="00A26BE1"/>
    <w:rsid w:val="00A32E16"/>
    <w:rsid w:val="00A365F4"/>
    <w:rsid w:val="00A438FA"/>
    <w:rsid w:val="00A47D80"/>
    <w:rsid w:val="00A53132"/>
    <w:rsid w:val="00A563F2"/>
    <w:rsid w:val="00A566E8"/>
    <w:rsid w:val="00A63DEF"/>
    <w:rsid w:val="00A656A7"/>
    <w:rsid w:val="00A66347"/>
    <w:rsid w:val="00A67E22"/>
    <w:rsid w:val="00A71B63"/>
    <w:rsid w:val="00A756D0"/>
    <w:rsid w:val="00A810F9"/>
    <w:rsid w:val="00A82D31"/>
    <w:rsid w:val="00A85E7E"/>
    <w:rsid w:val="00A86ECC"/>
    <w:rsid w:val="00A86FBE"/>
    <w:rsid w:val="00A86FCC"/>
    <w:rsid w:val="00A90A6D"/>
    <w:rsid w:val="00A90C27"/>
    <w:rsid w:val="00A92070"/>
    <w:rsid w:val="00A938D5"/>
    <w:rsid w:val="00A94CB6"/>
    <w:rsid w:val="00A96E59"/>
    <w:rsid w:val="00A971E5"/>
    <w:rsid w:val="00AA1F7D"/>
    <w:rsid w:val="00AA710D"/>
    <w:rsid w:val="00AB1529"/>
    <w:rsid w:val="00AB163E"/>
    <w:rsid w:val="00AB3BF7"/>
    <w:rsid w:val="00AB4FBD"/>
    <w:rsid w:val="00AB64F3"/>
    <w:rsid w:val="00AB675D"/>
    <w:rsid w:val="00AB6B93"/>
    <w:rsid w:val="00AB6D25"/>
    <w:rsid w:val="00AB737E"/>
    <w:rsid w:val="00AD0E56"/>
    <w:rsid w:val="00AD1712"/>
    <w:rsid w:val="00AD7D05"/>
    <w:rsid w:val="00AE02BB"/>
    <w:rsid w:val="00AE1A1C"/>
    <w:rsid w:val="00AE1AC8"/>
    <w:rsid w:val="00AE21A9"/>
    <w:rsid w:val="00AE229B"/>
    <w:rsid w:val="00AE2D4B"/>
    <w:rsid w:val="00AE3D6B"/>
    <w:rsid w:val="00AE4F99"/>
    <w:rsid w:val="00AF5213"/>
    <w:rsid w:val="00B00C56"/>
    <w:rsid w:val="00B03B2C"/>
    <w:rsid w:val="00B0695A"/>
    <w:rsid w:val="00B10993"/>
    <w:rsid w:val="00B119E8"/>
    <w:rsid w:val="00B11B69"/>
    <w:rsid w:val="00B12205"/>
    <w:rsid w:val="00B14349"/>
    <w:rsid w:val="00B14952"/>
    <w:rsid w:val="00B16871"/>
    <w:rsid w:val="00B17CDE"/>
    <w:rsid w:val="00B2287E"/>
    <w:rsid w:val="00B2368A"/>
    <w:rsid w:val="00B25067"/>
    <w:rsid w:val="00B25B45"/>
    <w:rsid w:val="00B31E5A"/>
    <w:rsid w:val="00B32F30"/>
    <w:rsid w:val="00B34D0E"/>
    <w:rsid w:val="00B41803"/>
    <w:rsid w:val="00B423D1"/>
    <w:rsid w:val="00B44E2C"/>
    <w:rsid w:val="00B47359"/>
    <w:rsid w:val="00B47DE7"/>
    <w:rsid w:val="00B50BCA"/>
    <w:rsid w:val="00B52640"/>
    <w:rsid w:val="00B54A91"/>
    <w:rsid w:val="00B56E7C"/>
    <w:rsid w:val="00B61841"/>
    <w:rsid w:val="00B61BD5"/>
    <w:rsid w:val="00B653AB"/>
    <w:rsid w:val="00B65F9E"/>
    <w:rsid w:val="00B66B19"/>
    <w:rsid w:val="00B67BFF"/>
    <w:rsid w:val="00B67C6F"/>
    <w:rsid w:val="00B7386E"/>
    <w:rsid w:val="00B7572E"/>
    <w:rsid w:val="00B762AC"/>
    <w:rsid w:val="00B81EC1"/>
    <w:rsid w:val="00B84320"/>
    <w:rsid w:val="00B84C43"/>
    <w:rsid w:val="00B8626A"/>
    <w:rsid w:val="00B90BDB"/>
    <w:rsid w:val="00B914E9"/>
    <w:rsid w:val="00B92903"/>
    <w:rsid w:val="00B935C9"/>
    <w:rsid w:val="00B956EE"/>
    <w:rsid w:val="00B962CB"/>
    <w:rsid w:val="00B97589"/>
    <w:rsid w:val="00BA0078"/>
    <w:rsid w:val="00BA1968"/>
    <w:rsid w:val="00BA2BA1"/>
    <w:rsid w:val="00BA3447"/>
    <w:rsid w:val="00BA3562"/>
    <w:rsid w:val="00BA372C"/>
    <w:rsid w:val="00BA536A"/>
    <w:rsid w:val="00BA75E2"/>
    <w:rsid w:val="00BB062C"/>
    <w:rsid w:val="00BB4BF3"/>
    <w:rsid w:val="00BB4F09"/>
    <w:rsid w:val="00BB54B5"/>
    <w:rsid w:val="00BB5F38"/>
    <w:rsid w:val="00BB79E6"/>
    <w:rsid w:val="00BC049B"/>
    <w:rsid w:val="00BC0891"/>
    <w:rsid w:val="00BC1B0E"/>
    <w:rsid w:val="00BC2717"/>
    <w:rsid w:val="00BC3D97"/>
    <w:rsid w:val="00BC58FB"/>
    <w:rsid w:val="00BD1051"/>
    <w:rsid w:val="00BD45FD"/>
    <w:rsid w:val="00BD4E33"/>
    <w:rsid w:val="00BD6CE9"/>
    <w:rsid w:val="00BE2213"/>
    <w:rsid w:val="00BE4524"/>
    <w:rsid w:val="00BE5C69"/>
    <w:rsid w:val="00BF0619"/>
    <w:rsid w:val="00BF0E3F"/>
    <w:rsid w:val="00BF21F6"/>
    <w:rsid w:val="00BF2477"/>
    <w:rsid w:val="00BF35B3"/>
    <w:rsid w:val="00C030DE"/>
    <w:rsid w:val="00C051A8"/>
    <w:rsid w:val="00C11C57"/>
    <w:rsid w:val="00C138B5"/>
    <w:rsid w:val="00C16BFF"/>
    <w:rsid w:val="00C178DB"/>
    <w:rsid w:val="00C22105"/>
    <w:rsid w:val="00C22A86"/>
    <w:rsid w:val="00C244B6"/>
    <w:rsid w:val="00C2587F"/>
    <w:rsid w:val="00C27BF1"/>
    <w:rsid w:val="00C33EE9"/>
    <w:rsid w:val="00C3702F"/>
    <w:rsid w:val="00C37602"/>
    <w:rsid w:val="00C37793"/>
    <w:rsid w:val="00C44B3D"/>
    <w:rsid w:val="00C4500A"/>
    <w:rsid w:val="00C464AF"/>
    <w:rsid w:val="00C501DD"/>
    <w:rsid w:val="00C5077C"/>
    <w:rsid w:val="00C52613"/>
    <w:rsid w:val="00C54145"/>
    <w:rsid w:val="00C57012"/>
    <w:rsid w:val="00C572B8"/>
    <w:rsid w:val="00C60599"/>
    <w:rsid w:val="00C62238"/>
    <w:rsid w:val="00C6351A"/>
    <w:rsid w:val="00C64A37"/>
    <w:rsid w:val="00C7158E"/>
    <w:rsid w:val="00C7250B"/>
    <w:rsid w:val="00C7346B"/>
    <w:rsid w:val="00C77C0E"/>
    <w:rsid w:val="00C81C45"/>
    <w:rsid w:val="00C86901"/>
    <w:rsid w:val="00C91149"/>
    <w:rsid w:val="00C91687"/>
    <w:rsid w:val="00C924A8"/>
    <w:rsid w:val="00C94432"/>
    <w:rsid w:val="00C945FE"/>
    <w:rsid w:val="00C96ECF"/>
    <w:rsid w:val="00C96FAA"/>
    <w:rsid w:val="00C97129"/>
    <w:rsid w:val="00C975EB"/>
    <w:rsid w:val="00C97A04"/>
    <w:rsid w:val="00CA107B"/>
    <w:rsid w:val="00CA431D"/>
    <w:rsid w:val="00CA484D"/>
    <w:rsid w:val="00CA4FB6"/>
    <w:rsid w:val="00CB2F90"/>
    <w:rsid w:val="00CB4299"/>
    <w:rsid w:val="00CB47C4"/>
    <w:rsid w:val="00CB65D5"/>
    <w:rsid w:val="00CB6AD4"/>
    <w:rsid w:val="00CC020C"/>
    <w:rsid w:val="00CC051D"/>
    <w:rsid w:val="00CC4CD8"/>
    <w:rsid w:val="00CC739E"/>
    <w:rsid w:val="00CD1EBB"/>
    <w:rsid w:val="00CD28CF"/>
    <w:rsid w:val="00CD2AA9"/>
    <w:rsid w:val="00CD320E"/>
    <w:rsid w:val="00CD5870"/>
    <w:rsid w:val="00CD58B7"/>
    <w:rsid w:val="00CD5BE3"/>
    <w:rsid w:val="00CD6224"/>
    <w:rsid w:val="00CD68F5"/>
    <w:rsid w:val="00CD7967"/>
    <w:rsid w:val="00CE101E"/>
    <w:rsid w:val="00CE6B42"/>
    <w:rsid w:val="00CF18EE"/>
    <w:rsid w:val="00CF30BD"/>
    <w:rsid w:val="00CF4099"/>
    <w:rsid w:val="00CF6937"/>
    <w:rsid w:val="00D00796"/>
    <w:rsid w:val="00D01848"/>
    <w:rsid w:val="00D0375A"/>
    <w:rsid w:val="00D10A04"/>
    <w:rsid w:val="00D10E71"/>
    <w:rsid w:val="00D15B67"/>
    <w:rsid w:val="00D16455"/>
    <w:rsid w:val="00D16CE6"/>
    <w:rsid w:val="00D2095E"/>
    <w:rsid w:val="00D223FE"/>
    <w:rsid w:val="00D22FB5"/>
    <w:rsid w:val="00D261A2"/>
    <w:rsid w:val="00D308F3"/>
    <w:rsid w:val="00D33104"/>
    <w:rsid w:val="00D33455"/>
    <w:rsid w:val="00D35DA0"/>
    <w:rsid w:val="00D3774D"/>
    <w:rsid w:val="00D471C1"/>
    <w:rsid w:val="00D5328F"/>
    <w:rsid w:val="00D54DD4"/>
    <w:rsid w:val="00D55DD3"/>
    <w:rsid w:val="00D579C6"/>
    <w:rsid w:val="00D603E9"/>
    <w:rsid w:val="00D6114D"/>
    <w:rsid w:val="00D616D2"/>
    <w:rsid w:val="00D62B26"/>
    <w:rsid w:val="00D63B5F"/>
    <w:rsid w:val="00D64926"/>
    <w:rsid w:val="00D654E1"/>
    <w:rsid w:val="00D70EF7"/>
    <w:rsid w:val="00D71F51"/>
    <w:rsid w:val="00D733C8"/>
    <w:rsid w:val="00D743A1"/>
    <w:rsid w:val="00D7673F"/>
    <w:rsid w:val="00D776FE"/>
    <w:rsid w:val="00D77B72"/>
    <w:rsid w:val="00D77E00"/>
    <w:rsid w:val="00D80EEA"/>
    <w:rsid w:val="00D8160C"/>
    <w:rsid w:val="00D81AD7"/>
    <w:rsid w:val="00D820D5"/>
    <w:rsid w:val="00D837C9"/>
    <w:rsid w:val="00D8397C"/>
    <w:rsid w:val="00D85DFE"/>
    <w:rsid w:val="00D86572"/>
    <w:rsid w:val="00D8721F"/>
    <w:rsid w:val="00D9217E"/>
    <w:rsid w:val="00D948AC"/>
    <w:rsid w:val="00D94EED"/>
    <w:rsid w:val="00D96026"/>
    <w:rsid w:val="00D972F6"/>
    <w:rsid w:val="00DA331D"/>
    <w:rsid w:val="00DA432B"/>
    <w:rsid w:val="00DA58B9"/>
    <w:rsid w:val="00DA7C1C"/>
    <w:rsid w:val="00DB147A"/>
    <w:rsid w:val="00DB1B7A"/>
    <w:rsid w:val="00DB3126"/>
    <w:rsid w:val="00DB706E"/>
    <w:rsid w:val="00DB7CAC"/>
    <w:rsid w:val="00DC5A9A"/>
    <w:rsid w:val="00DC60A8"/>
    <w:rsid w:val="00DC6708"/>
    <w:rsid w:val="00DD011A"/>
    <w:rsid w:val="00DD3FF1"/>
    <w:rsid w:val="00DE2400"/>
    <w:rsid w:val="00DE2CEB"/>
    <w:rsid w:val="00DE458B"/>
    <w:rsid w:val="00DE58F1"/>
    <w:rsid w:val="00DE6B58"/>
    <w:rsid w:val="00DF4F99"/>
    <w:rsid w:val="00DF587A"/>
    <w:rsid w:val="00DF5E32"/>
    <w:rsid w:val="00E00B3B"/>
    <w:rsid w:val="00E01436"/>
    <w:rsid w:val="00E02920"/>
    <w:rsid w:val="00E03E79"/>
    <w:rsid w:val="00E045BD"/>
    <w:rsid w:val="00E04D6C"/>
    <w:rsid w:val="00E05867"/>
    <w:rsid w:val="00E06F14"/>
    <w:rsid w:val="00E11D57"/>
    <w:rsid w:val="00E12676"/>
    <w:rsid w:val="00E12882"/>
    <w:rsid w:val="00E13877"/>
    <w:rsid w:val="00E17B77"/>
    <w:rsid w:val="00E20FA8"/>
    <w:rsid w:val="00E2193F"/>
    <w:rsid w:val="00E231AB"/>
    <w:rsid w:val="00E23337"/>
    <w:rsid w:val="00E23D97"/>
    <w:rsid w:val="00E24094"/>
    <w:rsid w:val="00E24A99"/>
    <w:rsid w:val="00E259EA"/>
    <w:rsid w:val="00E25D33"/>
    <w:rsid w:val="00E26E99"/>
    <w:rsid w:val="00E31705"/>
    <w:rsid w:val="00E32061"/>
    <w:rsid w:val="00E33F48"/>
    <w:rsid w:val="00E355ED"/>
    <w:rsid w:val="00E37C3B"/>
    <w:rsid w:val="00E40D45"/>
    <w:rsid w:val="00E41DE9"/>
    <w:rsid w:val="00E42FF9"/>
    <w:rsid w:val="00E43455"/>
    <w:rsid w:val="00E44790"/>
    <w:rsid w:val="00E45817"/>
    <w:rsid w:val="00E47130"/>
    <w:rsid w:val="00E4714C"/>
    <w:rsid w:val="00E5178D"/>
    <w:rsid w:val="00E51AEB"/>
    <w:rsid w:val="00E522A7"/>
    <w:rsid w:val="00E5349E"/>
    <w:rsid w:val="00E53C78"/>
    <w:rsid w:val="00E54452"/>
    <w:rsid w:val="00E575B4"/>
    <w:rsid w:val="00E63B0C"/>
    <w:rsid w:val="00E6400D"/>
    <w:rsid w:val="00E65E0B"/>
    <w:rsid w:val="00E664C5"/>
    <w:rsid w:val="00E671A2"/>
    <w:rsid w:val="00E67A77"/>
    <w:rsid w:val="00E714AA"/>
    <w:rsid w:val="00E765D5"/>
    <w:rsid w:val="00E76720"/>
    <w:rsid w:val="00E76D26"/>
    <w:rsid w:val="00E76EB4"/>
    <w:rsid w:val="00E76EE5"/>
    <w:rsid w:val="00E777A6"/>
    <w:rsid w:val="00E80544"/>
    <w:rsid w:val="00E85248"/>
    <w:rsid w:val="00E8733E"/>
    <w:rsid w:val="00E87AAD"/>
    <w:rsid w:val="00E93580"/>
    <w:rsid w:val="00E95036"/>
    <w:rsid w:val="00E95B8E"/>
    <w:rsid w:val="00EA59ED"/>
    <w:rsid w:val="00EA6761"/>
    <w:rsid w:val="00EA69DB"/>
    <w:rsid w:val="00EB011C"/>
    <w:rsid w:val="00EB0830"/>
    <w:rsid w:val="00EB11D0"/>
    <w:rsid w:val="00EB1390"/>
    <w:rsid w:val="00EB2C71"/>
    <w:rsid w:val="00EB3333"/>
    <w:rsid w:val="00EB4340"/>
    <w:rsid w:val="00EB556D"/>
    <w:rsid w:val="00EB5A7D"/>
    <w:rsid w:val="00EB6532"/>
    <w:rsid w:val="00EB73BC"/>
    <w:rsid w:val="00EC0073"/>
    <w:rsid w:val="00EC0527"/>
    <w:rsid w:val="00EC0E84"/>
    <w:rsid w:val="00EC1D77"/>
    <w:rsid w:val="00EC329B"/>
    <w:rsid w:val="00ED1D4D"/>
    <w:rsid w:val="00ED55C0"/>
    <w:rsid w:val="00ED682B"/>
    <w:rsid w:val="00ED75DA"/>
    <w:rsid w:val="00EE09B7"/>
    <w:rsid w:val="00EE41D5"/>
    <w:rsid w:val="00EE481C"/>
    <w:rsid w:val="00EE6872"/>
    <w:rsid w:val="00EF1172"/>
    <w:rsid w:val="00EF1EBD"/>
    <w:rsid w:val="00EF1FDB"/>
    <w:rsid w:val="00EF6434"/>
    <w:rsid w:val="00EF6FD4"/>
    <w:rsid w:val="00F01205"/>
    <w:rsid w:val="00F0166F"/>
    <w:rsid w:val="00F037A4"/>
    <w:rsid w:val="00F049AB"/>
    <w:rsid w:val="00F05479"/>
    <w:rsid w:val="00F06A18"/>
    <w:rsid w:val="00F07B1D"/>
    <w:rsid w:val="00F11016"/>
    <w:rsid w:val="00F11F49"/>
    <w:rsid w:val="00F142DB"/>
    <w:rsid w:val="00F225D2"/>
    <w:rsid w:val="00F22694"/>
    <w:rsid w:val="00F27C8F"/>
    <w:rsid w:val="00F30587"/>
    <w:rsid w:val="00F32749"/>
    <w:rsid w:val="00F37172"/>
    <w:rsid w:val="00F41ABE"/>
    <w:rsid w:val="00F41AE5"/>
    <w:rsid w:val="00F43F4B"/>
    <w:rsid w:val="00F4477E"/>
    <w:rsid w:val="00F4541D"/>
    <w:rsid w:val="00F46269"/>
    <w:rsid w:val="00F5416E"/>
    <w:rsid w:val="00F60BA8"/>
    <w:rsid w:val="00F63C8F"/>
    <w:rsid w:val="00F67D8F"/>
    <w:rsid w:val="00F71FAF"/>
    <w:rsid w:val="00F802BE"/>
    <w:rsid w:val="00F80E93"/>
    <w:rsid w:val="00F82A7A"/>
    <w:rsid w:val="00F85164"/>
    <w:rsid w:val="00F86024"/>
    <w:rsid w:val="00F8611A"/>
    <w:rsid w:val="00F869C1"/>
    <w:rsid w:val="00F87591"/>
    <w:rsid w:val="00F87A3A"/>
    <w:rsid w:val="00F93103"/>
    <w:rsid w:val="00F9478F"/>
    <w:rsid w:val="00F96046"/>
    <w:rsid w:val="00FA5128"/>
    <w:rsid w:val="00FA5E94"/>
    <w:rsid w:val="00FA62BC"/>
    <w:rsid w:val="00FA6429"/>
    <w:rsid w:val="00FA6511"/>
    <w:rsid w:val="00FA6A83"/>
    <w:rsid w:val="00FB3156"/>
    <w:rsid w:val="00FB42D4"/>
    <w:rsid w:val="00FB5906"/>
    <w:rsid w:val="00FB6382"/>
    <w:rsid w:val="00FB762F"/>
    <w:rsid w:val="00FC2AED"/>
    <w:rsid w:val="00FC483C"/>
    <w:rsid w:val="00FC6DA3"/>
    <w:rsid w:val="00FD03D1"/>
    <w:rsid w:val="00FD08AE"/>
    <w:rsid w:val="00FD1AB1"/>
    <w:rsid w:val="00FD1E89"/>
    <w:rsid w:val="00FD3F39"/>
    <w:rsid w:val="00FD5EA7"/>
    <w:rsid w:val="00FD6299"/>
    <w:rsid w:val="00FE36CF"/>
    <w:rsid w:val="00FE7E43"/>
    <w:rsid w:val="00FE7F55"/>
    <w:rsid w:val="00FF0246"/>
    <w:rsid w:val="00FF20D4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obszary-tematyczne/inne-opracowania/informacje-o-sytuacji-spoleczno-gospodarczej/sytuacja-spoleczno-gospodarcza-kraju-w-pierwszym-polroczu-2024-roku,1,146.html" TargetMode="External"/><Relationship Id="rId39" Type="http://schemas.openxmlformats.org/officeDocument/2006/relationships/hyperlink" Target="http://stat.gov.pl/metainformacje/slownik-pojec/pojecia-stosowane-w-statystyce-publicznej/585,pojecie.html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://stat.gov.pl/metainformacje/slownik-pojec/pojecia-stosowane-w-statystyce-publicznej/615,pojecie.html" TargetMode="External"/><Relationship Id="rId42" Type="http://schemas.openxmlformats.org/officeDocument/2006/relationships/footer" Target="foot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9.png"/><Relationship Id="rId29" Type="http://schemas.openxmlformats.org/officeDocument/2006/relationships/hyperlink" Target="https://bdl.stat.gov.pl/BDL/start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hyperlink" Target="http://stat.gov.pl/metainformacje/slownik-pojec/pojecia-stosowane-w-statystyce-publicznej/395,pojecie.html" TargetMode="External"/><Relationship Id="rId37" Type="http://schemas.openxmlformats.org/officeDocument/2006/relationships/hyperlink" Target="http://stat.gov.pl/metainformacje/slownik-pojec/pojecia-stosowane-w-statystyce-publicznej/588,pojecie.html" TargetMode="External"/><Relationship Id="rId40" Type="http://schemas.openxmlformats.org/officeDocument/2006/relationships/hyperlink" Target="http://stat.gov.pl/metainformacje/slownik-pojec/pojecia-stosowane-w-statystyce-publicznej/223,pojecie.htm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12.png"/><Relationship Id="rId28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36" Type="http://schemas.openxmlformats.org/officeDocument/2006/relationships/hyperlink" Target="http://stat.gov.pl/metainformacje/slownik-pojec/pojecia-stosowane-w-statystyce-publicznej/587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://bdm.stat.gov.pl/" TargetMode="External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11.png"/><Relationship Id="rId27" Type="http://schemas.openxmlformats.org/officeDocument/2006/relationships/hyperlink" Target="https://stat.gov.pl/obszary-tematyczne/podmioty-gospodarcze-wyniki-finansowe/przedsiebiorstwa-niefinansowe/wyniki-finansowe-przedsiebiorstw-niefinansowych-w-1-kwartale-2024-roku,12,55.html" TargetMode="External"/><Relationship Id="rId30" Type="http://schemas.openxmlformats.org/officeDocument/2006/relationships/hyperlink" Target="https://dbw.stat.gov.pl/dashboard/111" TargetMode="External"/><Relationship Id="rId35" Type="http://schemas.openxmlformats.org/officeDocument/2006/relationships/hyperlink" Target="http://stat.gov.pl/metainformacje/slownik-pojec/pojecia-stosowane-w-statystyce-publicznej/583,pojecie.html" TargetMode="External"/><Relationship Id="rId43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hyperlink" Target="https://stat.gov.pl/obszary-tematyczne/inne-opracowania/informacje-o-sytuacji-spoleczno-gospodarczej/biuletyn-statystyczny-nr-62024,4,151.html" TargetMode="External"/><Relationship Id="rId33" Type="http://schemas.openxmlformats.org/officeDocument/2006/relationships/hyperlink" Target="http://stat.gov.pl/metainformacje/slownik-pojec/pojecia-stosowane-w-statystyce-publicznej/613,pojecie.html" TargetMode="External"/><Relationship Id="rId38" Type="http://schemas.openxmlformats.org/officeDocument/2006/relationships/hyperlink" Target="http://stat.gov.pl/metainformacje/slownik-pojec/pojecia-stosowane-w-statystyce-publicznej/584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sygnalna-fin.p_01-06 2024.docx.docx</NazwaPliku>
    <Odbiorcy2 xmlns="1E9983FF-DC4B-4F4E-A072-0441E2B88E6D" xsi:nil="true"/>
    <Osoba xmlns="1E9983FF-DC4B-4F4E-A072-0441E2B88E6D">STAT\PASIAKK</Oso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C5F5A7-9B93-4A42-855E-D97345937C64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5101E27F-CCF9-4144-AD85-718BB2D89B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1</Pages>
  <Words>1769</Words>
  <Characters>10615</Characters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finansowe przedsiębiorstw niefinansowych</vt:lpstr>
    </vt:vector>
  </TitlesOfParts>
  <Company/>
  <LinksUpToDate>false</LinksUpToDate>
  <CharactersWithSpaces>12360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Printed>2019-02-21T09:45:00Z</cp:lastPrinted>
  <dcterms:created xsi:type="dcterms:W3CDTF">2022-03-21T10:42:00Z</dcterms:created>
  <dcterms:modified xsi:type="dcterms:W3CDTF">2024-09-05T08:23:00Z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