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BD65FBC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</w:r>
      <w:r w:rsidR="001B3E7F">
        <w:rPr>
          <w:szCs w:val="40"/>
        </w:rPr>
        <w:t xml:space="preserve">w </w:t>
      </w:r>
      <w:r w:rsidR="00250763">
        <w:rPr>
          <w:szCs w:val="40"/>
        </w:rPr>
        <w:t>1 kwartale</w:t>
      </w:r>
      <w:r w:rsidR="00523AD1" w:rsidRPr="00553C9F">
        <w:rPr>
          <w:szCs w:val="40"/>
        </w:rPr>
        <w:t xml:space="preserve"> </w:t>
      </w:r>
      <w:r w:rsidR="00B41803">
        <w:rPr>
          <w:szCs w:val="40"/>
        </w:rPr>
        <w:t>2024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5DB28E6A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00F7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6,2% &#10;Spadek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8F1C679" w:rsidR="005C0CAC" w:rsidRPr="009C58FF" w:rsidRDefault="00D1645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375BB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6,2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7447F19C" w:rsidR="005C0CAC" w:rsidRPr="009C58FF" w:rsidRDefault="00375BB7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Spadek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6,2% &#10;Spadek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28F1C679" w:rsidR="005C0CAC" w:rsidRPr="009C58FF" w:rsidRDefault="00D1645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375BB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6,2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7447F19C" w:rsidR="005C0CAC" w:rsidRPr="009C58FF" w:rsidRDefault="00375BB7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Spadek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przychodów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ogółem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0695A">
        <w:rPr>
          <w:rFonts w:eastAsia="Times New Roman" w:cs="Times New Roman"/>
          <w:bCs/>
          <w:noProof w:val="0"/>
        </w:rPr>
        <w:t>W</w:t>
      </w:r>
      <w:r w:rsidR="00375BB7">
        <w:rPr>
          <w:rFonts w:eastAsia="Times New Roman" w:cs="Times New Roman"/>
          <w:bCs/>
          <w:noProof w:val="0"/>
        </w:rPr>
        <w:t xml:space="preserve"> 1 kwartale</w:t>
      </w:r>
      <w:r w:rsidR="00B0695A">
        <w:rPr>
          <w:rFonts w:eastAsia="Times New Roman" w:cs="Times New Roman"/>
          <w:bCs/>
          <w:noProof w:val="0"/>
        </w:rPr>
        <w:t xml:space="preserve"> </w:t>
      </w:r>
      <w:r w:rsidR="00375BB7">
        <w:rPr>
          <w:rFonts w:eastAsia="Times New Roman" w:cs="Times New Roman"/>
          <w:bCs/>
          <w:noProof w:val="0"/>
        </w:rPr>
        <w:t>2024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A144A0">
        <w:rPr>
          <w:rFonts w:eastAsia="Times New Roman" w:cs="Times New Roman"/>
          <w:bCs/>
          <w:noProof w:val="0"/>
        </w:rPr>
        <w:t xml:space="preserve">były </w:t>
      </w:r>
      <w:r w:rsidR="00E85248">
        <w:rPr>
          <w:rFonts w:eastAsia="Times New Roman" w:cs="Times New Roman"/>
          <w:bCs/>
          <w:noProof w:val="0"/>
        </w:rPr>
        <w:t xml:space="preserve">znacznie </w:t>
      </w:r>
      <w:bookmarkStart w:id="0" w:name="_GoBack"/>
      <w:bookmarkEnd w:id="0"/>
      <w:r w:rsidR="00A144A0">
        <w:rPr>
          <w:rFonts w:eastAsia="Times New Roman" w:cs="Times New Roman"/>
          <w:bCs/>
          <w:noProof w:val="0"/>
        </w:rPr>
        <w:t>niższe od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>rok wcześniej. P</w:t>
      </w:r>
      <w:r w:rsidR="00CE101E" w:rsidRPr="00373F1B">
        <w:rPr>
          <w:rFonts w:eastAsia="Times New Roman" w:cs="Times New Roman"/>
          <w:bCs/>
          <w:noProof w:val="0"/>
        </w:rPr>
        <w:t>ogorszeniu uległy</w:t>
      </w:r>
      <w:r w:rsidR="00C37793" w:rsidRPr="00373F1B">
        <w:rPr>
          <w:rFonts w:eastAsia="Times New Roman" w:cs="Times New Roman"/>
          <w:bCs/>
          <w:noProof w:val="0"/>
        </w:rPr>
        <w:t xml:space="preserve"> wskaźniki ekonomiczno-finansowe</w:t>
      </w:r>
      <w:r w:rsidR="00C37793" w:rsidRPr="00664AB5">
        <w:rPr>
          <w:rFonts w:eastAsia="Times New Roman" w:cs="Times New Roman"/>
          <w:bCs/>
          <w:noProof w:val="0"/>
        </w:rPr>
        <w:t>. Nakład</w:t>
      </w:r>
      <w:r w:rsidR="002213A2" w:rsidRPr="00664AB5">
        <w:rPr>
          <w:rFonts w:eastAsia="Times New Roman" w:cs="Times New Roman"/>
          <w:bCs/>
          <w:noProof w:val="0"/>
        </w:rPr>
        <w:t>y</w:t>
      </w:r>
      <w:r w:rsidR="00534157">
        <w:rPr>
          <w:rFonts w:eastAsia="Times New Roman" w:cs="Times New Roman"/>
          <w:bCs/>
          <w:noProof w:val="0"/>
        </w:rPr>
        <w:t xml:space="preserve"> inwestycyjne były niższe o 2</w:t>
      </w:r>
      <w:r w:rsidR="005E2D74">
        <w:rPr>
          <w:rFonts w:eastAsia="Times New Roman" w:cs="Times New Roman"/>
          <w:bCs/>
          <w:noProof w:val="0"/>
        </w:rPr>
        <w:t>,2</w:t>
      </w:r>
      <w:r w:rsidR="00C37793" w:rsidRPr="00664AB5">
        <w:rPr>
          <w:rFonts w:eastAsia="Times New Roman" w:cs="Times New Roman"/>
          <w:bCs/>
          <w:noProof w:val="0"/>
        </w:rPr>
        <w:t>% od notow</w:t>
      </w:r>
      <w:r w:rsidR="00C54145" w:rsidRPr="00664AB5">
        <w:rPr>
          <w:rFonts w:eastAsia="Times New Roman" w:cs="Times New Roman"/>
          <w:bCs/>
          <w:noProof w:val="0"/>
        </w:rPr>
        <w:t>anych w</w:t>
      </w:r>
      <w:r w:rsidR="00C37793" w:rsidRPr="00664AB5">
        <w:rPr>
          <w:rFonts w:eastAsia="Times New Roman" w:cs="Times New Roman"/>
          <w:bCs/>
          <w:noProof w:val="0"/>
        </w:rPr>
        <w:t xml:space="preserve"> </w:t>
      </w:r>
      <w:r w:rsidR="00534157">
        <w:rPr>
          <w:rFonts w:eastAsia="Times New Roman" w:cs="Times New Roman"/>
          <w:bCs/>
          <w:noProof w:val="0"/>
        </w:rPr>
        <w:t>1 kwartale 2023</w:t>
      </w:r>
      <w:r w:rsidR="00C37793" w:rsidRPr="00664AB5">
        <w:rPr>
          <w:rFonts w:eastAsia="Times New Roman" w:cs="Times New Roman"/>
          <w:bCs/>
          <w:noProof w:val="0"/>
        </w:rPr>
        <w:t xml:space="preserve"> roku </w:t>
      </w:r>
      <w:r w:rsidR="00022056" w:rsidRPr="00664AB5">
        <w:rPr>
          <w:rFonts w:eastAsia="Times New Roman" w:cs="Times New Roman"/>
          <w:bCs/>
          <w:noProof w:val="0"/>
        </w:rPr>
        <w:t xml:space="preserve">(kiedy </w:t>
      </w:r>
      <w:r w:rsidR="004E3DF0" w:rsidRPr="00664AB5">
        <w:rPr>
          <w:rFonts w:eastAsia="Times New Roman" w:cs="Times New Roman"/>
          <w:bCs/>
          <w:noProof w:val="0"/>
        </w:rPr>
        <w:t>mi</w:t>
      </w:r>
      <w:r w:rsidR="00373F1B" w:rsidRPr="00664AB5">
        <w:rPr>
          <w:rFonts w:eastAsia="Times New Roman" w:cs="Times New Roman"/>
          <w:bCs/>
          <w:noProof w:val="0"/>
        </w:rPr>
        <w:t>ał miejsce w</w:t>
      </w:r>
      <w:r w:rsidR="00534157">
        <w:rPr>
          <w:rFonts w:eastAsia="Times New Roman" w:cs="Times New Roman"/>
          <w:bCs/>
          <w:noProof w:val="0"/>
        </w:rPr>
        <w:t>zrost o 7,2</w:t>
      </w:r>
      <w:r w:rsidR="00C37793" w:rsidRPr="00664AB5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  <w:r w:rsidR="00D33455">
        <w:rPr>
          <w:rFonts w:eastAsia="Times New Roman" w:cs="Times New Roman"/>
          <w:bCs/>
          <w:noProof w:val="0"/>
        </w:rPr>
        <w:br/>
      </w:r>
    </w:p>
    <w:p w14:paraId="75708857" w14:textId="7BC7BD56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375BB7">
        <w:rPr>
          <w:rFonts w:eastAsia="Times New Roman" w:cs="Times New Roman"/>
          <w:szCs w:val="19"/>
          <w:lang w:eastAsia="pl-PL"/>
        </w:rPr>
        <w:t>były niższe o 6,2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F11016">
        <w:rPr>
          <w:rFonts w:eastAsia="Times New Roman" w:cs="Times New Roman"/>
          <w:szCs w:val="19"/>
          <w:lang w:eastAsia="pl-PL"/>
        </w:rPr>
        <w:t>zty ich uzyskania spadły</w:t>
      </w:r>
      <w:r w:rsidR="00375BB7">
        <w:rPr>
          <w:rFonts w:eastAsia="Times New Roman" w:cs="Times New Roman"/>
          <w:szCs w:val="19"/>
          <w:lang w:eastAsia="pl-PL"/>
        </w:rPr>
        <w:t xml:space="preserve"> o 4</w:t>
      </w:r>
      <w:r w:rsidR="0095003E">
        <w:rPr>
          <w:rFonts w:eastAsia="Times New Roman" w:cs="Times New Roman"/>
          <w:szCs w:val="19"/>
          <w:lang w:eastAsia="pl-PL"/>
        </w:rPr>
        <w:t>,5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375BB7">
        <w:rPr>
          <w:rFonts w:eastAsia="Times New Roman" w:cs="Times New Roman"/>
          <w:szCs w:val="19"/>
          <w:lang w:eastAsia="pl-PL"/>
        </w:rPr>
        <w:t>tów z 94,5% przed rokiem do 96,3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375BB7">
        <w:rPr>
          <w:rFonts w:eastAsia="Times New Roman" w:cs="Times New Roman"/>
          <w:szCs w:val="19"/>
          <w:lang w:eastAsia="pl-PL"/>
        </w:rPr>
        <w:t>materiałów spadły</w:t>
      </w:r>
      <w:r w:rsidR="00126A1E">
        <w:rPr>
          <w:rFonts w:eastAsia="Times New Roman" w:cs="Times New Roman"/>
          <w:szCs w:val="19"/>
          <w:lang w:eastAsia="pl-PL"/>
        </w:rPr>
        <w:t xml:space="preserve"> o </w:t>
      </w:r>
      <w:r w:rsidR="00375BB7">
        <w:rPr>
          <w:rFonts w:eastAsia="Times New Roman" w:cs="Times New Roman"/>
          <w:szCs w:val="19"/>
          <w:lang w:eastAsia="pl-PL"/>
        </w:rPr>
        <w:t>6,2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375BB7">
        <w:rPr>
          <w:rFonts w:eastAsia="Times New Roman" w:cs="Times New Roman"/>
          <w:szCs w:val="19"/>
          <w:lang w:eastAsia="pl-PL"/>
        </w:rPr>
        <w:t>alności – o 4,6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60334902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AE75355">
                <wp:simplePos x="0" y="0"/>
                <wp:positionH relativeFrom="column">
                  <wp:posOffset>5238750</wp:posOffset>
                </wp:positionH>
                <wp:positionV relativeFrom="paragraph">
                  <wp:posOffset>812800</wp:posOffset>
                </wp:positionV>
                <wp:extent cx="1647825" cy="1057275"/>
                <wp:effectExtent l="0" t="0" r="0" b="0"/>
                <wp:wrapTight wrapText="bothSides">
                  <wp:wrapPolygon edited="0">
                    <wp:start x="749" y="0"/>
                    <wp:lineTo x="749" y="21016"/>
                    <wp:lineTo x="20726" y="21016"/>
                    <wp:lineTo x="20726" y="0"/>
                    <wp:lineTo x="749" y="0"/>
                  </wp:wrapPolygon>
                </wp:wrapTight>
                <wp:docPr id="2" name="Pole tekstowe 2" descr="W 1 kwartale 2024 roku wynik finansowy netto przedsiębiorstw niefinansowych był niższy o 39,9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9CE9512" w:rsidR="00D616D2" w:rsidRPr="00846E02" w:rsidRDefault="005D7B3F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</w:t>
                            </w:r>
                            <w:r w:rsidR="001C4DF4">
                              <w:rPr>
                                <w:bCs w:val="0"/>
                              </w:rPr>
                              <w:t>1 kwartale 2024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 xml:space="preserve">niefinansowych był niższy o </w:t>
                            </w:r>
                            <w:r w:rsidR="001C4DF4">
                              <w:rPr>
                                <w:bCs w:val="0"/>
                              </w:rPr>
                              <w:t>39,9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4 roku wynik finansowy netto przedsiębiorstw niefinansowych był niższy o 39,9% niż przed rokiem" style="position:absolute;margin-left:412.5pt;margin-top:64pt;width:129.7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" filled="f" stroked="f">
                <v:textbox>
                  <w:txbxContent>
                    <w:p w14:paraId="66113316" w14:textId="49CE9512" w:rsidR="00D616D2" w:rsidRPr="00846E02" w:rsidRDefault="005D7B3F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91E88">
                        <w:rPr>
                          <w:bCs w:val="0"/>
                        </w:rPr>
                        <w:t xml:space="preserve"> </w:t>
                      </w:r>
                      <w:r w:rsidR="001C4DF4">
                        <w:rPr>
                          <w:bCs w:val="0"/>
                        </w:rPr>
                        <w:t>1 kwartale 2024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 xml:space="preserve">niefinansowych był niższy o </w:t>
                      </w:r>
                      <w:r w:rsidR="001C4DF4">
                        <w:rPr>
                          <w:bCs w:val="0"/>
                        </w:rPr>
                        <w:t>39,9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F11F49">
        <w:rPr>
          <w:rFonts w:eastAsia="Times New Roman" w:cs="Times New Roman"/>
          <w:szCs w:val="19"/>
          <w:lang w:eastAsia="pl-PL"/>
        </w:rPr>
        <w:t>wyni</w:t>
      </w:r>
      <w:r w:rsidR="00D471C1">
        <w:rPr>
          <w:rFonts w:eastAsia="Times New Roman" w:cs="Times New Roman"/>
          <w:szCs w:val="19"/>
          <w:lang w:eastAsia="pl-PL"/>
        </w:rPr>
        <w:t>ósł 47,9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191E88">
        <w:rPr>
          <w:rFonts w:eastAsia="Times New Roman" w:cs="Times New Roman"/>
          <w:szCs w:val="19"/>
          <w:lang w:eastAsia="pl-PL"/>
        </w:rPr>
        <w:t>d</w:t>
      </w:r>
      <w:r w:rsidR="00D471C1">
        <w:rPr>
          <w:rFonts w:eastAsia="Times New Roman" w:cs="Times New Roman"/>
          <w:szCs w:val="19"/>
          <w:lang w:eastAsia="pl-PL"/>
        </w:rPr>
        <w:t xml:space="preserve"> zł i był niższy o 33,4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9472EF">
        <w:rPr>
          <w:rFonts w:eastAsia="Times New Roman" w:cs="Times New Roman"/>
          <w:szCs w:val="19"/>
          <w:lang w:eastAsia="pl-PL"/>
        </w:rPr>
        <w:t xml:space="preserve"> w stosunku do</w:t>
      </w:r>
      <w:r w:rsidR="00F11F49">
        <w:rPr>
          <w:rFonts w:eastAsia="Times New Roman" w:cs="Times New Roman"/>
          <w:szCs w:val="19"/>
          <w:lang w:eastAsia="pl-PL"/>
        </w:rPr>
        <w:t xml:space="preserve"> </w:t>
      </w:r>
      <w:r w:rsidR="009472EF">
        <w:rPr>
          <w:rFonts w:eastAsia="Times New Roman" w:cs="Times New Roman"/>
          <w:szCs w:val="19"/>
          <w:lang w:eastAsia="pl-PL"/>
        </w:rPr>
        <w:t>1 kwartału 2023 roku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D471C1">
        <w:rPr>
          <w:rFonts w:eastAsia="Times New Roman" w:cs="Times New Roman"/>
          <w:szCs w:val="19"/>
          <w:lang w:eastAsia="pl-PL"/>
        </w:rPr>
        <w:t>mie 3,3</w:t>
      </w:r>
      <w:r w:rsidR="004850D8">
        <w:rPr>
          <w:rFonts w:eastAsia="Times New Roman" w:cs="Times New Roman"/>
          <w:szCs w:val="19"/>
          <w:lang w:eastAsia="pl-PL"/>
        </w:rPr>
        <w:t xml:space="preserve"> mld zł i był</w:t>
      </w:r>
      <w:r w:rsidR="00D471C1">
        <w:rPr>
          <w:rFonts w:eastAsia="Times New Roman" w:cs="Times New Roman"/>
          <w:szCs w:val="19"/>
          <w:lang w:eastAsia="pl-PL"/>
        </w:rPr>
        <w:t xml:space="preserve"> niższy o 3,1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</w:t>
      </w:r>
      <w:r w:rsidR="00D471C1">
        <w:rPr>
          <w:rFonts w:eastAsia="Times New Roman" w:cs="Times New Roman"/>
          <w:szCs w:val="19"/>
          <w:lang w:eastAsia="pl-PL"/>
        </w:rPr>
        <w:t>d rokiem. Zanotowano poprawę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D471C1">
        <w:rPr>
          <w:rFonts w:eastAsia="Times New Roman" w:cs="Times New Roman"/>
          <w:szCs w:val="19"/>
          <w:lang w:eastAsia="pl-PL"/>
        </w:rPr>
        <w:t>minus 4,3</w:t>
      </w:r>
      <w:r w:rsidR="000C136B">
        <w:rPr>
          <w:rFonts w:eastAsia="Times New Roman" w:cs="Times New Roman"/>
          <w:szCs w:val="19"/>
          <w:lang w:eastAsia="pl-PL"/>
        </w:rPr>
        <w:t xml:space="preserve"> mld </w:t>
      </w:r>
      <w:r w:rsidR="00A438FA">
        <w:rPr>
          <w:rFonts w:eastAsia="Times New Roman" w:cs="Times New Roman"/>
          <w:szCs w:val="19"/>
          <w:lang w:eastAsia="pl-PL"/>
        </w:rPr>
        <w:t xml:space="preserve">zł wobec </w:t>
      </w:r>
      <w:r w:rsidR="00D471C1">
        <w:rPr>
          <w:rFonts w:eastAsia="Times New Roman" w:cs="Times New Roman"/>
          <w:szCs w:val="19"/>
          <w:lang w:eastAsia="pl-PL"/>
        </w:rPr>
        <w:t>minus 5,3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D471C1">
        <w:rPr>
          <w:rFonts w:eastAsia="Times New Roman" w:cs="Times New Roman"/>
          <w:szCs w:val="19"/>
          <w:lang w:eastAsia="pl-PL"/>
        </w:rPr>
        <w:t>1 kwartale 2023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3B632400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1C4DF4">
        <w:rPr>
          <w:rFonts w:eastAsia="Times New Roman" w:cs="Times New Roman"/>
          <w:szCs w:val="19"/>
          <w:lang w:eastAsia="pl-PL"/>
        </w:rPr>
        <w:t>utto wyniósł 46,9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1C4DF4">
        <w:rPr>
          <w:rFonts w:eastAsia="Times New Roman" w:cs="Times New Roman"/>
          <w:szCs w:val="19"/>
          <w:lang w:eastAsia="pl-PL"/>
        </w:rPr>
        <w:t>wobec 73</w:t>
      </w:r>
      <w:r w:rsidR="00172818">
        <w:rPr>
          <w:rFonts w:eastAsia="Times New Roman" w:cs="Times New Roman"/>
          <w:szCs w:val="19"/>
          <w:lang w:eastAsia="pl-PL"/>
        </w:rPr>
        <w:t>,0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1C4DF4">
        <w:rPr>
          <w:rFonts w:eastAsia="Times New Roman" w:cs="Times New Roman"/>
          <w:szCs w:val="19"/>
          <w:lang w:eastAsia="pl-PL"/>
        </w:rPr>
        <w:t>ształtowały się na poziomie 11</w:t>
      </w:r>
      <w:r w:rsidR="00172818">
        <w:rPr>
          <w:rFonts w:eastAsia="Times New Roman" w:cs="Times New Roman"/>
          <w:szCs w:val="19"/>
          <w:lang w:eastAsia="pl-PL"/>
        </w:rPr>
        <w:t>,5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1C4DF4">
        <w:rPr>
          <w:rFonts w:eastAsia="Times New Roman" w:cs="Times New Roman"/>
          <w:szCs w:val="19"/>
          <w:lang w:eastAsia="pl-PL"/>
        </w:rPr>
        <w:t>obec 14,2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1E15B3">
        <w:rPr>
          <w:rFonts w:eastAsia="Times New Roman" w:cs="Times New Roman"/>
          <w:szCs w:val="19"/>
          <w:lang w:eastAsia="pl-PL"/>
        </w:rPr>
        <w:t>iósł 35,3</w:t>
      </w:r>
      <w:r w:rsidR="002837B0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1E15B3">
        <w:rPr>
          <w:rFonts w:eastAsia="Times New Roman" w:cs="Times New Roman"/>
          <w:szCs w:val="19"/>
          <w:lang w:eastAsia="pl-PL"/>
        </w:rPr>
        <w:t>39,9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1E15B3">
        <w:rPr>
          <w:rFonts w:eastAsia="Times New Roman" w:cs="Times New Roman"/>
          <w:szCs w:val="19"/>
          <w:lang w:eastAsia="pl-PL"/>
        </w:rPr>
        <w:t>63,0 mld zł i był niższy o 19,4</w:t>
      </w:r>
      <w:r w:rsidR="00A159F5">
        <w:rPr>
          <w:rFonts w:eastAsia="Times New Roman" w:cs="Times New Roman"/>
          <w:szCs w:val="19"/>
          <w:lang w:eastAsia="pl-PL"/>
        </w:rPr>
        <w:t xml:space="preserve"> </w:t>
      </w:r>
      <w:r w:rsidRPr="00846E02">
        <w:rPr>
          <w:rFonts w:eastAsia="Times New Roman" w:cs="Times New Roman"/>
          <w:szCs w:val="19"/>
          <w:lang w:eastAsia="pl-PL"/>
        </w:rPr>
        <w:t>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1E15B3">
        <w:rPr>
          <w:rFonts w:eastAsia="Times New Roman" w:cs="Times New Roman"/>
          <w:szCs w:val="19"/>
          <w:lang w:eastAsia="pl-PL"/>
        </w:rPr>
        <w:t>1 kwartale 2023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493E20">
        <w:rPr>
          <w:rFonts w:eastAsia="Times New Roman" w:cs="Times New Roman"/>
          <w:szCs w:val="19"/>
          <w:lang w:eastAsia="pl-PL"/>
        </w:rPr>
        <w:t>ku, a strata netto wyniosła 27,7 mld zł i zwiększyła się o 4,0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625810">
        <w:rPr>
          <w:rFonts w:eastAsia="Times New Roman" w:cs="Times New Roman"/>
          <w:szCs w:val="19"/>
          <w:lang w:eastAsia="pl-PL"/>
        </w:rPr>
        <w:t xml:space="preserve"> 65,2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B25067">
        <w:rPr>
          <w:rFonts w:eastAsia="Times New Roman" w:cs="Times New Roman"/>
          <w:szCs w:val="19"/>
          <w:lang w:eastAsia="pl-PL"/>
        </w:rPr>
        <w:t xml:space="preserve">gółu </w:t>
      </w:r>
      <w:r w:rsidR="00625810">
        <w:rPr>
          <w:rFonts w:eastAsia="Times New Roman" w:cs="Times New Roman"/>
          <w:szCs w:val="19"/>
          <w:lang w:eastAsia="pl-PL"/>
        </w:rPr>
        <w:t>przedsiębiorstw (wobec 70,5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625810">
        <w:rPr>
          <w:rFonts w:eastAsia="Times New Roman" w:cs="Times New Roman"/>
          <w:szCs w:val="19"/>
          <w:lang w:eastAsia="pl-PL"/>
        </w:rPr>
        <w:t>zez nie przychody stanowiły 74,4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625810">
        <w:rPr>
          <w:rFonts w:eastAsia="Times New Roman" w:cs="Times New Roman"/>
          <w:szCs w:val="19"/>
          <w:lang w:eastAsia="pl-PL"/>
        </w:rPr>
        <w:t>nych przedsiębiorstw (wobec 77,0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 xml:space="preserve">łowym </w:t>
      </w:r>
      <w:r w:rsidR="00651763">
        <w:rPr>
          <w:rFonts w:eastAsia="Times New Roman" w:cs="Times New Roman"/>
          <w:szCs w:val="19"/>
          <w:lang w:eastAsia="pl-PL"/>
        </w:rPr>
        <w:t>zysk netto odnotowało 67,8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651763">
        <w:rPr>
          <w:rFonts w:eastAsia="Times New Roman" w:cs="Times New Roman"/>
          <w:szCs w:val="19"/>
          <w:lang w:eastAsia="pl-PL"/>
        </w:rPr>
        <w:t xml:space="preserve"> (przed rokiem 76</w:t>
      </w:r>
      <w:r w:rsidR="0033030B">
        <w:rPr>
          <w:rFonts w:eastAsia="Times New Roman" w:cs="Times New Roman"/>
          <w:szCs w:val="19"/>
          <w:lang w:eastAsia="pl-PL"/>
        </w:rPr>
        <w:t>,2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651763">
        <w:rPr>
          <w:rFonts w:eastAsia="Times New Roman" w:cs="Times New Roman"/>
          <w:szCs w:val="19"/>
          <w:lang w:eastAsia="pl-PL"/>
        </w:rPr>
        <w:t xml:space="preserve"> sekcji wyniósł 78,1% (wobec odpowiednio 79,2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55B8FC22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9929D5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06389B">
        <w:rPr>
          <w:rFonts w:eastAsia="Times New Roman" w:cs="Times New Roman"/>
          <w:b/>
          <w:szCs w:val="19"/>
          <w:lang w:eastAsia="pl-PL"/>
        </w:rPr>
        <w:t>w 1 kwartale w latach 2005-2024</w:t>
      </w:r>
    </w:p>
    <w:p w14:paraId="38FD6AA7" w14:textId="06373062" w:rsidR="00136008" w:rsidRDefault="004837DC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A082AAE" wp14:editId="3F644EFE">
            <wp:extent cx="4944110" cy="3011805"/>
            <wp:effectExtent l="0" t="0" r="889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4C2D88D4" w:rsidR="00136008" w:rsidRPr="00480B4F" w:rsidRDefault="006C1E21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01-03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09EEF794" w:rsidR="00136008" w:rsidRPr="00480B4F" w:rsidRDefault="006C1E21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01-03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05481C4F" w:rsidR="00136008" w:rsidRPr="002F2DC7" w:rsidRDefault="006C1E21" w:rsidP="00BC631E">
            <w:pPr>
              <w:spacing w:before="0" w:after="0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>01-03 2023</w:t>
            </w:r>
            <w:r w:rsidR="00136008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815A32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59B960B6" w:rsidR="00815A32" w:rsidRPr="00480B4F" w:rsidRDefault="00815A32" w:rsidP="00815A3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1 333 911,9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5DC2350B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1 251 051,5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20FE76DF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93,8</w:t>
            </w:r>
          </w:p>
        </w:tc>
      </w:tr>
      <w:tr w:rsidR="00815A32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815A32" w:rsidRPr="00480B4F" w:rsidRDefault="00815A32" w:rsidP="00815A32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25847352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1 295 460,1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37304D40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1 215 500,6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36C5D169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93,8</w:t>
            </w:r>
          </w:p>
        </w:tc>
      </w:tr>
      <w:tr w:rsidR="00815A32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2B1AB435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1 260 926,0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60F21087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1 204 197,4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28228910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95,5</w:t>
            </w:r>
          </w:p>
        </w:tc>
      </w:tr>
      <w:tr w:rsidR="00815A32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815A32" w:rsidRPr="00480B4F" w:rsidRDefault="00815A32" w:rsidP="00815A32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67CE8011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1 223 600,2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33EC79C2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1 167 631,1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4FA15D08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95,4</w:t>
            </w:r>
          </w:p>
        </w:tc>
      </w:tr>
      <w:tr w:rsidR="00815A32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1326E6DE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71 859,9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298E440E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47 869,5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0C496595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66,6</w:t>
            </w:r>
          </w:p>
        </w:tc>
      </w:tr>
      <w:tr w:rsidR="00815A32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5CED4364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6 424,4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3341A178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3 284,6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56372D54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51,1</w:t>
            </w:r>
          </w:p>
        </w:tc>
      </w:tr>
      <w:tr w:rsidR="00815A32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3C43E58E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-5 298,4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551C2202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-4 300,1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78291706" w:rsidR="00815A32" w:rsidRPr="00480B4F" w:rsidRDefault="00D8160C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815A32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566B26E0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72 985,9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2DB24846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46 854,1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21988C00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64,2</w:t>
            </w:r>
          </w:p>
        </w:tc>
      </w:tr>
      <w:tr w:rsidR="00815A32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469AFF8B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58 785,9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1416ADD1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35 344,3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18A12FA1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60,1</w:t>
            </w:r>
          </w:p>
        </w:tc>
      </w:tr>
      <w:tr w:rsidR="00815A32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56985E3A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82 443,2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4585FE47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63 045,5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72804055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76,5</w:t>
            </w:r>
          </w:p>
        </w:tc>
      </w:tr>
      <w:tr w:rsidR="00815A32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815A32" w:rsidRPr="00480B4F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1B24E37B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23 657,3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1487A0A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27 701,2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13E51EEF" w:rsidR="00815A32" w:rsidRPr="00480B4F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117,1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815A32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815A32" w:rsidRPr="00EF1EBD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119AB8C2" w:rsidR="00815A32" w:rsidRPr="00EF1EBD" w:rsidRDefault="00815A32" w:rsidP="00815A3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00EE6B51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815A32" w:rsidRPr="00EF1EBD" w:rsidRDefault="00815A32" w:rsidP="00815A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15A32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815A32" w:rsidRPr="00EF1EBD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381EB11C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3E2BCC84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815A32" w:rsidRPr="00EF1EBD" w:rsidRDefault="00815A32" w:rsidP="00815A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15A32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815A32" w:rsidRPr="00EF1EBD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2569E342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3BE3AB59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815A32" w:rsidRPr="00EF1EBD" w:rsidRDefault="00815A32" w:rsidP="00815A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15A32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815A32" w:rsidRPr="00EF1EBD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074F75CE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250EC235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815A32" w:rsidRPr="00EF1EBD" w:rsidRDefault="00815A32" w:rsidP="00815A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15A32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815A32" w:rsidRPr="00EF1EBD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423A6AC8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09A90CF1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815A32" w:rsidRPr="00EF1EBD" w:rsidRDefault="00815A32" w:rsidP="00815A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15A32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815A32" w:rsidRPr="00EF1EBD" w:rsidRDefault="00815A32" w:rsidP="00815A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1599725C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30FFDE87" w:rsidR="00815A32" w:rsidRPr="00EF1EBD" w:rsidRDefault="00815A32" w:rsidP="00815A3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815A32" w:rsidRPr="00EF1EBD" w:rsidRDefault="00815A32" w:rsidP="00815A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04E8DF0E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173209A0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15,9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70195A3B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F054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15,9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7720" id="Pole tekstowe 5" o:spid="_x0000_s1028" type="#_x0000_t202" alt="Największe pogorszenie wskaźnika rentowności obrotu netto odnotowano w górnictwie i wydobywaniu (o 15,9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" filled="f" stroked="f">
                <v:textbox>
                  <w:txbxContent>
                    <w:p w14:paraId="358783D6" w14:textId="70195A3B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F054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15,9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147650">
        <w:rPr>
          <w:b w:val="0"/>
        </w:rPr>
        <w:t>przedsiębiorstw wyniósł 96,3% (wobec 94,5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147650">
        <w:rPr>
          <w:b w:val="0"/>
        </w:rPr>
        <w:t>utto zmniejszył się z 5,5% do 3,9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147650">
        <w:rPr>
          <w:b w:val="0"/>
        </w:rPr>
        <w:t xml:space="preserve"> z 5,5% do 3,7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147650">
        <w:rPr>
          <w:b w:val="0"/>
        </w:rPr>
        <w:t>z 4,4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147650">
        <w:rPr>
          <w:b w:val="0"/>
        </w:rPr>
        <w:t>2,8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3ABFCC3D" w14:textId="5207CE9E" w:rsidR="00FB6382" w:rsidRDefault="00FA62BC" w:rsidP="00FB6382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górni</w:t>
      </w:r>
      <w:r w:rsidR="00F05479">
        <w:rPr>
          <w:b w:val="0"/>
        </w:rPr>
        <w:t>ctwie i wydobywaniu (z 15,6% do minus 0</w:t>
      </w:r>
      <w:r w:rsidR="00AB163E">
        <w:rPr>
          <w:b w:val="0"/>
        </w:rPr>
        <w:t>,</w:t>
      </w:r>
      <w:r w:rsidR="00F05479">
        <w:rPr>
          <w:b w:val="0"/>
        </w:rPr>
        <w:t>3</w:t>
      </w:r>
      <w:r>
        <w:rPr>
          <w:b w:val="0"/>
        </w:rPr>
        <w:t xml:space="preserve">%), </w:t>
      </w:r>
      <w:r w:rsidR="00B935C9" w:rsidRPr="0062183F">
        <w:rPr>
          <w:b w:val="0"/>
        </w:rPr>
        <w:t>obsłudze rynku nieruchomośc</w:t>
      </w:r>
      <w:r w:rsidR="00B935C9">
        <w:rPr>
          <w:b w:val="0"/>
        </w:rPr>
        <w:t xml:space="preserve">i (z 10,4% do 5,1%), </w:t>
      </w:r>
      <w:r w:rsidR="00B935C9" w:rsidRPr="008F1ED8">
        <w:rPr>
          <w:b w:val="0"/>
        </w:rPr>
        <w:t>transporcie i gospodar</w:t>
      </w:r>
      <w:r w:rsidR="00B935C9">
        <w:rPr>
          <w:b w:val="0"/>
        </w:rPr>
        <w:t xml:space="preserve">ce magazynowej (z 4,4% do 2,0%), </w:t>
      </w:r>
      <w:r w:rsidR="00B935C9" w:rsidRPr="00E67A77">
        <w:rPr>
          <w:b w:val="0"/>
        </w:rPr>
        <w:t>działalności profesjonal</w:t>
      </w:r>
      <w:r w:rsidR="00B935C9">
        <w:rPr>
          <w:b w:val="0"/>
        </w:rPr>
        <w:t>nej, naukowej i technicznej (z 4,8% do 2,7</w:t>
      </w:r>
      <w:r w:rsidR="00B935C9" w:rsidRPr="00E67A77">
        <w:rPr>
          <w:b w:val="0"/>
        </w:rPr>
        <w:t>%)</w:t>
      </w:r>
      <w:r w:rsidR="00B935C9">
        <w:rPr>
          <w:b w:val="0"/>
        </w:rPr>
        <w:t xml:space="preserve">, budownictwie (z 4,9% do 3,0%), </w:t>
      </w:r>
      <w:r w:rsidR="00B935C9" w:rsidRPr="00F30587">
        <w:rPr>
          <w:b w:val="0"/>
        </w:rPr>
        <w:t>handlu; naprawie pojazdów samochodowych</w:t>
      </w:r>
      <w:r w:rsidR="00B935C9">
        <w:rPr>
          <w:b w:val="0"/>
        </w:rPr>
        <w:t xml:space="preserve"> (z 3,1% do 1,2%),</w:t>
      </w:r>
      <w:r w:rsidR="00B935C9" w:rsidRPr="00B935C9">
        <w:rPr>
          <w:b w:val="0"/>
        </w:rPr>
        <w:t xml:space="preserve"> </w:t>
      </w:r>
      <w:r w:rsidR="00B935C9" w:rsidRPr="00E67A77">
        <w:rPr>
          <w:b w:val="0"/>
        </w:rPr>
        <w:t>wytwarzaniu i zaopatrywaniu w energię elektryczną, gaz,</w:t>
      </w:r>
      <w:r w:rsidR="00B935C9">
        <w:rPr>
          <w:b w:val="0"/>
        </w:rPr>
        <w:t xml:space="preserve"> parę wodną i gorącą wodę (z 4,6% do 3,4</w:t>
      </w:r>
      <w:r w:rsidR="00B935C9" w:rsidRPr="00E67A77">
        <w:rPr>
          <w:b w:val="0"/>
        </w:rPr>
        <w:t>%)</w:t>
      </w:r>
      <w:r w:rsidR="00B935C9">
        <w:rPr>
          <w:b w:val="0"/>
        </w:rPr>
        <w:t xml:space="preserve">, </w:t>
      </w:r>
      <w:r w:rsidR="00B935C9" w:rsidRPr="00215766">
        <w:rPr>
          <w:b w:val="0"/>
        </w:rPr>
        <w:t>przetwórstwi</w:t>
      </w:r>
      <w:r w:rsidR="00B935C9">
        <w:rPr>
          <w:b w:val="0"/>
        </w:rPr>
        <w:t xml:space="preserve">e przemysłowym (z 4,6% do 3,6%) oraz w </w:t>
      </w:r>
      <w:r w:rsidR="00B935C9" w:rsidRPr="00A04526">
        <w:rPr>
          <w:b w:val="0"/>
        </w:rPr>
        <w:t xml:space="preserve">administrowaniu i </w:t>
      </w:r>
      <w:r w:rsidR="00B935C9">
        <w:rPr>
          <w:b w:val="0"/>
        </w:rPr>
        <w:t>działalnośc</w:t>
      </w:r>
      <w:r w:rsidR="009278C4">
        <w:rPr>
          <w:b w:val="0"/>
        </w:rPr>
        <w:t>i wspierającej (z 6,1% do 5,6</w:t>
      </w:r>
      <w:r w:rsidR="00B935C9">
        <w:rPr>
          <w:b w:val="0"/>
        </w:rPr>
        <w:t>%).</w:t>
      </w:r>
      <w:r w:rsidR="00446186">
        <w:rPr>
          <w:b w:val="0"/>
        </w:rPr>
        <w:t xml:space="preserve"> </w:t>
      </w:r>
      <w:r w:rsidR="00FB6382">
        <w:rPr>
          <w:b w:val="0"/>
        </w:rPr>
        <w:t>P</w:t>
      </w:r>
      <w:r w:rsidR="00FB6382" w:rsidRPr="0062183F">
        <w:rPr>
          <w:b w:val="0"/>
        </w:rPr>
        <w:t xml:space="preserve">oprawę wskaźnika rentowności </w:t>
      </w:r>
      <w:r w:rsidR="00FB6382">
        <w:rPr>
          <w:b w:val="0"/>
        </w:rPr>
        <w:t xml:space="preserve">obrotu netto odnotowano m.in. w </w:t>
      </w:r>
      <w:r w:rsidR="00FB6382" w:rsidRPr="0062183F">
        <w:rPr>
          <w:b w:val="0"/>
        </w:rPr>
        <w:t>i</w:t>
      </w:r>
      <w:r w:rsidR="00FB6382">
        <w:rPr>
          <w:b w:val="0"/>
        </w:rPr>
        <w:t>nformacji i komunikacji (z 5,1</w:t>
      </w:r>
      <w:r w:rsidR="00FB6382" w:rsidRPr="0062183F">
        <w:rPr>
          <w:b w:val="0"/>
        </w:rPr>
        <w:t xml:space="preserve">% </w:t>
      </w:r>
      <w:r w:rsidR="00FB6382">
        <w:rPr>
          <w:b w:val="0"/>
        </w:rPr>
        <w:t xml:space="preserve">do 7,2%), </w:t>
      </w:r>
      <w:r w:rsidR="00FB6382" w:rsidRPr="0062183F">
        <w:rPr>
          <w:b w:val="0"/>
        </w:rPr>
        <w:t>pozostałej działalnośc</w:t>
      </w:r>
      <w:r w:rsidR="00FB6382">
        <w:rPr>
          <w:b w:val="0"/>
        </w:rPr>
        <w:t>i usługowej (z 6,0% do 7,7%), zakwa</w:t>
      </w:r>
      <w:r w:rsidR="00FB6382" w:rsidRPr="0062183F">
        <w:rPr>
          <w:b w:val="0"/>
        </w:rPr>
        <w:t>terowaniu</w:t>
      </w:r>
      <w:r w:rsidR="00FB6382">
        <w:rPr>
          <w:b w:val="0"/>
        </w:rPr>
        <w:t xml:space="preserve"> i gastronomii (z 3,8</w:t>
      </w:r>
      <w:r w:rsidR="00FB6382" w:rsidRPr="0062183F">
        <w:rPr>
          <w:b w:val="0"/>
        </w:rPr>
        <w:t xml:space="preserve">% </w:t>
      </w:r>
      <w:r w:rsidR="00FB6382">
        <w:rPr>
          <w:b w:val="0"/>
        </w:rPr>
        <w:t xml:space="preserve">do 4,8%) oraz w </w:t>
      </w:r>
      <w:r w:rsidR="00FB6382" w:rsidRPr="0062183F">
        <w:rPr>
          <w:b w:val="0"/>
        </w:rPr>
        <w:t>dostawie wody; gospodarowaniu ściekami</w:t>
      </w:r>
      <w:r w:rsidR="00FB6382">
        <w:rPr>
          <w:b w:val="0"/>
        </w:rPr>
        <w:t xml:space="preserve"> i odpadami; rekultywacji (z 5,3% do 6,1</w:t>
      </w:r>
      <w:r w:rsidR="00FB6382" w:rsidRPr="0062183F">
        <w:rPr>
          <w:b w:val="0"/>
        </w:rPr>
        <w:t>%)</w:t>
      </w:r>
      <w:r w:rsidR="00FB6382">
        <w:rPr>
          <w:b w:val="0"/>
        </w:rPr>
        <w:t>.</w:t>
      </w:r>
    </w:p>
    <w:p w14:paraId="7DF9C437" w14:textId="664FE88C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B90BDB">
        <w:rPr>
          <w:b w:val="0"/>
        </w:rPr>
        <w:t>sł 42,0% (wobec 37,5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B90BDB">
        <w:rPr>
          <w:b w:val="0"/>
        </w:rPr>
        <w:t>ia 107,9% (wobec 107,5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F63C8F">
        <w:rPr>
          <w:b w:val="0"/>
        </w:rPr>
        <w:t>yskało 57,0</w:t>
      </w:r>
      <w:r>
        <w:rPr>
          <w:b w:val="0"/>
        </w:rPr>
        <w:t>% bada</w:t>
      </w:r>
      <w:r w:rsidR="00F63C8F">
        <w:rPr>
          <w:b w:val="0"/>
        </w:rPr>
        <w:t>nych przedsiębiorstw (wobec 54,3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 xml:space="preserve">Wskaźnik płynności </w:t>
      </w:r>
      <w:r w:rsidR="005530B6">
        <w:rPr>
          <w:b w:val="0"/>
        </w:rPr>
        <w:t xml:space="preserve">finansowej </w:t>
      </w:r>
      <w:r w:rsidRPr="00736490">
        <w:rPr>
          <w:b w:val="0"/>
        </w:rPr>
        <w:t>II stopnia w przedziale</w:t>
      </w:r>
      <w:r w:rsidR="00F63C8F">
        <w:rPr>
          <w:b w:val="0"/>
        </w:rPr>
        <w:t xml:space="preserve"> od 100% do 130% odnotowało 11,5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F63C8F">
        <w:rPr>
          <w:b w:val="0"/>
        </w:rPr>
        <w:t>wobec 12,5</w:t>
      </w:r>
      <w:r w:rsidR="00F9478F">
        <w:rPr>
          <w:b w:val="0"/>
        </w:rPr>
        <w:t>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582CD5CA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4B128CBC" w:rsidR="00BA1968" w:rsidRDefault="00FE7F55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1360" behindDoc="0" locked="0" layoutInCell="1" allowOverlap="1" wp14:anchorId="3EC4AFE7" wp14:editId="1C620825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5084445" cy="3560445"/>
            <wp:effectExtent l="0" t="0" r="1905" b="1905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10C79E12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00AC7DB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58A614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565D7C9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36D1951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D6396B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06D6C6A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B1D57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6309B11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6427D44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782F43F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D49DD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4761213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19D0DA0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380670E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5BBCCA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4872887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33F55976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28F58F70" w:rsidR="00BA1968" w:rsidRDefault="00BA1968" w:rsidP="00BA1968">
      <w:pPr>
        <w:pStyle w:val="LID"/>
        <w:contextualSpacing/>
      </w:pPr>
    </w:p>
    <w:p w14:paraId="2AA7E20E" w14:textId="77727595" w:rsidR="005B6111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1706F1" w:rsidRPr="00A9459D">
        <w:rPr>
          <w:b w:val="0"/>
        </w:rPr>
        <w:t>wynagrodzeń</w:t>
      </w:r>
      <w:r w:rsidR="005B6111">
        <w:rPr>
          <w:b w:val="0"/>
        </w:rPr>
        <w:t xml:space="preserve"> </w:t>
      </w:r>
      <w:r w:rsidR="006946B9">
        <w:rPr>
          <w:b w:val="0"/>
        </w:rPr>
        <w:t>(o 2,5 p. proc.), usług obcych (o 2,0 p. proc.), amortyzacji oraz pozostałych kosztów ro</w:t>
      </w:r>
      <w:r w:rsidR="002C4E59">
        <w:rPr>
          <w:b w:val="0"/>
        </w:rPr>
        <w:t>dzajowych (po 0,7 p. proc.),</w:t>
      </w:r>
      <w:r w:rsidR="006946B9">
        <w:rPr>
          <w:b w:val="0"/>
        </w:rPr>
        <w:t xml:space="preserve"> </w:t>
      </w:r>
      <w:r w:rsidR="006946B9" w:rsidRPr="005641B7">
        <w:rPr>
          <w:b w:val="0"/>
        </w:rPr>
        <w:t>podatkó</w:t>
      </w:r>
      <w:r w:rsidR="006946B9">
        <w:rPr>
          <w:b w:val="0"/>
        </w:rPr>
        <w:t xml:space="preserve">w i opłat oraz </w:t>
      </w:r>
      <w:r w:rsidR="006946B9" w:rsidRPr="005641B7">
        <w:rPr>
          <w:b w:val="0"/>
        </w:rPr>
        <w:t>ubezpieczeń społecznych i innych świadczeń</w:t>
      </w:r>
      <w:r w:rsidR="006946B9">
        <w:rPr>
          <w:b w:val="0"/>
        </w:rPr>
        <w:t xml:space="preserve"> (po 0,6 p. proc.). </w:t>
      </w:r>
      <w:r w:rsidR="000E7C5A" w:rsidRPr="00A9459D">
        <w:rPr>
          <w:b w:val="0"/>
        </w:rPr>
        <w:t>Zmniejszył się udział</w:t>
      </w:r>
      <w:r w:rsidR="000E7C5A">
        <w:rPr>
          <w:b w:val="0"/>
        </w:rPr>
        <w:t xml:space="preserve"> zużycia materiałów</w:t>
      </w:r>
      <w:r w:rsidR="000E7C5A" w:rsidRPr="00A9459D">
        <w:rPr>
          <w:b w:val="0"/>
        </w:rPr>
        <w:t xml:space="preserve"> (</w:t>
      </w:r>
      <w:r w:rsidR="006946B9">
        <w:rPr>
          <w:b w:val="0"/>
        </w:rPr>
        <w:t>o 6,5 p. proc.) oraz zużycia energii (o 0,6 p. proc.).</w:t>
      </w:r>
    </w:p>
    <w:p w14:paraId="602073DE" w14:textId="0B5236E9" w:rsidR="00BA1968" w:rsidRDefault="00BA1968" w:rsidP="00BA1968">
      <w:pPr>
        <w:pStyle w:val="LID"/>
        <w:contextualSpacing/>
      </w:pPr>
    </w:p>
    <w:p w14:paraId="5809FF43" w14:textId="6BD3642C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EC0527">
        <w:t xml:space="preserve">1 kwartale </w:t>
      </w:r>
      <w:r w:rsidR="00BC58FB">
        <w:t>2024</w:t>
      </w:r>
      <w:r w:rsidRPr="00553C9F">
        <w:t xml:space="preserve"> roku</w:t>
      </w:r>
    </w:p>
    <w:p w14:paraId="12929199" w14:textId="2E6D028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BE84F69" w14:textId="1FEDE144" w:rsidR="00BA1968" w:rsidRDefault="002E11B7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0336" behindDoc="0" locked="0" layoutInCell="1" allowOverlap="1" wp14:anchorId="18A71999" wp14:editId="6883E16E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096510" cy="3450590"/>
            <wp:effectExtent l="0" t="0" r="889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3B24CB" w14:textId="2F60642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05018D7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19FCDCF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1D4297CD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0654BFAB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spadek nakładów inwestycyjnych badanych przedsiębiorstw o 2,2% w stosunku do 1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0C3F8F3C" w:rsidR="00E40D45" w:rsidRDefault="00665D9F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spadek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8A5D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,2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8A5D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kwartału 2023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A320" id="_x0000_s1029" type="#_x0000_t202" alt="Odnotowano spadek nakładów inwestycyjnych badanych przedsiębiorstw o 2,2% w stosunku do 1 kwartału 2023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" filled="f" stroked="f">
                <v:textbox>
                  <w:txbxContent>
                    <w:p w14:paraId="308632EC" w14:textId="0C3F8F3C" w:rsidR="00E40D45" w:rsidRDefault="00665D9F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spadek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8A5D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,2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8A5D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kwartału 2023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400163">
        <w:rPr>
          <w:b w:val="0"/>
        </w:rPr>
        <w:t>52,5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400163">
        <w:rPr>
          <w:b w:val="0"/>
        </w:rPr>
        <w:t xml:space="preserve"> 1 kwartale</w:t>
      </w:r>
      <w:r w:rsidR="00E40D45">
        <w:rPr>
          <w:b w:val="0"/>
        </w:rPr>
        <w:t xml:space="preserve"> </w:t>
      </w:r>
      <w:r w:rsidR="00400163">
        <w:rPr>
          <w:b w:val="0"/>
        </w:rPr>
        <w:t>2024</w:t>
      </w:r>
      <w:r w:rsidR="00E40D45" w:rsidRPr="008C358E">
        <w:rPr>
          <w:b w:val="0"/>
        </w:rPr>
        <w:t xml:space="preserve"> roku przychody netto ze sprzedaży produktów, towarów i m</w:t>
      </w:r>
      <w:r w:rsidR="00400163">
        <w:rPr>
          <w:b w:val="0"/>
        </w:rPr>
        <w:t>ateriałów na eksport (wobec 52,3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B61841">
        <w:rPr>
          <w:b w:val="0"/>
        </w:rPr>
        <w:t xml:space="preserve"> był o 10,3</w:t>
      </w:r>
      <w:r w:rsidR="00E40D45" w:rsidRPr="00E2185D">
        <w:rPr>
          <w:b w:val="0"/>
        </w:rPr>
        <w:t xml:space="preserve">% </w:t>
      </w:r>
      <w:r w:rsidR="00722C74">
        <w:rPr>
          <w:b w:val="0"/>
        </w:rPr>
        <w:t>ni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B61841">
        <w:rPr>
          <w:b w:val="0"/>
        </w:rPr>
        <w:t>w zmniejszył się z 24,9% do 23,8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1146E7">
        <w:rPr>
          <w:b w:val="0"/>
        </w:rPr>
        <w:t>67,3</w:t>
      </w:r>
      <w:r w:rsidR="00E40D45" w:rsidRPr="007F48B8">
        <w:rPr>
          <w:b w:val="0"/>
        </w:rPr>
        <w:t xml:space="preserve">% przedsiębiorstw wobec </w:t>
      </w:r>
      <w:r w:rsidR="001146E7">
        <w:rPr>
          <w:b w:val="0"/>
        </w:rPr>
        <w:t>7</w:t>
      </w:r>
      <w:r w:rsidR="00B47DE7">
        <w:rPr>
          <w:b w:val="0"/>
        </w:rPr>
        <w:t>5,3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AB3BF7">
        <w:rPr>
          <w:b w:val="0"/>
        </w:rPr>
        <w:t xml:space="preserve">uległy pogorszeniu i były </w:t>
      </w:r>
      <w:r w:rsidR="00FA6429">
        <w:rPr>
          <w:b w:val="0"/>
        </w:rPr>
        <w:t>zbliżone do</w:t>
      </w:r>
      <w:r w:rsidR="00AB3BF7">
        <w:rPr>
          <w:b w:val="0"/>
        </w:rPr>
        <w:t xml:space="preserve"> </w:t>
      </w:r>
      <w:r w:rsidR="00E40D45" w:rsidRPr="007F48B8">
        <w:rPr>
          <w:b w:val="0"/>
        </w:rPr>
        <w:t>ogółu badanych przedsiębiorstw.</w:t>
      </w:r>
    </w:p>
    <w:p w14:paraId="1BDC0FD0" w14:textId="5FCC7670" w:rsidR="00E40D45" w:rsidRPr="007F48B8" w:rsidRDefault="007F71DE" w:rsidP="00AB4FBD">
      <w:pPr>
        <w:pStyle w:val="LID"/>
        <w:rPr>
          <w:b w:val="0"/>
        </w:rPr>
      </w:pPr>
      <w:r>
        <w:rPr>
          <w:b w:val="0"/>
        </w:rPr>
        <w:t>Nakłady</w:t>
      </w:r>
      <w:r w:rsidR="00375A14" w:rsidRPr="00375A14">
        <w:rPr>
          <w:b w:val="0"/>
        </w:rPr>
        <w:t xml:space="preserve"> </w:t>
      </w:r>
      <w:r w:rsidR="00223BEB" w:rsidRPr="00223BEB">
        <w:rPr>
          <w:b w:val="0"/>
        </w:rPr>
        <w:t xml:space="preserve">inwestycyjne badanych </w:t>
      </w:r>
      <w:r w:rsidR="00854F2A">
        <w:rPr>
          <w:b w:val="0"/>
        </w:rPr>
        <w:t>przedsiębiorstw w 1 kwartale 2024 roku</w:t>
      </w:r>
      <w:r w:rsidR="00223BEB" w:rsidRPr="00223BEB">
        <w:rPr>
          <w:b w:val="0"/>
        </w:rPr>
        <w:t xml:space="preserve"> wyniosły 39,9 mld zł i były (w cenach stałych) o 2,2% niższe niż przed rokiem (w 1 kwartale ub. roku odnotowano wzrost o 7,2%). Zmniejszyły si</w:t>
      </w:r>
      <w:r w:rsidR="005E6159">
        <w:rPr>
          <w:b w:val="0"/>
        </w:rPr>
        <w:t xml:space="preserve">ę nakłady na budynki i budowle </w:t>
      </w:r>
      <w:r w:rsidR="005E6159" w:rsidRPr="00223BEB">
        <w:rPr>
          <w:b w:val="0"/>
        </w:rPr>
        <w:t>–</w:t>
      </w:r>
      <w:r w:rsidR="00223BEB" w:rsidRPr="00223BEB">
        <w:rPr>
          <w:b w:val="0"/>
        </w:rPr>
        <w:t xml:space="preserve"> o 14,2% (wobec wzrostu przed rokiem o 4,9%), natom</w:t>
      </w:r>
      <w:r w:rsidR="005E6159">
        <w:rPr>
          <w:b w:val="0"/>
        </w:rPr>
        <w:t xml:space="preserve">iast wzrosły nakłady na zakupy </w:t>
      </w:r>
      <w:r w:rsidR="005E6159" w:rsidRPr="00223BEB">
        <w:rPr>
          <w:b w:val="0"/>
        </w:rPr>
        <w:t>–</w:t>
      </w:r>
      <w:r w:rsidR="00223BEB" w:rsidRPr="00223BEB">
        <w:rPr>
          <w:b w:val="0"/>
        </w:rPr>
        <w:t xml:space="preserve"> o 4,5%, w tym na środki transportu – o 8,7% (wobec wzrostu przed rokiem o 15,1%) oraz na maszyny, urządzenia techniczne i narzędzia – o 2,8% (wobec wzrostu przed rokiem o 5,9%).</w:t>
      </w:r>
    </w:p>
    <w:p w14:paraId="227CE102" w14:textId="3CE78788" w:rsidR="00BA1968" w:rsidRPr="007F48B8" w:rsidRDefault="00223BEB" w:rsidP="00AB4FBD">
      <w:pPr>
        <w:rPr>
          <w:rFonts w:eastAsia="Times New Roman" w:cs="Times New Roman"/>
          <w:b/>
          <w:szCs w:val="19"/>
          <w:lang w:eastAsia="pl-PL"/>
        </w:rPr>
      </w:pPr>
      <w:r>
        <w:t xml:space="preserve">Wzrost </w:t>
      </w:r>
      <w:r w:rsidRPr="00223BEB">
        <w:t>nakładów (w cenach bieżących) notowano m.in. w sekcjach: budownictwo (o 53,2% wobec wzrostu o 20,1%</w:t>
      </w:r>
      <w:r w:rsidR="00E24A99">
        <w:t xml:space="preserve"> przed rokiem</w:t>
      </w:r>
      <w:r w:rsidRPr="00223BEB">
        <w:t>), administrowanie i działalność wspierająca (o 21,7% wobec wzrostu o 12,0%</w:t>
      </w:r>
      <w:r w:rsidR="00E24A99">
        <w:t xml:space="preserve"> przed rokiem</w:t>
      </w:r>
      <w:r w:rsidRPr="00223BEB">
        <w:t>), górnictwo i wydobywanie (o 12,9% wobec wzrostu o 55,0%</w:t>
      </w:r>
      <w:r w:rsidR="00E24A99">
        <w:t xml:space="preserve"> przed rokiem</w:t>
      </w:r>
      <w:r w:rsidRPr="00223BEB">
        <w:t>), zakwaterowanie i gastronomia (o 3,9% wobec wzrostu o 30,4%</w:t>
      </w:r>
      <w:r w:rsidR="00E24A99">
        <w:t xml:space="preserve"> przed rokiem</w:t>
      </w:r>
      <w:r w:rsidRPr="00223BEB">
        <w:t>). Spadek nakładów notowano natomiast m.in. w sekcjach: transport i gospodarka magazynowa (o 20,4% wobec spadku o 1,9%</w:t>
      </w:r>
      <w:r w:rsidR="00E24A99">
        <w:t xml:space="preserve"> przed rokiem</w:t>
      </w:r>
      <w:r w:rsidRPr="00223BEB">
        <w:t>), informacja i komunikacja (o 17,6% wobec wzrostu o 4,5%</w:t>
      </w:r>
      <w:r w:rsidR="00E24A99">
        <w:t xml:space="preserve"> przed rokiem</w:t>
      </w:r>
      <w:r w:rsidRPr="00223BEB">
        <w:t>), dostawa wody; gospodarowanie ściekami i odpadami, rekultywacja (o 16,4% wobec wzrostu o 19,8%</w:t>
      </w:r>
      <w:r w:rsidR="00E24A99">
        <w:t xml:space="preserve"> przed rokiem</w:t>
      </w:r>
      <w:r w:rsidRPr="00223BEB">
        <w:t>), obsługa rynku nieruchomości (o 14,1% wobec spadku o 33,6%</w:t>
      </w:r>
      <w:r w:rsidR="00E24A99">
        <w:t xml:space="preserve"> przed rokiem</w:t>
      </w:r>
      <w:r w:rsidRPr="00223BEB">
        <w:t>), wytwarzanie i zaopatrywanie w energię elektryczną, gaz, parę wodną, gorącą wodę (o 10,5% wobec wzrostu o 59,4%</w:t>
      </w:r>
      <w:r w:rsidR="00E24A99">
        <w:t xml:space="preserve"> przed rokiem</w:t>
      </w:r>
      <w:r w:rsidRPr="00223BEB">
        <w:t>), handel; naprawa pojazdów samochodowych (o 2,9% wobec wzrostu o 12,8%</w:t>
      </w:r>
      <w:r w:rsidR="00E24A99">
        <w:t xml:space="preserve"> przed rokiem</w:t>
      </w:r>
      <w:r w:rsidRPr="00223BEB">
        <w:t>), przetwórstwo przemysłowe (o 2,0% wobec wzrostu o 17,7%</w:t>
      </w:r>
      <w:r w:rsidR="00E24A99">
        <w:t xml:space="preserve"> przed rokiem</w:t>
      </w:r>
      <w:r w:rsidRPr="00223BEB">
        <w:t>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49692E36" w:rsidR="00BA1968" w:rsidRDefault="00BB79E6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6E6D6BAB" wp14:editId="410073D9">
            <wp:extent cx="5090795" cy="3084830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3E422EF5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B762AC">
        <w:rPr>
          <w:rFonts w:eastAsia="Times New Roman" w:cs="Times New Roman"/>
          <w:szCs w:val="19"/>
          <w:lang w:eastAsia="pl-PL"/>
        </w:rPr>
        <w:t>dotyczą 16</w:t>
      </w:r>
      <w:r w:rsidR="005E24B5">
        <w:rPr>
          <w:rFonts w:eastAsia="Times New Roman" w:cs="Times New Roman"/>
          <w:szCs w:val="19"/>
          <w:lang w:eastAsia="pl-PL"/>
        </w:rPr>
        <w:t xml:space="preserve"> </w:t>
      </w:r>
      <w:r w:rsidR="00B762AC">
        <w:rPr>
          <w:rFonts w:eastAsia="Times New Roman" w:cs="Times New Roman"/>
          <w:szCs w:val="19"/>
          <w:lang w:eastAsia="pl-PL"/>
        </w:rPr>
        <w:t>938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5299494D" w14:textId="77777777" w:rsidR="00CD320E" w:rsidRDefault="00DE2400" w:rsidP="00CD320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D320E">
              <w:rPr>
                <w:rFonts w:cs="Arial"/>
                <w:b/>
                <w:sz w:val="20"/>
              </w:rPr>
              <w:t>Wydział Współpracy z Mediami</w:t>
            </w:r>
          </w:p>
          <w:p w14:paraId="5D9DDE05" w14:textId="77777777" w:rsidR="00CD320E" w:rsidRDefault="00CD320E" w:rsidP="00CD320E">
            <w:r>
              <w:t>Tel. komórkowy: +48 695 255 032</w:t>
            </w:r>
          </w:p>
          <w:p w14:paraId="0C5B57DC" w14:textId="77777777" w:rsidR="00CD320E" w:rsidRDefault="00CD320E" w:rsidP="00CD320E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C5B201B" w14:textId="0E7E37D1" w:rsidR="00CD320E" w:rsidRDefault="00CD320E" w:rsidP="00CD320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1887971E" w:rsidR="00CD320E" w:rsidRPr="00CD320E" w:rsidRDefault="00CD320E" w:rsidP="00CD320E"/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41EB318B" w:rsidR="00CD320E" w:rsidRPr="00F01205" w:rsidRDefault="00CD320E" w:rsidP="00CD320E">
            <w:pPr>
              <w:rPr>
                <w:sz w:val="18"/>
                <w:lang w:val="fr-FR"/>
              </w:rPr>
            </w:pPr>
            <w:r w:rsidRPr="00F01205">
              <w:rPr>
                <w:sz w:val="18"/>
                <w:lang w:val="fr-FR"/>
              </w:rPr>
              <w:t xml:space="preserve"> </w:t>
            </w:r>
          </w:p>
          <w:p w14:paraId="07C73DA1" w14:textId="50A82A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709BB15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5D38C478" w:rsidR="00FD1E89" w:rsidRPr="00FA5E94" w:rsidRDefault="00DC60A8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6D76C5A3" w:rsidR="00FD1E89" w:rsidRPr="00FA5E94" w:rsidRDefault="00DC60A8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56B2BDA1" w:rsidR="00FD1E89" w:rsidRPr="00FA5E94" w:rsidRDefault="00DC60A8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DC60A8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DC60A8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DC60A8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DC60A8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DC60A8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DC60A8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B117C" w14:textId="77777777" w:rsidR="00DC60A8" w:rsidRDefault="00DC60A8" w:rsidP="000662E2">
      <w:pPr>
        <w:spacing w:after="0" w:line="240" w:lineRule="auto"/>
      </w:pPr>
      <w:r>
        <w:separator/>
      </w:r>
    </w:p>
  </w:endnote>
  <w:endnote w:type="continuationSeparator" w:id="0">
    <w:p w14:paraId="2937B22F" w14:textId="77777777" w:rsidR="00DC60A8" w:rsidRDefault="00DC60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4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4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606DD" w14:textId="77777777" w:rsidR="00DC60A8" w:rsidRDefault="00DC60A8" w:rsidP="000662E2">
      <w:pPr>
        <w:spacing w:after="0" w:line="240" w:lineRule="auto"/>
      </w:pPr>
      <w:r>
        <w:separator/>
      </w:r>
    </w:p>
  </w:footnote>
  <w:footnote w:type="continuationSeparator" w:id="0">
    <w:p w14:paraId="4EFADC4B" w14:textId="77777777" w:rsidR="00DC60A8" w:rsidRDefault="00DC60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6F013E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FAAB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7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5C985BF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60DB0">
                            <w:t>7.05</w:t>
                          </w:r>
                          <w:r w:rsidR="00E765D5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7.05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0VjzI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25C985BF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660DB0">
                      <w:t>7.05</w:t>
                    </w:r>
                    <w:r w:rsidR="00E765D5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3F4D"/>
    <w:rsid w:val="0004582E"/>
    <w:rsid w:val="000470AA"/>
    <w:rsid w:val="00050EF3"/>
    <w:rsid w:val="000547D4"/>
    <w:rsid w:val="00057CA1"/>
    <w:rsid w:val="0006389B"/>
    <w:rsid w:val="000647A9"/>
    <w:rsid w:val="00065FF6"/>
    <w:rsid w:val="000662E2"/>
    <w:rsid w:val="00066883"/>
    <w:rsid w:val="000677E1"/>
    <w:rsid w:val="00071B39"/>
    <w:rsid w:val="0007228D"/>
    <w:rsid w:val="00074DD8"/>
    <w:rsid w:val="00075759"/>
    <w:rsid w:val="00076158"/>
    <w:rsid w:val="00077EE1"/>
    <w:rsid w:val="000806F7"/>
    <w:rsid w:val="00085739"/>
    <w:rsid w:val="00090180"/>
    <w:rsid w:val="00091B51"/>
    <w:rsid w:val="0009301E"/>
    <w:rsid w:val="0009551C"/>
    <w:rsid w:val="00097840"/>
    <w:rsid w:val="000A52D6"/>
    <w:rsid w:val="000A7803"/>
    <w:rsid w:val="000B03F9"/>
    <w:rsid w:val="000B0727"/>
    <w:rsid w:val="000B1E93"/>
    <w:rsid w:val="000B1FB4"/>
    <w:rsid w:val="000B2172"/>
    <w:rsid w:val="000B4FD1"/>
    <w:rsid w:val="000B6EE9"/>
    <w:rsid w:val="000C135D"/>
    <w:rsid w:val="000C136B"/>
    <w:rsid w:val="000C6B65"/>
    <w:rsid w:val="000C78F5"/>
    <w:rsid w:val="000D1D43"/>
    <w:rsid w:val="000D225C"/>
    <w:rsid w:val="000D2A5C"/>
    <w:rsid w:val="000D39F0"/>
    <w:rsid w:val="000E0918"/>
    <w:rsid w:val="000E1FB7"/>
    <w:rsid w:val="000E70A9"/>
    <w:rsid w:val="000E79A9"/>
    <w:rsid w:val="000E7C5A"/>
    <w:rsid w:val="000F1D9C"/>
    <w:rsid w:val="001011C3"/>
    <w:rsid w:val="001029F4"/>
    <w:rsid w:val="00103124"/>
    <w:rsid w:val="00106DA3"/>
    <w:rsid w:val="00110214"/>
    <w:rsid w:val="00110D87"/>
    <w:rsid w:val="00112263"/>
    <w:rsid w:val="00112399"/>
    <w:rsid w:val="001146E7"/>
    <w:rsid w:val="00114DB9"/>
    <w:rsid w:val="00116087"/>
    <w:rsid w:val="001161F4"/>
    <w:rsid w:val="00117711"/>
    <w:rsid w:val="00126A1E"/>
    <w:rsid w:val="00130296"/>
    <w:rsid w:val="00134145"/>
    <w:rsid w:val="001346D8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471B6"/>
    <w:rsid w:val="00147650"/>
    <w:rsid w:val="00150487"/>
    <w:rsid w:val="00150A63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20FC"/>
    <w:rsid w:val="00172818"/>
    <w:rsid w:val="00177514"/>
    <w:rsid w:val="00180C00"/>
    <w:rsid w:val="00183E9E"/>
    <w:rsid w:val="00191E88"/>
    <w:rsid w:val="001951DA"/>
    <w:rsid w:val="0019780D"/>
    <w:rsid w:val="001A0E5C"/>
    <w:rsid w:val="001A1039"/>
    <w:rsid w:val="001A4114"/>
    <w:rsid w:val="001A6107"/>
    <w:rsid w:val="001A6375"/>
    <w:rsid w:val="001B053D"/>
    <w:rsid w:val="001B26F9"/>
    <w:rsid w:val="001B3369"/>
    <w:rsid w:val="001B3E7F"/>
    <w:rsid w:val="001C1489"/>
    <w:rsid w:val="001C3269"/>
    <w:rsid w:val="001C445B"/>
    <w:rsid w:val="001C4DF4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15B3"/>
    <w:rsid w:val="001E5B2D"/>
    <w:rsid w:val="001E7332"/>
    <w:rsid w:val="001F080F"/>
    <w:rsid w:val="001F10BB"/>
    <w:rsid w:val="0020041B"/>
    <w:rsid w:val="00200E19"/>
    <w:rsid w:val="0020156C"/>
    <w:rsid w:val="002016A2"/>
    <w:rsid w:val="00202F30"/>
    <w:rsid w:val="00207B7B"/>
    <w:rsid w:val="00211583"/>
    <w:rsid w:val="00215766"/>
    <w:rsid w:val="00216634"/>
    <w:rsid w:val="002213A2"/>
    <w:rsid w:val="00223BEB"/>
    <w:rsid w:val="00233E64"/>
    <w:rsid w:val="00242D31"/>
    <w:rsid w:val="00250763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72F9B"/>
    <w:rsid w:val="00273D09"/>
    <w:rsid w:val="00276811"/>
    <w:rsid w:val="00282699"/>
    <w:rsid w:val="002837B0"/>
    <w:rsid w:val="00285054"/>
    <w:rsid w:val="00291478"/>
    <w:rsid w:val="002926DF"/>
    <w:rsid w:val="00296697"/>
    <w:rsid w:val="002979F7"/>
    <w:rsid w:val="002A151C"/>
    <w:rsid w:val="002A65A4"/>
    <w:rsid w:val="002B0472"/>
    <w:rsid w:val="002B04F2"/>
    <w:rsid w:val="002B2537"/>
    <w:rsid w:val="002B6B12"/>
    <w:rsid w:val="002C21F0"/>
    <w:rsid w:val="002C4E59"/>
    <w:rsid w:val="002C567C"/>
    <w:rsid w:val="002D01DF"/>
    <w:rsid w:val="002D03BA"/>
    <w:rsid w:val="002D425F"/>
    <w:rsid w:val="002E11B7"/>
    <w:rsid w:val="002E248C"/>
    <w:rsid w:val="002E2B73"/>
    <w:rsid w:val="002E3EB3"/>
    <w:rsid w:val="002E6140"/>
    <w:rsid w:val="002E6985"/>
    <w:rsid w:val="002E71B6"/>
    <w:rsid w:val="002F2DC7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550E"/>
    <w:rsid w:val="00317F4D"/>
    <w:rsid w:val="00322EDD"/>
    <w:rsid w:val="003235B9"/>
    <w:rsid w:val="00324C78"/>
    <w:rsid w:val="00325CDD"/>
    <w:rsid w:val="003270D2"/>
    <w:rsid w:val="00327A28"/>
    <w:rsid w:val="0033030B"/>
    <w:rsid w:val="003309FA"/>
    <w:rsid w:val="00332320"/>
    <w:rsid w:val="003325FE"/>
    <w:rsid w:val="00332AA3"/>
    <w:rsid w:val="00340972"/>
    <w:rsid w:val="00340E2C"/>
    <w:rsid w:val="0034626A"/>
    <w:rsid w:val="00347587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191E"/>
    <w:rsid w:val="00372411"/>
    <w:rsid w:val="00373882"/>
    <w:rsid w:val="00373F1B"/>
    <w:rsid w:val="00375A14"/>
    <w:rsid w:val="00375BB7"/>
    <w:rsid w:val="003843DB"/>
    <w:rsid w:val="00385D4F"/>
    <w:rsid w:val="00391D23"/>
    <w:rsid w:val="00393761"/>
    <w:rsid w:val="00394E26"/>
    <w:rsid w:val="00396691"/>
    <w:rsid w:val="00396698"/>
    <w:rsid w:val="00397D18"/>
    <w:rsid w:val="003A1B36"/>
    <w:rsid w:val="003A3874"/>
    <w:rsid w:val="003A4407"/>
    <w:rsid w:val="003A49D1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F72"/>
    <w:rsid w:val="003D4F7C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63"/>
    <w:rsid w:val="00400193"/>
    <w:rsid w:val="00403044"/>
    <w:rsid w:val="004038E2"/>
    <w:rsid w:val="00407264"/>
    <w:rsid w:val="00413738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5E2B"/>
    <w:rsid w:val="00436653"/>
    <w:rsid w:val="00437395"/>
    <w:rsid w:val="00441A92"/>
    <w:rsid w:val="00445047"/>
    <w:rsid w:val="00446186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37DC"/>
    <w:rsid w:val="00483E9F"/>
    <w:rsid w:val="004850D8"/>
    <w:rsid w:val="00485A2C"/>
    <w:rsid w:val="00493E20"/>
    <w:rsid w:val="0049621B"/>
    <w:rsid w:val="004A1D19"/>
    <w:rsid w:val="004A4106"/>
    <w:rsid w:val="004B5C2A"/>
    <w:rsid w:val="004B62A1"/>
    <w:rsid w:val="004C1895"/>
    <w:rsid w:val="004C4F63"/>
    <w:rsid w:val="004C6D40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71F1"/>
    <w:rsid w:val="005203F1"/>
    <w:rsid w:val="00521BC3"/>
    <w:rsid w:val="00523AD1"/>
    <w:rsid w:val="0052403C"/>
    <w:rsid w:val="00531570"/>
    <w:rsid w:val="00531873"/>
    <w:rsid w:val="00533632"/>
    <w:rsid w:val="00534013"/>
    <w:rsid w:val="00534157"/>
    <w:rsid w:val="00534624"/>
    <w:rsid w:val="005356BD"/>
    <w:rsid w:val="00535DD3"/>
    <w:rsid w:val="00540C5C"/>
    <w:rsid w:val="00541E6E"/>
    <w:rsid w:val="0054251F"/>
    <w:rsid w:val="00545AA7"/>
    <w:rsid w:val="005479FE"/>
    <w:rsid w:val="005520D8"/>
    <w:rsid w:val="005530B6"/>
    <w:rsid w:val="00553C9F"/>
    <w:rsid w:val="00554191"/>
    <w:rsid w:val="00555CFB"/>
    <w:rsid w:val="00556ADB"/>
    <w:rsid w:val="00556CF1"/>
    <w:rsid w:val="00556CF6"/>
    <w:rsid w:val="005641B7"/>
    <w:rsid w:val="00564C2C"/>
    <w:rsid w:val="005654AA"/>
    <w:rsid w:val="00572449"/>
    <w:rsid w:val="00572A63"/>
    <w:rsid w:val="00573E8B"/>
    <w:rsid w:val="005762A7"/>
    <w:rsid w:val="0057774C"/>
    <w:rsid w:val="005809D0"/>
    <w:rsid w:val="00583FD0"/>
    <w:rsid w:val="0058423A"/>
    <w:rsid w:val="00587B47"/>
    <w:rsid w:val="00587CEE"/>
    <w:rsid w:val="005907AA"/>
    <w:rsid w:val="00590D7D"/>
    <w:rsid w:val="005916D7"/>
    <w:rsid w:val="0059427F"/>
    <w:rsid w:val="005A0DE6"/>
    <w:rsid w:val="005A1228"/>
    <w:rsid w:val="005A1386"/>
    <w:rsid w:val="005A3DD0"/>
    <w:rsid w:val="005A41AE"/>
    <w:rsid w:val="005A698C"/>
    <w:rsid w:val="005B2597"/>
    <w:rsid w:val="005B39F0"/>
    <w:rsid w:val="005B49A0"/>
    <w:rsid w:val="005B567F"/>
    <w:rsid w:val="005B6111"/>
    <w:rsid w:val="005C04A4"/>
    <w:rsid w:val="005C0CAC"/>
    <w:rsid w:val="005C21E4"/>
    <w:rsid w:val="005D062E"/>
    <w:rsid w:val="005D1BD8"/>
    <w:rsid w:val="005D2F6B"/>
    <w:rsid w:val="005D7B3F"/>
    <w:rsid w:val="005E0799"/>
    <w:rsid w:val="005E10F9"/>
    <w:rsid w:val="005E1200"/>
    <w:rsid w:val="005E1ED0"/>
    <w:rsid w:val="005E1EF1"/>
    <w:rsid w:val="005E24B5"/>
    <w:rsid w:val="005E2D74"/>
    <w:rsid w:val="005E361F"/>
    <w:rsid w:val="005E3B1A"/>
    <w:rsid w:val="005E3B9E"/>
    <w:rsid w:val="005E6159"/>
    <w:rsid w:val="005E6FAF"/>
    <w:rsid w:val="005F45EE"/>
    <w:rsid w:val="005F5A80"/>
    <w:rsid w:val="005F70A7"/>
    <w:rsid w:val="005F7627"/>
    <w:rsid w:val="00600561"/>
    <w:rsid w:val="006044FF"/>
    <w:rsid w:val="00604509"/>
    <w:rsid w:val="00604F2C"/>
    <w:rsid w:val="00607654"/>
    <w:rsid w:val="00607CC5"/>
    <w:rsid w:val="00610153"/>
    <w:rsid w:val="0061179B"/>
    <w:rsid w:val="006125F9"/>
    <w:rsid w:val="006132C2"/>
    <w:rsid w:val="00616199"/>
    <w:rsid w:val="00621F67"/>
    <w:rsid w:val="00625810"/>
    <w:rsid w:val="00627266"/>
    <w:rsid w:val="00633014"/>
    <w:rsid w:val="0063437B"/>
    <w:rsid w:val="0064017E"/>
    <w:rsid w:val="006443F0"/>
    <w:rsid w:val="00647330"/>
    <w:rsid w:val="00651763"/>
    <w:rsid w:val="00654BB6"/>
    <w:rsid w:val="00654DD9"/>
    <w:rsid w:val="00656298"/>
    <w:rsid w:val="00660DB0"/>
    <w:rsid w:val="006638A4"/>
    <w:rsid w:val="00663A20"/>
    <w:rsid w:val="0066421C"/>
    <w:rsid w:val="00664AB5"/>
    <w:rsid w:val="00665D9F"/>
    <w:rsid w:val="006673CA"/>
    <w:rsid w:val="0067004F"/>
    <w:rsid w:val="00673C26"/>
    <w:rsid w:val="00674DE5"/>
    <w:rsid w:val="00677ACA"/>
    <w:rsid w:val="006812AF"/>
    <w:rsid w:val="00682D82"/>
    <w:rsid w:val="0068327D"/>
    <w:rsid w:val="00691534"/>
    <w:rsid w:val="00692695"/>
    <w:rsid w:val="00693880"/>
    <w:rsid w:val="006946B9"/>
    <w:rsid w:val="00694AF0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1E2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F41"/>
    <w:rsid w:val="006E6F4C"/>
    <w:rsid w:val="006E73E6"/>
    <w:rsid w:val="006F0BE9"/>
    <w:rsid w:val="006F0DA5"/>
    <w:rsid w:val="006F221F"/>
    <w:rsid w:val="006F3782"/>
    <w:rsid w:val="007037E7"/>
    <w:rsid w:val="00714656"/>
    <w:rsid w:val="007153E3"/>
    <w:rsid w:val="007211B1"/>
    <w:rsid w:val="00722C74"/>
    <w:rsid w:val="00722D35"/>
    <w:rsid w:val="00724476"/>
    <w:rsid w:val="00725A18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87060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2D98"/>
    <w:rsid w:val="007E3010"/>
    <w:rsid w:val="007E3314"/>
    <w:rsid w:val="007E3514"/>
    <w:rsid w:val="007E4415"/>
    <w:rsid w:val="007E4B03"/>
    <w:rsid w:val="007E6E53"/>
    <w:rsid w:val="007E7211"/>
    <w:rsid w:val="007E7E95"/>
    <w:rsid w:val="007F324B"/>
    <w:rsid w:val="007F48B8"/>
    <w:rsid w:val="007F4CBF"/>
    <w:rsid w:val="007F58C0"/>
    <w:rsid w:val="007F71DE"/>
    <w:rsid w:val="007F7A8F"/>
    <w:rsid w:val="0080553C"/>
    <w:rsid w:val="00805B46"/>
    <w:rsid w:val="00805DB4"/>
    <w:rsid w:val="00811368"/>
    <w:rsid w:val="00815A32"/>
    <w:rsid w:val="00820E10"/>
    <w:rsid w:val="0082105D"/>
    <w:rsid w:val="00821CD9"/>
    <w:rsid w:val="00821DA7"/>
    <w:rsid w:val="008223FC"/>
    <w:rsid w:val="0082252F"/>
    <w:rsid w:val="00823593"/>
    <w:rsid w:val="00824D0D"/>
    <w:rsid w:val="00825DC2"/>
    <w:rsid w:val="00827362"/>
    <w:rsid w:val="00827374"/>
    <w:rsid w:val="00831AE5"/>
    <w:rsid w:val="00834AD3"/>
    <w:rsid w:val="00842817"/>
    <w:rsid w:val="00843795"/>
    <w:rsid w:val="00844FAB"/>
    <w:rsid w:val="0084593E"/>
    <w:rsid w:val="00846E02"/>
    <w:rsid w:val="00846E71"/>
    <w:rsid w:val="00847F0F"/>
    <w:rsid w:val="00850751"/>
    <w:rsid w:val="00852448"/>
    <w:rsid w:val="00853F23"/>
    <w:rsid w:val="00854F2A"/>
    <w:rsid w:val="00867F32"/>
    <w:rsid w:val="00873000"/>
    <w:rsid w:val="00875E1E"/>
    <w:rsid w:val="008762BD"/>
    <w:rsid w:val="00877F6C"/>
    <w:rsid w:val="008821B2"/>
    <w:rsid w:val="0088258A"/>
    <w:rsid w:val="008834E3"/>
    <w:rsid w:val="00886332"/>
    <w:rsid w:val="0089016A"/>
    <w:rsid w:val="008925F0"/>
    <w:rsid w:val="00893ADE"/>
    <w:rsid w:val="0089448A"/>
    <w:rsid w:val="0089453F"/>
    <w:rsid w:val="00894961"/>
    <w:rsid w:val="0089543A"/>
    <w:rsid w:val="00897877"/>
    <w:rsid w:val="008A17B6"/>
    <w:rsid w:val="008A26D9"/>
    <w:rsid w:val="008A5D49"/>
    <w:rsid w:val="008A73BD"/>
    <w:rsid w:val="008A7B5B"/>
    <w:rsid w:val="008A7C8C"/>
    <w:rsid w:val="008A7F75"/>
    <w:rsid w:val="008B0E9B"/>
    <w:rsid w:val="008B12D2"/>
    <w:rsid w:val="008C0C29"/>
    <w:rsid w:val="008C1CCF"/>
    <w:rsid w:val="008C2DD9"/>
    <w:rsid w:val="008C7E50"/>
    <w:rsid w:val="008D02DA"/>
    <w:rsid w:val="008D313B"/>
    <w:rsid w:val="008D5177"/>
    <w:rsid w:val="008D68DF"/>
    <w:rsid w:val="008D76BC"/>
    <w:rsid w:val="008E097C"/>
    <w:rsid w:val="008E6E90"/>
    <w:rsid w:val="008E70E9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157C4"/>
    <w:rsid w:val="0092013C"/>
    <w:rsid w:val="00920AAE"/>
    <w:rsid w:val="009227A6"/>
    <w:rsid w:val="00923B3A"/>
    <w:rsid w:val="009278C4"/>
    <w:rsid w:val="0093019B"/>
    <w:rsid w:val="00933EC1"/>
    <w:rsid w:val="009446AD"/>
    <w:rsid w:val="00945B28"/>
    <w:rsid w:val="009472EF"/>
    <w:rsid w:val="0095003E"/>
    <w:rsid w:val="00950796"/>
    <w:rsid w:val="009524AB"/>
    <w:rsid w:val="009530DB"/>
    <w:rsid w:val="00953676"/>
    <w:rsid w:val="00953E79"/>
    <w:rsid w:val="00956F30"/>
    <w:rsid w:val="00961210"/>
    <w:rsid w:val="0096263D"/>
    <w:rsid w:val="0096690E"/>
    <w:rsid w:val="00966C9A"/>
    <w:rsid w:val="009705EE"/>
    <w:rsid w:val="00971F43"/>
    <w:rsid w:val="00976AC9"/>
    <w:rsid w:val="0097711E"/>
    <w:rsid w:val="00977927"/>
    <w:rsid w:val="0098135C"/>
    <w:rsid w:val="0098156A"/>
    <w:rsid w:val="009819BE"/>
    <w:rsid w:val="00991BAC"/>
    <w:rsid w:val="009929D5"/>
    <w:rsid w:val="009950C6"/>
    <w:rsid w:val="00996BED"/>
    <w:rsid w:val="0099757D"/>
    <w:rsid w:val="009A2927"/>
    <w:rsid w:val="009A63AF"/>
    <w:rsid w:val="009A6EA0"/>
    <w:rsid w:val="009B4B76"/>
    <w:rsid w:val="009B5572"/>
    <w:rsid w:val="009B7F8F"/>
    <w:rsid w:val="009C1335"/>
    <w:rsid w:val="009C1AB2"/>
    <w:rsid w:val="009C3C29"/>
    <w:rsid w:val="009C4A79"/>
    <w:rsid w:val="009C58FF"/>
    <w:rsid w:val="009C5FD8"/>
    <w:rsid w:val="009C61B6"/>
    <w:rsid w:val="009C7251"/>
    <w:rsid w:val="009D05F6"/>
    <w:rsid w:val="009E2E91"/>
    <w:rsid w:val="009E3427"/>
    <w:rsid w:val="009E3BFF"/>
    <w:rsid w:val="009E4516"/>
    <w:rsid w:val="009E4D7B"/>
    <w:rsid w:val="009E5988"/>
    <w:rsid w:val="009F33A8"/>
    <w:rsid w:val="00A01B40"/>
    <w:rsid w:val="00A031F5"/>
    <w:rsid w:val="00A033EC"/>
    <w:rsid w:val="00A03BD3"/>
    <w:rsid w:val="00A04526"/>
    <w:rsid w:val="00A05BC0"/>
    <w:rsid w:val="00A06450"/>
    <w:rsid w:val="00A070F2"/>
    <w:rsid w:val="00A12EAC"/>
    <w:rsid w:val="00A139F5"/>
    <w:rsid w:val="00A144A0"/>
    <w:rsid w:val="00A159F5"/>
    <w:rsid w:val="00A20B1F"/>
    <w:rsid w:val="00A22B05"/>
    <w:rsid w:val="00A26BE1"/>
    <w:rsid w:val="00A32E16"/>
    <w:rsid w:val="00A365F4"/>
    <w:rsid w:val="00A438FA"/>
    <w:rsid w:val="00A47D80"/>
    <w:rsid w:val="00A53132"/>
    <w:rsid w:val="00A563F2"/>
    <w:rsid w:val="00A566E8"/>
    <w:rsid w:val="00A656A7"/>
    <w:rsid w:val="00A66347"/>
    <w:rsid w:val="00A71B63"/>
    <w:rsid w:val="00A810F9"/>
    <w:rsid w:val="00A82D31"/>
    <w:rsid w:val="00A85E7E"/>
    <w:rsid w:val="00A86ECC"/>
    <w:rsid w:val="00A86FBE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163E"/>
    <w:rsid w:val="00AB3BF7"/>
    <w:rsid w:val="00AB4FBD"/>
    <w:rsid w:val="00AB64F3"/>
    <w:rsid w:val="00AB675D"/>
    <w:rsid w:val="00AB6B93"/>
    <w:rsid w:val="00AB6D25"/>
    <w:rsid w:val="00AB737E"/>
    <w:rsid w:val="00AD0E56"/>
    <w:rsid w:val="00AD1712"/>
    <w:rsid w:val="00AE02BB"/>
    <w:rsid w:val="00AE1A1C"/>
    <w:rsid w:val="00AE1AC8"/>
    <w:rsid w:val="00AE21A9"/>
    <w:rsid w:val="00AE229B"/>
    <w:rsid w:val="00AE2D4B"/>
    <w:rsid w:val="00AE3D6B"/>
    <w:rsid w:val="00AE4F99"/>
    <w:rsid w:val="00B03B2C"/>
    <w:rsid w:val="00B0695A"/>
    <w:rsid w:val="00B10993"/>
    <w:rsid w:val="00B119E8"/>
    <w:rsid w:val="00B11B69"/>
    <w:rsid w:val="00B12205"/>
    <w:rsid w:val="00B14349"/>
    <w:rsid w:val="00B14952"/>
    <w:rsid w:val="00B16871"/>
    <w:rsid w:val="00B17CDE"/>
    <w:rsid w:val="00B2287E"/>
    <w:rsid w:val="00B2368A"/>
    <w:rsid w:val="00B25067"/>
    <w:rsid w:val="00B25B45"/>
    <w:rsid w:val="00B31E5A"/>
    <w:rsid w:val="00B32F30"/>
    <w:rsid w:val="00B34D0E"/>
    <w:rsid w:val="00B41803"/>
    <w:rsid w:val="00B423D1"/>
    <w:rsid w:val="00B44E2C"/>
    <w:rsid w:val="00B47359"/>
    <w:rsid w:val="00B47DE7"/>
    <w:rsid w:val="00B50BCA"/>
    <w:rsid w:val="00B52640"/>
    <w:rsid w:val="00B54A91"/>
    <w:rsid w:val="00B56E7C"/>
    <w:rsid w:val="00B61841"/>
    <w:rsid w:val="00B61BD5"/>
    <w:rsid w:val="00B653AB"/>
    <w:rsid w:val="00B65F9E"/>
    <w:rsid w:val="00B66B19"/>
    <w:rsid w:val="00B67BFF"/>
    <w:rsid w:val="00B67C6F"/>
    <w:rsid w:val="00B7386E"/>
    <w:rsid w:val="00B7572E"/>
    <w:rsid w:val="00B762AC"/>
    <w:rsid w:val="00B81EC1"/>
    <w:rsid w:val="00B84320"/>
    <w:rsid w:val="00B84C43"/>
    <w:rsid w:val="00B8626A"/>
    <w:rsid w:val="00B90BDB"/>
    <w:rsid w:val="00B914E9"/>
    <w:rsid w:val="00B92903"/>
    <w:rsid w:val="00B935C9"/>
    <w:rsid w:val="00B956EE"/>
    <w:rsid w:val="00B962CB"/>
    <w:rsid w:val="00B97589"/>
    <w:rsid w:val="00BA0078"/>
    <w:rsid w:val="00BA1968"/>
    <w:rsid w:val="00BA2BA1"/>
    <w:rsid w:val="00BA3447"/>
    <w:rsid w:val="00BA3562"/>
    <w:rsid w:val="00BA372C"/>
    <w:rsid w:val="00BA536A"/>
    <w:rsid w:val="00BB062C"/>
    <w:rsid w:val="00BB4BF3"/>
    <w:rsid w:val="00BB4F09"/>
    <w:rsid w:val="00BB54B5"/>
    <w:rsid w:val="00BB79E6"/>
    <w:rsid w:val="00BC049B"/>
    <w:rsid w:val="00BC0891"/>
    <w:rsid w:val="00BC2717"/>
    <w:rsid w:val="00BC3D97"/>
    <w:rsid w:val="00BC58FB"/>
    <w:rsid w:val="00BD45FD"/>
    <w:rsid w:val="00BD4E33"/>
    <w:rsid w:val="00BD6CE9"/>
    <w:rsid w:val="00BE2213"/>
    <w:rsid w:val="00BE4524"/>
    <w:rsid w:val="00BE5C69"/>
    <w:rsid w:val="00BF0619"/>
    <w:rsid w:val="00BF0E3F"/>
    <w:rsid w:val="00BF21F6"/>
    <w:rsid w:val="00BF35B3"/>
    <w:rsid w:val="00C030DE"/>
    <w:rsid w:val="00C051A8"/>
    <w:rsid w:val="00C138B5"/>
    <w:rsid w:val="00C16BFF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5077C"/>
    <w:rsid w:val="00C52613"/>
    <w:rsid w:val="00C54145"/>
    <w:rsid w:val="00C57012"/>
    <w:rsid w:val="00C572B8"/>
    <w:rsid w:val="00C60599"/>
    <w:rsid w:val="00C62238"/>
    <w:rsid w:val="00C6351A"/>
    <w:rsid w:val="00C64A37"/>
    <w:rsid w:val="00C7158E"/>
    <w:rsid w:val="00C7250B"/>
    <w:rsid w:val="00C7346B"/>
    <w:rsid w:val="00C77C0E"/>
    <w:rsid w:val="00C81C45"/>
    <w:rsid w:val="00C86901"/>
    <w:rsid w:val="00C91149"/>
    <w:rsid w:val="00C91687"/>
    <w:rsid w:val="00C924A8"/>
    <w:rsid w:val="00C94432"/>
    <w:rsid w:val="00C945FE"/>
    <w:rsid w:val="00C96ECF"/>
    <w:rsid w:val="00C96FAA"/>
    <w:rsid w:val="00C97129"/>
    <w:rsid w:val="00C975EB"/>
    <w:rsid w:val="00C97A04"/>
    <w:rsid w:val="00CA107B"/>
    <w:rsid w:val="00CA431D"/>
    <w:rsid w:val="00CA484D"/>
    <w:rsid w:val="00CA4FB6"/>
    <w:rsid w:val="00CB2F90"/>
    <w:rsid w:val="00CB47C4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320E"/>
    <w:rsid w:val="00CD5870"/>
    <w:rsid w:val="00CD58B7"/>
    <w:rsid w:val="00CD5BE3"/>
    <w:rsid w:val="00CD68F5"/>
    <w:rsid w:val="00CD7967"/>
    <w:rsid w:val="00CE101E"/>
    <w:rsid w:val="00CE6B42"/>
    <w:rsid w:val="00CF18EE"/>
    <w:rsid w:val="00CF30BD"/>
    <w:rsid w:val="00CF4099"/>
    <w:rsid w:val="00CF6937"/>
    <w:rsid w:val="00D00796"/>
    <w:rsid w:val="00D01848"/>
    <w:rsid w:val="00D0375A"/>
    <w:rsid w:val="00D10A04"/>
    <w:rsid w:val="00D10E71"/>
    <w:rsid w:val="00D15B67"/>
    <w:rsid w:val="00D16455"/>
    <w:rsid w:val="00D16CE6"/>
    <w:rsid w:val="00D2095E"/>
    <w:rsid w:val="00D223FE"/>
    <w:rsid w:val="00D22FB5"/>
    <w:rsid w:val="00D261A2"/>
    <w:rsid w:val="00D308F3"/>
    <w:rsid w:val="00D33455"/>
    <w:rsid w:val="00D35DA0"/>
    <w:rsid w:val="00D3774D"/>
    <w:rsid w:val="00D471C1"/>
    <w:rsid w:val="00D54DD4"/>
    <w:rsid w:val="00D55DD3"/>
    <w:rsid w:val="00D603E9"/>
    <w:rsid w:val="00D6114D"/>
    <w:rsid w:val="00D616D2"/>
    <w:rsid w:val="00D62B26"/>
    <w:rsid w:val="00D63B5F"/>
    <w:rsid w:val="00D64926"/>
    <w:rsid w:val="00D654E1"/>
    <w:rsid w:val="00D70EF7"/>
    <w:rsid w:val="00D71F51"/>
    <w:rsid w:val="00D733C8"/>
    <w:rsid w:val="00D743A1"/>
    <w:rsid w:val="00D7673F"/>
    <w:rsid w:val="00D77B72"/>
    <w:rsid w:val="00D77E00"/>
    <w:rsid w:val="00D80EEA"/>
    <w:rsid w:val="00D8160C"/>
    <w:rsid w:val="00D81AD7"/>
    <w:rsid w:val="00D820D5"/>
    <w:rsid w:val="00D837C9"/>
    <w:rsid w:val="00D8397C"/>
    <w:rsid w:val="00D85DFE"/>
    <w:rsid w:val="00D86572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3126"/>
    <w:rsid w:val="00DB706E"/>
    <w:rsid w:val="00DB7CAC"/>
    <w:rsid w:val="00DC5A9A"/>
    <w:rsid w:val="00DC60A8"/>
    <w:rsid w:val="00DC6708"/>
    <w:rsid w:val="00DD011A"/>
    <w:rsid w:val="00DD3FF1"/>
    <w:rsid w:val="00DE2400"/>
    <w:rsid w:val="00DE458B"/>
    <w:rsid w:val="00DE58F1"/>
    <w:rsid w:val="00DE6B58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4A99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1DE9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5D5"/>
    <w:rsid w:val="00E76720"/>
    <w:rsid w:val="00E76D26"/>
    <w:rsid w:val="00E76EB4"/>
    <w:rsid w:val="00E76EE5"/>
    <w:rsid w:val="00E777A6"/>
    <w:rsid w:val="00E80544"/>
    <w:rsid w:val="00E85248"/>
    <w:rsid w:val="00E8733E"/>
    <w:rsid w:val="00E87AAD"/>
    <w:rsid w:val="00E95036"/>
    <w:rsid w:val="00E95B8E"/>
    <w:rsid w:val="00EA59ED"/>
    <w:rsid w:val="00EA6761"/>
    <w:rsid w:val="00EA69DB"/>
    <w:rsid w:val="00EB011C"/>
    <w:rsid w:val="00EB0830"/>
    <w:rsid w:val="00EB11D0"/>
    <w:rsid w:val="00EB1390"/>
    <w:rsid w:val="00EB2C71"/>
    <w:rsid w:val="00EB3333"/>
    <w:rsid w:val="00EB4340"/>
    <w:rsid w:val="00EB556D"/>
    <w:rsid w:val="00EB5A7D"/>
    <w:rsid w:val="00EB73BC"/>
    <w:rsid w:val="00EC0073"/>
    <w:rsid w:val="00EC0527"/>
    <w:rsid w:val="00EC329B"/>
    <w:rsid w:val="00ED1D4D"/>
    <w:rsid w:val="00ED55C0"/>
    <w:rsid w:val="00ED682B"/>
    <w:rsid w:val="00ED75DA"/>
    <w:rsid w:val="00EE09B7"/>
    <w:rsid w:val="00EE41D5"/>
    <w:rsid w:val="00EE481C"/>
    <w:rsid w:val="00EE6872"/>
    <w:rsid w:val="00EF1172"/>
    <w:rsid w:val="00EF1EBD"/>
    <w:rsid w:val="00EF1FDB"/>
    <w:rsid w:val="00EF6434"/>
    <w:rsid w:val="00F01205"/>
    <w:rsid w:val="00F0166F"/>
    <w:rsid w:val="00F037A4"/>
    <w:rsid w:val="00F049AB"/>
    <w:rsid w:val="00F05479"/>
    <w:rsid w:val="00F06A18"/>
    <w:rsid w:val="00F07B1D"/>
    <w:rsid w:val="00F11016"/>
    <w:rsid w:val="00F11F49"/>
    <w:rsid w:val="00F142DB"/>
    <w:rsid w:val="00F225D2"/>
    <w:rsid w:val="00F22694"/>
    <w:rsid w:val="00F27C8F"/>
    <w:rsid w:val="00F30587"/>
    <w:rsid w:val="00F32749"/>
    <w:rsid w:val="00F37172"/>
    <w:rsid w:val="00F41ABE"/>
    <w:rsid w:val="00F41AE5"/>
    <w:rsid w:val="00F4477E"/>
    <w:rsid w:val="00F46269"/>
    <w:rsid w:val="00F60BA8"/>
    <w:rsid w:val="00F63C8F"/>
    <w:rsid w:val="00F67D8F"/>
    <w:rsid w:val="00F71FAF"/>
    <w:rsid w:val="00F802BE"/>
    <w:rsid w:val="00F80E93"/>
    <w:rsid w:val="00F82A7A"/>
    <w:rsid w:val="00F86024"/>
    <w:rsid w:val="00F8611A"/>
    <w:rsid w:val="00F87591"/>
    <w:rsid w:val="00F93103"/>
    <w:rsid w:val="00F9478F"/>
    <w:rsid w:val="00FA5128"/>
    <w:rsid w:val="00FA5E94"/>
    <w:rsid w:val="00FA62BC"/>
    <w:rsid w:val="00FA6429"/>
    <w:rsid w:val="00FA6511"/>
    <w:rsid w:val="00FA6A83"/>
    <w:rsid w:val="00FB3156"/>
    <w:rsid w:val="00FB42D4"/>
    <w:rsid w:val="00FB5906"/>
    <w:rsid w:val="00FB6382"/>
    <w:rsid w:val="00FB762F"/>
    <w:rsid w:val="00FC2AED"/>
    <w:rsid w:val="00FC483C"/>
    <w:rsid w:val="00FC6DA3"/>
    <w:rsid w:val="00FD03D1"/>
    <w:rsid w:val="00FD08AE"/>
    <w:rsid w:val="00FD1AB1"/>
    <w:rsid w:val="00FD1E89"/>
    <w:rsid w:val="00FD3F39"/>
    <w:rsid w:val="00FD5EA7"/>
    <w:rsid w:val="00FD6299"/>
    <w:rsid w:val="00FE36CF"/>
    <w:rsid w:val="00FE7E43"/>
    <w:rsid w:val="00FE7F55"/>
    <w:rsid w:val="00FF0246"/>
    <w:rsid w:val="00FF20D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kwartale-2024-r-,1,143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2023-roku,12,54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32024,4,148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sygnalna-fin.p_01-03 2024.docx.docx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CF043-8420-4428-92F3-7943DBA5C3E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FB22A23-B09A-4EF2-B3C3-6CC1F354B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5</Pages>
  <Words>1792</Words>
  <Characters>10757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Główny Urząd Statystyczny</dc:creator>
  <dc:description/>
  <cp:lastPrinted>2019-02-21T09:45:00Z</cp:lastPrinted>
  <dcterms:created xsi:type="dcterms:W3CDTF">2022-03-21T10:42:00Z</dcterms:created>
  <dcterms:modified xsi:type="dcterms:W3CDTF">2024-05-23T12:40:00Z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