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71ACC" w14:textId="4B02093F" w:rsidR="00EF6FC5" w:rsidRPr="007A5771" w:rsidRDefault="00EF6FC5" w:rsidP="00EF6FC5">
      <w:pPr>
        <w:pStyle w:val="Tytuinfomacjisygnalnej"/>
      </w:pPr>
      <w:bookmarkStart w:id="0" w:name="_GoBack"/>
      <w:r w:rsidRPr="007A5771">
        <w:t>Wskaźniki cen produkcji sprzedanej przemysłu w</w:t>
      </w:r>
      <w:r w:rsidR="00D76881">
        <w:t>e</w:t>
      </w:r>
      <w:r w:rsidRPr="007A5771">
        <w:t> </w:t>
      </w:r>
      <w:r w:rsidR="00D76881">
        <w:t>wrześni</w:t>
      </w:r>
      <w:r w:rsidR="001C3DA5">
        <w:t>u</w:t>
      </w:r>
      <w:r w:rsidRPr="007A5771">
        <w:t xml:space="preserve"> 2024 r.</w:t>
      </w:r>
      <w:bookmarkEnd w:id="0"/>
    </w:p>
    <w:p w14:paraId="71CBC931" w14:textId="77777777" w:rsidR="00EF6FC5" w:rsidRDefault="00EF6FC5" w:rsidP="00792D90">
      <w:pPr>
        <w:pStyle w:val="Przypis"/>
        <w:rPr>
          <w:lang w:val="pl-PL"/>
        </w:rPr>
      </w:pPr>
    </w:p>
    <w:p w14:paraId="31F248C6" w14:textId="2D7F2FA0"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458D20B6" wp14:editId="3A9C1DE4">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6,3% - spadek cen producentów w przemyśle w porównaniu z wrześniem 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46EB9797" w14:textId="3797A8DA"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D76881">
                              <w:rPr>
                                <w:rStyle w:val="WartowskanikaZnak"/>
                                <w:sz w:val="72"/>
                                <w:szCs w:val="72"/>
                              </w:rPr>
                              <w:t>6,3</w:t>
                            </w:r>
                            <w:r w:rsidR="004B4292" w:rsidRPr="00883E43">
                              <w:rPr>
                                <w:rStyle w:val="WartowskanikaZnak"/>
                                <w:sz w:val="72"/>
                                <w:szCs w:val="72"/>
                              </w:rPr>
                              <w:t>%</w:t>
                            </w:r>
                          </w:p>
                          <w:p w14:paraId="57234A28" w14:textId="3B8BE2EC"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D76881">
                              <w:rPr>
                                <w:szCs w:val="20"/>
                              </w:rPr>
                              <w:t>wrześniem</w:t>
                            </w:r>
                            <w:r w:rsidR="001C3DA5">
                              <w:rPr>
                                <w:szCs w:val="20"/>
                              </w:rPr>
                              <w:t xml:space="preserve"> </w:t>
                            </w:r>
                            <w:r w:rsidRPr="002002D0">
                              <w:rPr>
                                <w:szCs w:val="20"/>
                              </w:rPr>
                              <w:t>20</w:t>
                            </w:r>
                            <w:r>
                              <w:rPr>
                                <w:szCs w:val="20"/>
                              </w:rPr>
                              <w:t>2</w:t>
                            </w:r>
                            <w:r w:rsidR="001427DF">
                              <w:rPr>
                                <w:szCs w:val="20"/>
                              </w:rPr>
                              <w:t>3</w:t>
                            </w:r>
                            <w:r w:rsidRPr="002002D0">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8D20B6" id="Pole tekstowe 2" o:spid="_x0000_s1026" alt="6,3% - spadek cen producentów w przemyśle w porównaniu z wrześniem 2023 r."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" fillcolor="#001d77" stroked="f">
                <v:stroke joinstyle="miter"/>
                <v:textbox>
                  <w:txbxContent>
                    <w:p w14:paraId="46EB9797" w14:textId="3797A8DA"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D76881">
                        <w:rPr>
                          <w:rStyle w:val="WartowskanikaZnak"/>
                          <w:sz w:val="72"/>
                          <w:szCs w:val="72"/>
                        </w:rPr>
                        <w:t>6,3</w:t>
                      </w:r>
                      <w:r w:rsidR="004B4292" w:rsidRPr="00883E43">
                        <w:rPr>
                          <w:rStyle w:val="WartowskanikaZnak"/>
                          <w:sz w:val="72"/>
                          <w:szCs w:val="72"/>
                        </w:rPr>
                        <w:t>%</w:t>
                      </w:r>
                    </w:p>
                    <w:p w14:paraId="57234A28" w14:textId="3B8BE2EC"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D76881">
                        <w:rPr>
                          <w:szCs w:val="20"/>
                        </w:rPr>
                        <w:t>wrześniem</w:t>
                      </w:r>
                      <w:r w:rsidR="001C3DA5">
                        <w:rPr>
                          <w:szCs w:val="20"/>
                        </w:rPr>
                        <w:t xml:space="preserve"> </w:t>
                      </w:r>
                      <w:r w:rsidRPr="002002D0">
                        <w:rPr>
                          <w:szCs w:val="20"/>
                        </w:rPr>
                        <w:t>20</w:t>
                      </w:r>
                      <w:r>
                        <w:rPr>
                          <w:szCs w:val="20"/>
                        </w:rPr>
                        <w:t>2</w:t>
                      </w:r>
                      <w:r w:rsidR="001427DF">
                        <w:rPr>
                          <w:szCs w:val="20"/>
                        </w:rPr>
                        <w:t>3</w:t>
                      </w:r>
                      <w:r w:rsidRPr="002002D0">
                        <w:rPr>
                          <w:szCs w:val="20"/>
                        </w:rPr>
                        <w:t xml:space="preserve"> r.</w:t>
                      </w:r>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D76881">
        <w:rPr>
          <w:rFonts w:eastAsia="Times New Roman" w:cs="Times New Roman"/>
          <w:bCs/>
        </w:rPr>
        <w:t>we wrześniu</w:t>
      </w:r>
      <w:r w:rsidR="00883E43" w:rsidRPr="0088650D">
        <w:rPr>
          <w:rFonts w:eastAsia="Times New Roman" w:cs="Times New Roman"/>
          <w:bCs/>
        </w:rPr>
        <w:t xml:space="preserve"> 202</w:t>
      </w:r>
      <w:r w:rsidR="001427DF">
        <w:rPr>
          <w:rFonts w:eastAsia="Times New Roman" w:cs="Times New Roman"/>
          <w:bCs/>
        </w:rPr>
        <w:t>4</w:t>
      </w:r>
      <w:r w:rsidR="00883E43" w:rsidRPr="0088650D">
        <w:rPr>
          <w:rFonts w:eastAsia="Times New Roman" w:cs="Times New Roman"/>
          <w:bCs/>
        </w:rPr>
        <w:t xml:space="preserve"> r. ceny produkcji sprzedanej przemysłu </w:t>
      </w:r>
      <w:r w:rsidR="00E907F1">
        <w:rPr>
          <w:spacing w:val="-6"/>
        </w:rPr>
        <w:t xml:space="preserve">spadły </w:t>
      </w:r>
      <w:r w:rsidR="000429DE">
        <w:rPr>
          <w:spacing w:val="-6"/>
        </w:rPr>
        <w:t>w</w:t>
      </w:r>
      <w:r w:rsidR="00E907F1">
        <w:rPr>
          <w:spacing w:val="-6"/>
        </w:rPr>
        <w:t xml:space="preserve"> porównaniu do </w:t>
      </w:r>
      <w:r w:rsidR="00D76881">
        <w:rPr>
          <w:rFonts w:eastAsia="Times New Roman" w:cs="Times New Roman"/>
          <w:bCs/>
        </w:rPr>
        <w:t>sierpnia</w:t>
      </w:r>
      <w:r w:rsidR="003B7760">
        <w:rPr>
          <w:rFonts w:eastAsia="Times New Roman" w:cs="Times New Roman"/>
          <w:bCs/>
        </w:rPr>
        <w:t xml:space="preserve"> 202</w:t>
      </w:r>
      <w:r w:rsidR="00F04AA5">
        <w:rPr>
          <w:rFonts w:eastAsia="Times New Roman" w:cs="Times New Roman"/>
          <w:bCs/>
        </w:rPr>
        <w:t>4</w:t>
      </w:r>
      <w:r w:rsidR="000429DE">
        <w:rPr>
          <w:rFonts w:eastAsia="Times New Roman" w:cs="Times New Roman"/>
          <w:bCs/>
        </w:rPr>
        <w:t> </w:t>
      </w:r>
      <w:r w:rsidR="00883E43" w:rsidRPr="00370072">
        <w:rPr>
          <w:rFonts w:eastAsia="Times New Roman" w:cs="Times New Roman"/>
          <w:bCs/>
        </w:rPr>
        <w:t>r</w:t>
      </w:r>
      <w:r w:rsidR="00883E43" w:rsidRPr="0052591A">
        <w:rPr>
          <w:rFonts w:eastAsia="Times New Roman" w:cs="Times New Roman"/>
          <w:bCs/>
        </w:rPr>
        <w:t>.</w:t>
      </w:r>
      <w:r w:rsidR="00E907F1" w:rsidRPr="00E907F1">
        <w:rPr>
          <w:spacing w:val="-6"/>
        </w:rPr>
        <w:t xml:space="preserve"> </w:t>
      </w:r>
      <w:r w:rsidR="00E907F1">
        <w:rPr>
          <w:spacing w:val="-6"/>
        </w:rPr>
        <w:t>– o 0,</w:t>
      </w:r>
      <w:r w:rsidR="00D76881">
        <w:rPr>
          <w:spacing w:val="-6"/>
        </w:rPr>
        <w:t>5</w:t>
      </w:r>
      <w:r w:rsidR="00E907F1">
        <w:rPr>
          <w:spacing w:val="-6"/>
        </w:rPr>
        <w:t>%</w:t>
      </w:r>
      <w:r w:rsidR="00883E43" w:rsidRPr="0052591A">
        <w:rPr>
          <w:rFonts w:eastAsia="Times New Roman" w:cs="Times New Roman"/>
          <w:bCs/>
        </w:rPr>
        <w:t>,</w:t>
      </w:r>
      <w:r w:rsidR="00883E43" w:rsidRPr="0088650D">
        <w:rPr>
          <w:rFonts w:eastAsia="Times New Roman" w:cs="Times New Roman"/>
          <w:bCs/>
        </w:rPr>
        <w:t xml:space="preserve"> </w:t>
      </w:r>
      <w:r w:rsidR="00E907F1">
        <w:rPr>
          <w:rFonts w:eastAsia="Times New Roman" w:cs="Times New Roman"/>
          <w:bCs/>
        </w:rPr>
        <w:t xml:space="preserve">jak również </w:t>
      </w:r>
      <w:r w:rsidR="004E74D9">
        <w:rPr>
          <w:rFonts w:eastAsia="Times New Roman" w:cs="Times New Roman"/>
          <w:bCs/>
        </w:rPr>
        <w:t>do</w:t>
      </w:r>
      <w:r w:rsidR="00883E43">
        <w:rPr>
          <w:rFonts w:eastAsia="Times New Roman" w:cs="Times New Roman"/>
          <w:bCs/>
        </w:rPr>
        <w:t> </w:t>
      </w:r>
      <w:r w:rsidR="00883E43" w:rsidRPr="0088650D">
        <w:rPr>
          <w:rFonts w:eastAsia="Times New Roman" w:cs="Times New Roman"/>
          <w:bCs/>
        </w:rPr>
        <w:t>analogiczn</w:t>
      </w:r>
      <w:r w:rsidR="004E74D9">
        <w:rPr>
          <w:rFonts w:eastAsia="Times New Roman" w:cs="Times New Roman"/>
          <w:bCs/>
        </w:rPr>
        <w:t>ego</w:t>
      </w:r>
      <w:r w:rsidR="00883E43" w:rsidRPr="0088650D">
        <w:rPr>
          <w:rFonts w:eastAsia="Times New Roman" w:cs="Times New Roman"/>
          <w:bCs/>
        </w:rPr>
        <w:t xml:space="preserve"> miesiąc</w:t>
      </w:r>
      <w:r w:rsidR="004E74D9">
        <w:rPr>
          <w:rFonts w:eastAsia="Times New Roman" w:cs="Times New Roman"/>
          <w:bCs/>
        </w:rPr>
        <w:t>a</w:t>
      </w:r>
      <w:r w:rsidR="00883E43" w:rsidRPr="0088650D">
        <w:rPr>
          <w:rFonts w:eastAsia="Times New Roman" w:cs="Times New Roman"/>
          <w:bCs/>
        </w:rPr>
        <w:t xml:space="preserve"> poprzedniego roku</w:t>
      </w:r>
      <w:r w:rsidR="00095C4A">
        <w:rPr>
          <w:rFonts w:eastAsia="Times New Roman" w:cs="Times New Roman"/>
          <w:bCs/>
        </w:rPr>
        <w:t xml:space="preserve"> </w:t>
      </w:r>
      <w:r w:rsidR="004E74D9">
        <w:rPr>
          <w:rFonts w:eastAsia="Times New Roman" w:cs="Times New Roman"/>
          <w:bCs/>
        </w:rPr>
        <w:t>– o</w:t>
      </w:r>
      <w:r w:rsidR="00E907F1">
        <w:rPr>
          <w:rFonts w:eastAsia="Times New Roman" w:cs="Times New Roman"/>
          <w:bCs/>
        </w:rPr>
        <w:t> </w:t>
      </w:r>
      <w:r w:rsidR="00D76881">
        <w:rPr>
          <w:rFonts w:eastAsia="Times New Roman" w:cs="Times New Roman"/>
          <w:bCs/>
        </w:rPr>
        <w:t>6,3</w:t>
      </w:r>
      <w:r w:rsidR="00883E43" w:rsidRPr="003B7240">
        <w:rPr>
          <w:rFonts w:eastAsia="Times New Roman" w:cs="Times New Roman"/>
          <w:bCs/>
        </w:rPr>
        <w:t>%.</w:t>
      </w:r>
      <w:r w:rsidR="00CB6AD4" w:rsidRPr="00883E43">
        <w:rPr>
          <w:shd w:val="clear" w:color="auto" w:fill="FFFFFF"/>
        </w:rPr>
        <w:br/>
      </w:r>
    </w:p>
    <w:p w14:paraId="36DEA407" w14:textId="77777777" w:rsidR="00DE6B58" w:rsidRPr="0066387C" w:rsidRDefault="00DE6B58" w:rsidP="00216634">
      <w:pPr>
        <w:spacing w:line="288" w:lineRule="auto"/>
        <w:rPr>
          <w:rFonts w:eastAsia="Times New Roman" w:cs="Times New Roman"/>
          <w:szCs w:val="19"/>
          <w:lang w:eastAsia="pl-PL"/>
        </w:rPr>
      </w:pPr>
    </w:p>
    <w:p w14:paraId="1647810E" w14:textId="77777777" w:rsidR="00883E43" w:rsidRPr="0066387C" w:rsidRDefault="00883E43" w:rsidP="00216634">
      <w:pPr>
        <w:spacing w:line="288" w:lineRule="auto"/>
        <w:rPr>
          <w:rFonts w:eastAsia="Times New Roman" w:cs="Times New Roman"/>
          <w:szCs w:val="19"/>
          <w:lang w:eastAsia="pl-PL"/>
        </w:rPr>
      </w:pPr>
    </w:p>
    <w:p w14:paraId="502EA7C3" w14:textId="77777777" w:rsidR="00883E43" w:rsidRPr="00EF3A1D" w:rsidRDefault="00883E43" w:rsidP="00883E43"/>
    <w:p w14:paraId="28E6CE17" w14:textId="0B850DA2" w:rsidR="00883E43" w:rsidRDefault="00883E43" w:rsidP="00883E43">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EA5870">
        <w:rPr>
          <w:b/>
          <w:shd w:val="clear" w:color="auto" w:fill="FFFFFF"/>
        </w:rPr>
        <w:t xml:space="preserve"> </w:t>
      </w:r>
      <w:r w:rsidR="001C3DA5">
        <w:rPr>
          <w:b/>
          <w:shd w:val="clear" w:color="auto" w:fill="FFFFFF"/>
        </w:rPr>
        <w:t>sierpniu</w:t>
      </w:r>
      <w:r w:rsidR="00D76881">
        <w:rPr>
          <w:b/>
          <w:shd w:val="clear" w:color="auto" w:fill="FFFFFF"/>
        </w:rPr>
        <w:t xml:space="preserve"> i wrześniu</w:t>
      </w:r>
      <w:r w:rsidR="001C3DA5">
        <w:rPr>
          <w:b/>
          <w:shd w:val="clear" w:color="auto" w:fill="FFFFFF"/>
        </w:rPr>
        <w:t xml:space="preserve"> </w:t>
      </w:r>
      <w:r w:rsidR="001427DF">
        <w:rPr>
          <w:b/>
          <w:shd w:val="clear" w:color="auto" w:fill="FFFFFF"/>
        </w:rPr>
        <w:t>2024 r.</w:t>
      </w:r>
    </w:p>
    <w:p w14:paraId="397D1190" w14:textId="77777777" w:rsidR="00883E43" w:rsidRDefault="00883E43" w:rsidP="00883E43">
      <w:pPr>
        <w:rPr>
          <w:b/>
          <w:shd w:val="clear" w:color="auto" w:fill="FFFFFF"/>
        </w:rPr>
      </w:pP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sierpniu i wrześniu 2024 r."/>
        <w:tblDescription w:val="Wskaźniki cen produkcji sprzedanej przemysłu w różnych okresach odniesienia: sierpień 2024 r. do lipca 2024 r., sierpień 2024 r. do analogicznego okresu roku  ubiegłego tj. sierpnia 2023 r., wrzesień 2024 r. do analogicznego okresu roku ubiegłego tj. września 2023 r., wrzesień 2024 r. do sierpnia 2024 r., wrzesień 2024 r. do grudnia 2023 r., narastająco styczeń - wresień 2024 r. do stycznia - września 2023 r.  "/>
      </w:tblPr>
      <w:tblGrid>
        <w:gridCol w:w="2194"/>
        <w:gridCol w:w="964"/>
        <w:gridCol w:w="964"/>
        <w:gridCol w:w="964"/>
        <w:gridCol w:w="964"/>
        <w:gridCol w:w="964"/>
        <w:gridCol w:w="968"/>
      </w:tblGrid>
      <w:tr w:rsidR="00FC2EE0" w14:paraId="229F5011" w14:textId="77777777" w:rsidTr="00BF6C1D">
        <w:tc>
          <w:tcPr>
            <w:tcW w:w="2194" w:type="dxa"/>
            <w:vMerge w:val="restart"/>
            <w:tcBorders>
              <w:top w:val="single" w:sz="4" w:space="0" w:color="auto"/>
              <w:left w:val="nil"/>
              <w:right w:val="single" w:sz="4" w:space="0" w:color="auto"/>
            </w:tcBorders>
            <w:vAlign w:val="center"/>
          </w:tcPr>
          <w:p w14:paraId="0E17868D" w14:textId="77777777" w:rsidR="00FC2EE0" w:rsidRDefault="00FC2EE0" w:rsidP="00FC2EE0">
            <w:pPr>
              <w:jc w:val="center"/>
              <w:rPr>
                <w:shd w:val="clear" w:color="auto" w:fill="FFFFFF"/>
              </w:rPr>
            </w:pPr>
            <w:r>
              <w:rPr>
                <w:rFonts w:cs="Arial"/>
                <w:color w:val="000000" w:themeColor="text1"/>
                <w:sz w:val="16"/>
                <w:szCs w:val="16"/>
              </w:rPr>
              <w:t>WYSZCZEGÓLNIENIE</w:t>
            </w:r>
          </w:p>
        </w:tc>
        <w:tc>
          <w:tcPr>
            <w:tcW w:w="1928" w:type="dxa"/>
            <w:gridSpan w:val="2"/>
            <w:tcBorders>
              <w:top w:val="single" w:sz="4" w:space="0" w:color="auto"/>
              <w:left w:val="single" w:sz="4" w:space="0" w:color="auto"/>
              <w:bottom w:val="single" w:sz="4" w:space="0" w:color="001D77"/>
              <w:right w:val="single" w:sz="4" w:space="0" w:color="001D77"/>
            </w:tcBorders>
            <w:vAlign w:val="center"/>
            <w:hideMark/>
          </w:tcPr>
          <w:p w14:paraId="37917C68" w14:textId="288DE46F" w:rsidR="00FC2EE0" w:rsidRPr="00BF6C1D" w:rsidRDefault="001C3DA5" w:rsidP="00FC2EE0">
            <w:pPr>
              <w:jc w:val="center"/>
              <w:rPr>
                <w:sz w:val="16"/>
                <w:szCs w:val="16"/>
                <w:shd w:val="clear" w:color="auto" w:fill="FFFFFF"/>
              </w:rPr>
            </w:pPr>
            <w:r w:rsidRPr="00BF6C1D">
              <w:rPr>
                <w:color w:val="000000" w:themeColor="text1"/>
                <w:sz w:val="16"/>
                <w:szCs w:val="16"/>
              </w:rPr>
              <w:t>0</w:t>
            </w:r>
            <w:r w:rsidR="00D76881">
              <w:rPr>
                <w:color w:val="000000" w:themeColor="text1"/>
                <w:sz w:val="16"/>
                <w:szCs w:val="16"/>
              </w:rPr>
              <w:t>8</w:t>
            </w:r>
            <w:r w:rsidRPr="00BF6C1D">
              <w:rPr>
                <w:color w:val="000000" w:themeColor="text1"/>
                <w:sz w:val="16"/>
                <w:szCs w:val="16"/>
              </w:rPr>
              <w:t xml:space="preserve"> 2024</w:t>
            </w:r>
          </w:p>
        </w:tc>
        <w:tc>
          <w:tcPr>
            <w:tcW w:w="2892" w:type="dxa"/>
            <w:gridSpan w:val="3"/>
            <w:tcBorders>
              <w:top w:val="single" w:sz="4" w:space="0" w:color="auto"/>
              <w:left w:val="single" w:sz="4" w:space="0" w:color="001D77"/>
              <w:bottom w:val="single" w:sz="4" w:space="0" w:color="001D77"/>
              <w:right w:val="single" w:sz="4" w:space="0" w:color="001D77"/>
            </w:tcBorders>
            <w:vAlign w:val="center"/>
            <w:hideMark/>
          </w:tcPr>
          <w:p w14:paraId="635E6990" w14:textId="3BD219F8" w:rsidR="00FC2EE0" w:rsidRPr="00BF6C1D" w:rsidRDefault="00FC2EE0" w:rsidP="00FC2EE0">
            <w:pPr>
              <w:jc w:val="center"/>
              <w:rPr>
                <w:sz w:val="16"/>
                <w:szCs w:val="16"/>
                <w:shd w:val="clear" w:color="auto" w:fill="FFFFFF"/>
              </w:rPr>
            </w:pPr>
            <w:r w:rsidRPr="00BF6C1D">
              <w:rPr>
                <w:color w:val="000000" w:themeColor="text1"/>
                <w:sz w:val="16"/>
                <w:szCs w:val="16"/>
              </w:rPr>
              <w:t>0</w:t>
            </w:r>
            <w:r w:rsidR="00D76881">
              <w:rPr>
                <w:color w:val="000000" w:themeColor="text1"/>
                <w:sz w:val="16"/>
                <w:szCs w:val="16"/>
              </w:rPr>
              <w:t>9</w:t>
            </w:r>
            <w:r w:rsidRPr="00BF6C1D">
              <w:rPr>
                <w:color w:val="000000" w:themeColor="text1"/>
                <w:sz w:val="16"/>
                <w:szCs w:val="16"/>
              </w:rPr>
              <w:t xml:space="preserve"> 2024</w:t>
            </w:r>
          </w:p>
        </w:tc>
        <w:tc>
          <w:tcPr>
            <w:tcW w:w="968" w:type="dxa"/>
            <w:tcBorders>
              <w:top w:val="single" w:sz="4" w:space="0" w:color="auto"/>
              <w:left w:val="single" w:sz="4" w:space="0" w:color="001D77"/>
              <w:bottom w:val="single" w:sz="4" w:space="0" w:color="001D77"/>
              <w:right w:val="nil"/>
            </w:tcBorders>
            <w:vAlign w:val="center"/>
            <w:hideMark/>
          </w:tcPr>
          <w:p w14:paraId="3804939A" w14:textId="4AB63ED9" w:rsidR="00FC2EE0" w:rsidRPr="00BF6C1D" w:rsidRDefault="00FC2EE0" w:rsidP="00FC2EE0">
            <w:pPr>
              <w:jc w:val="center"/>
              <w:rPr>
                <w:color w:val="000000" w:themeColor="text1"/>
                <w:sz w:val="16"/>
                <w:szCs w:val="16"/>
              </w:rPr>
            </w:pPr>
            <w:r w:rsidRPr="00BF6C1D">
              <w:rPr>
                <w:color w:val="000000" w:themeColor="text1"/>
                <w:sz w:val="16"/>
                <w:szCs w:val="16"/>
              </w:rPr>
              <w:t>01-0</w:t>
            </w:r>
            <w:r w:rsidR="00D76881">
              <w:rPr>
                <w:color w:val="000000" w:themeColor="text1"/>
                <w:sz w:val="16"/>
                <w:szCs w:val="16"/>
              </w:rPr>
              <w:t>9</w:t>
            </w:r>
            <w:r w:rsidRPr="00BF6C1D">
              <w:rPr>
                <w:color w:val="000000" w:themeColor="text1"/>
                <w:sz w:val="16"/>
                <w:szCs w:val="16"/>
              </w:rPr>
              <w:t xml:space="preserve"> 2024</w:t>
            </w:r>
          </w:p>
        </w:tc>
      </w:tr>
      <w:tr w:rsidR="00FC2EE0" w14:paraId="78D09ABC" w14:textId="77777777" w:rsidTr="007108F0">
        <w:tc>
          <w:tcPr>
            <w:tcW w:w="2194" w:type="dxa"/>
            <w:vMerge/>
            <w:tcBorders>
              <w:left w:val="nil"/>
              <w:bottom w:val="single" w:sz="12" w:space="0" w:color="001D77"/>
              <w:right w:val="single" w:sz="4" w:space="0" w:color="auto"/>
            </w:tcBorders>
            <w:vAlign w:val="center"/>
            <w:hideMark/>
          </w:tcPr>
          <w:p w14:paraId="54CF5CD7" w14:textId="77777777" w:rsidR="00FC2EE0" w:rsidRDefault="00FC2EE0" w:rsidP="00FC2EE0">
            <w:pPr>
              <w:jc w:val="center"/>
              <w:rPr>
                <w:shd w:val="clear" w:color="auto" w:fill="FFFFFF"/>
              </w:rPr>
            </w:pPr>
          </w:p>
        </w:tc>
        <w:tc>
          <w:tcPr>
            <w:tcW w:w="964" w:type="dxa"/>
            <w:tcBorders>
              <w:top w:val="single" w:sz="4" w:space="0" w:color="001D77"/>
              <w:left w:val="single" w:sz="4" w:space="0" w:color="auto"/>
              <w:bottom w:val="single" w:sz="12" w:space="0" w:color="001D77"/>
              <w:right w:val="single" w:sz="4" w:space="0" w:color="001D77"/>
            </w:tcBorders>
            <w:vAlign w:val="center"/>
            <w:hideMark/>
          </w:tcPr>
          <w:p w14:paraId="32297494" w14:textId="08E798B4" w:rsidR="00FC2EE0" w:rsidRPr="00BF6C1D" w:rsidRDefault="00FC2EE0" w:rsidP="00FC2EE0">
            <w:pPr>
              <w:jc w:val="center"/>
              <w:rPr>
                <w:spacing w:val="-12"/>
                <w:sz w:val="16"/>
                <w:szCs w:val="16"/>
                <w:shd w:val="clear" w:color="auto" w:fill="FFFFFF"/>
              </w:rPr>
            </w:pPr>
            <w:r w:rsidRPr="00BF6C1D">
              <w:rPr>
                <w:color w:val="000000" w:themeColor="text1"/>
                <w:spacing w:val="-12"/>
                <w:sz w:val="16"/>
                <w:szCs w:val="16"/>
              </w:rPr>
              <w:t>0</w:t>
            </w:r>
            <w:r w:rsidR="00D76881">
              <w:rPr>
                <w:color w:val="000000" w:themeColor="text1"/>
                <w:spacing w:val="-12"/>
                <w:sz w:val="16"/>
                <w:szCs w:val="16"/>
              </w:rPr>
              <w:t>7</w:t>
            </w:r>
            <w:r w:rsidRPr="00BF6C1D">
              <w:rPr>
                <w:color w:val="000000" w:themeColor="text1"/>
                <w:spacing w:val="-12"/>
                <w:sz w:val="16"/>
                <w:szCs w:val="16"/>
              </w:rPr>
              <w:t xml:space="preserve"> 2024=100</w:t>
            </w:r>
          </w:p>
        </w:tc>
        <w:tc>
          <w:tcPr>
            <w:tcW w:w="1928" w:type="dxa"/>
            <w:gridSpan w:val="2"/>
            <w:tcBorders>
              <w:top w:val="single" w:sz="4" w:space="0" w:color="001D77"/>
              <w:left w:val="single" w:sz="4" w:space="0" w:color="001D77"/>
              <w:bottom w:val="single" w:sz="12" w:space="0" w:color="001D77"/>
              <w:right w:val="single" w:sz="4" w:space="0" w:color="001D77"/>
            </w:tcBorders>
            <w:vAlign w:val="center"/>
            <w:hideMark/>
          </w:tcPr>
          <w:p w14:paraId="7B6A2EC0" w14:textId="77777777" w:rsidR="00FC2EE0" w:rsidRPr="00BF6C1D" w:rsidRDefault="00FC2EE0" w:rsidP="00FC2EE0">
            <w:pPr>
              <w:jc w:val="center"/>
              <w:rPr>
                <w:sz w:val="16"/>
                <w:szCs w:val="16"/>
                <w:shd w:val="clear" w:color="auto" w:fill="FFFFFF"/>
              </w:rPr>
            </w:pPr>
            <w:r w:rsidRPr="00BF6C1D">
              <w:rPr>
                <w:color w:val="000000" w:themeColor="text1"/>
                <w:sz w:val="16"/>
                <w:szCs w:val="16"/>
              </w:rPr>
              <w:t>analogiczny okres 2023=100</w:t>
            </w:r>
          </w:p>
        </w:tc>
        <w:tc>
          <w:tcPr>
            <w:tcW w:w="964" w:type="dxa"/>
            <w:tcBorders>
              <w:top w:val="single" w:sz="4" w:space="0" w:color="001D77"/>
              <w:left w:val="single" w:sz="4" w:space="0" w:color="001D77"/>
              <w:bottom w:val="single" w:sz="12" w:space="0" w:color="001D77"/>
              <w:right w:val="single" w:sz="4" w:space="0" w:color="001D77"/>
            </w:tcBorders>
            <w:vAlign w:val="center"/>
            <w:hideMark/>
          </w:tcPr>
          <w:p w14:paraId="3390658D" w14:textId="24243B67" w:rsidR="00FC2EE0" w:rsidRPr="00D76881" w:rsidRDefault="007108F0" w:rsidP="00FC2EE0">
            <w:pPr>
              <w:jc w:val="center"/>
              <w:rPr>
                <w:color w:val="000000" w:themeColor="text1"/>
                <w:spacing w:val="-14"/>
                <w:sz w:val="16"/>
                <w:szCs w:val="16"/>
              </w:rPr>
            </w:pPr>
            <w:r w:rsidRPr="00D76881">
              <w:rPr>
                <w:color w:val="000000" w:themeColor="text1"/>
                <w:spacing w:val="-14"/>
                <w:sz w:val="16"/>
                <w:szCs w:val="16"/>
              </w:rPr>
              <w:t>0</w:t>
            </w:r>
            <w:r w:rsidR="00D76881" w:rsidRPr="00D76881">
              <w:rPr>
                <w:color w:val="000000" w:themeColor="text1"/>
                <w:spacing w:val="-14"/>
                <w:sz w:val="16"/>
                <w:szCs w:val="16"/>
              </w:rPr>
              <w:t>8</w:t>
            </w:r>
            <w:r w:rsidR="00E91E5D" w:rsidRPr="00D76881">
              <w:rPr>
                <w:color w:val="000000" w:themeColor="text1"/>
                <w:spacing w:val="-14"/>
                <w:sz w:val="16"/>
                <w:szCs w:val="16"/>
              </w:rPr>
              <w:t xml:space="preserve"> </w:t>
            </w:r>
            <w:r w:rsidR="00FC2EE0" w:rsidRPr="00D76881">
              <w:rPr>
                <w:color w:val="000000" w:themeColor="text1"/>
                <w:spacing w:val="-14"/>
                <w:sz w:val="16"/>
                <w:szCs w:val="16"/>
              </w:rPr>
              <w:t>202</w:t>
            </w:r>
            <w:r w:rsidR="00D51274" w:rsidRPr="00D76881">
              <w:rPr>
                <w:color w:val="000000" w:themeColor="text1"/>
                <w:spacing w:val="-14"/>
                <w:sz w:val="16"/>
                <w:szCs w:val="16"/>
              </w:rPr>
              <w:t>4</w:t>
            </w:r>
            <w:r w:rsidR="00FC2EE0" w:rsidRPr="00D76881">
              <w:rPr>
                <w:color w:val="000000" w:themeColor="text1"/>
                <w:spacing w:val="-14"/>
                <w:sz w:val="16"/>
                <w:szCs w:val="16"/>
              </w:rPr>
              <w:t>=100</w:t>
            </w:r>
          </w:p>
        </w:tc>
        <w:tc>
          <w:tcPr>
            <w:tcW w:w="964" w:type="dxa"/>
            <w:tcBorders>
              <w:top w:val="single" w:sz="4" w:space="0" w:color="001D77"/>
              <w:left w:val="single" w:sz="4" w:space="0" w:color="001D77"/>
              <w:bottom w:val="single" w:sz="12" w:space="0" w:color="001D77"/>
              <w:right w:val="single" w:sz="4" w:space="0" w:color="001D77"/>
            </w:tcBorders>
            <w:vAlign w:val="center"/>
            <w:hideMark/>
          </w:tcPr>
          <w:p w14:paraId="459497FB" w14:textId="77777777" w:rsidR="00FC2EE0" w:rsidRPr="00BF6C1D" w:rsidRDefault="00FC2EE0" w:rsidP="00FC2EE0">
            <w:pPr>
              <w:jc w:val="center"/>
              <w:rPr>
                <w:color w:val="000000" w:themeColor="text1"/>
                <w:spacing w:val="-12"/>
                <w:sz w:val="16"/>
                <w:szCs w:val="16"/>
              </w:rPr>
            </w:pPr>
            <w:r w:rsidRPr="00BF6C1D">
              <w:rPr>
                <w:color w:val="000000" w:themeColor="text1"/>
                <w:spacing w:val="-12"/>
                <w:sz w:val="16"/>
                <w:szCs w:val="16"/>
              </w:rPr>
              <w:t>12  2023=100</w:t>
            </w:r>
          </w:p>
        </w:tc>
        <w:tc>
          <w:tcPr>
            <w:tcW w:w="968" w:type="dxa"/>
            <w:tcBorders>
              <w:top w:val="single" w:sz="4" w:space="0" w:color="001D77"/>
              <w:left w:val="single" w:sz="4" w:space="0" w:color="001D77"/>
              <w:bottom w:val="single" w:sz="12" w:space="0" w:color="001D77"/>
              <w:right w:val="nil"/>
            </w:tcBorders>
            <w:vAlign w:val="center"/>
            <w:hideMark/>
          </w:tcPr>
          <w:p w14:paraId="70975624" w14:textId="2F07B9EC" w:rsidR="00FC2EE0" w:rsidRPr="00BF6C1D" w:rsidRDefault="00FC2EE0" w:rsidP="00FC2EE0">
            <w:pPr>
              <w:jc w:val="center"/>
              <w:rPr>
                <w:color w:val="000000" w:themeColor="text1"/>
                <w:sz w:val="16"/>
                <w:szCs w:val="16"/>
              </w:rPr>
            </w:pPr>
            <w:r w:rsidRPr="00BF6C1D">
              <w:rPr>
                <w:color w:val="000000" w:themeColor="text1"/>
                <w:sz w:val="16"/>
                <w:szCs w:val="16"/>
              </w:rPr>
              <w:t>01-0</w:t>
            </w:r>
            <w:r w:rsidR="00D76881">
              <w:rPr>
                <w:color w:val="000000" w:themeColor="text1"/>
                <w:sz w:val="16"/>
                <w:szCs w:val="16"/>
              </w:rPr>
              <w:t>9</w:t>
            </w:r>
            <w:r w:rsidRPr="00BF6C1D">
              <w:rPr>
                <w:color w:val="000000" w:themeColor="text1"/>
                <w:sz w:val="16"/>
                <w:szCs w:val="16"/>
              </w:rPr>
              <w:t xml:space="preserve"> 2023=100</w:t>
            </w:r>
          </w:p>
        </w:tc>
      </w:tr>
      <w:tr w:rsidR="00D76881" w14:paraId="1283D980" w14:textId="77777777" w:rsidTr="008214D6">
        <w:tc>
          <w:tcPr>
            <w:tcW w:w="2194" w:type="dxa"/>
            <w:tcBorders>
              <w:top w:val="single" w:sz="4" w:space="0" w:color="001D77"/>
              <w:left w:val="nil"/>
              <w:bottom w:val="single" w:sz="4" w:space="0" w:color="001D77"/>
              <w:right w:val="single" w:sz="4" w:space="0" w:color="001D77"/>
            </w:tcBorders>
            <w:hideMark/>
          </w:tcPr>
          <w:p w14:paraId="75CD21A5" w14:textId="77777777" w:rsidR="00D76881" w:rsidRDefault="00D76881" w:rsidP="00D76881">
            <w:pPr>
              <w:rPr>
                <w:shd w:val="clear" w:color="auto" w:fill="FFFFFF"/>
              </w:rPr>
            </w:pPr>
            <w:r>
              <w:rPr>
                <w:b/>
                <w:color w:val="000000" w:themeColor="text1"/>
                <w:sz w:val="16"/>
                <w:szCs w:val="16"/>
              </w:rPr>
              <w:t>OGÓŁEM</w:t>
            </w:r>
          </w:p>
        </w:tc>
        <w:tc>
          <w:tcPr>
            <w:tcW w:w="964" w:type="dxa"/>
            <w:tcBorders>
              <w:top w:val="single" w:sz="4" w:space="0" w:color="001D77"/>
              <w:left w:val="single" w:sz="4" w:space="0" w:color="001D77"/>
              <w:bottom w:val="single" w:sz="4" w:space="0" w:color="001D77"/>
              <w:right w:val="single" w:sz="4" w:space="0" w:color="001D77"/>
            </w:tcBorders>
            <w:vAlign w:val="center"/>
          </w:tcPr>
          <w:p w14:paraId="5990A0D0" w14:textId="27CBD226" w:rsidR="00D76881" w:rsidRPr="00991B7A" w:rsidRDefault="00D76881" w:rsidP="00D76881">
            <w:pPr>
              <w:jc w:val="right"/>
              <w:rPr>
                <w:rFonts w:cs="Arial"/>
                <w:color w:val="000000" w:themeColor="text1"/>
                <w:sz w:val="16"/>
                <w:szCs w:val="16"/>
              </w:rPr>
            </w:pPr>
            <w:r>
              <w:rPr>
                <w:rFonts w:cs="Arial"/>
                <w:color w:val="000000" w:themeColor="text1"/>
                <w:sz w:val="16"/>
                <w:szCs w:val="16"/>
              </w:rPr>
              <w:t>99,5*</w:t>
            </w:r>
          </w:p>
        </w:tc>
        <w:tc>
          <w:tcPr>
            <w:tcW w:w="964" w:type="dxa"/>
            <w:tcBorders>
              <w:top w:val="single" w:sz="4" w:space="0" w:color="001D77"/>
              <w:left w:val="single" w:sz="4" w:space="0" w:color="001D77"/>
              <w:bottom w:val="single" w:sz="4" w:space="0" w:color="001D77"/>
              <w:right w:val="single" w:sz="4" w:space="0" w:color="001D77"/>
            </w:tcBorders>
            <w:vAlign w:val="center"/>
          </w:tcPr>
          <w:p w14:paraId="1C763EBB" w14:textId="1D6F41AD" w:rsidR="00D76881" w:rsidRPr="00991B7A" w:rsidRDefault="00D76881" w:rsidP="00D76881">
            <w:pPr>
              <w:jc w:val="right"/>
              <w:rPr>
                <w:rFonts w:cs="Arial"/>
                <w:color w:val="000000" w:themeColor="text1"/>
                <w:sz w:val="16"/>
                <w:szCs w:val="16"/>
              </w:rPr>
            </w:pPr>
            <w:r>
              <w:rPr>
                <w:rFonts w:cs="Arial"/>
                <w:color w:val="000000" w:themeColor="text1"/>
                <w:sz w:val="16"/>
                <w:szCs w:val="16"/>
              </w:rPr>
              <w:t>94,5*</w:t>
            </w:r>
          </w:p>
        </w:tc>
        <w:tc>
          <w:tcPr>
            <w:tcW w:w="964" w:type="dxa"/>
            <w:tcBorders>
              <w:top w:val="single" w:sz="4" w:space="0" w:color="001D77"/>
              <w:left w:val="single" w:sz="4" w:space="0" w:color="001D77"/>
              <w:bottom w:val="single" w:sz="4" w:space="0" w:color="001D77"/>
              <w:right w:val="single" w:sz="4" w:space="0" w:color="001D77"/>
            </w:tcBorders>
            <w:vAlign w:val="center"/>
          </w:tcPr>
          <w:p w14:paraId="7F514660" w14:textId="0073EE19" w:rsidR="00D76881" w:rsidRPr="00475FCB" w:rsidRDefault="00D76881" w:rsidP="00D76881">
            <w:pPr>
              <w:jc w:val="right"/>
              <w:rPr>
                <w:rFonts w:cs="Arial"/>
                <w:color w:val="000000" w:themeColor="text1"/>
                <w:sz w:val="16"/>
                <w:szCs w:val="16"/>
              </w:rPr>
            </w:pPr>
            <w:r>
              <w:rPr>
                <w:rFonts w:cs="Arial"/>
                <w:color w:val="000000" w:themeColor="text1"/>
                <w:sz w:val="16"/>
                <w:szCs w:val="16"/>
              </w:rPr>
              <w:t>93,7</w:t>
            </w:r>
          </w:p>
        </w:tc>
        <w:tc>
          <w:tcPr>
            <w:tcW w:w="964" w:type="dxa"/>
            <w:tcBorders>
              <w:top w:val="single" w:sz="4" w:space="0" w:color="001D77"/>
              <w:left w:val="single" w:sz="4" w:space="0" w:color="001D77"/>
              <w:bottom w:val="single" w:sz="4" w:space="0" w:color="001D77"/>
              <w:right w:val="single" w:sz="4" w:space="0" w:color="001D77"/>
            </w:tcBorders>
            <w:vAlign w:val="center"/>
          </w:tcPr>
          <w:p w14:paraId="6C05C4C9" w14:textId="4C0E14E9" w:rsidR="00D76881" w:rsidRPr="00475FCB" w:rsidRDefault="00D76881" w:rsidP="00D76881">
            <w:pPr>
              <w:jc w:val="right"/>
              <w:rPr>
                <w:rFonts w:cs="Arial"/>
                <w:color w:val="000000" w:themeColor="text1"/>
                <w:sz w:val="16"/>
                <w:szCs w:val="16"/>
              </w:rPr>
            </w:pPr>
            <w:r>
              <w:rPr>
                <w:rFonts w:cs="Arial"/>
                <w:color w:val="000000" w:themeColor="text1"/>
                <w:sz w:val="16"/>
                <w:szCs w:val="16"/>
              </w:rPr>
              <w:t>99,5</w:t>
            </w:r>
          </w:p>
        </w:tc>
        <w:tc>
          <w:tcPr>
            <w:tcW w:w="964" w:type="dxa"/>
            <w:tcBorders>
              <w:top w:val="single" w:sz="4" w:space="0" w:color="001D77"/>
              <w:left w:val="single" w:sz="4" w:space="0" w:color="001D77"/>
              <w:bottom w:val="single" w:sz="4" w:space="0" w:color="001D77"/>
              <w:right w:val="single" w:sz="4" w:space="0" w:color="001D77"/>
            </w:tcBorders>
            <w:vAlign w:val="center"/>
          </w:tcPr>
          <w:p w14:paraId="345B5339" w14:textId="6ACC618F" w:rsidR="00D76881" w:rsidRPr="00475FCB" w:rsidRDefault="00D76881" w:rsidP="00D76881">
            <w:pPr>
              <w:jc w:val="right"/>
              <w:rPr>
                <w:rFonts w:cs="Arial"/>
                <w:color w:val="000000" w:themeColor="text1"/>
                <w:sz w:val="16"/>
                <w:szCs w:val="16"/>
              </w:rPr>
            </w:pPr>
            <w:r>
              <w:rPr>
                <w:rFonts w:cs="Arial"/>
                <w:color w:val="000000" w:themeColor="text1"/>
                <w:sz w:val="16"/>
                <w:szCs w:val="16"/>
              </w:rPr>
              <w:t>96,7</w:t>
            </w:r>
          </w:p>
        </w:tc>
        <w:tc>
          <w:tcPr>
            <w:tcW w:w="968" w:type="dxa"/>
            <w:tcBorders>
              <w:top w:val="single" w:sz="4" w:space="0" w:color="001D77"/>
              <w:left w:val="single" w:sz="4" w:space="0" w:color="001D77"/>
              <w:bottom w:val="single" w:sz="4" w:space="0" w:color="001D77"/>
              <w:right w:val="nil"/>
            </w:tcBorders>
            <w:vAlign w:val="center"/>
          </w:tcPr>
          <w:p w14:paraId="2E948375" w14:textId="17BE5192" w:rsidR="00D76881" w:rsidRPr="00475FCB" w:rsidRDefault="00D76881" w:rsidP="00D76881">
            <w:pPr>
              <w:jc w:val="right"/>
              <w:rPr>
                <w:rFonts w:cs="Arial"/>
                <w:color w:val="000000" w:themeColor="text1"/>
                <w:sz w:val="16"/>
                <w:szCs w:val="16"/>
              </w:rPr>
            </w:pPr>
            <w:r>
              <w:rPr>
                <w:rFonts w:cs="Arial"/>
                <w:color w:val="000000" w:themeColor="text1"/>
                <w:sz w:val="16"/>
                <w:szCs w:val="16"/>
              </w:rPr>
              <w:t>92,3</w:t>
            </w:r>
          </w:p>
        </w:tc>
      </w:tr>
      <w:tr w:rsidR="00D76881" w14:paraId="4AFEE64E" w14:textId="77777777" w:rsidTr="008214D6">
        <w:tc>
          <w:tcPr>
            <w:tcW w:w="2194" w:type="dxa"/>
            <w:tcBorders>
              <w:top w:val="single" w:sz="4" w:space="0" w:color="001D77"/>
              <w:left w:val="nil"/>
              <w:bottom w:val="single" w:sz="4" w:space="0" w:color="001D77"/>
              <w:right w:val="single" w:sz="4" w:space="0" w:color="001D77"/>
            </w:tcBorders>
            <w:hideMark/>
          </w:tcPr>
          <w:p w14:paraId="673BCD9A" w14:textId="77777777" w:rsidR="00D76881" w:rsidRDefault="00D76881" w:rsidP="00D76881">
            <w:pPr>
              <w:rPr>
                <w:shd w:val="clear" w:color="auto" w:fill="FFFFFF"/>
              </w:rPr>
            </w:pPr>
            <w:r>
              <w:rPr>
                <w:color w:val="000000" w:themeColor="text1"/>
                <w:sz w:val="16"/>
                <w:szCs w:val="16"/>
                <w:lang w:val="en-US"/>
              </w:rPr>
              <w:t>Górnictwo i wydobywanie</w:t>
            </w:r>
          </w:p>
        </w:tc>
        <w:tc>
          <w:tcPr>
            <w:tcW w:w="964" w:type="dxa"/>
            <w:tcBorders>
              <w:top w:val="single" w:sz="4" w:space="0" w:color="001D77"/>
              <w:left w:val="single" w:sz="4" w:space="0" w:color="001D77"/>
              <w:bottom w:val="single" w:sz="4" w:space="0" w:color="001D77"/>
              <w:right w:val="single" w:sz="4" w:space="0" w:color="001D77"/>
            </w:tcBorders>
            <w:vAlign w:val="center"/>
          </w:tcPr>
          <w:p w14:paraId="7C4B7F6F" w14:textId="787399D3" w:rsidR="00D76881" w:rsidRPr="00991B7A" w:rsidRDefault="00D76881" w:rsidP="00D76881">
            <w:pPr>
              <w:jc w:val="right"/>
              <w:rPr>
                <w:rFonts w:cs="Arial"/>
                <w:color w:val="000000" w:themeColor="text1"/>
                <w:sz w:val="16"/>
                <w:szCs w:val="16"/>
              </w:rPr>
            </w:pPr>
            <w:r>
              <w:rPr>
                <w:rFonts w:cs="Arial"/>
                <w:color w:val="000000" w:themeColor="text1"/>
                <w:sz w:val="16"/>
                <w:szCs w:val="16"/>
              </w:rPr>
              <w:t>97,8*</w:t>
            </w:r>
          </w:p>
        </w:tc>
        <w:tc>
          <w:tcPr>
            <w:tcW w:w="964" w:type="dxa"/>
            <w:tcBorders>
              <w:top w:val="single" w:sz="4" w:space="0" w:color="001D77"/>
              <w:left w:val="single" w:sz="4" w:space="0" w:color="001D77"/>
              <w:bottom w:val="single" w:sz="4" w:space="0" w:color="001D77"/>
              <w:right w:val="single" w:sz="4" w:space="0" w:color="001D77"/>
            </w:tcBorders>
            <w:vAlign w:val="center"/>
          </w:tcPr>
          <w:p w14:paraId="7764B424" w14:textId="57271D01" w:rsidR="00D76881" w:rsidRPr="00991B7A" w:rsidRDefault="00D76881" w:rsidP="00D76881">
            <w:pPr>
              <w:jc w:val="right"/>
              <w:rPr>
                <w:rFonts w:cs="Arial"/>
                <w:color w:val="000000" w:themeColor="text1"/>
                <w:sz w:val="16"/>
                <w:szCs w:val="16"/>
              </w:rPr>
            </w:pPr>
            <w:r>
              <w:rPr>
                <w:rFonts w:cs="Arial"/>
                <w:color w:val="000000" w:themeColor="text1"/>
                <w:sz w:val="16"/>
                <w:szCs w:val="16"/>
              </w:rPr>
              <w:t>94,3*</w:t>
            </w:r>
          </w:p>
        </w:tc>
        <w:tc>
          <w:tcPr>
            <w:tcW w:w="964" w:type="dxa"/>
            <w:tcBorders>
              <w:top w:val="single" w:sz="4" w:space="0" w:color="001D77"/>
              <w:left w:val="single" w:sz="4" w:space="0" w:color="001D77"/>
              <w:bottom w:val="single" w:sz="4" w:space="0" w:color="001D77"/>
              <w:right w:val="single" w:sz="4" w:space="0" w:color="001D77"/>
            </w:tcBorders>
            <w:vAlign w:val="center"/>
          </w:tcPr>
          <w:p w14:paraId="6D5FBBCA" w14:textId="7B821DF2" w:rsidR="00D76881" w:rsidRPr="00475FCB" w:rsidRDefault="00D76881" w:rsidP="00D76881">
            <w:pPr>
              <w:jc w:val="right"/>
              <w:rPr>
                <w:rFonts w:cs="Arial"/>
                <w:color w:val="000000" w:themeColor="text1"/>
                <w:sz w:val="16"/>
                <w:szCs w:val="16"/>
              </w:rPr>
            </w:pPr>
            <w:r>
              <w:rPr>
                <w:rFonts w:cs="Arial"/>
                <w:color w:val="000000" w:themeColor="text1"/>
                <w:sz w:val="16"/>
                <w:szCs w:val="16"/>
              </w:rPr>
              <w:t>91,1</w:t>
            </w:r>
          </w:p>
        </w:tc>
        <w:tc>
          <w:tcPr>
            <w:tcW w:w="964" w:type="dxa"/>
            <w:tcBorders>
              <w:top w:val="single" w:sz="4" w:space="0" w:color="001D77"/>
              <w:left w:val="single" w:sz="4" w:space="0" w:color="001D77"/>
              <w:bottom w:val="single" w:sz="4" w:space="0" w:color="001D77"/>
              <w:right w:val="single" w:sz="4" w:space="0" w:color="001D77"/>
            </w:tcBorders>
            <w:vAlign w:val="center"/>
          </w:tcPr>
          <w:p w14:paraId="0CB4382F" w14:textId="37C51DE8" w:rsidR="00D76881" w:rsidRPr="00475FCB" w:rsidRDefault="00D76881" w:rsidP="00D76881">
            <w:pPr>
              <w:jc w:val="right"/>
              <w:rPr>
                <w:rFonts w:cs="Arial"/>
                <w:color w:val="000000" w:themeColor="text1"/>
                <w:sz w:val="16"/>
                <w:szCs w:val="16"/>
              </w:rPr>
            </w:pPr>
            <w:r>
              <w:rPr>
                <w:rFonts w:cs="Arial"/>
                <w:color w:val="000000" w:themeColor="text1"/>
                <w:sz w:val="16"/>
                <w:szCs w:val="16"/>
              </w:rPr>
              <w:t>99,0</w:t>
            </w:r>
          </w:p>
        </w:tc>
        <w:tc>
          <w:tcPr>
            <w:tcW w:w="964" w:type="dxa"/>
            <w:tcBorders>
              <w:top w:val="single" w:sz="4" w:space="0" w:color="001D77"/>
              <w:left w:val="single" w:sz="4" w:space="0" w:color="001D77"/>
              <w:bottom w:val="single" w:sz="4" w:space="0" w:color="001D77"/>
              <w:right w:val="single" w:sz="4" w:space="0" w:color="001D77"/>
            </w:tcBorders>
            <w:vAlign w:val="center"/>
          </w:tcPr>
          <w:p w14:paraId="78DC2A07" w14:textId="4B103E86" w:rsidR="00D76881" w:rsidRPr="00475FCB" w:rsidRDefault="00D76881" w:rsidP="00D76881">
            <w:pPr>
              <w:jc w:val="right"/>
              <w:rPr>
                <w:rFonts w:cs="Arial"/>
                <w:color w:val="000000" w:themeColor="text1"/>
                <w:sz w:val="16"/>
                <w:szCs w:val="16"/>
              </w:rPr>
            </w:pPr>
            <w:r>
              <w:rPr>
                <w:rFonts w:cs="Arial"/>
                <w:color w:val="000000" w:themeColor="text1"/>
                <w:sz w:val="16"/>
                <w:szCs w:val="16"/>
              </w:rPr>
              <w:t>94,7</w:t>
            </w:r>
          </w:p>
        </w:tc>
        <w:tc>
          <w:tcPr>
            <w:tcW w:w="968" w:type="dxa"/>
            <w:tcBorders>
              <w:top w:val="single" w:sz="4" w:space="0" w:color="001D77"/>
              <w:left w:val="single" w:sz="4" w:space="0" w:color="001D77"/>
              <w:bottom w:val="single" w:sz="4" w:space="0" w:color="001D77"/>
              <w:right w:val="nil"/>
            </w:tcBorders>
            <w:vAlign w:val="center"/>
          </w:tcPr>
          <w:p w14:paraId="31454F45" w14:textId="7CD23188" w:rsidR="00D76881" w:rsidRPr="00475FCB" w:rsidRDefault="00D76881" w:rsidP="00D76881">
            <w:pPr>
              <w:jc w:val="right"/>
              <w:rPr>
                <w:rFonts w:cs="Arial"/>
                <w:color w:val="000000" w:themeColor="text1"/>
                <w:sz w:val="16"/>
                <w:szCs w:val="16"/>
              </w:rPr>
            </w:pPr>
            <w:r>
              <w:rPr>
                <w:rFonts w:cs="Arial"/>
                <w:color w:val="000000" w:themeColor="text1"/>
                <w:sz w:val="16"/>
                <w:szCs w:val="16"/>
              </w:rPr>
              <w:t>91,5</w:t>
            </w:r>
          </w:p>
        </w:tc>
      </w:tr>
      <w:tr w:rsidR="00D76881" w14:paraId="647566A4" w14:textId="77777777" w:rsidTr="008214D6">
        <w:tc>
          <w:tcPr>
            <w:tcW w:w="2194" w:type="dxa"/>
            <w:tcBorders>
              <w:top w:val="single" w:sz="4" w:space="0" w:color="001D77"/>
              <w:left w:val="nil"/>
              <w:bottom w:val="single" w:sz="4" w:space="0" w:color="001D77"/>
              <w:right w:val="single" w:sz="4" w:space="0" w:color="001D77"/>
            </w:tcBorders>
            <w:hideMark/>
          </w:tcPr>
          <w:p w14:paraId="2FD608D1" w14:textId="77777777" w:rsidR="00D76881" w:rsidRDefault="00D76881" w:rsidP="00D76881">
            <w:pPr>
              <w:rPr>
                <w:shd w:val="clear" w:color="auto" w:fill="FFFFFF"/>
              </w:rPr>
            </w:pPr>
            <w:r>
              <w:rPr>
                <w:color w:val="000000" w:themeColor="text1"/>
                <w:sz w:val="16"/>
                <w:szCs w:val="16"/>
                <w:lang w:val="en-US"/>
              </w:rPr>
              <w:t>Przetwórstwo przemysłowe</w:t>
            </w:r>
          </w:p>
        </w:tc>
        <w:tc>
          <w:tcPr>
            <w:tcW w:w="964" w:type="dxa"/>
            <w:tcBorders>
              <w:top w:val="single" w:sz="4" w:space="0" w:color="001D77"/>
              <w:left w:val="single" w:sz="4" w:space="0" w:color="001D77"/>
              <w:bottom w:val="single" w:sz="4" w:space="0" w:color="001D77"/>
              <w:right w:val="single" w:sz="4" w:space="0" w:color="001D77"/>
            </w:tcBorders>
            <w:vAlign w:val="center"/>
          </w:tcPr>
          <w:p w14:paraId="411D0288" w14:textId="054C9BF6" w:rsidR="00D76881" w:rsidRPr="00991B7A" w:rsidRDefault="00D76881" w:rsidP="00D76881">
            <w:pPr>
              <w:jc w:val="right"/>
              <w:rPr>
                <w:rFonts w:cs="Arial"/>
                <w:color w:val="000000" w:themeColor="text1"/>
                <w:sz w:val="16"/>
                <w:szCs w:val="16"/>
              </w:rPr>
            </w:pPr>
            <w:r>
              <w:rPr>
                <w:rFonts w:cs="Arial"/>
                <w:color w:val="000000" w:themeColor="text1"/>
                <w:sz w:val="16"/>
                <w:szCs w:val="16"/>
              </w:rPr>
              <w:t>99,</w:t>
            </w:r>
            <w:r w:rsidR="00C14EB5">
              <w:rPr>
                <w:rFonts w:cs="Arial"/>
                <w:color w:val="000000" w:themeColor="text1"/>
                <w:sz w:val="16"/>
                <w:szCs w:val="16"/>
              </w:rPr>
              <w:t>5*</w:t>
            </w:r>
          </w:p>
        </w:tc>
        <w:tc>
          <w:tcPr>
            <w:tcW w:w="964" w:type="dxa"/>
            <w:tcBorders>
              <w:top w:val="single" w:sz="4" w:space="0" w:color="001D77"/>
              <w:left w:val="single" w:sz="4" w:space="0" w:color="001D77"/>
              <w:bottom w:val="single" w:sz="4" w:space="0" w:color="001D77"/>
              <w:right w:val="single" w:sz="4" w:space="0" w:color="001D77"/>
            </w:tcBorders>
            <w:vAlign w:val="center"/>
          </w:tcPr>
          <w:p w14:paraId="10F6F5A0" w14:textId="77386221" w:rsidR="00D76881" w:rsidRPr="00991B7A" w:rsidRDefault="00D76881" w:rsidP="00D76881">
            <w:pPr>
              <w:jc w:val="right"/>
              <w:rPr>
                <w:rFonts w:cs="Arial"/>
                <w:color w:val="000000" w:themeColor="text1"/>
                <w:sz w:val="16"/>
                <w:szCs w:val="16"/>
              </w:rPr>
            </w:pPr>
            <w:r>
              <w:rPr>
                <w:rFonts w:cs="Arial"/>
                <w:color w:val="000000" w:themeColor="text1"/>
                <w:sz w:val="16"/>
                <w:szCs w:val="16"/>
              </w:rPr>
              <w:t>95,</w:t>
            </w:r>
            <w:r w:rsidR="00B47B33">
              <w:rPr>
                <w:rFonts w:cs="Arial"/>
                <w:color w:val="000000" w:themeColor="text1"/>
                <w:sz w:val="16"/>
                <w:szCs w:val="16"/>
              </w:rPr>
              <w:t>2*</w:t>
            </w:r>
          </w:p>
        </w:tc>
        <w:tc>
          <w:tcPr>
            <w:tcW w:w="964" w:type="dxa"/>
            <w:tcBorders>
              <w:top w:val="single" w:sz="4" w:space="0" w:color="001D77"/>
              <w:left w:val="single" w:sz="4" w:space="0" w:color="001D77"/>
              <w:bottom w:val="single" w:sz="4" w:space="0" w:color="001D77"/>
              <w:right w:val="single" w:sz="4" w:space="0" w:color="001D77"/>
            </w:tcBorders>
            <w:vAlign w:val="center"/>
          </w:tcPr>
          <w:p w14:paraId="6D39A2E9" w14:textId="52F0B793" w:rsidR="00D76881" w:rsidRPr="00475FCB" w:rsidRDefault="00B47B33" w:rsidP="00D76881">
            <w:pPr>
              <w:jc w:val="right"/>
              <w:rPr>
                <w:rFonts w:cs="Arial"/>
                <w:color w:val="000000" w:themeColor="text1"/>
                <w:sz w:val="16"/>
                <w:szCs w:val="16"/>
              </w:rPr>
            </w:pPr>
            <w:r>
              <w:rPr>
                <w:rFonts w:cs="Arial"/>
                <w:color w:val="000000" w:themeColor="text1"/>
                <w:sz w:val="16"/>
                <w:szCs w:val="16"/>
              </w:rPr>
              <w:t>94,5</w:t>
            </w:r>
          </w:p>
        </w:tc>
        <w:tc>
          <w:tcPr>
            <w:tcW w:w="964" w:type="dxa"/>
            <w:tcBorders>
              <w:top w:val="single" w:sz="4" w:space="0" w:color="001D77"/>
              <w:left w:val="single" w:sz="4" w:space="0" w:color="001D77"/>
              <w:bottom w:val="single" w:sz="4" w:space="0" w:color="001D77"/>
              <w:right w:val="single" w:sz="4" w:space="0" w:color="001D77"/>
            </w:tcBorders>
            <w:vAlign w:val="center"/>
          </w:tcPr>
          <w:p w14:paraId="572BAFCA" w14:textId="79105644" w:rsidR="00D76881" w:rsidRPr="00475FCB" w:rsidRDefault="00B47B33" w:rsidP="00D76881">
            <w:pPr>
              <w:jc w:val="right"/>
              <w:rPr>
                <w:rFonts w:cs="Arial"/>
                <w:color w:val="000000" w:themeColor="text1"/>
                <w:sz w:val="16"/>
                <w:szCs w:val="16"/>
              </w:rPr>
            </w:pPr>
            <w:r>
              <w:rPr>
                <w:rFonts w:cs="Arial"/>
                <w:color w:val="000000" w:themeColor="text1"/>
                <w:sz w:val="16"/>
                <w:szCs w:val="16"/>
              </w:rPr>
              <w:t>99,6</w:t>
            </w:r>
          </w:p>
        </w:tc>
        <w:tc>
          <w:tcPr>
            <w:tcW w:w="964" w:type="dxa"/>
            <w:tcBorders>
              <w:top w:val="single" w:sz="4" w:space="0" w:color="001D77"/>
              <w:left w:val="single" w:sz="4" w:space="0" w:color="001D77"/>
              <w:bottom w:val="single" w:sz="4" w:space="0" w:color="001D77"/>
              <w:right w:val="single" w:sz="4" w:space="0" w:color="001D77"/>
            </w:tcBorders>
            <w:vAlign w:val="center"/>
          </w:tcPr>
          <w:p w14:paraId="4203CEFF" w14:textId="22E0E624" w:rsidR="00D76881" w:rsidRPr="00475FCB" w:rsidRDefault="00B47B33" w:rsidP="00D76881">
            <w:pPr>
              <w:jc w:val="right"/>
              <w:rPr>
                <w:rFonts w:cs="Arial"/>
                <w:color w:val="000000" w:themeColor="text1"/>
                <w:sz w:val="16"/>
                <w:szCs w:val="16"/>
              </w:rPr>
            </w:pPr>
            <w:r>
              <w:rPr>
                <w:rFonts w:cs="Arial"/>
                <w:color w:val="000000" w:themeColor="text1"/>
                <w:sz w:val="16"/>
                <w:szCs w:val="16"/>
              </w:rPr>
              <w:t>97,6</w:t>
            </w:r>
          </w:p>
        </w:tc>
        <w:tc>
          <w:tcPr>
            <w:tcW w:w="968" w:type="dxa"/>
            <w:tcBorders>
              <w:top w:val="single" w:sz="4" w:space="0" w:color="001D77"/>
              <w:left w:val="single" w:sz="4" w:space="0" w:color="001D77"/>
              <w:bottom w:val="single" w:sz="4" w:space="0" w:color="001D77"/>
              <w:right w:val="nil"/>
            </w:tcBorders>
            <w:vAlign w:val="center"/>
          </w:tcPr>
          <w:p w14:paraId="2728D4B8" w14:textId="4323BD7B" w:rsidR="00D76881" w:rsidRPr="00475FCB" w:rsidRDefault="00B47B33" w:rsidP="00D76881">
            <w:pPr>
              <w:jc w:val="right"/>
              <w:rPr>
                <w:rFonts w:cs="Arial"/>
                <w:color w:val="000000" w:themeColor="text1"/>
                <w:sz w:val="16"/>
                <w:szCs w:val="16"/>
              </w:rPr>
            </w:pPr>
            <w:r>
              <w:rPr>
                <w:rFonts w:cs="Arial"/>
                <w:color w:val="000000" w:themeColor="text1"/>
                <w:sz w:val="16"/>
                <w:szCs w:val="16"/>
              </w:rPr>
              <w:t>93,1</w:t>
            </w:r>
          </w:p>
        </w:tc>
      </w:tr>
      <w:tr w:rsidR="00D76881" w14:paraId="503101B9" w14:textId="77777777" w:rsidTr="008214D6">
        <w:tc>
          <w:tcPr>
            <w:tcW w:w="2194" w:type="dxa"/>
            <w:tcBorders>
              <w:top w:val="single" w:sz="4" w:space="0" w:color="001D77"/>
              <w:left w:val="nil"/>
              <w:bottom w:val="single" w:sz="4" w:space="0" w:color="001D77"/>
              <w:right w:val="single" w:sz="4" w:space="0" w:color="001D77"/>
            </w:tcBorders>
            <w:hideMark/>
          </w:tcPr>
          <w:p w14:paraId="06EF8C94" w14:textId="77777777" w:rsidR="00D76881" w:rsidRDefault="00D76881" w:rsidP="00D76881">
            <w:pPr>
              <w:rPr>
                <w:shd w:val="clear" w:color="auto" w:fill="FFFFFF"/>
              </w:rPr>
            </w:pPr>
            <w:r>
              <w:rPr>
                <w:color w:val="000000" w:themeColor="text1"/>
                <w:sz w:val="16"/>
                <w:szCs w:val="16"/>
              </w:rPr>
              <w:t xml:space="preserve">Wytwarzanie i zaopatrywanie w energię elektryczną, gaz, parę wodną i gorącą </w:t>
            </w:r>
            <w:proofErr w:type="spellStart"/>
            <w:r>
              <w:rPr>
                <w:color w:val="000000" w:themeColor="text1"/>
                <w:sz w:val="16"/>
                <w:szCs w:val="16"/>
              </w:rPr>
              <w:t>wodę</w:t>
            </w:r>
            <w:r>
              <w:rPr>
                <w:rFonts w:cstheme="majorBidi"/>
                <w:i/>
                <w:color w:val="000000" w:themeColor="text1"/>
                <w:sz w:val="16"/>
                <w:szCs w:val="16"/>
                <w:vertAlign w:val="superscript"/>
              </w:rPr>
              <w:t>a</w:t>
            </w:r>
            <w:proofErr w:type="spellEnd"/>
          </w:p>
        </w:tc>
        <w:tc>
          <w:tcPr>
            <w:tcW w:w="964" w:type="dxa"/>
            <w:tcBorders>
              <w:top w:val="single" w:sz="4" w:space="0" w:color="001D77"/>
              <w:left w:val="single" w:sz="4" w:space="0" w:color="001D77"/>
              <w:bottom w:val="single" w:sz="4" w:space="0" w:color="001D77"/>
              <w:right w:val="single" w:sz="4" w:space="0" w:color="001D77"/>
            </w:tcBorders>
            <w:vAlign w:val="center"/>
          </w:tcPr>
          <w:p w14:paraId="2EF0CBEE" w14:textId="1B228D2E" w:rsidR="00D76881" w:rsidRPr="00991B7A" w:rsidRDefault="00B47B33" w:rsidP="00D76881">
            <w:pPr>
              <w:jc w:val="right"/>
              <w:rPr>
                <w:rFonts w:cs="Arial"/>
                <w:color w:val="000000" w:themeColor="text1"/>
                <w:sz w:val="16"/>
                <w:szCs w:val="16"/>
              </w:rPr>
            </w:pPr>
            <w:r>
              <w:rPr>
                <w:rFonts w:cs="Arial"/>
                <w:color w:val="000000" w:themeColor="text1"/>
                <w:sz w:val="16"/>
                <w:szCs w:val="16"/>
              </w:rPr>
              <w:t>99,4*</w:t>
            </w:r>
          </w:p>
        </w:tc>
        <w:tc>
          <w:tcPr>
            <w:tcW w:w="964" w:type="dxa"/>
            <w:tcBorders>
              <w:top w:val="single" w:sz="4" w:space="0" w:color="001D77"/>
              <w:left w:val="single" w:sz="4" w:space="0" w:color="001D77"/>
              <w:bottom w:val="single" w:sz="4" w:space="0" w:color="001D77"/>
              <w:right w:val="single" w:sz="4" w:space="0" w:color="001D77"/>
            </w:tcBorders>
            <w:vAlign w:val="center"/>
          </w:tcPr>
          <w:p w14:paraId="66CC2BD8" w14:textId="609A0615" w:rsidR="00D76881" w:rsidRPr="00991B7A" w:rsidRDefault="00B47B33" w:rsidP="00D76881">
            <w:pPr>
              <w:jc w:val="right"/>
              <w:rPr>
                <w:rFonts w:cs="Arial"/>
                <w:color w:val="000000" w:themeColor="text1"/>
                <w:sz w:val="16"/>
                <w:szCs w:val="16"/>
              </w:rPr>
            </w:pPr>
            <w:r>
              <w:rPr>
                <w:rFonts w:cs="Arial"/>
                <w:color w:val="000000" w:themeColor="text1"/>
                <w:sz w:val="16"/>
                <w:szCs w:val="16"/>
              </w:rPr>
              <w:t>88,2*</w:t>
            </w:r>
          </w:p>
        </w:tc>
        <w:tc>
          <w:tcPr>
            <w:tcW w:w="964" w:type="dxa"/>
            <w:tcBorders>
              <w:top w:val="single" w:sz="4" w:space="0" w:color="001D77"/>
              <w:left w:val="single" w:sz="4" w:space="0" w:color="001D77"/>
              <w:bottom w:val="single" w:sz="4" w:space="0" w:color="001D77"/>
              <w:right w:val="single" w:sz="4" w:space="0" w:color="001D77"/>
            </w:tcBorders>
            <w:vAlign w:val="center"/>
          </w:tcPr>
          <w:p w14:paraId="41BAFB20" w14:textId="7A247407" w:rsidR="00D76881" w:rsidRPr="00475FCB" w:rsidRDefault="00B47B33" w:rsidP="00D76881">
            <w:pPr>
              <w:jc w:val="right"/>
              <w:rPr>
                <w:rFonts w:cs="Arial"/>
                <w:color w:val="000000" w:themeColor="text1"/>
                <w:sz w:val="16"/>
                <w:szCs w:val="16"/>
              </w:rPr>
            </w:pPr>
            <w:r>
              <w:rPr>
                <w:rFonts w:cs="Arial"/>
                <w:color w:val="000000" w:themeColor="text1"/>
                <w:sz w:val="16"/>
                <w:szCs w:val="16"/>
              </w:rPr>
              <w:t>88,1</w:t>
            </w:r>
          </w:p>
        </w:tc>
        <w:tc>
          <w:tcPr>
            <w:tcW w:w="964" w:type="dxa"/>
            <w:tcBorders>
              <w:top w:val="single" w:sz="4" w:space="0" w:color="001D77"/>
              <w:left w:val="single" w:sz="4" w:space="0" w:color="001D77"/>
              <w:bottom w:val="single" w:sz="4" w:space="0" w:color="001D77"/>
              <w:right w:val="single" w:sz="4" w:space="0" w:color="001D77"/>
            </w:tcBorders>
            <w:vAlign w:val="center"/>
          </w:tcPr>
          <w:p w14:paraId="3D40C58E" w14:textId="2EA89A25" w:rsidR="00D76881" w:rsidRPr="00475FCB" w:rsidRDefault="00B47B33" w:rsidP="00D76881">
            <w:pPr>
              <w:jc w:val="right"/>
              <w:rPr>
                <w:rFonts w:cs="Arial"/>
                <w:color w:val="000000" w:themeColor="text1"/>
                <w:sz w:val="16"/>
                <w:szCs w:val="16"/>
              </w:rPr>
            </w:pPr>
            <w:r>
              <w:rPr>
                <w:rFonts w:cs="Arial"/>
                <w:color w:val="000000" w:themeColor="text1"/>
                <w:sz w:val="16"/>
                <w:szCs w:val="16"/>
              </w:rPr>
              <w:t>99,1</w:t>
            </w:r>
          </w:p>
        </w:tc>
        <w:tc>
          <w:tcPr>
            <w:tcW w:w="964" w:type="dxa"/>
            <w:tcBorders>
              <w:top w:val="single" w:sz="4" w:space="0" w:color="001D77"/>
              <w:left w:val="single" w:sz="4" w:space="0" w:color="001D77"/>
              <w:bottom w:val="single" w:sz="4" w:space="0" w:color="001D77"/>
              <w:right w:val="single" w:sz="4" w:space="0" w:color="001D77"/>
            </w:tcBorders>
            <w:vAlign w:val="center"/>
          </w:tcPr>
          <w:p w14:paraId="78E7A4A3" w14:textId="271996D9" w:rsidR="00D76881" w:rsidRPr="00475FCB" w:rsidRDefault="00B47B33" w:rsidP="00D76881">
            <w:pPr>
              <w:jc w:val="right"/>
              <w:rPr>
                <w:rFonts w:cs="Arial"/>
                <w:color w:val="000000" w:themeColor="text1"/>
                <w:sz w:val="16"/>
                <w:szCs w:val="16"/>
              </w:rPr>
            </w:pPr>
            <w:r>
              <w:rPr>
                <w:rFonts w:cs="Arial"/>
                <w:color w:val="000000" w:themeColor="text1"/>
                <w:sz w:val="16"/>
                <w:szCs w:val="16"/>
              </w:rPr>
              <w:t>91,3</w:t>
            </w:r>
          </w:p>
        </w:tc>
        <w:tc>
          <w:tcPr>
            <w:tcW w:w="968" w:type="dxa"/>
            <w:tcBorders>
              <w:top w:val="single" w:sz="4" w:space="0" w:color="001D77"/>
              <w:left w:val="single" w:sz="4" w:space="0" w:color="001D77"/>
              <w:bottom w:val="single" w:sz="4" w:space="0" w:color="001D77"/>
              <w:right w:val="nil"/>
            </w:tcBorders>
            <w:vAlign w:val="center"/>
          </w:tcPr>
          <w:p w14:paraId="69A3E910" w14:textId="0A3E6EED" w:rsidR="00D76881" w:rsidRPr="00475FCB" w:rsidRDefault="00B47B33" w:rsidP="00D76881">
            <w:pPr>
              <w:jc w:val="right"/>
              <w:rPr>
                <w:rFonts w:cs="Arial"/>
                <w:color w:val="000000" w:themeColor="text1"/>
                <w:sz w:val="16"/>
                <w:szCs w:val="16"/>
              </w:rPr>
            </w:pPr>
            <w:r>
              <w:rPr>
                <w:rFonts w:cs="Arial"/>
                <w:color w:val="000000" w:themeColor="text1"/>
                <w:sz w:val="16"/>
                <w:szCs w:val="16"/>
              </w:rPr>
              <w:t>85,1</w:t>
            </w:r>
          </w:p>
        </w:tc>
      </w:tr>
      <w:tr w:rsidR="00D76881" w14:paraId="3475094B" w14:textId="77777777" w:rsidTr="008214D6">
        <w:tc>
          <w:tcPr>
            <w:tcW w:w="2194" w:type="dxa"/>
            <w:tcBorders>
              <w:top w:val="single" w:sz="4" w:space="0" w:color="001D77"/>
              <w:left w:val="nil"/>
              <w:bottom w:val="nil"/>
              <w:right w:val="single" w:sz="4" w:space="0" w:color="001D77"/>
            </w:tcBorders>
            <w:hideMark/>
          </w:tcPr>
          <w:p w14:paraId="031BFA2A" w14:textId="1532336F" w:rsidR="00D76881" w:rsidRDefault="00D76881" w:rsidP="00D76881">
            <w:pPr>
              <w:rPr>
                <w:shd w:val="clear" w:color="auto" w:fill="FFFFFF"/>
              </w:rPr>
            </w:pPr>
            <w:r>
              <w:rPr>
                <w:color w:val="000000" w:themeColor="text1"/>
                <w:sz w:val="16"/>
                <w:szCs w:val="16"/>
              </w:rPr>
              <w:t xml:space="preserve">Dostawa wody; gospodarowanie ściekami i odpadami; </w:t>
            </w:r>
            <w:proofErr w:type="spellStart"/>
            <w:r>
              <w:rPr>
                <w:color w:val="000000" w:themeColor="text1"/>
                <w:sz w:val="16"/>
                <w:szCs w:val="16"/>
              </w:rPr>
              <w:t>rekultywacja</w:t>
            </w:r>
            <w:r>
              <w:rPr>
                <w:rFonts w:cstheme="majorBidi"/>
                <w:i/>
                <w:color w:val="000000" w:themeColor="text1"/>
                <w:sz w:val="16"/>
                <w:szCs w:val="16"/>
                <w:vertAlign w:val="superscript"/>
              </w:rPr>
              <w:t>a</w:t>
            </w:r>
            <w:proofErr w:type="spellEnd"/>
          </w:p>
        </w:tc>
        <w:tc>
          <w:tcPr>
            <w:tcW w:w="964" w:type="dxa"/>
            <w:tcBorders>
              <w:top w:val="single" w:sz="4" w:space="0" w:color="001D77"/>
              <w:left w:val="single" w:sz="4" w:space="0" w:color="001D77"/>
              <w:bottom w:val="nil"/>
              <w:right w:val="single" w:sz="4" w:space="0" w:color="001D77"/>
            </w:tcBorders>
            <w:vAlign w:val="center"/>
          </w:tcPr>
          <w:p w14:paraId="6358DC92" w14:textId="41F8F772" w:rsidR="00D76881" w:rsidRPr="00991B7A" w:rsidRDefault="00D76881" w:rsidP="00D76881">
            <w:pPr>
              <w:jc w:val="right"/>
              <w:rPr>
                <w:rFonts w:cs="Arial"/>
                <w:color w:val="000000" w:themeColor="text1"/>
                <w:sz w:val="16"/>
                <w:szCs w:val="16"/>
              </w:rPr>
            </w:pPr>
            <w:r>
              <w:rPr>
                <w:rFonts w:cs="Arial"/>
                <w:color w:val="000000" w:themeColor="text1"/>
                <w:sz w:val="16"/>
                <w:szCs w:val="16"/>
              </w:rPr>
              <w:t>100,</w:t>
            </w:r>
            <w:r w:rsidR="00B47B33">
              <w:rPr>
                <w:rFonts w:cs="Arial"/>
                <w:color w:val="000000" w:themeColor="text1"/>
                <w:sz w:val="16"/>
                <w:szCs w:val="16"/>
              </w:rPr>
              <w:t>1*</w:t>
            </w:r>
          </w:p>
        </w:tc>
        <w:tc>
          <w:tcPr>
            <w:tcW w:w="964" w:type="dxa"/>
            <w:tcBorders>
              <w:top w:val="single" w:sz="4" w:space="0" w:color="001D77"/>
              <w:left w:val="single" w:sz="4" w:space="0" w:color="001D77"/>
              <w:bottom w:val="nil"/>
              <w:right w:val="single" w:sz="4" w:space="0" w:color="001D77"/>
            </w:tcBorders>
            <w:vAlign w:val="center"/>
          </w:tcPr>
          <w:p w14:paraId="6312B989" w14:textId="491C2ED2" w:rsidR="00D76881" w:rsidRPr="00991B7A" w:rsidRDefault="00D76881" w:rsidP="00D76881">
            <w:pPr>
              <w:jc w:val="right"/>
              <w:rPr>
                <w:rFonts w:cs="Arial"/>
                <w:color w:val="000000" w:themeColor="text1"/>
                <w:sz w:val="16"/>
                <w:szCs w:val="16"/>
              </w:rPr>
            </w:pPr>
            <w:r>
              <w:rPr>
                <w:rFonts w:cs="Arial"/>
                <w:color w:val="000000" w:themeColor="text1"/>
                <w:sz w:val="16"/>
                <w:szCs w:val="16"/>
              </w:rPr>
              <w:t>103,</w:t>
            </w:r>
            <w:r w:rsidR="00B47B33">
              <w:rPr>
                <w:rFonts w:cs="Arial"/>
                <w:color w:val="000000" w:themeColor="text1"/>
                <w:sz w:val="16"/>
                <w:szCs w:val="16"/>
              </w:rPr>
              <w:t>6*</w:t>
            </w:r>
          </w:p>
        </w:tc>
        <w:tc>
          <w:tcPr>
            <w:tcW w:w="964" w:type="dxa"/>
            <w:tcBorders>
              <w:top w:val="single" w:sz="4" w:space="0" w:color="001D77"/>
              <w:left w:val="single" w:sz="4" w:space="0" w:color="001D77"/>
              <w:bottom w:val="nil"/>
              <w:right w:val="single" w:sz="4" w:space="0" w:color="001D77"/>
            </w:tcBorders>
            <w:vAlign w:val="center"/>
          </w:tcPr>
          <w:p w14:paraId="6064AE36" w14:textId="49321CF6" w:rsidR="00D76881" w:rsidRPr="00475FCB" w:rsidRDefault="00B47B33" w:rsidP="00D76881">
            <w:pPr>
              <w:jc w:val="right"/>
              <w:rPr>
                <w:rFonts w:cs="Arial"/>
                <w:color w:val="000000" w:themeColor="text1"/>
                <w:sz w:val="16"/>
                <w:szCs w:val="16"/>
              </w:rPr>
            </w:pPr>
            <w:r>
              <w:rPr>
                <w:rFonts w:cs="Arial"/>
                <w:color w:val="000000" w:themeColor="text1"/>
                <w:sz w:val="16"/>
                <w:szCs w:val="16"/>
              </w:rPr>
              <w:t>102,9</w:t>
            </w:r>
          </w:p>
        </w:tc>
        <w:tc>
          <w:tcPr>
            <w:tcW w:w="964" w:type="dxa"/>
            <w:tcBorders>
              <w:top w:val="single" w:sz="4" w:space="0" w:color="001D77"/>
              <w:left w:val="single" w:sz="4" w:space="0" w:color="001D77"/>
              <w:bottom w:val="nil"/>
              <w:right w:val="single" w:sz="4" w:space="0" w:color="001D77"/>
            </w:tcBorders>
            <w:vAlign w:val="center"/>
          </w:tcPr>
          <w:p w14:paraId="117C279C" w14:textId="05E1A98E" w:rsidR="00D76881" w:rsidRPr="00475FCB" w:rsidRDefault="00B47B33" w:rsidP="00D76881">
            <w:pPr>
              <w:jc w:val="right"/>
              <w:rPr>
                <w:rFonts w:cs="Arial"/>
                <w:color w:val="000000" w:themeColor="text1"/>
                <w:sz w:val="16"/>
                <w:szCs w:val="16"/>
              </w:rPr>
            </w:pPr>
            <w:r>
              <w:rPr>
                <w:rFonts w:cs="Arial"/>
                <w:color w:val="000000" w:themeColor="text1"/>
                <w:sz w:val="16"/>
                <w:szCs w:val="16"/>
              </w:rPr>
              <w:t>99,9</w:t>
            </w:r>
          </w:p>
        </w:tc>
        <w:tc>
          <w:tcPr>
            <w:tcW w:w="964" w:type="dxa"/>
            <w:tcBorders>
              <w:top w:val="single" w:sz="4" w:space="0" w:color="001D77"/>
              <w:left w:val="single" w:sz="4" w:space="0" w:color="001D77"/>
              <w:bottom w:val="nil"/>
              <w:right w:val="single" w:sz="4" w:space="0" w:color="001D77"/>
            </w:tcBorders>
            <w:vAlign w:val="center"/>
          </w:tcPr>
          <w:p w14:paraId="630844EA" w14:textId="15443CF5" w:rsidR="00D76881" w:rsidRPr="00475FCB" w:rsidRDefault="00B47B33" w:rsidP="00D76881">
            <w:pPr>
              <w:jc w:val="right"/>
              <w:rPr>
                <w:rFonts w:cs="Arial"/>
                <w:color w:val="000000" w:themeColor="text1"/>
                <w:sz w:val="16"/>
                <w:szCs w:val="16"/>
              </w:rPr>
            </w:pPr>
            <w:r>
              <w:rPr>
                <w:rFonts w:cs="Arial"/>
                <w:color w:val="000000" w:themeColor="text1"/>
                <w:sz w:val="16"/>
                <w:szCs w:val="16"/>
              </w:rPr>
              <w:t>102,9</w:t>
            </w:r>
          </w:p>
        </w:tc>
        <w:tc>
          <w:tcPr>
            <w:tcW w:w="968" w:type="dxa"/>
            <w:tcBorders>
              <w:top w:val="single" w:sz="4" w:space="0" w:color="001D77"/>
              <w:left w:val="single" w:sz="4" w:space="0" w:color="001D77"/>
              <w:bottom w:val="nil"/>
              <w:right w:val="nil"/>
            </w:tcBorders>
            <w:vAlign w:val="center"/>
          </w:tcPr>
          <w:p w14:paraId="4F48BC85" w14:textId="10CD5249" w:rsidR="00D76881" w:rsidRPr="00475FCB" w:rsidRDefault="00B47B33" w:rsidP="00D76881">
            <w:pPr>
              <w:jc w:val="right"/>
              <w:rPr>
                <w:rFonts w:cs="Arial"/>
                <w:color w:val="000000" w:themeColor="text1"/>
                <w:sz w:val="16"/>
                <w:szCs w:val="16"/>
              </w:rPr>
            </w:pPr>
            <w:r>
              <w:rPr>
                <w:rFonts w:cs="Arial"/>
                <w:color w:val="000000" w:themeColor="text1"/>
                <w:sz w:val="16"/>
                <w:szCs w:val="16"/>
              </w:rPr>
              <w:t>102,6</w:t>
            </w:r>
          </w:p>
        </w:tc>
      </w:tr>
    </w:tbl>
    <w:p w14:paraId="08F246F6" w14:textId="77777777" w:rsidR="00883E43" w:rsidRDefault="00883E43" w:rsidP="00883E43">
      <w:pPr>
        <w:rPr>
          <w:b/>
          <w:shd w:val="clear" w:color="auto" w:fill="FFFFFF"/>
        </w:rPr>
      </w:pPr>
    </w:p>
    <w:p w14:paraId="5198EE22" w14:textId="77777777" w:rsidR="00883E43" w:rsidRDefault="00883E43" w:rsidP="00883E43">
      <w:pPr>
        <w:rPr>
          <w:rFonts w:cs="Arial"/>
          <w:i/>
          <w:sz w:val="16"/>
          <w:szCs w:val="16"/>
          <w:vertAlign w:val="superscript"/>
        </w:rPr>
      </w:pPr>
    </w:p>
    <w:p w14:paraId="72F472FA" w14:textId="77777777" w:rsidR="00883E43" w:rsidRDefault="00883E43" w:rsidP="00883E43">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6EBDEDA" w14:textId="77777777" w:rsidR="00883E43" w:rsidRPr="006F302E" w:rsidRDefault="00883E43" w:rsidP="00883E43">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41D118C1" w14:textId="77777777" w:rsidR="00883E43" w:rsidRDefault="00883E43" w:rsidP="00883E43">
      <w:pPr>
        <w:rPr>
          <w:lang w:eastAsia="pl-PL"/>
        </w:rPr>
      </w:pPr>
    </w:p>
    <w:p w14:paraId="0DAF6980" w14:textId="77777777" w:rsidR="00883E43" w:rsidRDefault="00883E43" w:rsidP="00883E43">
      <w:pPr>
        <w:rPr>
          <w:lang w:eastAsia="pl-PL"/>
        </w:rPr>
      </w:pPr>
    </w:p>
    <w:p w14:paraId="1D6F0E9F" w14:textId="77777777" w:rsidR="00883E43" w:rsidRDefault="00883E43" w:rsidP="00883E43">
      <w:pPr>
        <w:rPr>
          <w:lang w:eastAsia="pl-PL"/>
        </w:rPr>
      </w:pPr>
    </w:p>
    <w:p w14:paraId="4890A94D" w14:textId="77777777" w:rsidR="00883E43" w:rsidRDefault="00883E43" w:rsidP="00883E43">
      <w:pPr>
        <w:rPr>
          <w:lang w:eastAsia="pl-PL"/>
        </w:rPr>
      </w:pPr>
    </w:p>
    <w:p w14:paraId="70BBCA02" w14:textId="77777777" w:rsidR="00883E43" w:rsidRDefault="00883E43" w:rsidP="00883E43">
      <w:pPr>
        <w:rPr>
          <w:lang w:eastAsia="pl-PL"/>
        </w:rPr>
      </w:pPr>
    </w:p>
    <w:p w14:paraId="6F41A32A" w14:textId="77777777" w:rsidR="00883E43" w:rsidRDefault="00883E43" w:rsidP="00883E43">
      <w:pPr>
        <w:rPr>
          <w:lang w:eastAsia="pl-PL"/>
        </w:rPr>
      </w:pPr>
    </w:p>
    <w:p w14:paraId="441D6696" w14:textId="7A9251CC" w:rsidR="00883E43" w:rsidRPr="00883E43" w:rsidRDefault="00883E43" w:rsidP="00216634">
      <w:pPr>
        <w:spacing w:line="288" w:lineRule="auto"/>
        <w:rPr>
          <w:rFonts w:eastAsia="Times New Roman" w:cs="Times New Roman"/>
          <w:szCs w:val="19"/>
          <w:lang w:eastAsia="pl-PL"/>
        </w:rPr>
      </w:pPr>
    </w:p>
    <w:p w14:paraId="36F56AB9" w14:textId="6E7CE20D" w:rsidR="00883E43" w:rsidRDefault="00883E43" w:rsidP="00883E43">
      <w:pPr>
        <w:rPr>
          <w:lang w:eastAsia="pl-PL"/>
        </w:rPr>
      </w:pPr>
    </w:p>
    <w:p w14:paraId="000C1A12" w14:textId="2F88CFF2" w:rsidR="00883E43" w:rsidRDefault="00883E43" w:rsidP="00883E43">
      <w:pPr>
        <w:pStyle w:val="Nagwek1"/>
        <w:rPr>
          <w:rFonts w:ascii="Fira Sans" w:hAnsi="Fira Sans"/>
          <w:b/>
          <w:szCs w:val="19"/>
        </w:rPr>
      </w:pPr>
      <w:r w:rsidRPr="0088650D">
        <w:rPr>
          <w:rFonts w:ascii="Fira Sans" w:hAnsi="Fira Sans"/>
          <w:b/>
          <w:szCs w:val="19"/>
        </w:rPr>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sidR="006B798F">
        <w:rPr>
          <w:rFonts w:ascii="Fira Sans" w:hAnsi="Fira Sans"/>
          <w:b/>
          <w:szCs w:val="19"/>
        </w:rPr>
        <w:t>w</w:t>
      </w:r>
      <w:r w:rsidR="00B47B33">
        <w:rPr>
          <w:rFonts w:ascii="Fira Sans" w:hAnsi="Fira Sans"/>
          <w:b/>
          <w:szCs w:val="19"/>
        </w:rPr>
        <w:t>e wrześniu</w:t>
      </w:r>
      <w:r>
        <w:rPr>
          <w:rFonts w:ascii="Fira Sans" w:hAnsi="Fira Sans"/>
          <w:b/>
          <w:szCs w:val="19"/>
        </w:rPr>
        <w:t xml:space="preserve"> </w:t>
      </w:r>
      <w:r w:rsidRPr="00776FC9">
        <w:rPr>
          <w:rFonts w:ascii="Fira Sans" w:hAnsi="Fira Sans"/>
          <w:b/>
          <w:szCs w:val="19"/>
        </w:rPr>
        <w:t>202</w:t>
      </w:r>
      <w:r w:rsidR="00027704">
        <w:rPr>
          <w:rFonts w:ascii="Fira Sans" w:hAnsi="Fira Sans"/>
          <w:b/>
          <w:szCs w:val="19"/>
        </w:rPr>
        <w:t>4</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w:t>
      </w:r>
      <w:r w:rsidR="00AB507D">
        <w:rPr>
          <w:rFonts w:ascii="Fira Sans" w:hAnsi="Fira Sans"/>
          <w:b/>
          <w:szCs w:val="19"/>
        </w:rPr>
        <w:t>z</w:t>
      </w:r>
      <w:r w:rsidR="00B47B33">
        <w:rPr>
          <w:rFonts w:ascii="Fira Sans" w:hAnsi="Fira Sans"/>
          <w:b/>
          <w:szCs w:val="19"/>
        </w:rPr>
        <w:t> </w:t>
      </w:r>
      <w:r w:rsidR="00AB507D">
        <w:rPr>
          <w:rFonts w:ascii="Fira Sans" w:hAnsi="Fira Sans"/>
          <w:b/>
          <w:szCs w:val="19"/>
        </w:rPr>
        <w:t xml:space="preserve"> </w:t>
      </w:r>
      <w:r w:rsidR="00B47B33">
        <w:rPr>
          <w:rFonts w:ascii="Fira Sans" w:hAnsi="Fira Sans"/>
          <w:b/>
          <w:szCs w:val="19"/>
        </w:rPr>
        <w:t>sierpniem </w:t>
      </w:r>
      <w:r>
        <w:rPr>
          <w:rFonts w:ascii="Fira Sans" w:hAnsi="Fira Sans"/>
          <w:b/>
          <w:szCs w:val="19"/>
        </w:rPr>
        <w:t xml:space="preserve"> </w:t>
      </w:r>
      <w:r w:rsidR="003B7760">
        <w:rPr>
          <w:rFonts w:ascii="Fira Sans" w:hAnsi="Fira Sans"/>
          <w:b/>
          <w:szCs w:val="19"/>
        </w:rPr>
        <w:t>2024</w:t>
      </w:r>
      <w:r w:rsidR="00A52878">
        <w:rPr>
          <w:rFonts w:ascii="Fira Sans" w:hAnsi="Fira Sans"/>
          <w:b/>
          <w:szCs w:val="19"/>
        </w:rPr>
        <w:t> </w:t>
      </w:r>
      <w:r>
        <w:rPr>
          <w:rFonts w:ascii="Fira Sans" w:hAnsi="Fira Sans"/>
          <w:b/>
          <w:szCs w:val="19"/>
        </w:rPr>
        <w:t>r.</w:t>
      </w:r>
    </w:p>
    <w:p w14:paraId="6B50D65D" w14:textId="344E1F82" w:rsidR="00FB1CDE" w:rsidRDefault="00C04C07" w:rsidP="00966CF2">
      <w:pPr>
        <w:rPr>
          <w:spacing w:val="-6"/>
        </w:rPr>
      </w:pPr>
      <w:r w:rsidRPr="00DE402D">
        <w:rPr>
          <w:spacing w:val="-6"/>
          <w:shd w:val="clear" w:color="auto" w:fill="FFFFFF"/>
        </w:rPr>
        <w:t xml:space="preserve">Według wstępnych danych </w:t>
      </w:r>
      <w:r w:rsidRPr="002A116F">
        <w:rPr>
          <w:b/>
          <w:spacing w:val="-6"/>
          <w:shd w:val="clear" w:color="auto" w:fill="FFFFFF"/>
        </w:rPr>
        <w:t>ceny</w:t>
      </w:r>
      <w:r w:rsidRPr="00DE402D">
        <w:rPr>
          <w:b/>
          <w:spacing w:val="-6"/>
          <w:shd w:val="clear" w:color="auto" w:fill="FFFFFF"/>
        </w:rPr>
        <w:t xml:space="preserve"> produkcji sprzedanej przemysłu</w:t>
      </w:r>
      <w:r w:rsidRPr="00DE402D">
        <w:rPr>
          <w:spacing w:val="-6"/>
          <w:shd w:val="clear" w:color="auto" w:fill="FFFFFF"/>
        </w:rPr>
        <w:t xml:space="preserve"> </w:t>
      </w:r>
      <w:r>
        <w:rPr>
          <w:spacing w:val="-6"/>
          <w:shd w:val="clear" w:color="auto" w:fill="FFFFFF"/>
        </w:rPr>
        <w:t>w</w:t>
      </w:r>
      <w:r w:rsidR="00B47B33">
        <w:rPr>
          <w:spacing w:val="-6"/>
          <w:shd w:val="clear" w:color="auto" w:fill="FFFFFF"/>
        </w:rPr>
        <w:t xml:space="preserve">e wrześniu </w:t>
      </w:r>
      <w:r w:rsidRPr="00DE402D">
        <w:rPr>
          <w:spacing w:val="-6"/>
          <w:shd w:val="clear" w:color="auto" w:fill="FFFFFF"/>
        </w:rPr>
        <w:t>202</w:t>
      </w:r>
      <w:r>
        <w:rPr>
          <w:spacing w:val="-6"/>
          <w:shd w:val="clear" w:color="auto" w:fill="FFFFFF"/>
        </w:rPr>
        <w:t>4</w:t>
      </w:r>
      <w:r w:rsidRPr="00DE402D">
        <w:rPr>
          <w:spacing w:val="-6"/>
          <w:shd w:val="clear" w:color="auto" w:fill="FFFFFF"/>
        </w:rPr>
        <w:t xml:space="preserve"> r. </w:t>
      </w:r>
      <w:r w:rsidR="00A55249" w:rsidRPr="00A55249">
        <w:rPr>
          <w:spacing w:val="-6"/>
          <w:shd w:val="clear" w:color="auto" w:fill="FFFFFF"/>
        </w:rPr>
        <w:t>spadły w</w:t>
      </w:r>
      <w:r w:rsidR="000E6798">
        <w:rPr>
          <w:spacing w:val="-6"/>
          <w:shd w:val="clear" w:color="auto" w:fill="FFFFFF"/>
        </w:rPr>
        <w:t> </w:t>
      </w:r>
      <w:r w:rsidR="00A55249" w:rsidRPr="00A55249">
        <w:rPr>
          <w:spacing w:val="-6"/>
          <w:shd w:val="clear" w:color="auto" w:fill="FFFFFF"/>
        </w:rPr>
        <w:t xml:space="preserve">porównaniu do </w:t>
      </w:r>
      <w:r w:rsidR="00AD50D1">
        <w:rPr>
          <w:spacing w:val="-6"/>
          <w:shd w:val="clear" w:color="auto" w:fill="FFFFFF"/>
        </w:rPr>
        <w:t>sierpnia</w:t>
      </w:r>
      <w:r w:rsidR="00A55249" w:rsidRPr="00A55249">
        <w:rPr>
          <w:spacing w:val="-6"/>
          <w:shd w:val="clear" w:color="auto" w:fill="FFFFFF"/>
        </w:rPr>
        <w:t xml:space="preserve"> 2024 r.</w:t>
      </w:r>
      <w:r w:rsidR="000429DE">
        <w:rPr>
          <w:spacing w:val="-6"/>
          <w:shd w:val="clear" w:color="auto" w:fill="FFFFFF"/>
        </w:rPr>
        <w:t xml:space="preserve"> </w:t>
      </w:r>
      <w:r w:rsidR="00D261D9" w:rsidRPr="00A55249">
        <w:rPr>
          <w:spacing w:val="-6"/>
          <w:shd w:val="clear" w:color="auto" w:fill="FFFFFF"/>
        </w:rPr>
        <w:t>– o 0,</w:t>
      </w:r>
      <w:r w:rsidR="00AD50D1">
        <w:rPr>
          <w:spacing w:val="-6"/>
          <w:shd w:val="clear" w:color="auto" w:fill="FFFFFF"/>
        </w:rPr>
        <w:t>5</w:t>
      </w:r>
      <w:r w:rsidR="00D261D9" w:rsidRPr="00A55249">
        <w:rPr>
          <w:spacing w:val="-6"/>
          <w:shd w:val="clear" w:color="auto" w:fill="FFFFFF"/>
        </w:rPr>
        <w:t>%</w:t>
      </w:r>
      <w:r w:rsidR="00D261D9">
        <w:rPr>
          <w:spacing w:val="-6"/>
          <w:shd w:val="clear" w:color="auto" w:fill="FFFFFF"/>
        </w:rPr>
        <w:t xml:space="preserve">. </w:t>
      </w:r>
      <w:r w:rsidR="000429DE">
        <w:rPr>
          <w:spacing w:val="-6"/>
          <w:shd w:val="clear" w:color="auto" w:fill="FFFFFF"/>
        </w:rPr>
        <w:t xml:space="preserve">Spadek </w:t>
      </w:r>
      <w:r w:rsidR="000429DE">
        <w:rPr>
          <w:bCs/>
          <w:spacing w:val="-6"/>
          <w:shd w:val="clear" w:color="auto" w:fill="FFFFFF"/>
        </w:rPr>
        <w:t>cen zanotowano w</w:t>
      </w:r>
      <w:r w:rsidR="00AD50D1">
        <w:rPr>
          <w:bCs/>
          <w:spacing w:val="-6"/>
          <w:shd w:val="clear" w:color="auto" w:fill="FFFFFF"/>
        </w:rPr>
        <w:t>e wszystkich sekcjach</w:t>
      </w:r>
      <w:r w:rsidR="00BA07C7">
        <w:rPr>
          <w:bCs/>
          <w:spacing w:val="-6"/>
          <w:shd w:val="clear" w:color="auto" w:fill="FFFFFF"/>
        </w:rPr>
        <w:t>.</w:t>
      </w:r>
      <w:r w:rsidR="00E7339C">
        <w:rPr>
          <w:bCs/>
          <w:spacing w:val="-6"/>
          <w:shd w:val="clear" w:color="auto" w:fill="FFFFFF"/>
        </w:rPr>
        <w:t xml:space="preserve"> Najbardziej obniżono ceny w sekcji</w:t>
      </w:r>
      <w:r w:rsidR="000429DE" w:rsidRPr="00EE4781">
        <w:rPr>
          <w:b/>
          <w:spacing w:val="-6"/>
          <w:shd w:val="clear" w:color="auto" w:fill="FFFFFF"/>
        </w:rPr>
        <w:t xml:space="preserve"> </w:t>
      </w:r>
      <w:r w:rsidR="000429DE" w:rsidRPr="001D3D02">
        <w:rPr>
          <w:b/>
          <w:spacing w:val="-6"/>
          <w:shd w:val="clear" w:color="auto" w:fill="FFFFFF"/>
        </w:rPr>
        <w:t>górnictw</w:t>
      </w:r>
      <w:r w:rsidR="000429DE">
        <w:rPr>
          <w:b/>
          <w:spacing w:val="-6"/>
          <w:shd w:val="clear" w:color="auto" w:fill="FFFFFF"/>
        </w:rPr>
        <w:t>o</w:t>
      </w:r>
      <w:r w:rsidR="000429DE" w:rsidRPr="001D3D02">
        <w:rPr>
          <w:b/>
          <w:spacing w:val="-6"/>
          <w:shd w:val="clear" w:color="auto" w:fill="FFFFFF"/>
        </w:rPr>
        <w:t xml:space="preserve"> i </w:t>
      </w:r>
      <w:r w:rsidR="000429DE" w:rsidRPr="006D26F7">
        <w:rPr>
          <w:b/>
          <w:spacing w:val="-6"/>
          <w:shd w:val="clear" w:color="auto" w:fill="FFFFFF"/>
        </w:rPr>
        <w:t>wydobywani</w:t>
      </w:r>
      <w:r w:rsidR="000429DE">
        <w:rPr>
          <w:b/>
          <w:spacing w:val="-6"/>
          <w:shd w:val="clear" w:color="auto" w:fill="FFFFFF"/>
        </w:rPr>
        <w:t>e</w:t>
      </w:r>
      <w:r w:rsidR="005E2754">
        <w:rPr>
          <w:spacing w:val="-6"/>
          <w:shd w:val="clear" w:color="auto" w:fill="FFFFFF"/>
        </w:rPr>
        <w:t xml:space="preserve"> </w:t>
      </w:r>
      <w:r w:rsidR="000429DE" w:rsidRPr="00EE4781">
        <w:rPr>
          <w:spacing w:val="-6"/>
          <w:shd w:val="clear" w:color="auto" w:fill="FFFFFF"/>
        </w:rPr>
        <w:t>–</w:t>
      </w:r>
      <w:r w:rsidR="000429DE" w:rsidRPr="00EE4781">
        <w:rPr>
          <w:spacing w:val="-6"/>
        </w:rPr>
        <w:t xml:space="preserve"> </w:t>
      </w:r>
      <w:r w:rsidR="000429DE" w:rsidRPr="00EE4781">
        <w:rPr>
          <w:bCs/>
          <w:spacing w:val="-6"/>
          <w:shd w:val="clear" w:color="auto" w:fill="FFFFFF"/>
        </w:rPr>
        <w:t xml:space="preserve">o </w:t>
      </w:r>
      <w:r w:rsidR="00A55249">
        <w:rPr>
          <w:bCs/>
          <w:spacing w:val="-6"/>
          <w:shd w:val="clear" w:color="auto" w:fill="FFFFFF"/>
        </w:rPr>
        <w:t>1,</w:t>
      </w:r>
      <w:r w:rsidR="00AD50D1">
        <w:rPr>
          <w:bCs/>
          <w:spacing w:val="-6"/>
          <w:shd w:val="clear" w:color="auto" w:fill="FFFFFF"/>
        </w:rPr>
        <w:t>0</w:t>
      </w:r>
      <w:r w:rsidR="000429DE" w:rsidRPr="00EE4781">
        <w:rPr>
          <w:bCs/>
          <w:spacing w:val="-6"/>
          <w:shd w:val="clear" w:color="auto" w:fill="FFFFFF"/>
        </w:rPr>
        <w:t xml:space="preserve">%, </w:t>
      </w:r>
      <w:r w:rsidR="000429DE">
        <w:rPr>
          <w:spacing w:val="-6"/>
          <w:shd w:val="clear" w:color="auto" w:fill="FFFFFF"/>
        </w:rPr>
        <w:t xml:space="preserve">w tym </w:t>
      </w:r>
      <w:r w:rsidR="00AD50D1">
        <w:rPr>
          <w:spacing w:val="-6"/>
          <w:shd w:val="clear" w:color="auto" w:fill="FFFFFF"/>
        </w:rPr>
        <w:t>w  wydobywaniu węgla kamiennego i</w:t>
      </w:r>
      <w:r w:rsidR="00AD50D1" w:rsidRPr="00665010">
        <w:rPr>
          <w:spacing w:val="-6"/>
          <w:shd w:val="clear" w:color="auto" w:fill="FFFFFF"/>
        </w:rPr>
        <w:t xml:space="preserve"> węgla brunatnego (lignitu)</w:t>
      </w:r>
      <w:r w:rsidR="00AD50D1">
        <w:rPr>
          <w:spacing w:val="-6"/>
          <w:shd w:val="clear" w:color="auto" w:fill="FFFFFF"/>
        </w:rPr>
        <w:t xml:space="preserve"> – o 3,6%, </w:t>
      </w:r>
      <w:r w:rsidR="000936C8">
        <w:rPr>
          <w:spacing w:val="-6"/>
          <w:shd w:val="clear" w:color="auto" w:fill="FFFFFF"/>
        </w:rPr>
        <w:t xml:space="preserve">przy wzroście </w:t>
      </w:r>
      <w:r w:rsidR="000429DE">
        <w:rPr>
          <w:spacing w:val="-6"/>
          <w:shd w:val="clear" w:color="auto" w:fill="FFFFFF"/>
        </w:rPr>
        <w:t>w górnictwie rud metali</w:t>
      </w:r>
      <w:r w:rsidR="00AD50D1">
        <w:rPr>
          <w:spacing w:val="-6"/>
          <w:shd w:val="clear" w:color="auto" w:fill="FFFFFF"/>
        </w:rPr>
        <w:t xml:space="preserve"> o</w:t>
      </w:r>
      <w:r w:rsidR="000E6798">
        <w:rPr>
          <w:spacing w:val="-6"/>
          <w:shd w:val="clear" w:color="auto" w:fill="FFFFFF"/>
        </w:rPr>
        <w:t> </w:t>
      </w:r>
      <w:r w:rsidR="00AD50D1">
        <w:rPr>
          <w:spacing w:val="-6"/>
          <w:shd w:val="clear" w:color="auto" w:fill="FFFFFF"/>
        </w:rPr>
        <w:t>0,9%</w:t>
      </w:r>
      <w:r w:rsidR="00656D25" w:rsidRPr="00656D25">
        <w:rPr>
          <w:spacing w:val="-6"/>
          <w:shd w:val="clear" w:color="auto" w:fill="FFFFFF"/>
        </w:rPr>
        <w:t>.</w:t>
      </w:r>
      <w:r w:rsidR="000429DE">
        <w:rPr>
          <w:spacing w:val="-6"/>
          <w:shd w:val="clear" w:color="auto" w:fill="FFFFFF"/>
        </w:rPr>
        <w:t xml:space="preserve"> </w:t>
      </w:r>
      <w:r w:rsidR="000936C8">
        <w:rPr>
          <w:spacing w:val="-6"/>
          <w:shd w:val="clear" w:color="auto" w:fill="FFFFFF"/>
        </w:rPr>
        <w:t>W</w:t>
      </w:r>
      <w:r w:rsidR="00E7339C">
        <w:rPr>
          <w:spacing w:val="-6"/>
          <w:shd w:val="clear" w:color="auto" w:fill="FFFFFF"/>
        </w:rPr>
        <w:t xml:space="preserve"> sekcj</w:t>
      </w:r>
      <w:r w:rsidR="000936C8">
        <w:rPr>
          <w:spacing w:val="-6"/>
          <w:shd w:val="clear" w:color="auto" w:fill="FFFFFF"/>
        </w:rPr>
        <w:t>i</w:t>
      </w:r>
      <w:r w:rsidR="00E7339C">
        <w:rPr>
          <w:spacing w:val="-6"/>
          <w:shd w:val="clear" w:color="auto" w:fill="FFFFFF"/>
        </w:rPr>
        <w:t xml:space="preserve"> </w:t>
      </w:r>
      <w:r w:rsidR="00E7339C" w:rsidRPr="00B84F73">
        <w:rPr>
          <w:b/>
          <w:bCs/>
          <w:spacing w:val="-6"/>
          <w:shd w:val="clear" w:color="auto" w:fill="FFFFFF"/>
        </w:rPr>
        <w:t>wytwarzani</w:t>
      </w:r>
      <w:r w:rsidR="00E7339C">
        <w:rPr>
          <w:b/>
          <w:bCs/>
          <w:spacing w:val="-6"/>
          <w:shd w:val="clear" w:color="auto" w:fill="FFFFFF"/>
        </w:rPr>
        <w:t>e</w:t>
      </w:r>
      <w:r w:rsidR="00E7339C" w:rsidRPr="00B84F73">
        <w:rPr>
          <w:b/>
          <w:bCs/>
          <w:spacing w:val="-6"/>
          <w:shd w:val="clear" w:color="auto" w:fill="FFFFFF"/>
        </w:rPr>
        <w:t xml:space="preserve"> i zaopatrywani</w:t>
      </w:r>
      <w:r w:rsidR="00E7339C">
        <w:rPr>
          <w:b/>
          <w:bCs/>
          <w:spacing w:val="-6"/>
          <w:shd w:val="clear" w:color="auto" w:fill="FFFFFF"/>
        </w:rPr>
        <w:t>e</w:t>
      </w:r>
      <w:r w:rsidR="00E7339C" w:rsidRPr="00B84F73">
        <w:rPr>
          <w:b/>
          <w:bCs/>
          <w:spacing w:val="-6"/>
          <w:shd w:val="clear" w:color="auto" w:fill="FFFFFF"/>
        </w:rPr>
        <w:t xml:space="preserve"> w energię elektryczną, gaz, parę wodną i</w:t>
      </w:r>
      <w:r w:rsidR="00E7339C">
        <w:rPr>
          <w:b/>
          <w:bCs/>
          <w:spacing w:val="-6"/>
          <w:shd w:val="clear" w:color="auto" w:fill="FFFFFF"/>
        </w:rPr>
        <w:t> </w:t>
      </w:r>
      <w:r w:rsidR="00E7339C" w:rsidRPr="00B84F73">
        <w:rPr>
          <w:b/>
          <w:bCs/>
          <w:spacing w:val="-6"/>
          <w:shd w:val="clear" w:color="auto" w:fill="FFFFFF"/>
        </w:rPr>
        <w:t>gorącą wodę</w:t>
      </w:r>
      <w:r w:rsidR="00E7339C">
        <w:rPr>
          <w:bCs/>
          <w:spacing w:val="-6"/>
          <w:shd w:val="clear" w:color="auto" w:fill="FFFFFF"/>
        </w:rPr>
        <w:t xml:space="preserve"> </w:t>
      </w:r>
      <w:r w:rsidR="000936C8">
        <w:rPr>
          <w:spacing w:val="-6"/>
        </w:rPr>
        <w:t xml:space="preserve">ceny spadły </w:t>
      </w:r>
      <w:r w:rsidR="00E7339C">
        <w:rPr>
          <w:spacing w:val="-6"/>
        </w:rPr>
        <w:t xml:space="preserve"> o 0,9%, </w:t>
      </w:r>
      <w:r w:rsidR="000936C8">
        <w:rPr>
          <w:spacing w:val="-6"/>
        </w:rPr>
        <w:t xml:space="preserve">w </w:t>
      </w:r>
      <w:r w:rsidR="00E7339C" w:rsidRPr="00BB0708">
        <w:rPr>
          <w:b/>
          <w:spacing w:val="-6"/>
          <w:shd w:val="clear" w:color="auto" w:fill="FFFFFF"/>
        </w:rPr>
        <w:t>przetwórstw</w:t>
      </w:r>
      <w:r w:rsidR="000936C8">
        <w:rPr>
          <w:b/>
          <w:spacing w:val="-6"/>
          <w:shd w:val="clear" w:color="auto" w:fill="FFFFFF"/>
        </w:rPr>
        <w:t>ie</w:t>
      </w:r>
      <w:r w:rsidR="00E7339C" w:rsidRPr="00BB0708">
        <w:rPr>
          <w:b/>
          <w:spacing w:val="-6"/>
          <w:shd w:val="clear" w:color="auto" w:fill="FFFFFF"/>
        </w:rPr>
        <w:t xml:space="preserve"> przemysłow</w:t>
      </w:r>
      <w:r w:rsidR="000936C8">
        <w:rPr>
          <w:b/>
          <w:spacing w:val="-6"/>
          <w:shd w:val="clear" w:color="auto" w:fill="FFFFFF"/>
        </w:rPr>
        <w:t>ym</w:t>
      </w:r>
      <w:r w:rsidR="00E7339C">
        <w:rPr>
          <w:spacing w:val="-6"/>
          <w:shd w:val="clear" w:color="auto" w:fill="FFFFFF"/>
        </w:rPr>
        <w:t xml:space="preserve"> </w:t>
      </w:r>
      <w:r w:rsidR="00E7339C" w:rsidRPr="00CB500E">
        <w:rPr>
          <w:spacing w:val="-6"/>
        </w:rPr>
        <w:t>–</w:t>
      </w:r>
      <w:r w:rsidR="00E7339C">
        <w:rPr>
          <w:spacing w:val="-6"/>
        </w:rPr>
        <w:t xml:space="preserve"> o 0,4%,  a w </w:t>
      </w:r>
      <w:r w:rsidR="00E7339C" w:rsidRPr="00C16683">
        <w:rPr>
          <w:b/>
          <w:spacing w:val="-6"/>
        </w:rPr>
        <w:t>dostaw</w:t>
      </w:r>
      <w:r w:rsidR="00E7339C">
        <w:rPr>
          <w:b/>
          <w:spacing w:val="-6"/>
        </w:rPr>
        <w:t>ie</w:t>
      </w:r>
      <w:r w:rsidR="00E7339C" w:rsidRPr="00C16683">
        <w:rPr>
          <w:b/>
          <w:spacing w:val="-6"/>
        </w:rPr>
        <w:t xml:space="preserve"> wody; gospodarowani</w:t>
      </w:r>
      <w:r w:rsidR="00E7339C">
        <w:rPr>
          <w:b/>
          <w:spacing w:val="-6"/>
        </w:rPr>
        <w:t>u</w:t>
      </w:r>
      <w:r w:rsidR="00E7339C" w:rsidRPr="00C16683">
        <w:rPr>
          <w:b/>
          <w:spacing w:val="-6"/>
        </w:rPr>
        <w:t xml:space="preserve"> ściekami i odpadami; rekultywacj</w:t>
      </w:r>
      <w:r w:rsidR="00E7339C">
        <w:rPr>
          <w:b/>
          <w:spacing w:val="-6"/>
        </w:rPr>
        <w:t>i</w:t>
      </w:r>
      <w:r w:rsidR="00E7339C">
        <w:rPr>
          <w:spacing w:val="-6"/>
        </w:rPr>
        <w:t xml:space="preserve"> </w:t>
      </w:r>
      <w:r w:rsidR="00E7339C" w:rsidRPr="00E7339C">
        <w:rPr>
          <w:spacing w:val="-6"/>
        </w:rPr>
        <w:t>– o 0,</w:t>
      </w:r>
      <w:r w:rsidR="00E7339C">
        <w:rPr>
          <w:spacing w:val="-6"/>
        </w:rPr>
        <w:t>1</w:t>
      </w:r>
      <w:r w:rsidR="00E7339C" w:rsidRPr="00E7339C">
        <w:rPr>
          <w:spacing w:val="-6"/>
        </w:rPr>
        <w:t>%</w:t>
      </w:r>
      <w:r w:rsidR="00E7339C">
        <w:rPr>
          <w:spacing w:val="-6"/>
        </w:rPr>
        <w:t>.</w:t>
      </w:r>
    </w:p>
    <w:p w14:paraId="748D90D8" w14:textId="3A4051AD" w:rsidR="00EE4781" w:rsidRDefault="00EE4781" w:rsidP="00EE4781">
      <w:pPr>
        <w:spacing w:after="0"/>
        <w:rPr>
          <w:spacing w:val="-6"/>
        </w:rPr>
      </w:pPr>
    </w:p>
    <w:p w14:paraId="0CB81036" w14:textId="2653FE25" w:rsidR="00FB1CDE" w:rsidRPr="00CF0A53" w:rsidRDefault="00464878" w:rsidP="00C25CC3">
      <w:pPr>
        <w:pStyle w:val="Tytuwykresu0"/>
        <w:ind w:left="851" w:hanging="851"/>
        <w:rPr>
          <w:rFonts w:ascii="Fira Sans" w:hAnsi="Fira Sans"/>
        </w:rPr>
      </w:pPr>
      <w:bookmarkStart w:id="1" w:name="_Hlk156312737"/>
      <w:r w:rsidRPr="00464878">
        <w:rPr>
          <w:spacing w:val="-6"/>
          <w:sz w:val="12"/>
          <w:szCs w:val="12"/>
          <w:shd w:val="clear" w:color="auto" w:fill="FFFFFF"/>
        </w:rPr>
        <w:drawing>
          <wp:anchor distT="0" distB="0" distL="114300" distR="114300" simplePos="0" relativeHeight="251843584" behindDoc="0" locked="0" layoutInCell="1" allowOverlap="1" wp14:anchorId="48E6C635" wp14:editId="09F35D8C">
            <wp:simplePos x="0" y="0"/>
            <wp:positionH relativeFrom="column">
              <wp:posOffset>41044</wp:posOffset>
            </wp:positionH>
            <wp:positionV relativeFrom="paragraph">
              <wp:posOffset>713509</wp:posOffset>
            </wp:positionV>
            <wp:extent cx="5122545" cy="2988310"/>
            <wp:effectExtent l="0" t="0" r="1905" b="2540"/>
            <wp:wrapTopAndBottom/>
            <wp:docPr id="3" name="Wykres 3" descr="Wykres 1. Zmiany cen w sekcji przetwórstwo przemysłowe według działów we wrześniu 2024 r. w porównaniu z poprzednim miesiąc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E564B6" w:rsidRPr="00966C9A">
        <mc:AlternateContent>
          <mc:Choice Requires="wps">
            <w:drawing>
              <wp:anchor distT="45720" distB="45720" distL="114300" distR="114300" simplePos="0" relativeHeight="251759616" behindDoc="1" locked="0" layoutInCell="1" allowOverlap="1" wp14:anchorId="18265EB0" wp14:editId="07C00795">
                <wp:simplePos x="0" y="0"/>
                <wp:positionH relativeFrom="column">
                  <wp:posOffset>5257800</wp:posOffset>
                </wp:positionH>
                <wp:positionV relativeFrom="paragraph">
                  <wp:posOffset>1162050</wp:posOffset>
                </wp:positionV>
                <wp:extent cx="1801495" cy="1615440"/>
                <wp:effectExtent l="0" t="0" r="0" b="3810"/>
                <wp:wrapTight wrapText="bothSides">
                  <wp:wrapPolygon edited="0">
                    <wp:start x="685" y="0"/>
                    <wp:lineTo x="685" y="21396"/>
                    <wp:lineTo x="20785" y="21396"/>
                    <wp:lineTo x="20785" y="0"/>
                    <wp:lineTo x="685" y="0"/>
                  </wp:wrapPolygon>
                </wp:wrapTight>
                <wp:docPr id="4" name="Pole tekstowe 4" descr="Spośród działów przetwórstwa przemysłowego we wrześniu 2024 r. w stosunku do miesiąca poprzedniego najbardziej obniżono ceny produkcji koksu i produktów rafinacji ropy naftow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15440"/>
                        </a:xfrm>
                        <a:prstGeom prst="rect">
                          <a:avLst/>
                        </a:prstGeom>
                        <a:noFill/>
                        <a:ln w="9525">
                          <a:noFill/>
                          <a:miter lim="800000"/>
                          <a:headEnd/>
                          <a:tailEnd/>
                        </a:ln>
                      </wps:spPr>
                      <wps:txbx>
                        <w:txbxContent>
                          <w:p w14:paraId="6A498C78" w14:textId="2379B677" w:rsidR="00883E43" w:rsidRDefault="00883E43" w:rsidP="00883E43">
                            <w:pPr>
                              <w:pStyle w:val="tekstzboku"/>
                              <w:rPr>
                                <w:iCs/>
                              </w:rPr>
                            </w:pPr>
                            <w:r w:rsidRPr="005546DA">
                              <w:rPr>
                                <w:iCs/>
                              </w:rPr>
                              <w:t xml:space="preserve">Spośród działów przetwórstwa przemysłowego </w:t>
                            </w:r>
                            <w:r w:rsidR="00E7339C">
                              <w:rPr>
                                <w:iCs/>
                              </w:rPr>
                              <w:t>we wrześniu</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3F52A6">
                              <w:rPr>
                                <w:iCs/>
                              </w:rPr>
                              <w:t>obniżono</w:t>
                            </w:r>
                            <w:r w:rsidR="00950E4C">
                              <w:rPr>
                                <w:iCs/>
                              </w:rPr>
                              <w:t xml:space="preserve"> ceny </w:t>
                            </w:r>
                            <w:r w:rsidR="003F52A6">
                              <w:rPr>
                                <w:iCs/>
                              </w:rPr>
                              <w:t>produkcji koksu i produktów rafinacji ropy naftowej</w:t>
                            </w:r>
                          </w:p>
                          <w:p w14:paraId="3D2AA17C" w14:textId="5EF4AE6F" w:rsidR="00E564B6" w:rsidRPr="005546DA" w:rsidRDefault="00E564B6" w:rsidP="00E564B6">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265EB0" id="_x0000_t202" coordsize="21600,21600" o:spt="202" path="m,l,21600r21600,l21600,xe">
                <v:stroke joinstyle="miter"/>
                <v:path gradientshapeok="t" o:connecttype="rect"/>
              </v:shapetype>
              <v:shape id="Pole tekstowe 4" o:spid="_x0000_s1027" type="#_x0000_t202" alt="Spośród działów przetwórstwa przemysłowego we wrześniu 2024 r. w stosunku do miesiąca poprzedniego najbardziej obniżono ceny produkcji koksu i produktów rafinacji ropy naftowej" style="position:absolute;left:0;text-align:left;margin-left:414pt;margin-top:91.5pt;width:141.85pt;height:127.2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" filled="f" stroked="f">
                <v:textbox>
                  <w:txbxContent>
                    <w:p w14:paraId="6A498C78" w14:textId="2379B677" w:rsidR="00883E43" w:rsidRDefault="00883E43" w:rsidP="00883E43">
                      <w:pPr>
                        <w:pStyle w:val="tekstzboku"/>
                        <w:rPr>
                          <w:iCs/>
                        </w:rPr>
                      </w:pPr>
                      <w:r w:rsidRPr="005546DA">
                        <w:rPr>
                          <w:iCs/>
                        </w:rPr>
                        <w:t xml:space="preserve">Spośród działów przetwórstwa przemysłowego </w:t>
                      </w:r>
                      <w:r w:rsidR="00E7339C">
                        <w:rPr>
                          <w:iCs/>
                        </w:rPr>
                        <w:t>we wrześniu</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3F52A6">
                        <w:rPr>
                          <w:iCs/>
                        </w:rPr>
                        <w:t>obniżono</w:t>
                      </w:r>
                      <w:r w:rsidR="00950E4C">
                        <w:rPr>
                          <w:iCs/>
                        </w:rPr>
                        <w:t xml:space="preserve"> ceny </w:t>
                      </w:r>
                      <w:r w:rsidR="003F52A6">
                        <w:rPr>
                          <w:iCs/>
                        </w:rPr>
                        <w:t>produkcji koksu i produktów rafinacji ropy naftowej</w:t>
                      </w:r>
                    </w:p>
                    <w:p w14:paraId="3D2AA17C" w14:textId="5EF4AE6F" w:rsidR="00E564B6" w:rsidRPr="005546DA" w:rsidRDefault="00E564B6" w:rsidP="00E564B6">
                      <w:pPr>
                        <w:pStyle w:val="tekstzboku"/>
                        <w:rPr>
                          <w:iCs/>
                        </w:rPr>
                      </w:pPr>
                    </w:p>
                  </w:txbxContent>
                </v:textbox>
                <w10:wrap type="tight"/>
              </v:shape>
            </w:pict>
          </mc:Fallback>
        </mc:AlternateContent>
      </w:r>
      <w:r w:rsidR="004E0DA6">
        <w:rPr>
          <w:rFonts w:ascii="Fira Sans" w:hAnsi="Fira Sans"/>
        </w:rPr>
        <w:t>Wykres</w:t>
      </w:r>
      <w:r w:rsidR="00D86077">
        <w:rPr>
          <w:rFonts w:ascii="Fira Sans" w:hAnsi="Fira Sans"/>
        </w:rPr>
        <w:t xml:space="preserve"> </w:t>
      </w:r>
      <w:r w:rsidR="004E0DA6">
        <w:rPr>
          <w:rFonts w:ascii="Fira Sans" w:hAnsi="Fira Sans"/>
        </w:rPr>
        <w:t>1</w:t>
      </w:r>
      <w:r w:rsidR="00D86077">
        <w:rPr>
          <w:rFonts w:ascii="Fira Sans" w:hAnsi="Fira Sans"/>
        </w:rPr>
        <w:t>.</w:t>
      </w:r>
      <w:r w:rsidR="004E0DA6">
        <w:rPr>
          <w:rFonts w:ascii="Fira Sans" w:hAnsi="Fira Sans"/>
        </w:rPr>
        <w:t xml:space="preserve"> </w:t>
      </w:r>
      <w:r w:rsidR="00CF0A53" w:rsidRPr="00CF0A53">
        <w:rPr>
          <w:rFonts w:ascii="Fira Sans" w:hAnsi="Fira Sans"/>
        </w:rPr>
        <w:t xml:space="preserve">Zmiany cen w </w:t>
      </w:r>
      <w:r w:rsidR="00D8306C">
        <w:rPr>
          <w:rFonts w:ascii="Fira Sans" w:hAnsi="Fira Sans"/>
        </w:rPr>
        <w:t>sekcji przetwórstwo</w:t>
      </w:r>
      <w:r w:rsidR="00CF0A53" w:rsidRPr="00CF0A53">
        <w:rPr>
          <w:rFonts w:ascii="Fira Sans" w:hAnsi="Fira Sans"/>
        </w:rPr>
        <w:t xml:space="preserve"> przemysłowe według działów </w:t>
      </w:r>
      <w:r w:rsidR="00DD50F0">
        <w:rPr>
          <w:rFonts w:ascii="Fira Sans" w:hAnsi="Fira Sans"/>
        </w:rPr>
        <w:t>w</w:t>
      </w:r>
      <w:r w:rsidR="00E7339C">
        <w:rPr>
          <w:rFonts w:ascii="Fira Sans" w:hAnsi="Fira Sans"/>
        </w:rPr>
        <w:t xml:space="preserve">e wrześniu </w:t>
      </w:r>
      <w:r w:rsidR="00027704">
        <w:rPr>
          <w:rFonts w:ascii="Fira Sans" w:hAnsi="Fira Sans"/>
        </w:rPr>
        <w:t>2024</w:t>
      </w:r>
      <w:r w:rsidR="006A3BF8">
        <w:rPr>
          <w:rFonts w:ascii="Fira Sans" w:hAnsi="Fira Sans"/>
        </w:rPr>
        <w:t> </w:t>
      </w:r>
      <w:r w:rsidR="00CF0A53" w:rsidRPr="00CF0A53">
        <w:rPr>
          <w:rFonts w:ascii="Fira Sans" w:hAnsi="Fira Sans"/>
        </w:rPr>
        <w:t xml:space="preserve">r. </w:t>
      </w:r>
      <w:r w:rsidR="00CF0A53" w:rsidRPr="00CF0A53">
        <w:rPr>
          <w:rFonts w:ascii="Fira Sans" w:hAnsi="Fira Sans"/>
          <w:szCs w:val="19"/>
        </w:rPr>
        <w:t>w</w:t>
      </w:r>
      <w:r w:rsidR="002C5774">
        <w:rPr>
          <w:rFonts w:ascii="Fira Sans" w:hAnsi="Fira Sans"/>
          <w:szCs w:val="19"/>
        </w:rPr>
        <w:t> </w:t>
      </w:r>
      <w:r w:rsidR="00CF0A53" w:rsidRPr="00CF0A53">
        <w:rPr>
          <w:rFonts w:ascii="Fira Sans" w:hAnsi="Fira Sans"/>
          <w:szCs w:val="19"/>
        </w:rPr>
        <w:t>porównaniu z</w:t>
      </w:r>
      <w:r w:rsidR="004E0DA6">
        <w:rPr>
          <w:rFonts w:ascii="Fira Sans" w:hAnsi="Fira Sans"/>
          <w:szCs w:val="19"/>
        </w:rPr>
        <w:t> </w:t>
      </w:r>
      <w:r w:rsidR="00027704">
        <w:rPr>
          <w:rFonts w:ascii="Fira Sans" w:hAnsi="Fira Sans"/>
          <w:szCs w:val="19"/>
        </w:rPr>
        <w:t>poprzednim miesiącem</w:t>
      </w:r>
    </w:p>
    <w:bookmarkEnd w:id="1"/>
    <w:p w14:paraId="0C52976D" w14:textId="54DAB105" w:rsidR="00445B7B" w:rsidRDefault="00445B7B" w:rsidP="00C25CC3">
      <w:pPr>
        <w:ind w:left="851"/>
        <w:rPr>
          <w:spacing w:val="-6"/>
        </w:rPr>
      </w:pPr>
    </w:p>
    <w:p w14:paraId="129EC614" w14:textId="26E872B2" w:rsidR="00CF1BC6" w:rsidRDefault="00CF1BC6" w:rsidP="00883E43">
      <w:pPr>
        <w:rPr>
          <w:spacing w:val="-6"/>
        </w:rPr>
      </w:pPr>
    </w:p>
    <w:p w14:paraId="56625C36" w14:textId="752C7415" w:rsidR="00BD3185" w:rsidRDefault="00BD3185" w:rsidP="00BD3185">
      <w:pPr>
        <w:rPr>
          <w:spacing w:val="-6"/>
        </w:rPr>
      </w:pPr>
    </w:p>
    <w:p w14:paraId="16785BF6" w14:textId="4C72D34C" w:rsidR="0066387C" w:rsidRDefault="0066387C" w:rsidP="00883E43">
      <w:pPr>
        <w:rPr>
          <w:bCs/>
          <w:spacing w:val="-6"/>
          <w:shd w:val="clear" w:color="auto" w:fill="FFFFFF"/>
        </w:rPr>
      </w:pPr>
    </w:p>
    <w:p w14:paraId="226CA5C4" w14:textId="737B762B" w:rsidR="0066387C" w:rsidRDefault="0066387C" w:rsidP="00883E43">
      <w:pPr>
        <w:rPr>
          <w:bCs/>
          <w:spacing w:val="-6"/>
          <w:shd w:val="clear" w:color="auto" w:fill="FFFFFF"/>
        </w:rPr>
      </w:pPr>
    </w:p>
    <w:p w14:paraId="3D2008ED" w14:textId="77777777" w:rsidR="00611E2F" w:rsidRDefault="00611E2F">
      <w:pPr>
        <w:spacing w:before="0" w:after="160" w:line="259" w:lineRule="auto"/>
        <w:rPr>
          <w:bCs/>
          <w:spacing w:val="-6"/>
          <w:shd w:val="clear" w:color="auto" w:fill="FFFFFF"/>
        </w:rPr>
      </w:pPr>
      <w:r>
        <w:rPr>
          <w:bCs/>
          <w:spacing w:val="-6"/>
          <w:shd w:val="clear" w:color="auto" w:fill="FFFFFF"/>
        </w:rPr>
        <w:br w:type="page"/>
      </w:r>
    </w:p>
    <w:p w14:paraId="110332D5" w14:textId="2177675D" w:rsidR="00883E43" w:rsidRPr="00811F7F" w:rsidRDefault="00883E43" w:rsidP="00883E43">
      <w:r w:rsidRPr="00F7077B">
        <w:rPr>
          <w:rFonts w:eastAsia="Times New Roman" w:cs="Times New Roman"/>
          <w:b/>
          <w:bCs/>
          <w:color w:val="001D77"/>
          <w:szCs w:val="19"/>
          <w:lang w:eastAsia="pl-PL"/>
        </w:rPr>
        <w:lastRenderedPageBreak/>
        <w:t xml:space="preserve">Zmiany cen produkcji sprzedanej przemysłu </w:t>
      </w:r>
      <w:r w:rsidR="00E7339C">
        <w:rPr>
          <w:rFonts w:eastAsia="Times New Roman" w:cs="Times New Roman"/>
          <w:b/>
          <w:bCs/>
          <w:color w:val="001D77"/>
          <w:szCs w:val="19"/>
          <w:lang w:eastAsia="pl-PL"/>
        </w:rPr>
        <w:t>we wrześniu</w:t>
      </w:r>
      <w:r w:rsidR="003B7760">
        <w:rPr>
          <w:rFonts w:eastAsia="Times New Roman" w:cs="Times New Roman"/>
          <w:b/>
          <w:bCs/>
          <w:color w:val="001D77"/>
          <w:szCs w:val="19"/>
          <w:lang w:eastAsia="pl-PL"/>
        </w:rPr>
        <w:t xml:space="preserve"> </w:t>
      </w:r>
      <w:r w:rsidRPr="00F7077B">
        <w:rPr>
          <w:rFonts w:eastAsia="Times New Roman" w:cs="Times New Roman"/>
          <w:b/>
          <w:bCs/>
          <w:color w:val="001D77"/>
          <w:szCs w:val="19"/>
          <w:lang w:eastAsia="pl-PL"/>
        </w:rPr>
        <w:t>202</w:t>
      </w:r>
      <w:r w:rsidR="00C555F9">
        <w:rPr>
          <w:rFonts w:eastAsia="Times New Roman" w:cs="Times New Roman"/>
          <w:b/>
          <w:bCs/>
          <w:color w:val="001D77"/>
          <w:szCs w:val="19"/>
          <w:lang w:eastAsia="pl-PL"/>
        </w:rPr>
        <w:t>4</w:t>
      </w:r>
      <w:r w:rsidRPr="00F7077B">
        <w:rPr>
          <w:rFonts w:eastAsia="Times New Roman" w:cs="Times New Roman"/>
          <w:b/>
          <w:bCs/>
          <w:color w:val="001D77"/>
          <w:szCs w:val="19"/>
          <w:lang w:eastAsia="pl-PL"/>
        </w:rPr>
        <w:t xml:space="preserve"> r. w porównaniu </w:t>
      </w:r>
      <w:r w:rsidR="003B7760">
        <w:rPr>
          <w:rFonts w:eastAsia="Times New Roman" w:cs="Times New Roman"/>
          <w:b/>
          <w:bCs/>
          <w:color w:val="001D77"/>
          <w:szCs w:val="19"/>
          <w:lang w:eastAsia="pl-PL"/>
        </w:rPr>
        <w:t>z</w:t>
      </w:r>
      <w:r w:rsidR="00E9584E">
        <w:rPr>
          <w:rFonts w:eastAsia="Times New Roman" w:cs="Times New Roman"/>
          <w:b/>
          <w:bCs/>
          <w:color w:val="001D77"/>
          <w:szCs w:val="19"/>
          <w:lang w:eastAsia="pl-PL"/>
        </w:rPr>
        <w:t> </w:t>
      </w:r>
      <w:r w:rsidR="00E7339C">
        <w:rPr>
          <w:rFonts w:eastAsia="Times New Roman" w:cs="Times New Roman"/>
          <w:b/>
          <w:bCs/>
          <w:color w:val="001D77"/>
          <w:szCs w:val="19"/>
          <w:lang w:eastAsia="pl-PL"/>
        </w:rPr>
        <w:t>wrześniem</w:t>
      </w:r>
      <w:r w:rsidR="00453B07">
        <w:rPr>
          <w:rFonts w:eastAsia="Times New Roman" w:cs="Times New Roman"/>
          <w:b/>
          <w:bCs/>
          <w:color w:val="001D77"/>
          <w:szCs w:val="19"/>
          <w:lang w:eastAsia="pl-PL"/>
        </w:rPr>
        <w:t> </w:t>
      </w:r>
      <w:r w:rsidRPr="00F7077B">
        <w:rPr>
          <w:rFonts w:eastAsia="Times New Roman" w:cs="Times New Roman"/>
          <w:b/>
          <w:bCs/>
          <w:color w:val="001D77"/>
          <w:szCs w:val="19"/>
          <w:lang w:eastAsia="pl-PL"/>
        </w:rPr>
        <w:t>202</w:t>
      </w:r>
      <w:r w:rsidR="001B1018">
        <w:rPr>
          <w:rFonts w:eastAsia="Times New Roman" w:cs="Times New Roman"/>
          <w:b/>
          <w:bCs/>
          <w:color w:val="001D77"/>
          <w:szCs w:val="19"/>
          <w:lang w:eastAsia="pl-PL"/>
        </w:rPr>
        <w:t>3</w:t>
      </w:r>
      <w:r w:rsidRPr="00F7077B">
        <w:rPr>
          <w:rFonts w:eastAsia="Times New Roman" w:cs="Times New Roman"/>
          <w:b/>
          <w:bCs/>
          <w:color w:val="001D77"/>
          <w:szCs w:val="19"/>
          <w:lang w:eastAsia="pl-PL"/>
        </w:rPr>
        <w:t xml:space="preserve"> r</w:t>
      </w:r>
      <w:r w:rsidRPr="00776FC9">
        <w:t>.</w:t>
      </w:r>
      <w:r w:rsidRPr="00811F7F">
        <w:t xml:space="preserve"> </w:t>
      </w:r>
    </w:p>
    <w:p w14:paraId="42C1DAD6" w14:textId="1479F1E0" w:rsidR="0066387C" w:rsidRDefault="0066387C" w:rsidP="00FB1CDE">
      <w:pPr>
        <w:spacing w:after="0"/>
        <w:ind w:left="68"/>
        <w:rPr>
          <w:shd w:val="clear" w:color="auto" w:fill="FFFFFF"/>
        </w:rPr>
      </w:pPr>
    </w:p>
    <w:p w14:paraId="21F52C32" w14:textId="418B3842" w:rsidR="00EE1130" w:rsidRDefault="00E7339C" w:rsidP="00FB1CDE">
      <w:pPr>
        <w:spacing w:after="0"/>
        <w:ind w:left="68"/>
        <w:rPr>
          <w:shd w:val="clear" w:color="auto" w:fill="FFFFFF"/>
        </w:rPr>
      </w:pPr>
      <w:r>
        <w:rPr>
          <w:shd w:val="clear" w:color="auto" w:fill="FFFFFF"/>
        </w:rPr>
        <w:t>We wrześniu</w:t>
      </w:r>
      <w:r w:rsidR="00883E43">
        <w:rPr>
          <w:shd w:val="clear" w:color="auto" w:fill="FFFFFF"/>
        </w:rPr>
        <w:t xml:space="preserve"> </w:t>
      </w:r>
      <w:r w:rsidR="00883E43" w:rsidRPr="007969A7">
        <w:rPr>
          <w:shd w:val="clear" w:color="auto" w:fill="FFFFFF"/>
        </w:rPr>
        <w:t>202</w:t>
      </w:r>
      <w:r w:rsidR="00C555F9">
        <w:rPr>
          <w:shd w:val="clear" w:color="auto" w:fill="FFFFFF"/>
        </w:rPr>
        <w:t>4</w:t>
      </w:r>
      <w:r w:rsidR="00883E43" w:rsidRPr="007969A7">
        <w:rPr>
          <w:shd w:val="clear" w:color="auto" w:fill="FFFFFF"/>
        </w:rPr>
        <w:t xml:space="preserve"> r.</w:t>
      </w:r>
      <w:r w:rsidR="00883E43" w:rsidRPr="000377B7">
        <w:rPr>
          <w:shd w:val="clear" w:color="auto" w:fill="FFFFFF"/>
        </w:rPr>
        <w:t xml:space="preserve"> </w:t>
      </w:r>
      <w:r w:rsidR="00883E43" w:rsidRPr="002A116F">
        <w:rPr>
          <w:b/>
          <w:shd w:val="clear" w:color="auto" w:fill="FFFFFF"/>
        </w:rPr>
        <w:t>ceny</w:t>
      </w:r>
      <w:r w:rsidR="00883E43" w:rsidRPr="00B4064D">
        <w:rPr>
          <w:b/>
          <w:shd w:val="clear" w:color="auto" w:fill="FFFFFF"/>
        </w:rPr>
        <w:t xml:space="preserve"> produkcji sprzedanej przemysłu</w:t>
      </w:r>
      <w:r w:rsidR="00883E43">
        <w:rPr>
          <w:shd w:val="clear" w:color="auto" w:fill="FFFFFF"/>
        </w:rPr>
        <w:t xml:space="preserve"> </w:t>
      </w:r>
      <w:r w:rsidR="00883E43" w:rsidRPr="00645D98">
        <w:rPr>
          <w:shd w:val="clear" w:color="auto" w:fill="FFFFFF"/>
        </w:rPr>
        <w:t>w</w:t>
      </w:r>
      <w:r w:rsidR="00883E43" w:rsidRPr="00B70A76">
        <w:rPr>
          <w:shd w:val="clear" w:color="auto" w:fill="FFFFFF"/>
        </w:rPr>
        <w:t xml:space="preserve"> </w:t>
      </w:r>
      <w:r w:rsidR="00883E43">
        <w:rPr>
          <w:shd w:val="clear" w:color="auto" w:fill="FFFFFF"/>
        </w:rPr>
        <w:t xml:space="preserve">porównaniu </w:t>
      </w:r>
      <w:r w:rsidR="00883E43" w:rsidRPr="00EB239B">
        <w:rPr>
          <w:shd w:val="clear" w:color="auto" w:fill="FFFFFF"/>
        </w:rPr>
        <w:t xml:space="preserve">z </w:t>
      </w:r>
      <w:r w:rsidR="00883E43">
        <w:rPr>
          <w:shd w:val="clear" w:color="auto" w:fill="FFFFFF"/>
        </w:rPr>
        <w:t>analogicznym miesiącem poprzedniego roku obniżono</w:t>
      </w:r>
      <w:r w:rsidR="00883E43" w:rsidRPr="00F411EC">
        <w:rPr>
          <w:shd w:val="clear" w:color="auto" w:fill="FFFFFF"/>
        </w:rPr>
        <w:t xml:space="preserve"> </w:t>
      </w:r>
      <w:r w:rsidR="00883E43" w:rsidRPr="00295375">
        <w:rPr>
          <w:shd w:val="clear" w:color="auto" w:fill="FFFFFF"/>
        </w:rPr>
        <w:t xml:space="preserve">o </w:t>
      </w:r>
      <w:r>
        <w:rPr>
          <w:shd w:val="clear" w:color="auto" w:fill="FFFFFF"/>
        </w:rPr>
        <w:t>6,3</w:t>
      </w:r>
      <w:r w:rsidR="00883E43" w:rsidRPr="00295375">
        <w:rPr>
          <w:shd w:val="clear" w:color="auto" w:fill="FFFFFF"/>
        </w:rPr>
        <w:t>%.</w:t>
      </w:r>
      <w:r w:rsidR="00883E43" w:rsidRPr="0066182F">
        <w:rPr>
          <w:shd w:val="clear" w:color="auto" w:fill="FFFFFF"/>
        </w:rPr>
        <w:t xml:space="preserve"> </w:t>
      </w:r>
      <w:r w:rsidR="00C555F9">
        <w:rPr>
          <w:shd w:val="clear" w:color="auto" w:fill="FFFFFF"/>
        </w:rPr>
        <w:t>Największy s</w:t>
      </w:r>
      <w:r w:rsidR="00883E43">
        <w:rPr>
          <w:shd w:val="clear" w:color="auto" w:fill="FFFFFF"/>
        </w:rPr>
        <w:t>padek cen odnotowano w</w:t>
      </w:r>
      <w:r w:rsidR="00665010">
        <w:rPr>
          <w:shd w:val="clear" w:color="auto" w:fill="FFFFFF"/>
        </w:rPr>
        <w:t> </w:t>
      </w:r>
      <w:r w:rsidR="00883E43">
        <w:rPr>
          <w:shd w:val="clear" w:color="auto" w:fill="FFFFFF"/>
        </w:rPr>
        <w:t xml:space="preserve">sekcji </w:t>
      </w:r>
      <w:r w:rsidR="00AD2909" w:rsidRPr="00C555F9">
        <w:rPr>
          <w:b/>
          <w:shd w:val="clear" w:color="auto" w:fill="FFFFFF"/>
        </w:rPr>
        <w:t>wytwarzanie i zaopatrywanie w energię elektryczną, gaz, parę wodną i gorącą wodę</w:t>
      </w:r>
      <w:r w:rsidR="00AD2909" w:rsidRPr="00C555F9">
        <w:rPr>
          <w:shd w:val="clear" w:color="auto" w:fill="FFFFFF"/>
        </w:rPr>
        <w:t xml:space="preserve"> </w:t>
      </w:r>
      <w:r w:rsidR="00AD2909">
        <w:rPr>
          <w:shd w:val="clear" w:color="auto" w:fill="FFFFFF"/>
        </w:rPr>
        <w:t xml:space="preserve">– o </w:t>
      </w:r>
      <w:r>
        <w:rPr>
          <w:shd w:val="clear" w:color="auto" w:fill="FFFFFF"/>
        </w:rPr>
        <w:t>11,9</w:t>
      </w:r>
      <w:r w:rsidR="00AD2909">
        <w:rPr>
          <w:shd w:val="clear" w:color="auto" w:fill="FFFFFF"/>
        </w:rPr>
        <w:t xml:space="preserve">%. Obniżono również ceny w sekcji </w:t>
      </w:r>
      <w:r w:rsidR="00C555F9" w:rsidRPr="00B84F73">
        <w:rPr>
          <w:b/>
          <w:shd w:val="clear" w:color="auto" w:fill="FFFFFF"/>
        </w:rPr>
        <w:t xml:space="preserve">górnictwo i wydobywanie </w:t>
      </w:r>
      <w:r w:rsidR="00C555F9">
        <w:rPr>
          <w:shd w:val="clear" w:color="auto" w:fill="FFFFFF"/>
        </w:rPr>
        <w:t xml:space="preserve">– </w:t>
      </w:r>
      <w:r w:rsidR="00C555F9" w:rsidRPr="00B84F73">
        <w:rPr>
          <w:shd w:val="clear" w:color="auto" w:fill="FFFFFF"/>
        </w:rPr>
        <w:t xml:space="preserve">o </w:t>
      </w:r>
      <w:r>
        <w:rPr>
          <w:shd w:val="clear" w:color="auto" w:fill="FFFFFF"/>
        </w:rPr>
        <w:t>8,9</w:t>
      </w:r>
      <w:r w:rsidR="00C555F9" w:rsidRPr="00B84F73">
        <w:rPr>
          <w:shd w:val="clear" w:color="auto" w:fill="FFFFFF"/>
        </w:rPr>
        <w:t>%</w:t>
      </w:r>
      <w:r w:rsidR="00C555F9">
        <w:rPr>
          <w:shd w:val="clear" w:color="auto" w:fill="FFFFFF"/>
        </w:rPr>
        <w:t>, w tym w </w:t>
      </w:r>
      <w:r w:rsidR="00C555F9" w:rsidRPr="00B43AD5">
        <w:rPr>
          <w:shd w:val="clear" w:color="auto" w:fill="FFFFFF"/>
        </w:rPr>
        <w:t xml:space="preserve">wydobywaniu węgla kamiennego i węgla brunatnego (lignitu) </w:t>
      </w:r>
      <w:r w:rsidR="00665010">
        <w:rPr>
          <w:shd w:val="clear" w:color="auto" w:fill="FFFFFF"/>
        </w:rPr>
        <w:t>–</w:t>
      </w:r>
      <w:r w:rsidR="00C555F9">
        <w:rPr>
          <w:shd w:val="clear" w:color="auto" w:fill="FFFFFF"/>
        </w:rPr>
        <w:t xml:space="preserve"> </w:t>
      </w:r>
      <w:r w:rsidR="00C555F9" w:rsidRPr="00B43AD5">
        <w:rPr>
          <w:shd w:val="clear" w:color="auto" w:fill="FFFFFF"/>
        </w:rPr>
        <w:t xml:space="preserve">o </w:t>
      </w:r>
      <w:r>
        <w:rPr>
          <w:shd w:val="clear" w:color="auto" w:fill="FFFFFF"/>
        </w:rPr>
        <w:t>21,8</w:t>
      </w:r>
      <w:r w:rsidR="00C555F9" w:rsidRPr="00B43AD5">
        <w:rPr>
          <w:shd w:val="clear" w:color="auto" w:fill="FFFFFF"/>
        </w:rPr>
        <w:t>%</w:t>
      </w:r>
      <w:r w:rsidR="00C555F9">
        <w:rPr>
          <w:shd w:val="clear" w:color="auto" w:fill="FFFFFF"/>
        </w:rPr>
        <w:t xml:space="preserve">, </w:t>
      </w:r>
      <w:r w:rsidR="00EC0534">
        <w:rPr>
          <w:shd w:val="clear" w:color="auto" w:fill="FFFFFF"/>
        </w:rPr>
        <w:t>przy wzroście</w:t>
      </w:r>
      <w:r w:rsidR="00E90EB4">
        <w:rPr>
          <w:shd w:val="clear" w:color="auto" w:fill="FFFFFF"/>
        </w:rPr>
        <w:t xml:space="preserve"> w</w:t>
      </w:r>
      <w:r w:rsidR="00C555F9">
        <w:rPr>
          <w:shd w:val="clear" w:color="auto" w:fill="FFFFFF"/>
        </w:rPr>
        <w:t xml:space="preserve">  </w:t>
      </w:r>
      <w:r w:rsidR="00C555F9" w:rsidRPr="00B43AD5">
        <w:rPr>
          <w:shd w:val="clear" w:color="auto" w:fill="FFFFFF"/>
        </w:rPr>
        <w:t>górnictwie rud metali</w:t>
      </w:r>
      <w:r w:rsidR="00C555F9">
        <w:rPr>
          <w:shd w:val="clear" w:color="auto" w:fill="FFFFFF"/>
        </w:rPr>
        <w:t xml:space="preserve"> – o </w:t>
      </w:r>
      <w:r>
        <w:rPr>
          <w:shd w:val="clear" w:color="auto" w:fill="FFFFFF"/>
        </w:rPr>
        <w:t>2</w:t>
      </w:r>
      <w:r w:rsidR="00A55249">
        <w:rPr>
          <w:shd w:val="clear" w:color="auto" w:fill="FFFFFF"/>
        </w:rPr>
        <w:t>,7</w:t>
      </w:r>
      <w:r w:rsidR="00C555F9">
        <w:rPr>
          <w:shd w:val="clear" w:color="auto" w:fill="FFFFFF"/>
        </w:rPr>
        <w:t>%</w:t>
      </w:r>
      <w:r w:rsidR="00D32B2C">
        <w:rPr>
          <w:shd w:val="clear" w:color="auto" w:fill="FFFFFF"/>
        </w:rPr>
        <w:t xml:space="preserve">. </w:t>
      </w:r>
      <w:r w:rsidR="00AC4EA4">
        <w:rPr>
          <w:shd w:val="clear" w:color="auto" w:fill="FFFFFF"/>
        </w:rPr>
        <w:t>W</w:t>
      </w:r>
      <w:r w:rsidR="00AD2909">
        <w:rPr>
          <w:shd w:val="clear" w:color="auto" w:fill="FFFFFF"/>
        </w:rPr>
        <w:t xml:space="preserve"> sekcji</w:t>
      </w:r>
      <w:r w:rsidR="00C555F9">
        <w:rPr>
          <w:shd w:val="clear" w:color="auto" w:fill="FFFFFF"/>
        </w:rPr>
        <w:t xml:space="preserve"> </w:t>
      </w:r>
      <w:r w:rsidR="00883E43" w:rsidRPr="00B4064D">
        <w:rPr>
          <w:b/>
          <w:shd w:val="clear" w:color="auto" w:fill="FFFFFF"/>
        </w:rPr>
        <w:t>przetwórstw</w:t>
      </w:r>
      <w:r w:rsidR="00883E43">
        <w:rPr>
          <w:b/>
          <w:shd w:val="clear" w:color="auto" w:fill="FFFFFF"/>
        </w:rPr>
        <w:t>o</w:t>
      </w:r>
      <w:r w:rsidR="00883E43" w:rsidRPr="00B4064D">
        <w:rPr>
          <w:b/>
          <w:shd w:val="clear" w:color="auto" w:fill="FFFFFF"/>
        </w:rPr>
        <w:t xml:space="preserve"> </w:t>
      </w:r>
      <w:r w:rsidR="00883E43" w:rsidRPr="00C378CF">
        <w:rPr>
          <w:b/>
          <w:shd w:val="clear" w:color="auto" w:fill="FFFFFF"/>
        </w:rPr>
        <w:t>przemysłow</w:t>
      </w:r>
      <w:r w:rsidR="00883E43">
        <w:rPr>
          <w:b/>
          <w:shd w:val="clear" w:color="auto" w:fill="FFFFFF"/>
        </w:rPr>
        <w:t xml:space="preserve">e </w:t>
      </w:r>
      <w:r w:rsidR="00AC4EA4" w:rsidRPr="00E9584E">
        <w:rPr>
          <w:shd w:val="clear" w:color="auto" w:fill="FFFFFF"/>
        </w:rPr>
        <w:t>ceny spadły</w:t>
      </w:r>
      <w:r w:rsidR="00AC0FA0" w:rsidRPr="00665010">
        <w:rPr>
          <w:shd w:val="clear" w:color="auto" w:fill="FFFFFF"/>
        </w:rPr>
        <w:t xml:space="preserve"> </w:t>
      </w:r>
      <w:r w:rsidR="00883E43" w:rsidRPr="002B7CAD">
        <w:rPr>
          <w:shd w:val="clear" w:color="auto" w:fill="FFFFFF"/>
        </w:rPr>
        <w:t>o</w:t>
      </w:r>
      <w:r w:rsidR="006A3BF8">
        <w:rPr>
          <w:shd w:val="clear" w:color="auto" w:fill="FFFFFF"/>
        </w:rPr>
        <w:t> </w:t>
      </w:r>
      <w:r>
        <w:rPr>
          <w:shd w:val="clear" w:color="auto" w:fill="FFFFFF"/>
        </w:rPr>
        <w:t>5,5</w:t>
      </w:r>
      <w:r w:rsidR="00883E43" w:rsidRPr="002B7CAD">
        <w:rPr>
          <w:shd w:val="clear" w:color="auto" w:fill="FFFFFF"/>
        </w:rPr>
        <w:t>%</w:t>
      </w:r>
      <w:r w:rsidR="00D32B2C">
        <w:rPr>
          <w:shd w:val="clear" w:color="auto" w:fill="FFFFFF"/>
        </w:rPr>
        <w:t>.</w:t>
      </w:r>
      <w:r w:rsidR="00C555F9">
        <w:rPr>
          <w:shd w:val="clear" w:color="auto" w:fill="FFFFFF"/>
        </w:rPr>
        <w:t xml:space="preserve"> </w:t>
      </w:r>
    </w:p>
    <w:p w14:paraId="55AD3595" w14:textId="31AAE51F" w:rsidR="00EE1130" w:rsidRPr="0066387C" w:rsidRDefault="00DB5953" w:rsidP="0066387C">
      <w:pPr>
        <w:pStyle w:val="Tytuwykresu0"/>
        <w:ind w:left="851" w:hanging="851"/>
      </w:pPr>
      <w:r w:rsidRPr="00464878">
        <w:rPr>
          <w:spacing w:val="-6"/>
          <w:sz w:val="12"/>
          <w:szCs w:val="12"/>
          <w:shd w:val="clear" w:color="auto" w:fill="FFFFFF"/>
        </w:rPr>
        <w:drawing>
          <wp:anchor distT="0" distB="0" distL="114300" distR="114300" simplePos="0" relativeHeight="251845632" behindDoc="0" locked="0" layoutInCell="1" allowOverlap="1" wp14:anchorId="761C6264" wp14:editId="0405955C">
            <wp:simplePos x="0" y="0"/>
            <wp:positionH relativeFrom="margin">
              <wp:align>right</wp:align>
            </wp:positionH>
            <wp:positionV relativeFrom="paragraph">
              <wp:posOffset>691688</wp:posOffset>
            </wp:positionV>
            <wp:extent cx="5122545" cy="2988310"/>
            <wp:effectExtent l="0" t="0" r="1905" b="2540"/>
            <wp:wrapTopAndBottom/>
            <wp:docPr id="7" name="Wykres 7" descr="Wykres 2. Zmiany cen w sekcji przetwórstwo przemysłowe według działów we wrześniu 2024  r. w porównaniu z analogicznym miesiącem ubiegł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66387C">
        <w:t>Wykres</w:t>
      </w:r>
      <w:r w:rsidR="00D86077">
        <w:t xml:space="preserve"> </w:t>
      </w:r>
      <w:r w:rsidR="0066387C">
        <w:t>2</w:t>
      </w:r>
      <w:r w:rsidR="00D86077">
        <w:t>.</w:t>
      </w:r>
      <w:r w:rsidR="0066387C">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E7339C">
        <w:t>we wrześniu</w:t>
      </w:r>
      <w:r w:rsidR="00315499">
        <w:t xml:space="preserve"> </w:t>
      </w:r>
      <w:r w:rsidR="00027704">
        <w:t>2024</w:t>
      </w:r>
      <w:r w:rsidR="00E90EB4">
        <w:t> </w:t>
      </w:r>
      <w:r w:rsidR="00EE1130" w:rsidRPr="00CF0A53">
        <w:t xml:space="preserve"> r. </w:t>
      </w:r>
      <w:r w:rsidR="00EE1130" w:rsidRPr="0066387C">
        <w:t>w</w:t>
      </w:r>
      <w:r w:rsidR="002C5774">
        <w:t> </w:t>
      </w:r>
      <w:r w:rsidR="00EE1130" w:rsidRPr="0066387C">
        <w:t xml:space="preserve">porównaniu z </w:t>
      </w:r>
      <w:r w:rsidR="00027704">
        <w:t>analogicznym miesiącem ubiegłego roku</w:t>
      </w:r>
    </w:p>
    <w:p w14:paraId="70ED708A" w14:textId="296C930B" w:rsidR="00175562" w:rsidRDefault="00117625" w:rsidP="0024689C">
      <w:pPr>
        <w:rPr>
          <w:shd w:val="clear" w:color="auto" w:fill="FFFFFF"/>
        </w:rPr>
      </w:pPr>
      <w:r w:rsidRPr="00F7077B">
        <w:rPr>
          <w:b/>
          <w:bCs/>
          <w:noProof/>
          <w:color w:val="001D77"/>
          <w:szCs w:val="19"/>
        </w:rPr>
        <mc:AlternateContent>
          <mc:Choice Requires="wps">
            <w:drawing>
              <wp:anchor distT="45720" distB="45720" distL="114300" distR="114300" simplePos="0" relativeHeight="251760640" behindDoc="1" locked="0" layoutInCell="1" allowOverlap="1" wp14:anchorId="688F2B92" wp14:editId="706DAE78">
                <wp:simplePos x="0" y="0"/>
                <wp:positionH relativeFrom="column">
                  <wp:posOffset>5248275</wp:posOffset>
                </wp:positionH>
                <wp:positionV relativeFrom="page">
                  <wp:posOffset>3126740</wp:posOffset>
                </wp:positionV>
                <wp:extent cx="1725295" cy="1395730"/>
                <wp:effectExtent l="0" t="0" r="0" b="0"/>
                <wp:wrapTight wrapText="bothSides">
                  <wp:wrapPolygon edited="0">
                    <wp:start x="715" y="0"/>
                    <wp:lineTo x="715" y="21227"/>
                    <wp:lineTo x="20749" y="21227"/>
                    <wp:lineTo x="20749" y="0"/>
                    <wp:lineTo x="715" y="0"/>
                  </wp:wrapPolygon>
                </wp:wrapTight>
                <wp:docPr id="13" name="Pole tekstowe 13" descr="We wrześniu 2024 r. w stosunku do analogicznego miesiąca poprzedniego roku najbardziej obniżono ceny produkcji koksu i produktów rafinacji ropy naftow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95730"/>
                        </a:xfrm>
                        <a:prstGeom prst="rect">
                          <a:avLst/>
                        </a:prstGeom>
                        <a:noFill/>
                        <a:ln w="9525">
                          <a:noFill/>
                          <a:miter lim="800000"/>
                          <a:headEnd/>
                          <a:tailEnd/>
                        </a:ln>
                      </wps:spPr>
                      <wps:txbx>
                        <w:txbxContent>
                          <w:p w14:paraId="3E293410" w14:textId="636CCC75" w:rsidR="00883E43" w:rsidRPr="00E95B8E" w:rsidRDefault="00B803A7" w:rsidP="00883E43">
                            <w:pPr>
                              <w:pStyle w:val="tekstzboku"/>
                              <w:rPr>
                                <w:bCs w:val="0"/>
                              </w:rPr>
                            </w:pPr>
                            <w:r>
                              <w:rPr>
                                <w:iCs/>
                              </w:rPr>
                              <w:t>We wrześniu</w:t>
                            </w:r>
                            <w:r w:rsidR="00C04C07">
                              <w:rPr>
                                <w:iCs/>
                              </w:rPr>
                              <w:t xml:space="preserve"> 2024 r.</w:t>
                            </w:r>
                            <w:r w:rsidR="00C04C07">
                              <w:t xml:space="preserve"> w stosunku do analogicznego miesiąca poprzedniego roku </w:t>
                            </w:r>
                            <w:r w:rsidR="00C04C07" w:rsidRPr="00C43B67">
                              <w:t xml:space="preserve">najbardziej </w:t>
                            </w:r>
                            <w:r w:rsidR="00117625">
                              <w:t xml:space="preserve">obniżono ceny produkcji </w:t>
                            </w:r>
                            <w:r w:rsidR="00656D25">
                              <w:t>koksu i produktów rafinacji ropy naftowej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F2B92" id="Pole tekstowe 13" o:spid="_x0000_s1028" type="#_x0000_t202" alt="We wrześniu 2024 r. w stosunku do analogicznego miesiąca poprzedniego roku najbardziej obniżono ceny produkcji koksu i produktów rafinacji ropy naftowej" style="position:absolute;margin-left:413.25pt;margin-top:246.2pt;width:135.85pt;height:109.9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" filled="f" stroked="f">
                <v:textbox>
                  <w:txbxContent>
                    <w:p w14:paraId="3E293410" w14:textId="636CCC75" w:rsidR="00883E43" w:rsidRPr="00E95B8E" w:rsidRDefault="00B803A7" w:rsidP="00883E43">
                      <w:pPr>
                        <w:pStyle w:val="tekstzboku"/>
                        <w:rPr>
                          <w:bCs w:val="0"/>
                        </w:rPr>
                      </w:pPr>
                      <w:r>
                        <w:rPr>
                          <w:iCs/>
                        </w:rPr>
                        <w:t>We wrześniu</w:t>
                      </w:r>
                      <w:r w:rsidR="00C04C07">
                        <w:rPr>
                          <w:iCs/>
                        </w:rPr>
                        <w:t xml:space="preserve"> 2024 r.</w:t>
                      </w:r>
                      <w:r w:rsidR="00C04C07">
                        <w:t xml:space="preserve"> w stosunku do analogicznego miesiąca poprzedniego roku </w:t>
                      </w:r>
                      <w:r w:rsidR="00C04C07" w:rsidRPr="00C43B67">
                        <w:t xml:space="preserve">najbardziej </w:t>
                      </w:r>
                      <w:r w:rsidR="00117625">
                        <w:t xml:space="preserve">obniżono ceny produkcji </w:t>
                      </w:r>
                      <w:r w:rsidR="00656D25">
                        <w:t>koksu i produktów rafinacji ropy naftowej</w:t>
                      </w:r>
                    </w:p>
                  </w:txbxContent>
                </v:textbox>
                <w10:wrap type="tight" anchory="page"/>
              </v:shape>
            </w:pict>
          </mc:Fallback>
        </mc:AlternateContent>
      </w:r>
    </w:p>
    <w:p w14:paraId="60034F0C" w14:textId="77C75ED2" w:rsidR="00175562" w:rsidRDefault="00175562" w:rsidP="0024689C">
      <w:pPr>
        <w:rPr>
          <w:shd w:val="clear" w:color="auto" w:fill="FFFFFF"/>
        </w:rPr>
      </w:pPr>
    </w:p>
    <w:p w14:paraId="79FC755E" w14:textId="09286632" w:rsidR="005B63D1" w:rsidRDefault="006B615D" w:rsidP="0024689C">
      <w:r>
        <w:rPr>
          <w:bCs/>
          <w:shd w:val="clear" w:color="auto" w:fill="FFFFFF"/>
        </w:rPr>
        <w:t>W skali roku wzrosły natomiast ceny w</w:t>
      </w:r>
      <w:r w:rsidR="00277D2D" w:rsidRPr="00B43AD5">
        <w:rPr>
          <w:shd w:val="clear" w:color="auto" w:fill="FFFFFF"/>
        </w:rPr>
        <w:t xml:space="preserve"> sekcji</w:t>
      </w:r>
      <w:r w:rsidR="00277D2D" w:rsidRPr="00B43AD5">
        <w:rPr>
          <w:b/>
          <w:shd w:val="clear" w:color="auto" w:fill="FFFFFF"/>
        </w:rPr>
        <w:t xml:space="preserve"> </w:t>
      </w:r>
      <w:r w:rsidR="00277D2D" w:rsidRPr="00B84F73">
        <w:rPr>
          <w:b/>
          <w:shd w:val="clear" w:color="auto" w:fill="FFFFFF"/>
        </w:rPr>
        <w:t>dostawa wody; gospodarowanie ściekami i</w:t>
      </w:r>
      <w:r w:rsidR="00277D2D">
        <w:rPr>
          <w:b/>
          <w:shd w:val="clear" w:color="auto" w:fill="FFFFFF"/>
        </w:rPr>
        <w:t> </w:t>
      </w:r>
      <w:r w:rsidR="00277D2D" w:rsidRPr="00B84F73">
        <w:rPr>
          <w:b/>
          <w:shd w:val="clear" w:color="auto" w:fill="FFFFFF"/>
        </w:rPr>
        <w:t>odpadami; rekultywacja</w:t>
      </w:r>
      <w:r w:rsidR="00277D2D" w:rsidRPr="00B84F73">
        <w:rPr>
          <w:bCs/>
          <w:shd w:val="clear" w:color="auto" w:fill="FFFFFF"/>
        </w:rPr>
        <w:t xml:space="preserve"> </w:t>
      </w:r>
      <w:r w:rsidR="00C555F9">
        <w:rPr>
          <w:shd w:val="clear" w:color="auto" w:fill="FFFFFF"/>
        </w:rPr>
        <w:t>–</w:t>
      </w:r>
      <w:r>
        <w:rPr>
          <w:shd w:val="clear" w:color="auto" w:fill="FFFFFF"/>
        </w:rPr>
        <w:t xml:space="preserve"> </w:t>
      </w:r>
      <w:r w:rsidR="00277D2D" w:rsidRPr="00B84F73">
        <w:rPr>
          <w:bCs/>
          <w:shd w:val="clear" w:color="auto" w:fill="FFFFFF"/>
        </w:rPr>
        <w:t>o </w:t>
      </w:r>
      <w:r w:rsidR="00E7339C">
        <w:rPr>
          <w:bCs/>
          <w:shd w:val="clear" w:color="auto" w:fill="FFFFFF"/>
        </w:rPr>
        <w:t>2,9</w:t>
      </w:r>
      <w:r w:rsidR="00277D2D">
        <w:rPr>
          <w:bCs/>
          <w:shd w:val="clear" w:color="auto" w:fill="FFFFFF"/>
        </w:rPr>
        <w:t>%</w:t>
      </w:r>
      <w:r w:rsidR="00277D2D">
        <w:rPr>
          <w:shd w:val="clear" w:color="auto" w:fill="FFFFFF"/>
        </w:rPr>
        <w:t>.</w:t>
      </w:r>
    </w:p>
    <w:p w14:paraId="652F9A92" w14:textId="74058589" w:rsidR="0066387C" w:rsidRDefault="0066387C">
      <w:pPr>
        <w:spacing w:before="0" w:after="160" w:line="259" w:lineRule="auto"/>
      </w:pPr>
      <w:r>
        <w:br w:type="page"/>
      </w:r>
    </w:p>
    <w:p w14:paraId="6E49C3F4" w14:textId="2D920E76" w:rsidR="00883E43" w:rsidRPr="0066387C" w:rsidRDefault="00015DC4" w:rsidP="00C158BF">
      <w:pPr>
        <w:spacing w:after="0"/>
        <w:ind w:left="851" w:hanging="851"/>
        <w:rPr>
          <w:rFonts w:ascii="Fira Sans SemiBold" w:eastAsia="Times New Roman" w:hAnsi="Fira Sans SemiBold" w:cs="Times New Roman"/>
          <w:b/>
          <w:bCs/>
          <w:noProof/>
          <w:szCs w:val="24"/>
          <w:lang w:eastAsia="pl-PL"/>
        </w:rPr>
      </w:pPr>
      <w:r>
        <w:rPr>
          <w:noProof/>
          <w:lang w:eastAsia="pl-PL"/>
        </w:rPr>
        <w:lastRenderedPageBreak/>
        <w:drawing>
          <wp:anchor distT="0" distB="0" distL="114300" distR="114300" simplePos="0" relativeHeight="251846656" behindDoc="0" locked="0" layoutInCell="1" allowOverlap="1" wp14:anchorId="7570098A" wp14:editId="7D221ED4">
            <wp:simplePos x="0" y="0"/>
            <wp:positionH relativeFrom="margin">
              <wp:align>left</wp:align>
            </wp:positionH>
            <wp:positionV relativeFrom="paragraph">
              <wp:posOffset>429491</wp:posOffset>
            </wp:positionV>
            <wp:extent cx="5122545" cy="2988310"/>
            <wp:effectExtent l="0" t="0" r="1905" b="2540"/>
            <wp:wrapTopAndBottom/>
            <wp:docPr id="19" name="Wykres 19" descr="Wykres 3. Zmiany cen produkcji sprzedanej przemysłu w latach 2023-2024 w porównaniu z poprzednim okres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A26CE5" w:rsidRPr="00823593">
        <w:rPr>
          <w:b/>
          <w:noProof/>
          <w:spacing w:val="-2"/>
          <w:szCs w:val="19"/>
        </w:rPr>
        <mc:AlternateContent>
          <mc:Choice Requires="wps">
            <w:drawing>
              <wp:anchor distT="45720" distB="45720" distL="114300" distR="114300" simplePos="0" relativeHeight="251762688" behindDoc="1" locked="0" layoutInCell="1" allowOverlap="1" wp14:anchorId="2951FF20" wp14:editId="7BE69580">
                <wp:simplePos x="0" y="0"/>
                <wp:positionH relativeFrom="column">
                  <wp:posOffset>5349875</wp:posOffset>
                </wp:positionH>
                <wp:positionV relativeFrom="paragraph">
                  <wp:posOffset>1192126</wp:posOffset>
                </wp:positionV>
                <wp:extent cx="1420495" cy="1074420"/>
                <wp:effectExtent l="0" t="0" r="0" b="0"/>
                <wp:wrapTight wrapText="bothSides">
                  <wp:wrapPolygon edited="0">
                    <wp:start x="869" y="0"/>
                    <wp:lineTo x="869" y="21064"/>
                    <wp:lineTo x="20567" y="21064"/>
                    <wp:lineTo x="20567" y="0"/>
                    <wp:lineTo x="869" y="0"/>
                  </wp:wrapPolygon>
                </wp:wrapTight>
                <wp:docPr id="20" name="Pole tekstowe 20" descr="We wrześniu 2024 r. ceny produkcji sprzedanej przemysłu spadły w porównaniu do poprzedniego miesiąca o 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1074420"/>
                        </a:xfrm>
                        <a:prstGeom prst="rect">
                          <a:avLst/>
                        </a:prstGeom>
                        <a:noFill/>
                        <a:ln w="9525">
                          <a:noFill/>
                          <a:miter lim="800000"/>
                          <a:headEnd/>
                          <a:tailEnd/>
                        </a:ln>
                      </wps:spPr>
                      <wps:txbx>
                        <w:txbxContent>
                          <w:p w14:paraId="3A31BF0C" w14:textId="3AA44E11" w:rsidR="00883E43" w:rsidRPr="00DC2453" w:rsidRDefault="00E327D1" w:rsidP="00DC2453">
                            <w:pPr>
                              <w:pStyle w:val="tekstzboku"/>
                            </w:pPr>
                            <w:r w:rsidRPr="00DC2453">
                              <w:t>W</w:t>
                            </w:r>
                            <w:r w:rsidR="00B803A7">
                              <w:t xml:space="preserve">e wrześniu </w:t>
                            </w:r>
                            <w:r w:rsidR="00E315B8" w:rsidRPr="00DC2453">
                              <w:t>2024</w:t>
                            </w:r>
                            <w:r w:rsidR="00883E43" w:rsidRPr="00DC2453">
                              <w:t xml:space="preserve"> r. </w:t>
                            </w:r>
                            <w:r w:rsidR="00656D25">
                              <w:t xml:space="preserve">ceny produkcji sprzedanej przemysłu spadły </w:t>
                            </w:r>
                            <w:r w:rsidR="00DC2453" w:rsidRPr="00DC2453">
                              <w:t xml:space="preserve">w </w:t>
                            </w:r>
                            <w:r w:rsidR="00656D25">
                              <w:t>porównaniu do poprzedniego miesiąca o 0,</w:t>
                            </w:r>
                            <w:r w:rsidR="00B803A7">
                              <w:t>5</w:t>
                            </w:r>
                            <w:r w:rsidR="00656D25">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1FF20" id="Pole tekstowe 20" o:spid="_x0000_s1029" type="#_x0000_t202" alt="We wrześniu 2024 r. ceny produkcji sprzedanej przemysłu spadły w porównaniu do poprzedniego miesiąca o 0,5%" style="position:absolute;left:0;text-align:left;margin-left:421.25pt;margin-top:93.85pt;width:111.85pt;height:84.6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" filled="f" stroked="f">
                <v:textbox>
                  <w:txbxContent>
                    <w:p w14:paraId="3A31BF0C" w14:textId="3AA44E11" w:rsidR="00883E43" w:rsidRPr="00DC2453" w:rsidRDefault="00E327D1" w:rsidP="00DC2453">
                      <w:pPr>
                        <w:pStyle w:val="tekstzboku"/>
                      </w:pPr>
                      <w:r w:rsidRPr="00DC2453">
                        <w:t>W</w:t>
                      </w:r>
                      <w:r w:rsidR="00B803A7">
                        <w:t xml:space="preserve">e wrześniu </w:t>
                      </w:r>
                      <w:r w:rsidR="00E315B8" w:rsidRPr="00DC2453">
                        <w:t>2024</w:t>
                      </w:r>
                      <w:r w:rsidR="00883E43" w:rsidRPr="00DC2453">
                        <w:t xml:space="preserve"> r. </w:t>
                      </w:r>
                      <w:r w:rsidR="00656D25">
                        <w:t xml:space="preserve">ceny produkcji sprzedanej przemysłu spadły </w:t>
                      </w:r>
                      <w:r w:rsidR="00DC2453" w:rsidRPr="00DC2453">
                        <w:t xml:space="preserve">w </w:t>
                      </w:r>
                      <w:r w:rsidR="00656D25">
                        <w:t>porównaniu do poprzedniego miesiąca o 0,</w:t>
                      </w:r>
                      <w:r w:rsidR="00B803A7">
                        <w:t>5</w:t>
                      </w:r>
                      <w:r w:rsidR="00656D25">
                        <w:t>%</w:t>
                      </w:r>
                    </w:p>
                  </w:txbxContent>
                </v:textbox>
                <w10:wrap type="tight"/>
              </v:shape>
            </w:pict>
          </mc:Fallback>
        </mc:AlternateContent>
      </w:r>
      <w:r w:rsidR="00883E43" w:rsidRPr="0066387C">
        <w:rPr>
          <w:rFonts w:ascii="Fira Sans SemiBold" w:eastAsia="Times New Roman" w:hAnsi="Fira Sans SemiBold" w:cs="Times New Roman"/>
          <w:b/>
          <w:bCs/>
          <w:noProof/>
          <w:szCs w:val="24"/>
          <w:lang w:eastAsia="pl-PL"/>
        </w:rPr>
        <w:t xml:space="preserve">Wykres </w:t>
      </w:r>
      <w:r w:rsidR="0066387C">
        <w:rPr>
          <w:rFonts w:ascii="Fira Sans SemiBold" w:eastAsia="Times New Roman" w:hAnsi="Fira Sans SemiBold" w:cs="Times New Roman"/>
          <w:b/>
          <w:bCs/>
          <w:noProof/>
          <w:szCs w:val="24"/>
          <w:lang w:eastAsia="pl-PL"/>
        </w:rPr>
        <w:t>3</w:t>
      </w:r>
      <w:r w:rsidR="00883E43" w:rsidRPr="0066387C">
        <w:rPr>
          <w:rFonts w:ascii="Fira Sans SemiBold" w:eastAsia="Times New Roman" w:hAnsi="Fira Sans SemiBold" w:cs="Times New Roman"/>
          <w:b/>
          <w:bCs/>
          <w:noProof/>
          <w:szCs w:val="24"/>
          <w:lang w:eastAsia="pl-PL"/>
        </w:rPr>
        <w:t>. Zmiany cen produkcji sprzedanej przemysłu w latach 202</w:t>
      </w:r>
      <w:r w:rsidR="00AB507D">
        <w:rPr>
          <w:rFonts w:ascii="Fira Sans SemiBold" w:eastAsia="Times New Roman" w:hAnsi="Fira Sans SemiBold" w:cs="Times New Roman"/>
          <w:b/>
          <w:bCs/>
          <w:noProof/>
          <w:szCs w:val="24"/>
          <w:lang w:eastAsia="pl-PL"/>
        </w:rPr>
        <w:t>3</w:t>
      </w:r>
      <w:r w:rsidR="00883E43" w:rsidRPr="0066387C">
        <w:rPr>
          <w:rFonts w:ascii="Fira Sans SemiBold" w:eastAsia="Times New Roman" w:hAnsi="Fira Sans SemiBold" w:cs="Times New Roman"/>
          <w:b/>
          <w:bCs/>
          <w:noProof/>
          <w:szCs w:val="24"/>
          <w:lang w:eastAsia="pl-PL"/>
        </w:rPr>
        <w:t>-202</w:t>
      </w:r>
      <w:r w:rsidR="00027704">
        <w:rPr>
          <w:rFonts w:ascii="Fira Sans SemiBold" w:eastAsia="Times New Roman" w:hAnsi="Fira Sans SemiBold" w:cs="Times New Roman"/>
          <w:b/>
          <w:bCs/>
          <w:noProof/>
          <w:szCs w:val="24"/>
          <w:lang w:eastAsia="pl-PL"/>
        </w:rPr>
        <w:t>4</w:t>
      </w:r>
      <w:r w:rsidR="00883E43" w:rsidRPr="0066387C">
        <w:rPr>
          <w:rFonts w:ascii="Fira Sans SemiBold" w:eastAsia="Times New Roman" w:hAnsi="Fira Sans SemiBold" w:cs="Times New Roman"/>
          <w:b/>
          <w:bCs/>
          <w:noProof/>
          <w:szCs w:val="24"/>
          <w:lang w:eastAsia="pl-PL"/>
        </w:rPr>
        <w:t xml:space="preserve"> w </w:t>
      </w:r>
      <w:r w:rsidR="00027704">
        <w:rPr>
          <w:rFonts w:ascii="Fira Sans SemiBold" w:eastAsia="Times New Roman" w:hAnsi="Fira Sans SemiBold" w:cs="Times New Roman"/>
          <w:b/>
          <w:bCs/>
          <w:noProof/>
          <w:szCs w:val="24"/>
          <w:lang w:eastAsia="pl-PL"/>
        </w:rPr>
        <w:t>porównaniu</w:t>
      </w:r>
      <w:r w:rsidR="00C158BF">
        <w:rPr>
          <w:rFonts w:ascii="Fira Sans SemiBold" w:eastAsia="Times New Roman" w:hAnsi="Fira Sans SemiBold" w:cs="Times New Roman"/>
          <w:b/>
          <w:bCs/>
          <w:noProof/>
          <w:szCs w:val="24"/>
          <w:lang w:eastAsia="pl-PL"/>
        </w:rPr>
        <w:t xml:space="preserve"> </w:t>
      </w:r>
      <w:r w:rsidR="00027704">
        <w:rPr>
          <w:rFonts w:ascii="Fira Sans SemiBold" w:eastAsia="Times New Roman" w:hAnsi="Fira Sans SemiBold" w:cs="Times New Roman"/>
          <w:b/>
          <w:bCs/>
          <w:noProof/>
          <w:szCs w:val="24"/>
          <w:lang w:eastAsia="pl-PL"/>
        </w:rPr>
        <w:t>z </w:t>
      </w:r>
      <w:r w:rsidR="00883E43" w:rsidRPr="0066387C">
        <w:rPr>
          <w:rFonts w:ascii="Fira Sans SemiBold" w:eastAsia="Times New Roman" w:hAnsi="Fira Sans SemiBold" w:cs="Times New Roman"/>
          <w:b/>
          <w:bCs/>
          <w:noProof/>
          <w:szCs w:val="24"/>
          <w:lang w:eastAsia="pl-PL"/>
        </w:rPr>
        <w:t>poprzedni</w:t>
      </w:r>
      <w:r w:rsidR="00027704">
        <w:rPr>
          <w:rFonts w:ascii="Fira Sans SemiBold" w:eastAsia="Times New Roman" w:hAnsi="Fira Sans SemiBold" w:cs="Times New Roman"/>
          <w:b/>
          <w:bCs/>
          <w:noProof/>
          <w:szCs w:val="24"/>
          <w:lang w:eastAsia="pl-PL"/>
        </w:rPr>
        <w:t>m okresem</w:t>
      </w:r>
    </w:p>
    <w:p w14:paraId="1EEF5D95" w14:textId="711724CB" w:rsidR="00883E43" w:rsidRDefault="00883E43" w:rsidP="00883E43">
      <w:pPr>
        <w:spacing w:before="0" w:after="160" w:line="259" w:lineRule="auto"/>
      </w:pPr>
    </w:p>
    <w:p w14:paraId="5FE5CD02" w14:textId="517D0ED0" w:rsidR="00883E43" w:rsidRDefault="00883E43" w:rsidP="0054212B">
      <w:pPr>
        <w:rPr>
          <w:noProof/>
          <w:lang w:eastAsia="pl-PL"/>
        </w:rPr>
      </w:pPr>
    </w:p>
    <w:p w14:paraId="0DF6A231" w14:textId="0D41A310" w:rsidR="00883E43" w:rsidRDefault="00883E43" w:rsidP="00883E43">
      <w:pPr>
        <w:pStyle w:val="Tytuwykresu0"/>
        <w:ind w:left="851" w:hanging="851"/>
        <w:rPr>
          <w:szCs w:val="19"/>
        </w:rPr>
      </w:pPr>
      <w:r>
        <w:t>W</w:t>
      </w:r>
      <w:r w:rsidRPr="00CD555D">
        <w:t xml:space="preserve">ykres </w:t>
      </w:r>
      <w:r w:rsidR="0066387C">
        <w:t>4</w:t>
      </w:r>
      <w:r w:rsidRPr="00CD555D">
        <w:t>.</w:t>
      </w:r>
      <w:r w:rsidRPr="001D4B5F">
        <w:t xml:space="preserve"> Zmiany cen produkcji sprzedanej przemysłu w latach 202</w:t>
      </w:r>
      <w:r w:rsidR="00AB507D">
        <w:t>3</w:t>
      </w:r>
      <w:r w:rsidRPr="001D4B5F">
        <w:t>-202</w:t>
      </w:r>
      <w:r w:rsidR="00027704">
        <w:t>4</w:t>
      </w:r>
      <w:r w:rsidRPr="001D4B5F">
        <w:t xml:space="preserve"> w </w:t>
      </w:r>
      <w:r w:rsidR="00027704">
        <w:t>porównaniu</w:t>
      </w:r>
      <w:r w:rsidRPr="001D4B5F">
        <w:t xml:space="preserve"> </w:t>
      </w:r>
      <w:r w:rsidR="00027704">
        <w:t>z </w:t>
      </w:r>
      <w:r w:rsidRPr="00776FC9">
        <w:t>analogiczn</w:t>
      </w:r>
      <w:r w:rsidR="00027704">
        <w:t>ym</w:t>
      </w:r>
      <w:r w:rsidRPr="00776FC9">
        <w:t xml:space="preserve"> okres</w:t>
      </w:r>
      <w:r w:rsidR="00027704">
        <w:t>em</w:t>
      </w:r>
      <w:r w:rsidRPr="00776FC9">
        <w:t xml:space="preserve"> </w:t>
      </w:r>
      <w:r w:rsidRPr="001D4B5F">
        <w:t>poprzedniego</w:t>
      </w:r>
      <w:r w:rsidR="00027704">
        <w:t xml:space="preserve"> roku</w:t>
      </w:r>
    </w:p>
    <w:p w14:paraId="49B8EAD2" w14:textId="4F1A771F" w:rsidR="00604281" w:rsidRDefault="00015DC4" w:rsidP="00DC6D14">
      <w:r>
        <w:rPr>
          <w:noProof/>
          <w:lang w:eastAsia="pl-PL"/>
        </w:rPr>
        <w:drawing>
          <wp:anchor distT="0" distB="0" distL="114300" distR="114300" simplePos="0" relativeHeight="251848704" behindDoc="0" locked="0" layoutInCell="1" allowOverlap="1" wp14:anchorId="7AE7825E" wp14:editId="55B7897B">
            <wp:simplePos x="0" y="0"/>
            <wp:positionH relativeFrom="margin">
              <wp:align>right</wp:align>
            </wp:positionH>
            <wp:positionV relativeFrom="paragraph">
              <wp:posOffset>178088</wp:posOffset>
            </wp:positionV>
            <wp:extent cx="5122545" cy="2988310"/>
            <wp:effectExtent l="0" t="0" r="1905" b="2540"/>
            <wp:wrapTopAndBottom/>
            <wp:docPr id="25" name="Wykres 25" descr="Wykres 4. Zmiany cen produkcji sprzedanej przemysłu w latach 2023-2024 w porównaniu z analogicznym okresem poprzedni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7414C9" w:rsidRPr="00823593">
        <w:rPr>
          <w:b/>
          <w:noProof/>
          <w:spacing w:val="-2"/>
          <w:szCs w:val="19"/>
        </w:rPr>
        <mc:AlternateContent>
          <mc:Choice Requires="wps">
            <w:drawing>
              <wp:anchor distT="45720" distB="45720" distL="114300" distR="114300" simplePos="0" relativeHeight="251761664" behindDoc="1" locked="0" layoutInCell="1" allowOverlap="1" wp14:anchorId="4A2A2860" wp14:editId="1B7401BB">
                <wp:simplePos x="0" y="0"/>
                <wp:positionH relativeFrom="column">
                  <wp:posOffset>5288280</wp:posOffset>
                </wp:positionH>
                <wp:positionV relativeFrom="paragraph">
                  <wp:posOffset>552450</wp:posOffset>
                </wp:positionV>
                <wp:extent cx="1725295" cy="1104900"/>
                <wp:effectExtent l="0" t="0" r="0" b="0"/>
                <wp:wrapTight wrapText="bothSides">
                  <wp:wrapPolygon edited="0">
                    <wp:start x="715" y="0"/>
                    <wp:lineTo x="715" y="21228"/>
                    <wp:lineTo x="20749" y="21228"/>
                    <wp:lineTo x="20749" y="0"/>
                    <wp:lineTo x="715" y="0"/>
                  </wp:wrapPolygon>
                </wp:wrapTight>
                <wp:docPr id="17" name="Pole tekstowe 17" descr="We wrześniu 2024 r. zaobserwowano spadek dynamiki cen produkcji sprzedanej przemysłu w skali roku 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04F7DF6A" w14:textId="1332CBF2" w:rsidR="00883E43" w:rsidRPr="005C0F80" w:rsidRDefault="004E1B40" w:rsidP="00883E43">
                            <w:pPr>
                              <w:pStyle w:val="tekstzboku"/>
                              <w:rPr>
                                <w:iCs/>
                              </w:rPr>
                            </w:pPr>
                            <w:r>
                              <w:rPr>
                                <w:iCs/>
                              </w:rPr>
                              <w:t>W</w:t>
                            </w:r>
                            <w:r w:rsidR="00B803A7">
                              <w:rPr>
                                <w:iCs/>
                              </w:rPr>
                              <w:t>e wrześniu</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B803A7">
                              <w:rPr>
                                <w:iCs/>
                              </w:rPr>
                              <w:t>6,3</w:t>
                            </w:r>
                            <w:r w:rsidR="00C04C07">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A2860" id="Pole tekstowe 17" o:spid="_x0000_s1030" type="#_x0000_t202" alt="We wrześniu 2024 r. zaobserwowano spadek dynamiki cen produkcji sprzedanej przemysłu w skali roku o 6,3%" style="position:absolute;margin-left:416.4pt;margin-top:43.5pt;width:135.85pt;height:87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" filled="f" stroked="f">
                <v:textbox>
                  <w:txbxContent>
                    <w:p w14:paraId="04F7DF6A" w14:textId="1332CBF2" w:rsidR="00883E43" w:rsidRPr="005C0F80" w:rsidRDefault="004E1B40" w:rsidP="00883E43">
                      <w:pPr>
                        <w:pStyle w:val="tekstzboku"/>
                        <w:rPr>
                          <w:iCs/>
                        </w:rPr>
                      </w:pPr>
                      <w:r>
                        <w:rPr>
                          <w:iCs/>
                        </w:rPr>
                        <w:t>W</w:t>
                      </w:r>
                      <w:r w:rsidR="00B803A7">
                        <w:rPr>
                          <w:iCs/>
                        </w:rPr>
                        <w:t>e wrześniu</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B803A7">
                        <w:rPr>
                          <w:iCs/>
                        </w:rPr>
                        <w:t>6,3</w:t>
                      </w:r>
                      <w:r w:rsidR="00C04C07">
                        <w:rPr>
                          <w:iCs/>
                        </w:rPr>
                        <w:t>%</w:t>
                      </w:r>
                    </w:p>
                  </w:txbxContent>
                </v:textbox>
                <w10:wrap type="tight"/>
              </v:shape>
            </w:pict>
          </mc:Fallback>
        </mc:AlternateContent>
      </w:r>
    </w:p>
    <w:p w14:paraId="56155CE5" w14:textId="02A6ABD3" w:rsidR="00175562" w:rsidRDefault="00175562" w:rsidP="00DC6D14"/>
    <w:p w14:paraId="0C999888" w14:textId="2886B65A" w:rsidR="00DC6D14" w:rsidRDefault="00DC6D14">
      <w:pPr>
        <w:spacing w:before="0" w:after="160" w:line="259" w:lineRule="auto"/>
        <w:rPr>
          <w:rFonts w:ascii="Fira Sans SemiBold" w:eastAsia="Times New Roman" w:hAnsi="Fira Sans SemiBold" w:cs="Times New Roman"/>
          <w:b/>
          <w:bCs/>
          <w:noProof/>
          <w:szCs w:val="24"/>
          <w:lang w:eastAsia="pl-PL"/>
        </w:rPr>
      </w:pPr>
      <w:r>
        <w:br w:type="page"/>
      </w:r>
    </w:p>
    <w:p w14:paraId="7B7D5CFD" w14:textId="0A802167" w:rsidR="00883E43" w:rsidRDefault="002B238C" w:rsidP="00883E43">
      <w:pPr>
        <w:pStyle w:val="Tytuwykresu0"/>
        <w:ind w:left="851" w:hanging="851"/>
      </w:pPr>
      <w:r>
        <w:rPr>
          <w:b w:val="0"/>
          <w:bCs w:val="0"/>
          <w:sz w:val="18"/>
          <w:szCs w:val="18"/>
        </w:rPr>
        <w:lastRenderedPageBreak/>
        <w:drawing>
          <wp:anchor distT="0" distB="0" distL="114300" distR="114300" simplePos="0" relativeHeight="251850752" behindDoc="0" locked="0" layoutInCell="1" allowOverlap="1" wp14:anchorId="0280D886" wp14:editId="0A818D2F">
            <wp:simplePos x="0" y="0"/>
            <wp:positionH relativeFrom="margin">
              <wp:align>left</wp:align>
            </wp:positionH>
            <wp:positionV relativeFrom="paragraph">
              <wp:posOffset>484332</wp:posOffset>
            </wp:positionV>
            <wp:extent cx="5222875" cy="3705860"/>
            <wp:effectExtent l="0" t="0" r="0" b="8890"/>
            <wp:wrapTopAndBottom/>
            <wp:docPr id="26" name="Wykres 26" descr="Wykres 5. Zmiany cen produkcji sprzedanej przemysłu według sekcji PKD w latach 2023-2024 w porównaniu z grudniem 2022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883E43" w:rsidRPr="00DA6F6D">
        <w:t xml:space="preserve">Wykres </w:t>
      </w:r>
      <w:bookmarkStart w:id="2" w:name="_Hlk101264545"/>
      <w:r w:rsidR="0066387C">
        <w:t>5</w:t>
      </w:r>
      <w:r w:rsidR="00883E43" w:rsidRPr="00DA6F6D">
        <w:t>. Zmiany cen produkcji sprzedanej przemysłu według sekcji PKD w latach 202</w:t>
      </w:r>
      <w:r w:rsidR="00AB507D">
        <w:t>3</w:t>
      </w:r>
      <w:r w:rsidR="00883E43" w:rsidRPr="00DA6F6D">
        <w:t>-202</w:t>
      </w:r>
      <w:r w:rsidR="00027704">
        <w:t>4</w:t>
      </w:r>
      <w:r w:rsidR="00883E43" w:rsidRPr="00DA6F6D">
        <w:t xml:space="preserve"> w</w:t>
      </w:r>
      <w:r w:rsidR="00883E43" w:rsidRPr="00DD4DC3">
        <w:t> </w:t>
      </w:r>
      <w:r w:rsidR="00027704">
        <w:t>porównaniu z</w:t>
      </w:r>
      <w:r w:rsidR="00883E43" w:rsidRPr="00DA6F6D">
        <w:t xml:space="preserve"> grudni</w:t>
      </w:r>
      <w:r w:rsidR="00027704">
        <w:t>em</w:t>
      </w:r>
      <w:r w:rsidR="00883E43" w:rsidRPr="00DA6F6D">
        <w:t xml:space="preserve"> 20</w:t>
      </w:r>
      <w:r w:rsidR="00883E43">
        <w:t>2</w:t>
      </w:r>
      <w:r w:rsidR="00757414">
        <w:t>2</w:t>
      </w:r>
      <w:r w:rsidR="00883E43" w:rsidRPr="00DA6F6D">
        <w:t xml:space="preserve"> r.</w:t>
      </w:r>
    </w:p>
    <w:bookmarkEnd w:id="2"/>
    <w:p w14:paraId="13654FF9" w14:textId="45F0CDF6" w:rsidR="00216634" w:rsidRPr="00883E43" w:rsidRDefault="00216634" w:rsidP="00216634">
      <w:pPr>
        <w:spacing w:line="288" w:lineRule="auto"/>
        <w:rPr>
          <w:rFonts w:eastAsia="Times New Roman" w:cs="Times New Roman"/>
          <w:szCs w:val="19"/>
          <w:lang w:eastAsia="pl-PL"/>
        </w:rPr>
      </w:pPr>
    </w:p>
    <w:p w14:paraId="30B9B2E3" w14:textId="0D1C016C" w:rsidR="00FC3D69" w:rsidRDefault="00FC3D69" w:rsidP="00DC6D14">
      <w:pPr>
        <w:rPr>
          <w:sz w:val="18"/>
        </w:rPr>
      </w:pPr>
    </w:p>
    <w:p w14:paraId="0E7564AA" w14:textId="13EE4C47" w:rsidR="002B238C" w:rsidRDefault="002B238C" w:rsidP="00DC6D14">
      <w:pPr>
        <w:rPr>
          <w:sz w:val="18"/>
        </w:rPr>
      </w:pPr>
    </w:p>
    <w:p w14:paraId="41D5C129" w14:textId="534EA0EA" w:rsidR="002B238C" w:rsidRPr="00883E43" w:rsidRDefault="002B238C" w:rsidP="00DC6D14">
      <w:pPr>
        <w:rPr>
          <w:sz w:val="18"/>
        </w:rPr>
      </w:pPr>
    </w:p>
    <w:p w14:paraId="5F10877A" w14:textId="3161DE5C"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bookmarkStart w:id="3" w:name="_Hlk148444407"/>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3"/>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53876988" w14:textId="77777777" w:rsidTr="00B84C43">
        <w:trPr>
          <w:trHeight w:val="1626"/>
        </w:trPr>
        <w:tc>
          <w:tcPr>
            <w:tcW w:w="4926" w:type="dxa"/>
          </w:tcPr>
          <w:p w14:paraId="182A4B6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99C9B52"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77FF62E4" w14:textId="77777777"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4C058E">
              <w:rPr>
                <w:b/>
                <w:sz w:val="20"/>
                <w:szCs w:val="20"/>
                <w:lang w:val="fi-FI"/>
              </w:rPr>
              <w:t xml:space="preserve">Ewa </w:t>
            </w:r>
            <w:r w:rsidR="00B064F7">
              <w:rPr>
                <w:b/>
                <w:sz w:val="20"/>
                <w:szCs w:val="20"/>
                <w:lang w:val="fi-FI"/>
              </w:rPr>
              <w:t>Adach - Stankiewicz</w:t>
            </w:r>
          </w:p>
          <w:p w14:paraId="1B81B752" w14:textId="77777777"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2E51241B" w14:textId="77777777" w:rsidR="00E90EB4" w:rsidRDefault="00E90EB4" w:rsidP="00E90EB4">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79E2FEE4" w14:textId="77777777" w:rsidR="00E90EB4" w:rsidRDefault="00E90EB4" w:rsidP="00E90EB4">
            <w:r>
              <w:t>Tel. komórkowy: +48 695 255 032</w:t>
            </w:r>
          </w:p>
          <w:p w14:paraId="14595DED" w14:textId="77777777" w:rsidR="00E90EB4" w:rsidRDefault="00E90EB4" w:rsidP="00E90EB4">
            <w:pPr>
              <w:ind w:left="1494" w:hanging="1494"/>
            </w:pPr>
            <w:r>
              <w:t>Tel. stacjonarne: +48 22 608 38 04, +48 22 449 41 45,     +48 22 608 30 09</w:t>
            </w:r>
          </w:p>
          <w:p w14:paraId="4375128E" w14:textId="77777777" w:rsidR="00E90EB4" w:rsidRDefault="00E90EB4" w:rsidP="00E90EB4">
            <w:r w:rsidRPr="00610ED9">
              <w:rPr>
                <w:b/>
                <w:sz w:val="20"/>
              </w:rPr>
              <w:t>e-mail:</w:t>
            </w:r>
            <w:r w:rsidRPr="00610ED9">
              <w:rPr>
                <w:sz w:val="20"/>
              </w:rPr>
              <w:t xml:space="preserve"> </w:t>
            </w:r>
            <w:hyperlink r:id="rId19" w:history="1">
              <w:r w:rsidRPr="00610ED9">
                <w:rPr>
                  <w:rStyle w:val="Hipercze"/>
                  <w:rFonts w:eastAsiaTheme="majorEastAsia" w:cs="Arial"/>
                  <w:b/>
                  <w:color w:val="auto"/>
                  <w:sz w:val="20"/>
                  <w:szCs w:val="20"/>
                </w:rPr>
                <w:t>obslugaprasowa@stat.gov.pl</w:t>
              </w:r>
            </w:hyperlink>
          </w:p>
          <w:p w14:paraId="73926DB3" w14:textId="77777777" w:rsidR="00DE2400" w:rsidRDefault="00DE2400" w:rsidP="00747B8C">
            <w:pPr>
              <w:rPr>
                <w:sz w:val="18"/>
              </w:rPr>
            </w:pPr>
          </w:p>
        </w:tc>
      </w:tr>
      <w:tr w:rsidR="00DE2400" w14:paraId="088FEA5E" w14:textId="77777777" w:rsidTr="00B84C43">
        <w:trPr>
          <w:trHeight w:val="418"/>
        </w:trPr>
        <w:tc>
          <w:tcPr>
            <w:tcW w:w="4926" w:type="dxa"/>
            <w:vMerge w:val="restart"/>
          </w:tcPr>
          <w:p w14:paraId="348C9358" w14:textId="1E576B32" w:rsidR="00DE2400" w:rsidRPr="00F05FC7" w:rsidRDefault="00DE2400" w:rsidP="00747B8C">
            <w:pPr>
              <w:rPr>
                <w:sz w:val="18"/>
                <w:lang w:val="en-US"/>
              </w:rPr>
            </w:pPr>
          </w:p>
        </w:tc>
        <w:tc>
          <w:tcPr>
            <w:tcW w:w="4927" w:type="dxa"/>
            <w:vAlign w:val="center"/>
          </w:tcPr>
          <w:p w14:paraId="0FFD6ECA"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0FAB278C" wp14:editId="3418DA9C">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5D09F9BB" w14:textId="77777777" w:rsidTr="00B84C43">
        <w:trPr>
          <w:trHeight w:val="418"/>
        </w:trPr>
        <w:tc>
          <w:tcPr>
            <w:tcW w:w="4926" w:type="dxa"/>
            <w:vMerge/>
          </w:tcPr>
          <w:p w14:paraId="141EC75B" w14:textId="77777777" w:rsidR="00DE2400" w:rsidRPr="00C91687" w:rsidRDefault="00DE2400" w:rsidP="00747B8C">
            <w:pPr>
              <w:rPr>
                <w:b/>
                <w:sz w:val="20"/>
              </w:rPr>
            </w:pPr>
          </w:p>
        </w:tc>
        <w:tc>
          <w:tcPr>
            <w:tcW w:w="4927" w:type="dxa"/>
            <w:vAlign w:val="center"/>
          </w:tcPr>
          <w:p w14:paraId="7BD2B22A"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388767B7" wp14:editId="3DA2B78A">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3631277" w14:textId="77777777" w:rsidTr="00B84C43">
        <w:trPr>
          <w:trHeight w:val="476"/>
        </w:trPr>
        <w:tc>
          <w:tcPr>
            <w:tcW w:w="4926" w:type="dxa"/>
            <w:vMerge/>
          </w:tcPr>
          <w:p w14:paraId="62BE5A2A" w14:textId="77777777" w:rsidR="00DE2400" w:rsidRPr="00C91687" w:rsidRDefault="00DE2400" w:rsidP="00747B8C">
            <w:pPr>
              <w:rPr>
                <w:b/>
                <w:sz w:val="20"/>
              </w:rPr>
            </w:pPr>
          </w:p>
        </w:tc>
        <w:tc>
          <w:tcPr>
            <w:tcW w:w="4927" w:type="dxa"/>
          </w:tcPr>
          <w:p w14:paraId="3B95F84A"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2667FDBB" wp14:editId="7E7DA52E">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F28A993" w14:textId="77777777" w:rsidTr="00B84C43">
        <w:trPr>
          <w:trHeight w:val="426"/>
        </w:trPr>
        <w:tc>
          <w:tcPr>
            <w:tcW w:w="4926" w:type="dxa"/>
          </w:tcPr>
          <w:p w14:paraId="0AC82212" w14:textId="77777777" w:rsidR="00531873" w:rsidRPr="00C91687" w:rsidRDefault="00531873" w:rsidP="00531873">
            <w:pPr>
              <w:rPr>
                <w:b/>
                <w:sz w:val="20"/>
              </w:rPr>
            </w:pPr>
          </w:p>
        </w:tc>
        <w:tc>
          <w:tcPr>
            <w:tcW w:w="4927" w:type="dxa"/>
          </w:tcPr>
          <w:p w14:paraId="3ACFC0E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3536C308" wp14:editId="10E4E459">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6C3BC664" w14:textId="77777777" w:rsidTr="00B84C43">
        <w:trPr>
          <w:trHeight w:val="504"/>
        </w:trPr>
        <w:tc>
          <w:tcPr>
            <w:tcW w:w="4926" w:type="dxa"/>
          </w:tcPr>
          <w:p w14:paraId="65FE3AB3" w14:textId="77777777" w:rsidR="00531873" w:rsidRPr="00C91687" w:rsidRDefault="00531873" w:rsidP="00531873">
            <w:pPr>
              <w:rPr>
                <w:b/>
                <w:sz w:val="20"/>
              </w:rPr>
            </w:pPr>
          </w:p>
        </w:tc>
        <w:tc>
          <w:tcPr>
            <w:tcW w:w="4927" w:type="dxa"/>
          </w:tcPr>
          <w:p w14:paraId="651EDE1C"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3818E706" wp14:editId="2E63AFF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73FE048D" w14:textId="77777777" w:rsidTr="00B84C43">
        <w:trPr>
          <w:trHeight w:val="1546"/>
        </w:trPr>
        <w:tc>
          <w:tcPr>
            <w:tcW w:w="4926" w:type="dxa"/>
          </w:tcPr>
          <w:p w14:paraId="4C36CB96" w14:textId="77777777" w:rsidR="00531873" w:rsidRPr="00C91687" w:rsidRDefault="00531873" w:rsidP="00531873">
            <w:pPr>
              <w:rPr>
                <w:b/>
                <w:sz w:val="20"/>
              </w:rPr>
            </w:pPr>
          </w:p>
        </w:tc>
        <w:tc>
          <w:tcPr>
            <w:tcW w:w="4927" w:type="dxa"/>
          </w:tcPr>
          <w:p w14:paraId="6D2D0AA3"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16267F4" wp14:editId="773AD195">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54829454" w14:textId="77777777" w:rsidTr="00B84C43">
        <w:trPr>
          <w:trHeight w:val="4114"/>
        </w:trPr>
        <w:tc>
          <w:tcPr>
            <w:tcW w:w="9853" w:type="dxa"/>
            <w:gridSpan w:val="2"/>
            <w:shd w:val="clear" w:color="auto" w:fill="D9D9D9" w:themeFill="background1" w:themeFillShade="D9"/>
          </w:tcPr>
          <w:p w14:paraId="73018071" w14:textId="1ECA6E69"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D279BB">
              <w:rPr>
                <w:b/>
              </w:rPr>
              <w:instrText>HYPERLINK "https://stat.gov.pl/obszary-tematyczne/inne-opracowania/informacje-o-sytuacji-spoleczno-gospodarczej/biuletyn-statystyczny-nr-82024,4,153.html" \o "Link do publikacji Biuletyn Statystyczny"</w:instrText>
            </w:r>
            <w:r w:rsidRPr="00B93797">
              <w:rPr>
                <w:b/>
              </w:rPr>
              <w:fldChar w:fldCharType="separate"/>
            </w:r>
            <w:r w:rsidRPr="00B93797">
              <w:rPr>
                <w:b/>
              </w:rPr>
              <w:t>ia</w:t>
            </w:r>
          </w:p>
          <w:p w14:paraId="1BA96C8F" w14:textId="77777777" w:rsidR="00B93797" w:rsidRPr="00B93797" w:rsidRDefault="00B93797" w:rsidP="00B93797">
            <w:pPr>
              <w:rPr>
                <w:rFonts w:cs="Times New Roman"/>
                <w:color w:val="001381"/>
                <w:u w:val="single"/>
              </w:rPr>
            </w:pPr>
            <w:r w:rsidRPr="00B93797">
              <w:rPr>
                <w:rFonts w:cs="Times New Roman"/>
                <w:color w:val="001381"/>
                <w:u w:val="single"/>
              </w:rPr>
              <w:t>Biuletyn Statystyczny</w:t>
            </w:r>
          </w:p>
          <w:p w14:paraId="4DB66704" w14:textId="77777777"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6A5BB2">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699ADFB7"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1381"/>
              </w:rPr>
              <w:fldChar w:fldCharType="end"/>
            </w:r>
            <w:r w:rsidRPr="00B93797">
              <w:rPr>
                <w:b/>
                <w:color w:val="000000" w:themeColor="text1"/>
                <w:szCs w:val="24"/>
              </w:rPr>
              <w:t>Temat dostępny w bazach danych</w:t>
            </w:r>
          </w:p>
          <w:p w14:paraId="75855275"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00E24D28">
              <w:rPr>
                <w:rFonts w:cs="Times New Roman"/>
                <w:color w:val="001381"/>
                <w:u w:val="single"/>
              </w:rPr>
              <w:instrText>HYPERLINK "https://dbw.stat.gov.pl/"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16B950B0"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5E591EEB"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1C03F2F1"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5E8BCBA9"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3410F081"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08E7641A" w14:textId="77777777" w:rsidR="00B93797" w:rsidRPr="00B93797" w:rsidRDefault="00B93797" w:rsidP="00B93797">
            <w:pPr>
              <w:rPr>
                <w:b/>
                <w:color w:val="000000" w:themeColor="text1"/>
                <w:szCs w:val="24"/>
              </w:rPr>
            </w:pPr>
          </w:p>
          <w:p w14:paraId="2FF7E7C1" w14:textId="77777777" w:rsidR="00531873" w:rsidRPr="00B93797" w:rsidRDefault="00531873" w:rsidP="00531873">
            <w:pPr>
              <w:rPr>
                <w:b/>
                <w:color w:val="000000" w:themeColor="text1"/>
                <w:szCs w:val="24"/>
              </w:rPr>
            </w:pPr>
          </w:p>
        </w:tc>
      </w:tr>
    </w:tbl>
    <w:p w14:paraId="308143B7" w14:textId="77777777" w:rsidR="000470AA" w:rsidRPr="00B93797" w:rsidRDefault="000470AA" w:rsidP="000470AA">
      <w:pPr>
        <w:rPr>
          <w:sz w:val="18"/>
        </w:rPr>
      </w:pPr>
    </w:p>
    <w:p w14:paraId="6A0F9E37" w14:textId="77777777" w:rsidR="000470AA" w:rsidRPr="00B93797" w:rsidRDefault="000470AA" w:rsidP="000470AA">
      <w:pPr>
        <w:rPr>
          <w:sz w:val="20"/>
        </w:rPr>
      </w:pPr>
    </w:p>
    <w:p w14:paraId="7435A2E8" w14:textId="77777777" w:rsidR="000470AA" w:rsidRPr="00B93797" w:rsidRDefault="000470AA" w:rsidP="000470AA">
      <w:pPr>
        <w:rPr>
          <w:sz w:val="18"/>
        </w:rPr>
      </w:pPr>
    </w:p>
    <w:p w14:paraId="48B792F2" w14:textId="77777777" w:rsidR="00D261A2" w:rsidRPr="00B93797" w:rsidRDefault="00D261A2" w:rsidP="00AD0E56">
      <w:pPr>
        <w:rPr>
          <w:sz w:val="18"/>
        </w:rPr>
      </w:pPr>
    </w:p>
    <w:sectPr w:rsidR="00D261A2" w:rsidRPr="00B9379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2A002" w14:textId="77777777" w:rsidR="001D4404" w:rsidRDefault="001D4404" w:rsidP="000662E2">
      <w:pPr>
        <w:spacing w:after="0" w:line="240" w:lineRule="auto"/>
      </w:pPr>
      <w:r>
        <w:separator/>
      </w:r>
    </w:p>
  </w:endnote>
  <w:endnote w:type="continuationSeparator" w:id="0">
    <w:p w14:paraId="12404C33" w14:textId="77777777" w:rsidR="001D4404" w:rsidRDefault="001D440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5634A5CC-6F46-4B27-A512-2C9DF1272C6B}"/>
    <w:embedBold r:id="rId2" w:fontKey="{E96F3786-F566-4453-925D-20DBCCE1B053}"/>
    <w:embedItalic r:id="rId3" w:fontKey="{65DEB4DB-6BA6-4F83-9BBF-133E0199B147}"/>
  </w:font>
  <w:font w:name="Fira Sans">
    <w:panose1 w:val="020B0503050000020004"/>
    <w:charset w:val="EE"/>
    <w:family w:val="swiss"/>
    <w:pitch w:val="variable"/>
    <w:sig w:usb0="600002FF" w:usb1="02000001" w:usb2="00000000" w:usb3="00000000" w:csb0="0000019F" w:csb1="00000000"/>
    <w:embedRegular r:id="rId4" w:fontKey="{75FD1E48-783A-4D03-9ABA-75A10F077C0E}"/>
    <w:embedBold r:id="rId5" w:fontKey="{C61DE06C-4218-4340-B45A-9E9943CC05DD}"/>
    <w:embedItalic r:id="rId6" w:fontKey="{140D8A5F-D19E-4DCD-9E63-F4C9E034C58C}"/>
  </w:font>
  <w:font w:name="Fira Sans SemiBold">
    <w:panose1 w:val="020B0603050000020004"/>
    <w:charset w:val="EE"/>
    <w:family w:val="swiss"/>
    <w:pitch w:val="variable"/>
    <w:sig w:usb0="600002FF" w:usb1="02000001" w:usb2="00000000" w:usb3="00000000" w:csb0="0000019F" w:csb1="00000000"/>
    <w:embedRegular r:id="rId7" w:fontKey="{AD49D65A-7B28-4463-B1A0-2F75A91F1604}"/>
    <w:embedBold r:id="rId8" w:fontKey="{D3FDF2FB-76C8-4BFC-B187-58B86BC0EEBC}"/>
  </w:font>
  <w:font w:name="Fira Sans Medium">
    <w:panose1 w:val="020B0603050000020004"/>
    <w:charset w:val="EE"/>
    <w:family w:val="swiss"/>
    <w:pitch w:val="variable"/>
    <w:sig w:usb0="600002FF" w:usb1="02000001" w:usb2="00000000" w:usb3="00000000" w:csb0="0000019F" w:csb1="00000000"/>
    <w:embedRegular r:id="rId9" w:fontKey="{65672627-547D-4140-8A5B-CA05388FFFD4}"/>
    <w:embedItalic r:id="rId10" w:fontKey="{4ABBB3C6-0039-41C0-A285-A86C49F3A6FE}"/>
  </w:font>
  <w:font w:name="Segoe UI">
    <w:panose1 w:val="020B0502040204020203"/>
    <w:charset w:val="EE"/>
    <w:family w:val="swiss"/>
    <w:pitch w:val="variable"/>
    <w:sig w:usb0="E4002EFF" w:usb1="C000E47F" w:usb2="00000009" w:usb3="00000000" w:csb0="000001FF" w:csb1="00000000"/>
    <w:embedRegular r:id="rId11" w:fontKey="{F575099E-BECE-472D-A24D-D3BB6E559752}"/>
  </w:font>
  <w:font w:name="Fira Sans Extra Condensed SemiB">
    <w:panose1 w:val="020B0603050000020004"/>
    <w:charset w:val="EE"/>
    <w:family w:val="swiss"/>
    <w:pitch w:val="variable"/>
    <w:sig w:usb0="600002FF" w:usb1="00000001" w:usb2="00000000" w:usb3="00000000" w:csb0="0000019F" w:csb1="00000000"/>
    <w:embedRegular r:id="rId12" w:fontKey="{D705D9D8-1A09-4129-BE76-E10BB5F6E418}"/>
  </w:font>
  <w:font w:name="Calibri">
    <w:panose1 w:val="020F0502020204030204"/>
    <w:charset w:val="EE"/>
    <w:family w:val="swiss"/>
    <w:pitch w:val="variable"/>
    <w:sig w:usb0="E4002EFF" w:usb1="C000247B" w:usb2="00000009" w:usb3="00000000" w:csb0="000001FF" w:csb1="00000000"/>
    <w:embedRegular r:id="rId13" w:fontKey="{7C48F2B4-CE69-4837-8530-6A8066AD6A12}"/>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083F332B"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EE408D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B7ED9BD"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2C5D13" w14:textId="77777777" w:rsidR="001D4404" w:rsidRDefault="001D4404" w:rsidP="000662E2">
      <w:pPr>
        <w:spacing w:after="0" w:line="240" w:lineRule="auto"/>
      </w:pPr>
      <w:r>
        <w:separator/>
      </w:r>
    </w:p>
  </w:footnote>
  <w:footnote w:type="continuationSeparator" w:id="0">
    <w:p w14:paraId="298AC7EC" w14:textId="77777777" w:rsidR="001D4404" w:rsidRDefault="001D4404"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C5291"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27C56C7" wp14:editId="1719D56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AE15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7B83395"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E9187"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551BAFD9" wp14:editId="2235E7DC">
          <wp:simplePos x="0" y="0"/>
          <wp:positionH relativeFrom="column">
            <wp:posOffset>13335</wp:posOffset>
          </wp:positionH>
          <wp:positionV relativeFrom="paragraph">
            <wp:posOffset>153670</wp:posOffset>
          </wp:positionV>
          <wp:extent cx="1125855" cy="431800"/>
          <wp:effectExtent l="0" t="0" r="0" b="6350"/>
          <wp:wrapSquare wrapText="bothSides"/>
          <wp:docPr id="28" name="Obraz 28"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090C961A" wp14:editId="42E7193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C961A" id="Schemat blokowy: opóźnienie 6" o:spid="_x0000_s1031"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36C04966" wp14:editId="09CC9AC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1635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F01E000" w14:textId="77777777" w:rsidR="00540C5C" w:rsidRDefault="00540C5C">
    <w:pPr>
      <w:pStyle w:val="Nagwek"/>
      <w:rPr>
        <w:noProof/>
        <w:lang w:eastAsia="pl-PL"/>
      </w:rPr>
    </w:pPr>
  </w:p>
  <w:p w14:paraId="65FB58DB" w14:textId="77777777" w:rsidR="00540C5C" w:rsidRDefault="00540C5C">
    <w:pPr>
      <w:pStyle w:val="Nagwek"/>
      <w:rPr>
        <w:noProof/>
        <w:lang w:eastAsia="pl-PL"/>
      </w:rPr>
    </w:pPr>
  </w:p>
  <w:p w14:paraId="768CC93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095AC480" wp14:editId="6DAC121B">
              <wp:simplePos x="0" y="0"/>
              <wp:positionH relativeFrom="column">
                <wp:posOffset>5287976</wp:posOffset>
              </wp:positionH>
              <wp:positionV relativeFrom="paragraph">
                <wp:posOffset>266065</wp:posOffset>
              </wp:positionV>
              <wp:extent cx="1432293" cy="336589"/>
              <wp:effectExtent l="0" t="0" r="0" b="6350"/>
              <wp:wrapNone/>
              <wp:docPr id="8" name="Pole tekstowe 2" descr="21.10.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52012DA" w14:textId="2A1CA248" w:rsidR="00F37172" w:rsidRPr="00A01B40" w:rsidRDefault="00D76881" w:rsidP="00F049AB">
                          <w:pPr>
                            <w:pStyle w:val="Datainformacjisygnalnej"/>
                          </w:pPr>
                          <w:r>
                            <w:t>21.10</w:t>
                          </w:r>
                          <w:r w:rsidR="003B7760">
                            <w:t>.</w:t>
                          </w:r>
                          <w:r w:rsidR="00E5253C">
                            <w:t>2024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AC480" id="_x0000_t202" coordsize="21600,21600" o:spt="202" path="m,l,21600r21600,l21600,xe">
              <v:stroke joinstyle="miter"/>
              <v:path gradientshapeok="t" o:connecttype="rect"/>
            </v:shapetype>
            <v:shape id="_x0000_s1032" type="#_x0000_t202" alt="21.10.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&#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Wei5cSACAAAUBAAADgAAAAAAAAAAAAAAAAAuAgAAZHJzL2Uyb0RvYy54bWxQ&#10;SwECLQAUAAYACAAAACEAtMlX394AAAAKAQAADwAAAAAAAAAAAAAAAAB6BAAAZHJzL2Rvd25yZXYu&#10;eG1sUEsFBgAAAAAEAAQA8wAAAIUFAAAAAA==&#10;" filled="f" stroked="f">
              <v:textbox>
                <w:txbxContent>
                  <w:p w14:paraId="352012DA" w14:textId="2A1CA248" w:rsidR="00F37172" w:rsidRPr="00A01B40" w:rsidRDefault="00D76881" w:rsidP="00F049AB">
                    <w:pPr>
                      <w:pStyle w:val="Datainformacjisygnalnej"/>
                    </w:pPr>
                    <w:r>
                      <w:t>21.10</w:t>
                    </w:r>
                    <w:r w:rsidR="003B7760">
                      <w:t>.</w:t>
                    </w:r>
                    <w:r w:rsidR="00E5253C">
                      <w:t>2024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30235" w14:textId="77777777" w:rsidR="00607CC5" w:rsidRDefault="00607CC5">
    <w:pPr>
      <w:pStyle w:val="Nagwek"/>
    </w:pPr>
  </w:p>
  <w:p w14:paraId="2FE86E77"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8" type="#_x0000_t75" style="width:125pt;height:128pt;visibility:visible;mso-wrap-style:square" o:bullet="t">
        <v:imagedata r:id="rId1" o:title=""/>
      </v:shape>
    </w:pict>
  </w:numPicBullet>
  <w:numPicBullet w:numPicBulletId="1">
    <w:pict>
      <v:shape id="_x0000_i1169" type="#_x0000_t75" style="width:124pt;height:128pt;visibility:visible;mso-wrap-style:square" o:bullet="t">
        <v:imagedata r:id="rId2" o:title=""/>
      </v:shape>
    </w:pict>
  </w:numPicBullet>
  <w:numPicBullet w:numPicBulletId="2">
    <w:pict>
      <v:shape id="_x0000_i1170" type="#_x0000_t75" style="width:18pt;height:24pt;visibility:visible;mso-wrap-style:square" o:bullet="t">
        <v:imagedata r:id="rId3" o:title=""/>
      </v:shape>
    </w:pict>
  </w:numPicBullet>
  <w:numPicBullet w:numPicBulletId="3">
    <w:pict>
      <v:shape id="_x0000_i1171" type="#_x0000_t75" style="width:18pt;height:24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0"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8"/>
  </w:num>
  <w:num w:numId="2">
    <w:abstractNumId w:val="3"/>
  </w:num>
  <w:num w:numId="3">
    <w:abstractNumId w:val="5"/>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386C"/>
    <w:rsid w:val="0001434B"/>
    <w:rsid w:val="000152F5"/>
    <w:rsid w:val="00015DC4"/>
    <w:rsid w:val="00020356"/>
    <w:rsid w:val="000256F6"/>
    <w:rsid w:val="00027704"/>
    <w:rsid w:val="00031DFF"/>
    <w:rsid w:val="000362EA"/>
    <w:rsid w:val="000376FB"/>
    <w:rsid w:val="000429DE"/>
    <w:rsid w:val="0004582E"/>
    <w:rsid w:val="000470AA"/>
    <w:rsid w:val="00052ADA"/>
    <w:rsid w:val="00056CA1"/>
    <w:rsid w:val="00057CA1"/>
    <w:rsid w:val="0006035A"/>
    <w:rsid w:val="000647A9"/>
    <w:rsid w:val="000662E2"/>
    <w:rsid w:val="00066883"/>
    <w:rsid w:val="00071B39"/>
    <w:rsid w:val="00074DD8"/>
    <w:rsid w:val="00075759"/>
    <w:rsid w:val="00075BD4"/>
    <w:rsid w:val="000764D4"/>
    <w:rsid w:val="000806F7"/>
    <w:rsid w:val="000911E3"/>
    <w:rsid w:val="000936C8"/>
    <w:rsid w:val="00095C4A"/>
    <w:rsid w:val="00097840"/>
    <w:rsid w:val="000A1088"/>
    <w:rsid w:val="000A4AF0"/>
    <w:rsid w:val="000A4C36"/>
    <w:rsid w:val="000B0727"/>
    <w:rsid w:val="000C135D"/>
    <w:rsid w:val="000D1D43"/>
    <w:rsid w:val="000D225C"/>
    <w:rsid w:val="000D2A5C"/>
    <w:rsid w:val="000D39F0"/>
    <w:rsid w:val="000E0918"/>
    <w:rsid w:val="000E33F3"/>
    <w:rsid w:val="000E53A8"/>
    <w:rsid w:val="000E6798"/>
    <w:rsid w:val="000E79A9"/>
    <w:rsid w:val="000F6AF8"/>
    <w:rsid w:val="001011C3"/>
    <w:rsid w:val="00103265"/>
    <w:rsid w:val="00106DA3"/>
    <w:rsid w:val="0010759D"/>
    <w:rsid w:val="00110214"/>
    <w:rsid w:val="001104B6"/>
    <w:rsid w:val="00110D87"/>
    <w:rsid w:val="00111CF4"/>
    <w:rsid w:val="00112399"/>
    <w:rsid w:val="00114658"/>
    <w:rsid w:val="00114D89"/>
    <w:rsid w:val="00114DB9"/>
    <w:rsid w:val="00116087"/>
    <w:rsid w:val="00117625"/>
    <w:rsid w:val="00117711"/>
    <w:rsid w:val="00130296"/>
    <w:rsid w:val="00133E7B"/>
    <w:rsid w:val="00134145"/>
    <w:rsid w:val="00136593"/>
    <w:rsid w:val="00136736"/>
    <w:rsid w:val="00136740"/>
    <w:rsid w:val="00136D67"/>
    <w:rsid w:val="001423B6"/>
    <w:rsid w:val="001427DF"/>
    <w:rsid w:val="00142947"/>
    <w:rsid w:val="001448A7"/>
    <w:rsid w:val="00146621"/>
    <w:rsid w:val="00151CA3"/>
    <w:rsid w:val="00160627"/>
    <w:rsid w:val="001617E3"/>
    <w:rsid w:val="00162325"/>
    <w:rsid w:val="00175562"/>
    <w:rsid w:val="00176F25"/>
    <w:rsid w:val="00191F12"/>
    <w:rsid w:val="001951DA"/>
    <w:rsid w:val="001A0BF9"/>
    <w:rsid w:val="001A3E87"/>
    <w:rsid w:val="001A532C"/>
    <w:rsid w:val="001A660E"/>
    <w:rsid w:val="001B053D"/>
    <w:rsid w:val="001B1018"/>
    <w:rsid w:val="001B2DC8"/>
    <w:rsid w:val="001C3269"/>
    <w:rsid w:val="001C3DA5"/>
    <w:rsid w:val="001D19B6"/>
    <w:rsid w:val="001D1DB4"/>
    <w:rsid w:val="001D23F1"/>
    <w:rsid w:val="001D25F9"/>
    <w:rsid w:val="001D331E"/>
    <w:rsid w:val="001D4404"/>
    <w:rsid w:val="001D58F3"/>
    <w:rsid w:val="001D6001"/>
    <w:rsid w:val="001D61ED"/>
    <w:rsid w:val="001D68C6"/>
    <w:rsid w:val="001E5B2D"/>
    <w:rsid w:val="001F16CA"/>
    <w:rsid w:val="001F768E"/>
    <w:rsid w:val="0020156C"/>
    <w:rsid w:val="00206ED7"/>
    <w:rsid w:val="002137CF"/>
    <w:rsid w:val="00216634"/>
    <w:rsid w:val="00223DE6"/>
    <w:rsid w:val="002371A1"/>
    <w:rsid w:val="00237913"/>
    <w:rsid w:val="00242D31"/>
    <w:rsid w:val="0024689C"/>
    <w:rsid w:val="00252BB9"/>
    <w:rsid w:val="00253AB6"/>
    <w:rsid w:val="0025481E"/>
    <w:rsid w:val="00254F11"/>
    <w:rsid w:val="002574F9"/>
    <w:rsid w:val="00262B61"/>
    <w:rsid w:val="00262CC6"/>
    <w:rsid w:val="00263E08"/>
    <w:rsid w:val="00272F82"/>
    <w:rsid w:val="00276209"/>
    <w:rsid w:val="002762FD"/>
    <w:rsid w:val="00276811"/>
    <w:rsid w:val="00277D2D"/>
    <w:rsid w:val="00282699"/>
    <w:rsid w:val="002870EE"/>
    <w:rsid w:val="00287BD5"/>
    <w:rsid w:val="002926DF"/>
    <w:rsid w:val="00294D62"/>
    <w:rsid w:val="00296697"/>
    <w:rsid w:val="0029799E"/>
    <w:rsid w:val="002A04C6"/>
    <w:rsid w:val="002A116F"/>
    <w:rsid w:val="002A1972"/>
    <w:rsid w:val="002A34CB"/>
    <w:rsid w:val="002B0472"/>
    <w:rsid w:val="002B238C"/>
    <w:rsid w:val="002B6B12"/>
    <w:rsid w:val="002C21F0"/>
    <w:rsid w:val="002C5774"/>
    <w:rsid w:val="002D01DF"/>
    <w:rsid w:val="002E30B2"/>
    <w:rsid w:val="002E3EB3"/>
    <w:rsid w:val="002E6140"/>
    <w:rsid w:val="002E6985"/>
    <w:rsid w:val="002E71B6"/>
    <w:rsid w:val="002F35F6"/>
    <w:rsid w:val="002F6E5D"/>
    <w:rsid w:val="002F77C8"/>
    <w:rsid w:val="002F7CBF"/>
    <w:rsid w:val="00303F88"/>
    <w:rsid w:val="00304715"/>
    <w:rsid w:val="00304F22"/>
    <w:rsid w:val="003054D1"/>
    <w:rsid w:val="00305A0C"/>
    <w:rsid w:val="00306C7C"/>
    <w:rsid w:val="00313831"/>
    <w:rsid w:val="00313F5C"/>
    <w:rsid w:val="00314F86"/>
    <w:rsid w:val="0031546E"/>
    <w:rsid w:val="00315499"/>
    <w:rsid w:val="00317F4D"/>
    <w:rsid w:val="00321466"/>
    <w:rsid w:val="00322EDD"/>
    <w:rsid w:val="00327223"/>
    <w:rsid w:val="003309FA"/>
    <w:rsid w:val="00331135"/>
    <w:rsid w:val="00332320"/>
    <w:rsid w:val="00332784"/>
    <w:rsid w:val="0033491E"/>
    <w:rsid w:val="00340F5D"/>
    <w:rsid w:val="003440D1"/>
    <w:rsid w:val="00347D72"/>
    <w:rsid w:val="00352178"/>
    <w:rsid w:val="00353C85"/>
    <w:rsid w:val="00353F45"/>
    <w:rsid w:val="00354589"/>
    <w:rsid w:val="00355B6D"/>
    <w:rsid w:val="00357611"/>
    <w:rsid w:val="0036432A"/>
    <w:rsid w:val="00364AF9"/>
    <w:rsid w:val="00367237"/>
    <w:rsid w:val="0037077F"/>
    <w:rsid w:val="00372411"/>
    <w:rsid w:val="00373573"/>
    <w:rsid w:val="00373882"/>
    <w:rsid w:val="003843DB"/>
    <w:rsid w:val="00393761"/>
    <w:rsid w:val="003937A5"/>
    <w:rsid w:val="00394E26"/>
    <w:rsid w:val="00396691"/>
    <w:rsid w:val="00397D18"/>
    <w:rsid w:val="003A1B36"/>
    <w:rsid w:val="003B1454"/>
    <w:rsid w:val="003B18B6"/>
    <w:rsid w:val="003B7760"/>
    <w:rsid w:val="003B79B1"/>
    <w:rsid w:val="003C161B"/>
    <w:rsid w:val="003C59E0"/>
    <w:rsid w:val="003C6C8D"/>
    <w:rsid w:val="003D0894"/>
    <w:rsid w:val="003D2656"/>
    <w:rsid w:val="003D4F95"/>
    <w:rsid w:val="003D5F42"/>
    <w:rsid w:val="003D60A9"/>
    <w:rsid w:val="003E1E94"/>
    <w:rsid w:val="003E4211"/>
    <w:rsid w:val="003E4367"/>
    <w:rsid w:val="003F0BD9"/>
    <w:rsid w:val="003F4C97"/>
    <w:rsid w:val="003F52A6"/>
    <w:rsid w:val="003F5902"/>
    <w:rsid w:val="003F666D"/>
    <w:rsid w:val="003F7FE6"/>
    <w:rsid w:val="00400193"/>
    <w:rsid w:val="00416EAF"/>
    <w:rsid w:val="004212E7"/>
    <w:rsid w:val="00423C88"/>
    <w:rsid w:val="0042446D"/>
    <w:rsid w:val="00426319"/>
    <w:rsid w:val="00427BF8"/>
    <w:rsid w:val="00431C02"/>
    <w:rsid w:val="00437395"/>
    <w:rsid w:val="00437615"/>
    <w:rsid w:val="004411FB"/>
    <w:rsid w:val="00445047"/>
    <w:rsid w:val="00445B7B"/>
    <w:rsid w:val="00446749"/>
    <w:rsid w:val="00450355"/>
    <w:rsid w:val="00453B07"/>
    <w:rsid w:val="00453EB7"/>
    <w:rsid w:val="00463E39"/>
    <w:rsid w:val="00464878"/>
    <w:rsid w:val="004657FC"/>
    <w:rsid w:val="00466D1E"/>
    <w:rsid w:val="004713D9"/>
    <w:rsid w:val="004733F6"/>
    <w:rsid w:val="00473ED8"/>
    <w:rsid w:val="00474E69"/>
    <w:rsid w:val="00475FCB"/>
    <w:rsid w:val="004764A7"/>
    <w:rsid w:val="00483E9F"/>
    <w:rsid w:val="00485A2C"/>
    <w:rsid w:val="00486F57"/>
    <w:rsid w:val="00487221"/>
    <w:rsid w:val="0049621B"/>
    <w:rsid w:val="004A1D19"/>
    <w:rsid w:val="004A36E3"/>
    <w:rsid w:val="004B26F4"/>
    <w:rsid w:val="004B31CE"/>
    <w:rsid w:val="004B4292"/>
    <w:rsid w:val="004C058E"/>
    <w:rsid w:val="004C1895"/>
    <w:rsid w:val="004C6D40"/>
    <w:rsid w:val="004D6A2F"/>
    <w:rsid w:val="004E0DA6"/>
    <w:rsid w:val="004E1B40"/>
    <w:rsid w:val="004E6AA8"/>
    <w:rsid w:val="004E74D9"/>
    <w:rsid w:val="004F0C3C"/>
    <w:rsid w:val="004F2280"/>
    <w:rsid w:val="004F23BB"/>
    <w:rsid w:val="004F63FC"/>
    <w:rsid w:val="004F6484"/>
    <w:rsid w:val="005014C4"/>
    <w:rsid w:val="00505A92"/>
    <w:rsid w:val="00512F7A"/>
    <w:rsid w:val="005203F1"/>
    <w:rsid w:val="00521266"/>
    <w:rsid w:val="00521BC3"/>
    <w:rsid w:val="00526509"/>
    <w:rsid w:val="00530D9A"/>
    <w:rsid w:val="00531873"/>
    <w:rsid w:val="00531F6D"/>
    <w:rsid w:val="00533632"/>
    <w:rsid w:val="00534013"/>
    <w:rsid w:val="00540C5C"/>
    <w:rsid w:val="00541E6E"/>
    <w:rsid w:val="0054212B"/>
    <w:rsid w:val="0054220A"/>
    <w:rsid w:val="0054251F"/>
    <w:rsid w:val="00542FA8"/>
    <w:rsid w:val="00546621"/>
    <w:rsid w:val="00546CFA"/>
    <w:rsid w:val="00547BFC"/>
    <w:rsid w:val="005520D8"/>
    <w:rsid w:val="00553507"/>
    <w:rsid w:val="00555033"/>
    <w:rsid w:val="00555CFB"/>
    <w:rsid w:val="00555E37"/>
    <w:rsid w:val="00556ADB"/>
    <w:rsid w:val="00556CF1"/>
    <w:rsid w:val="00567743"/>
    <w:rsid w:val="005762A7"/>
    <w:rsid w:val="00577849"/>
    <w:rsid w:val="00580A62"/>
    <w:rsid w:val="00586677"/>
    <w:rsid w:val="00587CEE"/>
    <w:rsid w:val="005916D7"/>
    <w:rsid w:val="00592FF0"/>
    <w:rsid w:val="00593E17"/>
    <w:rsid w:val="0059427F"/>
    <w:rsid w:val="005943BA"/>
    <w:rsid w:val="005A30BC"/>
    <w:rsid w:val="005A698C"/>
    <w:rsid w:val="005B25DF"/>
    <w:rsid w:val="005B3FDB"/>
    <w:rsid w:val="005B437B"/>
    <w:rsid w:val="005B5C9D"/>
    <w:rsid w:val="005B63D1"/>
    <w:rsid w:val="005B699B"/>
    <w:rsid w:val="005C0CAC"/>
    <w:rsid w:val="005C4C9E"/>
    <w:rsid w:val="005C6687"/>
    <w:rsid w:val="005C73E3"/>
    <w:rsid w:val="005D062E"/>
    <w:rsid w:val="005D1A1E"/>
    <w:rsid w:val="005D2F6B"/>
    <w:rsid w:val="005D334E"/>
    <w:rsid w:val="005E0799"/>
    <w:rsid w:val="005E10F9"/>
    <w:rsid w:val="005E1200"/>
    <w:rsid w:val="005E2754"/>
    <w:rsid w:val="005F45EE"/>
    <w:rsid w:val="005F5A80"/>
    <w:rsid w:val="005F7611"/>
    <w:rsid w:val="00604281"/>
    <w:rsid w:val="006044FF"/>
    <w:rsid w:val="00607CC5"/>
    <w:rsid w:val="00611065"/>
    <w:rsid w:val="0061179B"/>
    <w:rsid w:val="00611E2F"/>
    <w:rsid w:val="006125F9"/>
    <w:rsid w:val="0062603A"/>
    <w:rsid w:val="00631752"/>
    <w:rsid w:val="00633014"/>
    <w:rsid w:val="0063437B"/>
    <w:rsid w:val="0063660D"/>
    <w:rsid w:val="00636847"/>
    <w:rsid w:val="0064017E"/>
    <w:rsid w:val="00642461"/>
    <w:rsid w:val="00654BB6"/>
    <w:rsid w:val="00655769"/>
    <w:rsid w:val="00656D25"/>
    <w:rsid w:val="00660971"/>
    <w:rsid w:val="0066387C"/>
    <w:rsid w:val="00665010"/>
    <w:rsid w:val="006673CA"/>
    <w:rsid w:val="00671737"/>
    <w:rsid w:val="00671B17"/>
    <w:rsid w:val="00673C26"/>
    <w:rsid w:val="00674DE5"/>
    <w:rsid w:val="00677ACA"/>
    <w:rsid w:val="006812AF"/>
    <w:rsid w:val="0068327D"/>
    <w:rsid w:val="00686294"/>
    <w:rsid w:val="00691534"/>
    <w:rsid w:val="00693880"/>
    <w:rsid w:val="00693893"/>
    <w:rsid w:val="00694AF0"/>
    <w:rsid w:val="00696D43"/>
    <w:rsid w:val="006A2A13"/>
    <w:rsid w:val="006A3BF8"/>
    <w:rsid w:val="006A4686"/>
    <w:rsid w:val="006A5BB2"/>
    <w:rsid w:val="006B0E9E"/>
    <w:rsid w:val="006B1347"/>
    <w:rsid w:val="006B486D"/>
    <w:rsid w:val="006B5AE4"/>
    <w:rsid w:val="006B615D"/>
    <w:rsid w:val="006B798F"/>
    <w:rsid w:val="006D0AE5"/>
    <w:rsid w:val="006D1507"/>
    <w:rsid w:val="006D1608"/>
    <w:rsid w:val="006D4054"/>
    <w:rsid w:val="006D47E7"/>
    <w:rsid w:val="006D7409"/>
    <w:rsid w:val="006E02EC"/>
    <w:rsid w:val="006E1465"/>
    <w:rsid w:val="006E3C4F"/>
    <w:rsid w:val="006E6F41"/>
    <w:rsid w:val="006E73E6"/>
    <w:rsid w:val="006E7B9A"/>
    <w:rsid w:val="006F382A"/>
    <w:rsid w:val="006F6037"/>
    <w:rsid w:val="006F67D7"/>
    <w:rsid w:val="006F7F6A"/>
    <w:rsid w:val="0070402D"/>
    <w:rsid w:val="007108F0"/>
    <w:rsid w:val="00710E54"/>
    <w:rsid w:val="007211B1"/>
    <w:rsid w:val="007277DA"/>
    <w:rsid w:val="00731D27"/>
    <w:rsid w:val="007357EB"/>
    <w:rsid w:val="007414C9"/>
    <w:rsid w:val="00745758"/>
    <w:rsid w:val="00746187"/>
    <w:rsid w:val="00757414"/>
    <w:rsid w:val="0076254F"/>
    <w:rsid w:val="007709AA"/>
    <w:rsid w:val="00772D50"/>
    <w:rsid w:val="007801F5"/>
    <w:rsid w:val="00782C31"/>
    <w:rsid w:val="00783CA4"/>
    <w:rsid w:val="007842FB"/>
    <w:rsid w:val="00786124"/>
    <w:rsid w:val="00792D90"/>
    <w:rsid w:val="00794E39"/>
    <w:rsid w:val="0079514B"/>
    <w:rsid w:val="00795252"/>
    <w:rsid w:val="007975FB"/>
    <w:rsid w:val="007A2DC1"/>
    <w:rsid w:val="007A5771"/>
    <w:rsid w:val="007B16B8"/>
    <w:rsid w:val="007B6F96"/>
    <w:rsid w:val="007C0C9B"/>
    <w:rsid w:val="007C61C9"/>
    <w:rsid w:val="007D0869"/>
    <w:rsid w:val="007D14C4"/>
    <w:rsid w:val="007D3319"/>
    <w:rsid w:val="007D335D"/>
    <w:rsid w:val="007D605C"/>
    <w:rsid w:val="007E3314"/>
    <w:rsid w:val="007E3514"/>
    <w:rsid w:val="007E4B03"/>
    <w:rsid w:val="007E565B"/>
    <w:rsid w:val="007E7376"/>
    <w:rsid w:val="007E7FD7"/>
    <w:rsid w:val="007F324B"/>
    <w:rsid w:val="007F702E"/>
    <w:rsid w:val="0080553C"/>
    <w:rsid w:val="00805B46"/>
    <w:rsid w:val="00805DB4"/>
    <w:rsid w:val="0080796E"/>
    <w:rsid w:val="00810724"/>
    <w:rsid w:val="008175AE"/>
    <w:rsid w:val="00823593"/>
    <w:rsid w:val="00825DC2"/>
    <w:rsid w:val="00834AD3"/>
    <w:rsid w:val="00840382"/>
    <w:rsid w:val="00843795"/>
    <w:rsid w:val="00844237"/>
    <w:rsid w:val="00847F0F"/>
    <w:rsid w:val="00852448"/>
    <w:rsid w:val="00856833"/>
    <w:rsid w:val="00862763"/>
    <w:rsid w:val="0086336E"/>
    <w:rsid w:val="00877F6C"/>
    <w:rsid w:val="0088258A"/>
    <w:rsid w:val="00883E43"/>
    <w:rsid w:val="00885959"/>
    <w:rsid w:val="00886332"/>
    <w:rsid w:val="00887C79"/>
    <w:rsid w:val="008925F0"/>
    <w:rsid w:val="008938CA"/>
    <w:rsid w:val="0089448A"/>
    <w:rsid w:val="00894DE8"/>
    <w:rsid w:val="00895062"/>
    <w:rsid w:val="00897877"/>
    <w:rsid w:val="008A1B2D"/>
    <w:rsid w:val="008A26D9"/>
    <w:rsid w:val="008A7B5B"/>
    <w:rsid w:val="008B12D2"/>
    <w:rsid w:val="008B3ED3"/>
    <w:rsid w:val="008B5916"/>
    <w:rsid w:val="008C00F1"/>
    <w:rsid w:val="008C0C29"/>
    <w:rsid w:val="008C4E9B"/>
    <w:rsid w:val="008C7DE6"/>
    <w:rsid w:val="008D02DA"/>
    <w:rsid w:val="008D33CD"/>
    <w:rsid w:val="008D6319"/>
    <w:rsid w:val="008D76BC"/>
    <w:rsid w:val="008E3EA9"/>
    <w:rsid w:val="008E6C7C"/>
    <w:rsid w:val="008E6EDA"/>
    <w:rsid w:val="008E7DBA"/>
    <w:rsid w:val="008F0829"/>
    <w:rsid w:val="008F3638"/>
    <w:rsid w:val="008F4441"/>
    <w:rsid w:val="008F6B20"/>
    <w:rsid w:val="008F6F31"/>
    <w:rsid w:val="008F74DF"/>
    <w:rsid w:val="008F7A83"/>
    <w:rsid w:val="00900171"/>
    <w:rsid w:val="00902274"/>
    <w:rsid w:val="009127BA"/>
    <w:rsid w:val="00920AAE"/>
    <w:rsid w:val="009227A6"/>
    <w:rsid w:val="00926FF3"/>
    <w:rsid w:val="00932D5D"/>
    <w:rsid w:val="00933EC1"/>
    <w:rsid w:val="0093600A"/>
    <w:rsid w:val="00937DFE"/>
    <w:rsid w:val="009446AD"/>
    <w:rsid w:val="00950E4C"/>
    <w:rsid w:val="009511FD"/>
    <w:rsid w:val="00952C51"/>
    <w:rsid w:val="009530DB"/>
    <w:rsid w:val="00953676"/>
    <w:rsid w:val="00956F30"/>
    <w:rsid w:val="009570E2"/>
    <w:rsid w:val="00964FA3"/>
    <w:rsid w:val="009664F7"/>
    <w:rsid w:val="00966C9A"/>
    <w:rsid w:val="00966CF2"/>
    <w:rsid w:val="00967527"/>
    <w:rsid w:val="009705EE"/>
    <w:rsid w:val="00974A9F"/>
    <w:rsid w:val="00977927"/>
    <w:rsid w:val="0098135C"/>
    <w:rsid w:val="0098156A"/>
    <w:rsid w:val="00981587"/>
    <w:rsid w:val="00991B7A"/>
    <w:rsid w:val="00991BAC"/>
    <w:rsid w:val="00994D64"/>
    <w:rsid w:val="009A6EA0"/>
    <w:rsid w:val="009B2A4A"/>
    <w:rsid w:val="009B3364"/>
    <w:rsid w:val="009C1335"/>
    <w:rsid w:val="009C1AB2"/>
    <w:rsid w:val="009C2C26"/>
    <w:rsid w:val="009C7251"/>
    <w:rsid w:val="009D0892"/>
    <w:rsid w:val="009D380E"/>
    <w:rsid w:val="009E012F"/>
    <w:rsid w:val="009E2E91"/>
    <w:rsid w:val="009E3C05"/>
    <w:rsid w:val="009E7424"/>
    <w:rsid w:val="009E74E1"/>
    <w:rsid w:val="009F11AD"/>
    <w:rsid w:val="00A01B40"/>
    <w:rsid w:val="00A04531"/>
    <w:rsid w:val="00A139F5"/>
    <w:rsid w:val="00A2681A"/>
    <w:rsid w:val="00A26CE5"/>
    <w:rsid w:val="00A32C7C"/>
    <w:rsid w:val="00A32E16"/>
    <w:rsid w:val="00A365F4"/>
    <w:rsid w:val="00A36EEA"/>
    <w:rsid w:val="00A42ED6"/>
    <w:rsid w:val="00A460CD"/>
    <w:rsid w:val="00A465FA"/>
    <w:rsid w:val="00A47D80"/>
    <w:rsid w:val="00A52878"/>
    <w:rsid w:val="00A5301B"/>
    <w:rsid w:val="00A53132"/>
    <w:rsid w:val="00A55249"/>
    <w:rsid w:val="00A563F2"/>
    <w:rsid w:val="00A566E8"/>
    <w:rsid w:val="00A61BBA"/>
    <w:rsid w:val="00A65B36"/>
    <w:rsid w:val="00A66347"/>
    <w:rsid w:val="00A66E9B"/>
    <w:rsid w:val="00A71E0F"/>
    <w:rsid w:val="00A810F9"/>
    <w:rsid w:val="00A822B0"/>
    <w:rsid w:val="00A82D31"/>
    <w:rsid w:val="00A85E7E"/>
    <w:rsid w:val="00A86ECC"/>
    <w:rsid w:val="00A86FCC"/>
    <w:rsid w:val="00A90A6D"/>
    <w:rsid w:val="00A92A63"/>
    <w:rsid w:val="00A92B87"/>
    <w:rsid w:val="00A971E5"/>
    <w:rsid w:val="00A97886"/>
    <w:rsid w:val="00AA25FB"/>
    <w:rsid w:val="00AA710D"/>
    <w:rsid w:val="00AA7E25"/>
    <w:rsid w:val="00AB1D5F"/>
    <w:rsid w:val="00AB1F20"/>
    <w:rsid w:val="00AB507D"/>
    <w:rsid w:val="00AB64F3"/>
    <w:rsid w:val="00AB6D25"/>
    <w:rsid w:val="00AC0FA0"/>
    <w:rsid w:val="00AC4EA4"/>
    <w:rsid w:val="00AD0E56"/>
    <w:rsid w:val="00AD2909"/>
    <w:rsid w:val="00AD50D1"/>
    <w:rsid w:val="00AD7663"/>
    <w:rsid w:val="00AE229B"/>
    <w:rsid w:val="00AE2D4B"/>
    <w:rsid w:val="00AE4F99"/>
    <w:rsid w:val="00AE7E38"/>
    <w:rsid w:val="00AF2FCA"/>
    <w:rsid w:val="00B0274A"/>
    <w:rsid w:val="00B064F7"/>
    <w:rsid w:val="00B066C7"/>
    <w:rsid w:val="00B11B69"/>
    <w:rsid w:val="00B14952"/>
    <w:rsid w:val="00B1620E"/>
    <w:rsid w:val="00B16871"/>
    <w:rsid w:val="00B25B45"/>
    <w:rsid w:val="00B31E5A"/>
    <w:rsid w:val="00B36389"/>
    <w:rsid w:val="00B47359"/>
    <w:rsid w:val="00B47B33"/>
    <w:rsid w:val="00B57DAE"/>
    <w:rsid w:val="00B632F9"/>
    <w:rsid w:val="00B65317"/>
    <w:rsid w:val="00B653AB"/>
    <w:rsid w:val="00B65F9E"/>
    <w:rsid w:val="00B66B19"/>
    <w:rsid w:val="00B7386E"/>
    <w:rsid w:val="00B803A7"/>
    <w:rsid w:val="00B83D1E"/>
    <w:rsid w:val="00B84C43"/>
    <w:rsid w:val="00B854F6"/>
    <w:rsid w:val="00B85562"/>
    <w:rsid w:val="00B914E9"/>
    <w:rsid w:val="00B93797"/>
    <w:rsid w:val="00B956EE"/>
    <w:rsid w:val="00BA019D"/>
    <w:rsid w:val="00BA07C7"/>
    <w:rsid w:val="00BA176A"/>
    <w:rsid w:val="00BA2BA1"/>
    <w:rsid w:val="00BA3447"/>
    <w:rsid w:val="00BA3562"/>
    <w:rsid w:val="00BB0708"/>
    <w:rsid w:val="00BB4F09"/>
    <w:rsid w:val="00BB54B5"/>
    <w:rsid w:val="00BC248A"/>
    <w:rsid w:val="00BC38A5"/>
    <w:rsid w:val="00BD3185"/>
    <w:rsid w:val="00BD4E33"/>
    <w:rsid w:val="00BD6FD5"/>
    <w:rsid w:val="00BE5E5E"/>
    <w:rsid w:val="00BF6C1D"/>
    <w:rsid w:val="00C007F1"/>
    <w:rsid w:val="00C030DE"/>
    <w:rsid w:val="00C04C07"/>
    <w:rsid w:val="00C051A8"/>
    <w:rsid w:val="00C07CCB"/>
    <w:rsid w:val="00C12F50"/>
    <w:rsid w:val="00C148BD"/>
    <w:rsid w:val="00C14EB5"/>
    <w:rsid w:val="00C158BF"/>
    <w:rsid w:val="00C16683"/>
    <w:rsid w:val="00C16889"/>
    <w:rsid w:val="00C22105"/>
    <w:rsid w:val="00C244B6"/>
    <w:rsid w:val="00C25CC3"/>
    <w:rsid w:val="00C27BF1"/>
    <w:rsid w:val="00C30BBC"/>
    <w:rsid w:val="00C310E6"/>
    <w:rsid w:val="00C3702F"/>
    <w:rsid w:val="00C4500A"/>
    <w:rsid w:val="00C45845"/>
    <w:rsid w:val="00C47EBB"/>
    <w:rsid w:val="00C555F9"/>
    <w:rsid w:val="00C62238"/>
    <w:rsid w:val="00C64A37"/>
    <w:rsid w:val="00C67D83"/>
    <w:rsid w:val="00C7158E"/>
    <w:rsid w:val="00C71B85"/>
    <w:rsid w:val="00C7250B"/>
    <w:rsid w:val="00C7346B"/>
    <w:rsid w:val="00C739CC"/>
    <w:rsid w:val="00C745A9"/>
    <w:rsid w:val="00C778B0"/>
    <w:rsid w:val="00C77C0E"/>
    <w:rsid w:val="00C80F39"/>
    <w:rsid w:val="00C90C9A"/>
    <w:rsid w:val="00C91687"/>
    <w:rsid w:val="00C924A8"/>
    <w:rsid w:val="00C945FE"/>
    <w:rsid w:val="00C96FAA"/>
    <w:rsid w:val="00C97A04"/>
    <w:rsid w:val="00CA107B"/>
    <w:rsid w:val="00CA2619"/>
    <w:rsid w:val="00CA3230"/>
    <w:rsid w:val="00CA38E5"/>
    <w:rsid w:val="00CA484D"/>
    <w:rsid w:val="00CA4FB6"/>
    <w:rsid w:val="00CA7A4D"/>
    <w:rsid w:val="00CB0BC5"/>
    <w:rsid w:val="00CB2F90"/>
    <w:rsid w:val="00CB500E"/>
    <w:rsid w:val="00CB6AD4"/>
    <w:rsid w:val="00CB7D7C"/>
    <w:rsid w:val="00CC4D95"/>
    <w:rsid w:val="00CC739E"/>
    <w:rsid w:val="00CD1EBB"/>
    <w:rsid w:val="00CD28CF"/>
    <w:rsid w:val="00CD58B7"/>
    <w:rsid w:val="00CD7967"/>
    <w:rsid w:val="00CE073A"/>
    <w:rsid w:val="00CE4307"/>
    <w:rsid w:val="00CE5656"/>
    <w:rsid w:val="00CE6A09"/>
    <w:rsid w:val="00CF0410"/>
    <w:rsid w:val="00CF0A53"/>
    <w:rsid w:val="00CF18EE"/>
    <w:rsid w:val="00CF1BC6"/>
    <w:rsid w:val="00CF2B56"/>
    <w:rsid w:val="00CF30BD"/>
    <w:rsid w:val="00CF4099"/>
    <w:rsid w:val="00CF4FDA"/>
    <w:rsid w:val="00D0069C"/>
    <w:rsid w:val="00D00796"/>
    <w:rsid w:val="00D00DC1"/>
    <w:rsid w:val="00D02A2D"/>
    <w:rsid w:val="00D047FA"/>
    <w:rsid w:val="00D061F9"/>
    <w:rsid w:val="00D06ABA"/>
    <w:rsid w:val="00D0798D"/>
    <w:rsid w:val="00D14850"/>
    <w:rsid w:val="00D20E55"/>
    <w:rsid w:val="00D261A2"/>
    <w:rsid w:val="00D261D9"/>
    <w:rsid w:val="00D279BB"/>
    <w:rsid w:val="00D31908"/>
    <w:rsid w:val="00D32B2C"/>
    <w:rsid w:val="00D34A5C"/>
    <w:rsid w:val="00D51274"/>
    <w:rsid w:val="00D516D9"/>
    <w:rsid w:val="00D616D2"/>
    <w:rsid w:val="00D63B5F"/>
    <w:rsid w:val="00D663C0"/>
    <w:rsid w:val="00D70EF7"/>
    <w:rsid w:val="00D76881"/>
    <w:rsid w:val="00D8306C"/>
    <w:rsid w:val="00D8397C"/>
    <w:rsid w:val="00D86077"/>
    <w:rsid w:val="00D90F4D"/>
    <w:rsid w:val="00D90F8A"/>
    <w:rsid w:val="00D92B6C"/>
    <w:rsid w:val="00D94EED"/>
    <w:rsid w:val="00D96026"/>
    <w:rsid w:val="00D972F6"/>
    <w:rsid w:val="00DA331D"/>
    <w:rsid w:val="00DA6FA1"/>
    <w:rsid w:val="00DA7C1C"/>
    <w:rsid w:val="00DB06FD"/>
    <w:rsid w:val="00DB147A"/>
    <w:rsid w:val="00DB1B7A"/>
    <w:rsid w:val="00DB443F"/>
    <w:rsid w:val="00DB4D47"/>
    <w:rsid w:val="00DB5953"/>
    <w:rsid w:val="00DB5CDC"/>
    <w:rsid w:val="00DB706E"/>
    <w:rsid w:val="00DC2453"/>
    <w:rsid w:val="00DC6708"/>
    <w:rsid w:val="00DC688F"/>
    <w:rsid w:val="00DC6D14"/>
    <w:rsid w:val="00DC7404"/>
    <w:rsid w:val="00DD011A"/>
    <w:rsid w:val="00DD50F0"/>
    <w:rsid w:val="00DE2400"/>
    <w:rsid w:val="00DE58F1"/>
    <w:rsid w:val="00DE6B58"/>
    <w:rsid w:val="00DF1493"/>
    <w:rsid w:val="00DF5E32"/>
    <w:rsid w:val="00DF72AA"/>
    <w:rsid w:val="00E01436"/>
    <w:rsid w:val="00E0332C"/>
    <w:rsid w:val="00E03E79"/>
    <w:rsid w:val="00E045BD"/>
    <w:rsid w:val="00E04D6C"/>
    <w:rsid w:val="00E12280"/>
    <w:rsid w:val="00E1241A"/>
    <w:rsid w:val="00E17B77"/>
    <w:rsid w:val="00E231AB"/>
    <w:rsid w:val="00E23337"/>
    <w:rsid w:val="00E24D28"/>
    <w:rsid w:val="00E259EA"/>
    <w:rsid w:val="00E25D33"/>
    <w:rsid w:val="00E2752C"/>
    <w:rsid w:val="00E30098"/>
    <w:rsid w:val="00E315B8"/>
    <w:rsid w:val="00E32061"/>
    <w:rsid w:val="00E327D1"/>
    <w:rsid w:val="00E33F48"/>
    <w:rsid w:val="00E40BEE"/>
    <w:rsid w:val="00E42FF9"/>
    <w:rsid w:val="00E44790"/>
    <w:rsid w:val="00E45145"/>
    <w:rsid w:val="00E4714C"/>
    <w:rsid w:val="00E5178D"/>
    <w:rsid w:val="00E51AEB"/>
    <w:rsid w:val="00E522A7"/>
    <w:rsid w:val="00E5253C"/>
    <w:rsid w:val="00E5349E"/>
    <w:rsid w:val="00E54452"/>
    <w:rsid w:val="00E564B6"/>
    <w:rsid w:val="00E56D6D"/>
    <w:rsid w:val="00E63B0C"/>
    <w:rsid w:val="00E664C5"/>
    <w:rsid w:val="00E671A2"/>
    <w:rsid w:val="00E7339C"/>
    <w:rsid w:val="00E76D26"/>
    <w:rsid w:val="00E76EE5"/>
    <w:rsid w:val="00E77D2D"/>
    <w:rsid w:val="00E85FF1"/>
    <w:rsid w:val="00E907F1"/>
    <w:rsid w:val="00E90EB4"/>
    <w:rsid w:val="00E91E5D"/>
    <w:rsid w:val="00E95036"/>
    <w:rsid w:val="00E9584E"/>
    <w:rsid w:val="00E95B8E"/>
    <w:rsid w:val="00EA5870"/>
    <w:rsid w:val="00EB1390"/>
    <w:rsid w:val="00EB2C71"/>
    <w:rsid w:val="00EB3333"/>
    <w:rsid w:val="00EB4340"/>
    <w:rsid w:val="00EB556D"/>
    <w:rsid w:val="00EB5A7D"/>
    <w:rsid w:val="00EC0534"/>
    <w:rsid w:val="00EC231F"/>
    <w:rsid w:val="00ED55C0"/>
    <w:rsid w:val="00ED682B"/>
    <w:rsid w:val="00EE1130"/>
    <w:rsid w:val="00EE41D5"/>
    <w:rsid w:val="00EE4781"/>
    <w:rsid w:val="00EE4C9D"/>
    <w:rsid w:val="00EE52AC"/>
    <w:rsid w:val="00EF2D7E"/>
    <w:rsid w:val="00EF5D0A"/>
    <w:rsid w:val="00EF6BCB"/>
    <w:rsid w:val="00EF6FC5"/>
    <w:rsid w:val="00F0166F"/>
    <w:rsid w:val="00F037A4"/>
    <w:rsid w:val="00F03D62"/>
    <w:rsid w:val="00F049AB"/>
    <w:rsid w:val="00F04AA5"/>
    <w:rsid w:val="00F067C0"/>
    <w:rsid w:val="00F12486"/>
    <w:rsid w:val="00F142DB"/>
    <w:rsid w:val="00F1501C"/>
    <w:rsid w:val="00F22553"/>
    <w:rsid w:val="00F23A83"/>
    <w:rsid w:val="00F23DAE"/>
    <w:rsid w:val="00F27C8F"/>
    <w:rsid w:val="00F32749"/>
    <w:rsid w:val="00F329AD"/>
    <w:rsid w:val="00F36ECB"/>
    <w:rsid w:val="00F37172"/>
    <w:rsid w:val="00F37727"/>
    <w:rsid w:val="00F4474E"/>
    <w:rsid w:val="00F4477E"/>
    <w:rsid w:val="00F46269"/>
    <w:rsid w:val="00F52A42"/>
    <w:rsid w:val="00F56D7A"/>
    <w:rsid w:val="00F60BA8"/>
    <w:rsid w:val="00F65A5A"/>
    <w:rsid w:val="00F663F2"/>
    <w:rsid w:val="00F67D8F"/>
    <w:rsid w:val="00F75CCB"/>
    <w:rsid w:val="00F802BE"/>
    <w:rsid w:val="00F80E93"/>
    <w:rsid w:val="00F86024"/>
    <w:rsid w:val="00F8611A"/>
    <w:rsid w:val="00F870C5"/>
    <w:rsid w:val="00FA3E6A"/>
    <w:rsid w:val="00FA5128"/>
    <w:rsid w:val="00FA5A81"/>
    <w:rsid w:val="00FA677E"/>
    <w:rsid w:val="00FB1CDE"/>
    <w:rsid w:val="00FB42D4"/>
    <w:rsid w:val="00FB5906"/>
    <w:rsid w:val="00FB5D3F"/>
    <w:rsid w:val="00FB6741"/>
    <w:rsid w:val="00FB7150"/>
    <w:rsid w:val="00FB762F"/>
    <w:rsid w:val="00FC2AED"/>
    <w:rsid w:val="00FC2EE0"/>
    <w:rsid w:val="00FC3D69"/>
    <w:rsid w:val="00FC4C4B"/>
    <w:rsid w:val="00FC52FD"/>
    <w:rsid w:val="00FC59D3"/>
    <w:rsid w:val="00FD08AE"/>
    <w:rsid w:val="00FD5EA7"/>
    <w:rsid w:val="00FE36CF"/>
    <w:rsid w:val="00FE53F6"/>
    <w:rsid w:val="00FF0246"/>
    <w:rsid w:val="00FF2247"/>
    <w:rsid w:val="00FF4138"/>
    <w:rsid w:val="00FF68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9B877"/>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35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599585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3559336">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4-81DE-4F2D-B63C-C2A4FD321785}"/>
              </c:ext>
            </c:extLst>
          </c:dPt>
          <c:dLbls>
            <c:dLbl>
              <c:idx val="0"/>
              <c:layout>
                <c:manualLayout>
                  <c:x val="-7.437709185571026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1DE-4F2D-B63C-C2A4FD321785}"/>
                </c:ext>
              </c:extLst>
            </c:dLbl>
            <c:dLbl>
              <c:idx val="21"/>
              <c:layout>
                <c:manualLayout>
                  <c:x val="-9.9167503652968468E-3"/>
                  <c:y val="-1.94784546829035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DE-4F2D-B63C-C2A4FD321785}"/>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poligrafia i reprodukcja zapisanych nośników informacji</c:v>
                </c:pt>
                <c:pt idx="1">
                  <c:v>produkcja wyrobów farmaceutycznych</c:v>
                </c:pt>
                <c:pt idx="2">
                  <c:v>produkcja komputerów, wyrobów elektronicznych i optycznych</c:v>
                </c:pt>
                <c:pt idx="3">
                  <c:v>produkcja skór i wyrobów skórzanych</c:v>
                </c:pt>
                <c:pt idx="4">
                  <c:v>produkcja wyrobów z metali</c:v>
                </c:pt>
                <c:pt idx="5">
                  <c:v>produkcja artykułów spożywczych</c:v>
                </c:pt>
                <c:pt idx="6">
                  <c:v>produkcja papieru i wyrobów z papieru</c:v>
                </c:pt>
                <c:pt idx="7">
                  <c:v>produkcja chemikaliów i wyrobów chemicznych</c:v>
                </c:pt>
                <c:pt idx="8">
                  <c:v>produkcja wyrobów z drewna, korka, słomy i wikliny</c:v>
                </c:pt>
                <c:pt idx="9">
                  <c:v>produkcja wyrobów z gumy i tworzyw sztucznych</c:v>
                </c:pt>
                <c:pt idx="10">
                  <c:v>produkcja wyrobów z pozostałych mineralnych surowców niemetalicznych</c:v>
                </c:pt>
                <c:pt idx="11">
                  <c:v>produkcja maszyn i urządzeń</c:v>
                </c:pt>
                <c:pt idx="12">
                  <c:v>produkcja pojazdów samochodowych, przyczep i naczep</c:v>
                </c:pt>
                <c:pt idx="13">
                  <c:v>produkcja wyrobów tekstylnych</c:v>
                </c:pt>
                <c:pt idx="14">
                  <c:v>produkcja napojów</c:v>
                </c:pt>
                <c:pt idx="15">
                  <c:v>produkcja odzieży</c:v>
                </c:pt>
                <c:pt idx="16">
                  <c:v>produkcja urządzeń elektrycznych</c:v>
                </c:pt>
                <c:pt idx="17">
                  <c:v>produkcja metali</c:v>
                </c:pt>
                <c:pt idx="18">
                  <c:v>produkcja mebli</c:v>
                </c:pt>
                <c:pt idx="19">
                  <c:v>produkcja wyrobów tytoniowych</c:v>
                </c:pt>
                <c:pt idx="20">
                  <c:v>produkcja pozostałego sprzętu transportowego</c:v>
                </c:pt>
                <c:pt idx="21">
                  <c:v>produkcja koksu i produktów rafinacji ropy naftowej</c:v>
                </c:pt>
              </c:strCache>
            </c:strRef>
          </c:cat>
          <c:val>
            <c:numRef>
              <c:f>Arkusz1!$C$2:$C$23</c:f>
              <c:numCache>
                <c:formatCode>0.0</c:formatCode>
                <c:ptCount val="22"/>
                <c:pt idx="0">
                  <c:v>0.7</c:v>
                </c:pt>
                <c:pt idx="1">
                  <c:v>0.4</c:v>
                </c:pt>
                <c:pt idx="2">
                  <c:v>0.3</c:v>
                </c:pt>
                <c:pt idx="3">
                  <c:v>0.2</c:v>
                </c:pt>
                <c:pt idx="4">
                  <c:v>0.2</c:v>
                </c:pt>
                <c:pt idx="5">
                  <c:v>0.1</c:v>
                </c:pt>
                <c:pt idx="6">
                  <c:v>0</c:v>
                </c:pt>
                <c:pt idx="7">
                  <c:v>0</c:v>
                </c:pt>
                <c:pt idx="8">
                  <c:v>-0.1</c:v>
                </c:pt>
                <c:pt idx="9">
                  <c:v>-0.1</c:v>
                </c:pt>
                <c:pt idx="10">
                  <c:v>-0.1</c:v>
                </c:pt>
                <c:pt idx="11">
                  <c:v>-0.1</c:v>
                </c:pt>
                <c:pt idx="12">
                  <c:v>-0.1</c:v>
                </c:pt>
                <c:pt idx="13">
                  <c:v>-0.2</c:v>
                </c:pt>
                <c:pt idx="14">
                  <c:v>-0.3</c:v>
                </c:pt>
                <c:pt idx="15">
                  <c:v>-0.3</c:v>
                </c:pt>
                <c:pt idx="16">
                  <c:v>-0.3</c:v>
                </c:pt>
                <c:pt idx="17">
                  <c:v>-0.5</c:v>
                </c:pt>
                <c:pt idx="18">
                  <c:v>-0.5</c:v>
                </c:pt>
                <c:pt idx="19">
                  <c:v>-0.8</c:v>
                </c:pt>
                <c:pt idx="20">
                  <c:v>-0.8</c:v>
                </c:pt>
                <c:pt idx="21">
                  <c:v>-3.7</c:v>
                </c:pt>
              </c:numCache>
            </c:numRef>
          </c:val>
          <c:extLst>
            <c:ext xmlns:c16="http://schemas.microsoft.com/office/drawing/2014/chart" uri="{C3380CC4-5D6E-409C-BE32-E72D297353CC}">
              <c16:uniqueId val="{00000000-81DE-4F2D-B63C-C2A4FD321785}"/>
            </c:ext>
          </c:extLst>
        </c:ser>
        <c:dLbls>
          <c:showLegendKey val="0"/>
          <c:showVal val="0"/>
          <c:showCatName val="0"/>
          <c:showSerName val="0"/>
          <c:showPercent val="0"/>
          <c:showBubbleSize val="0"/>
        </c:dLbls>
        <c:gapWidth val="63"/>
        <c:axId val="569511631"/>
        <c:axId val="712026223"/>
      </c:barChart>
      <c:catAx>
        <c:axId val="569511631"/>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712026223"/>
        <c:crosses val="autoZero"/>
        <c:auto val="1"/>
        <c:lblAlgn val="ctr"/>
        <c:lblOffset val="100"/>
        <c:noMultiLvlLbl val="0"/>
      </c:catAx>
      <c:valAx>
        <c:axId val="712026223"/>
        <c:scaling>
          <c:orientation val="minMax"/>
          <c:max val="1"/>
          <c:min val="-4"/>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569511631"/>
        <c:crosses val="autoZero"/>
        <c:crossBetween val="between"/>
        <c:majorUnit val="0.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5A1D-45D0-8E33-8EF7C388272F}"/>
              </c:ext>
            </c:extLst>
          </c:dPt>
          <c:dLbls>
            <c:dLbl>
              <c:idx val="0"/>
              <c:layout>
                <c:manualLayout>
                  <c:x val="-7.437709185571026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1D-45D0-8E33-8EF7C388272F}"/>
                </c:ext>
              </c:extLst>
            </c:dLbl>
            <c:dLbl>
              <c:idx val="21"/>
              <c:layout>
                <c:manualLayout>
                  <c:x val="-4.2146628287306316E-2"/>
                  <c:y val="3.3999150021249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A1D-45D0-8E33-8EF7C388272F}"/>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wyrobów tytoniowych</c:v>
                </c:pt>
                <c:pt idx="1">
                  <c:v>produkcja skór i wyrobów skórzanych</c:v>
                </c:pt>
                <c:pt idx="2">
                  <c:v>produkcja wyrobów farmaceutycznych</c:v>
                </c:pt>
                <c:pt idx="3">
                  <c:v>produkcja odzieży</c:v>
                </c:pt>
                <c:pt idx="4">
                  <c:v>produkcja pozostałego sprzętu transportowego</c:v>
                </c:pt>
                <c:pt idx="5">
                  <c:v>produkcja wyrobów tekstylnych</c:v>
                </c:pt>
                <c:pt idx="6">
                  <c:v>produkcja napojów</c:v>
                </c:pt>
                <c:pt idx="7">
                  <c:v>produkcja chemikaliów i wyrobów chemicznych</c:v>
                </c:pt>
                <c:pt idx="8">
                  <c:v>produkcja maszyn i urządzeń</c:v>
                </c:pt>
                <c:pt idx="9">
                  <c:v>produkcja artykułów spożywczych</c:v>
                </c:pt>
                <c:pt idx="10">
                  <c:v>produkcja komputerów, wyrobów elektronicznych i optycznych</c:v>
                </c:pt>
                <c:pt idx="11">
                  <c:v>produkcja poligrafia i reprodukcja zapisanych nośników informacji</c:v>
                </c:pt>
                <c:pt idx="12">
                  <c:v>produkcja wyrobów z metali</c:v>
                </c:pt>
                <c:pt idx="13">
                  <c:v>produkcja papieru i wyrobów z papieru</c:v>
                </c:pt>
                <c:pt idx="14">
                  <c:v>produkcja wyrobów z pozostałych mineralnych surowców niemetalicznych</c:v>
                </c:pt>
                <c:pt idx="15">
                  <c:v>produkcja metali</c:v>
                </c:pt>
                <c:pt idx="16">
                  <c:v>produkcja pojazdów samochodowych, przyczep i naczep</c:v>
                </c:pt>
                <c:pt idx="17">
                  <c:v>produkcja mebli</c:v>
                </c:pt>
                <c:pt idx="18">
                  <c:v>produkcja wyrobów z gumy i tworzyw sztucznych</c:v>
                </c:pt>
                <c:pt idx="19">
                  <c:v>produkcja urządzeń elektrycznych</c:v>
                </c:pt>
                <c:pt idx="20">
                  <c:v>produkcja wyrobów z drewna, korka, słomy i wikliny</c:v>
                </c:pt>
                <c:pt idx="21">
                  <c:v>produkcja koksu i produktów rafinacji ropy naftowej</c:v>
                </c:pt>
              </c:strCache>
            </c:strRef>
          </c:cat>
          <c:val>
            <c:numRef>
              <c:f>Arkusz1!$C$2:$C$23</c:f>
              <c:numCache>
                <c:formatCode>0.0</c:formatCode>
                <c:ptCount val="22"/>
                <c:pt idx="0">
                  <c:v>7</c:v>
                </c:pt>
                <c:pt idx="1">
                  <c:v>4.7</c:v>
                </c:pt>
                <c:pt idx="2">
                  <c:v>1.3</c:v>
                </c:pt>
                <c:pt idx="3">
                  <c:v>1</c:v>
                </c:pt>
                <c:pt idx="4">
                  <c:v>0.2</c:v>
                </c:pt>
                <c:pt idx="5">
                  <c:v>-0.7</c:v>
                </c:pt>
                <c:pt idx="6">
                  <c:v>-1.1000000000000001</c:v>
                </c:pt>
                <c:pt idx="7">
                  <c:v>-1.8</c:v>
                </c:pt>
                <c:pt idx="8">
                  <c:v>-2</c:v>
                </c:pt>
                <c:pt idx="9">
                  <c:v>-2.4</c:v>
                </c:pt>
                <c:pt idx="10">
                  <c:v>-2.5</c:v>
                </c:pt>
                <c:pt idx="11">
                  <c:v>-3.6</c:v>
                </c:pt>
                <c:pt idx="12">
                  <c:v>-5.3</c:v>
                </c:pt>
                <c:pt idx="13">
                  <c:v>-5.4</c:v>
                </c:pt>
                <c:pt idx="14">
                  <c:v>-5.9</c:v>
                </c:pt>
                <c:pt idx="15">
                  <c:v>-6.2</c:v>
                </c:pt>
                <c:pt idx="16">
                  <c:v>-6.5</c:v>
                </c:pt>
                <c:pt idx="17">
                  <c:v>-6.6</c:v>
                </c:pt>
                <c:pt idx="18">
                  <c:v>-6.8</c:v>
                </c:pt>
                <c:pt idx="19">
                  <c:v>-7.4</c:v>
                </c:pt>
                <c:pt idx="20">
                  <c:v>-8.1999999999999993</c:v>
                </c:pt>
                <c:pt idx="21">
                  <c:v>-13.8</c:v>
                </c:pt>
              </c:numCache>
            </c:numRef>
          </c:val>
          <c:extLst>
            <c:ext xmlns:c16="http://schemas.microsoft.com/office/drawing/2014/chart" uri="{C3380CC4-5D6E-409C-BE32-E72D297353CC}">
              <c16:uniqueId val="{00000004-5A1D-45D0-8E33-8EF7C388272F}"/>
            </c:ext>
          </c:extLst>
        </c:ser>
        <c:dLbls>
          <c:showLegendKey val="0"/>
          <c:showVal val="0"/>
          <c:showCatName val="0"/>
          <c:showSerName val="0"/>
          <c:showPercent val="0"/>
          <c:showBubbleSize val="0"/>
        </c:dLbls>
        <c:gapWidth val="63"/>
        <c:axId val="569511631"/>
        <c:axId val="712026223"/>
      </c:barChart>
      <c:catAx>
        <c:axId val="569511631"/>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712026223"/>
        <c:crosses val="autoZero"/>
        <c:auto val="1"/>
        <c:lblAlgn val="ctr"/>
        <c:lblOffset val="100"/>
        <c:noMultiLvlLbl val="0"/>
      </c:catAx>
      <c:valAx>
        <c:axId val="712026223"/>
        <c:scaling>
          <c:orientation val="minMax"/>
          <c:max val="8"/>
          <c:min val="-14"/>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569511631"/>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961207759033951E-3"/>
                  <c:y val="-1.274968125796855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194-457B-9442-845F1819554B}"/>
                </c:ext>
              </c:extLst>
            </c:dLbl>
            <c:dLbl>
              <c:idx val="2"/>
              <c:layout>
                <c:manualLayout>
                  <c:x val="-4.231431837104408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194-457B-9442-845F1819554B}"/>
                </c:ext>
              </c:extLst>
            </c:dLbl>
            <c:dLbl>
              <c:idx val="5"/>
              <c:layout>
                <c:manualLayout>
                  <c:x val="-2.8833519276063018E-2"/>
                  <c:y val="4.75988100297491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194-457B-9442-845F1819554B}"/>
                </c:ext>
              </c:extLst>
            </c:dLbl>
            <c:dLbl>
              <c:idx val="7"/>
              <c:layout>
                <c:manualLayout>
                  <c:x val="-2.53315490639907E-2"/>
                  <c:y val="4.3348916277092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194-457B-9442-845F1819554B}"/>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194-457B-9442-845F1819554B}"/>
                </c:ext>
              </c:extLst>
            </c:dLbl>
            <c:dLbl>
              <c:idx val="9"/>
              <c:layout>
                <c:manualLayout>
                  <c:x val="-4.9752027556615015E-2"/>
                  <c:y val="4.122396940076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194-457B-9442-845F1819554B}"/>
                </c:ext>
              </c:extLst>
            </c:dLbl>
            <c:dLbl>
              <c:idx val="13"/>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194-457B-9442-845F1819554B}"/>
                </c:ext>
              </c:extLst>
            </c:dLbl>
            <c:dLbl>
              <c:idx val="15"/>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194-457B-9442-845F1819554B}"/>
                </c:ext>
              </c:extLst>
            </c:dLbl>
            <c:dLbl>
              <c:idx val="17"/>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194-457B-9442-845F1819554B}"/>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Arkusz1!$B$2:$B$22</c:f>
              <c:numCache>
                <c:formatCode>0.0</c:formatCode>
                <c:ptCount val="21"/>
                <c:pt idx="0">
                  <c:v>2.1</c:v>
                </c:pt>
                <c:pt idx="1">
                  <c:v>-0.5</c:v>
                </c:pt>
                <c:pt idx="2" formatCode="General">
                  <c:v>-0.6</c:v>
                </c:pt>
                <c:pt idx="3" formatCode="General">
                  <c:v>-1.3</c:v>
                </c:pt>
                <c:pt idx="4" formatCode="General">
                  <c:v>-1.9</c:v>
                </c:pt>
                <c:pt idx="5" formatCode="General">
                  <c:v>-0.8</c:v>
                </c:pt>
                <c:pt idx="6" formatCode="General">
                  <c:v>-1.1000000000000001</c:v>
                </c:pt>
                <c:pt idx="7" formatCode="General">
                  <c:v>-0.1</c:v>
                </c:pt>
                <c:pt idx="8" formatCode="General">
                  <c:v>0.3</c:v>
                </c:pt>
                <c:pt idx="9" formatCode="General">
                  <c:v>-0.6</c:v>
                </c:pt>
                <c:pt idx="10" formatCode="General">
                  <c:v>-1.2</c:v>
                </c:pt>
                <c:pt idx="11" formatCode="General">
                  <c:v>-1.4</c:v>
                </c:pt>
                <c:pt idx="12" formatCode="General">
                  <c:v>-1.9</c:v>
                </c:pt>
                <c:pt idx="13" formatCode="General">
                  <c:v>0.1</c:v>
                </c:pt>
                <c:pt idx="14" formatCode="General">
                  <c:v>-0.5</c:v>
                </c:pt>
                <c:pt idx="15" formatCode="General">
                  <c:v>0.3</c:v>
                </c:pt>
                <c:pt idx="16" formatCode="General">
                  <c:v>-0.3</c:v>
                </c:pt>
                <c:pt idx="17" formatCode="General">
                  <c:v>0.4</c:v>
                </c:pt>
                <c:pt idx="18">
                  <c:v>-0.4</c:v>
                </c:pt>
                <c:pt idx="19" formatCode="General">
                  <c:v>-0.5</c:v>
                </c:pt>
                <c:pt idx="20" formatCode="General">
                  <c:v>-0.5</c:v>
                </c:pt>
              </c:numCache>
            </c:numRef>
          </c:val>
          <c:smooth val="0"/>
          <c:extLst>
            <c:ext xmlns:c16="http://schemas.microsoft.com/office/drawing/2014/chart" uri="{C3380CC4-5D6E-409C-BE32-E72D297353CC}">
              <c16:uniqueId val="{00000000-F194-457B-9442-845F1819554B}"/>
            </c:ext>
          </c:extLst>
        </c:ser>
        <c:dLbls>
          <c:showLegendKey val="0"/>
          <c:showVal val="0"/>
          <c:showCatName val="0"/>
          <c:showSerName val="0"/>
          <c:showPercent val="0"/>
          <c:showBubbleSize val="0"/>
        </c:dLbls>
        <c:marker val="1"/>
        <c:smooth val="0"/>
        <c:axId val="715460511"/>
        <c:axId val="673440815"/>
      </c:lineChart>
      <c:catAx>
        <c:axId val="715460511"/>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673440815"/>
        <c:crosses val="autoZero"/>
        <c:auto val="0"/>
        <c:lblAlgn val="ctr"/>
        <c:lblOffset val="12"/>
        <c:tickLblSkip val="1"/>
        <c:noMultiLvlLbl val="0"/>
      </c:catAx>
      <c:valAx>
        <c:axId val="67344081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715460511"/>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4808478988471551E-2"/>
                  <c:y val="-3.5274118147046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E3F-449E-B8F7-E57FC1ED1D46}"/>
                </c:ext>
              </c:extLst>
            </c:dLbl>
            <c:dLbl>
              <c:idx val="1"/>
              <c:layout>
                <c:manualLayout>
                  <c:x val="-1.4912704524801659E-2"/>
                  <c:y val="-3.1024224394390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E3F-449E-B8F7-E57FC1ED1D46}"/>
                </c:ext>
              </c:extLst>
            </c:dLbl>
            <c:dLbl>
              <c:idx val="2"/>
              <c:layout>
                <c:manualLayout>
                  <c:x val="-1.9970346770989834E-2"/>
                  <c:y val="-3.52741181470463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E3F-449E-B8F7-E57FC1ED1D46}"/>
                </c:ext>
              </c:extLst>
            </c:dLbl>
            <c:dLbl>
              <c:idx val="3"/>
              <c:layout>
                <c:manualLayout>
                  <c:x val="-1.596003549017139E-2"/>
                  <c:y val="-2.6774330641733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E3F-449E-B8F7-E57FC1ED1D46}"/>
                </c:ext>
              </c:extLst>
            </c:dLbl>
            <c:dLbl>
              <c:idx val="4"/>
              <c:layout>
                <c:manualLayout>
                  <c:x val="-1.8594272963927155E-2"/>
                  <c:y val="-3.9524011899702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E3F-449E-B8F7-E57FC1ED1D46}"/>
                </c:ext>
              </c:extLst>
            </c:dLbl>
            <c:dLbl>
              <c:idx val="5"/>
              <c:layout>
                <c:manualLayout>
                  <c:x val="-2.3875046485682411E-2"/>
                  <c:y val="-4.1648958776030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3F-449E-B8F7-E57FC1ED1D46}"/>
                </c:ext>
              </c:extLst>
            </c:dLbl>
            <c:dLbl>
              <c:idx val="6"/>
              <c:layout>
                <c:manualLayout>
                  <c:x val="-2.6025735254643977E-2"/>
                  <c:y val="-2.25244368890777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E3F-449E-B8F7-E57FC1ED1D46}"/>
                </c:ext>
              </c:extLst>
            </c:dLbl>
            <c:dLbl>
              <c:idx val="7"/>
              <c:layout>
                <c:manualLayout>
                  <c:x val="-3.0290021854371307E-2"/>
                  <c:y val="-2.8899277518062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3F-449E-B8F7-E57FC1ED1D46}"/>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3F-449E-B8F7-E57FC1ED1D46}"/>
                </c:ext>
              </c:extLst>
            </c:dLbl>
            <c:dLbl>
              <c:idx val="9"/>
              <c:layout>
                <c:manualLayout>
                  <c:x val="-3.4325125499141539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E3F-449E-B8F7-E57FC1ED1D46}"/>
                </c:ext>
              </c:extLst>
            </c:dLbl>
            <c:dLbl>
              <c:idx val="10"/>
              <c:layout>
                <c:manualLayout>
                  <c:x val="-2.855455637773802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E3F-449E-B8F7-E57FC1ED1D46}"/>
                </c:ext>
              </c:extLst>
            </c:dLbl>
            <c:dLbl>
              <c:idx val="11"/>
              <c:layout>
                <c:manualLayout>
                  <c:x val="-1.971617623661685E-2"/>
                  <c:y val="-1.8274543136421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E3F-449E-B8F7-E57FC1ED1D46}"/>
                </c:ext>
              </c:extLst>
            </c:dLbl>
            <c:dLbl>
              <c:idx val="13"/>
              <c:layout>
                <c:manualLayout>
                  <c:x val="-2.679429853715292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3F-449E-B8F7-E57FC1ED1D46}"/>
                </c:ext>
              </c:extLst>
            </c:dLbl>
            <c:dLbl>
              <c:idx val="15"/>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3F-449E-B8F7-E57FC1ED1D46}"/>
                </c:ext>
              </c:extLst>
            </c:dLbl>
            <c:dLbl>
              <c:idx val="17"/>
              <c:layout>
                <c:manualLayout>
                  <c:x val="-3.2614452386460338E-2"/>
                  <c:y val="-5.01487462813429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E3F-449E-B8F7-E57FC1ED1D46}"/>
                </c:ext>
              </c:extLst>
            </c:dLbl>
            <c:dLbl>
              <c:idx val="18"/>
              <c:layout>
                <c:manualLayout>
                  <c:x val="-3.599226556330886E-2"/>
                  <c:y val="-3.52741181470462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E3F-449E-B8F7-E57FC1ED1D46}"/>
                </c:ext>
              </c:extLst>
            </c:dLbl>
            <c:dLbl>
              <c:idx val="19"/>
              <c:layout>
                <c:manualLayout>
                  <c:x val="-3.1033792772928299E-2"/>
                  <c:y val="-3.1024224394390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E3F-449E-B8F7-E57FC1ED1D46}"/>
                </c:ext>
              </c:extLst>
            </c:dLbl>
            <c:dLbl>
              <c:idx val="20"/>
              <c:layout>
                <c:manualLayout>
                  <c:x val="-2.2101709208996699E-2"/>
                  <c:y val="-3.1024224394390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E3F-449E-B8F7-E57FC1ED1D4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Arkusz1!$B$2:$B$22</c:f>
              <c:numCache>
                <c:formatCode>0.0</c:formatCode>
                <c:ptCount val="21"/>
                <c:pt idx="0">
                  <c:v>20.100000000000001</c:v>
                </c:pt>
                <c:pt idx="1">
                  <c:v>18.2</c:v>
                </c:pt>
                <c:pt idx="2" formatCode="General">
                  <c:v>10.3</c:v>
                </c:pt>
                <c:pt idx="3" formatCode="General">
                  <c:v>6.2</c:v>
                </c:pt>
                <c:pt idx="4" formatCode="General">
                  <c:v>2.8</c:v>
                </c:pt>
                <c:pt idx="5" formatCode="General">
                  <c:v>0.3</c:v>
                </c:pt>
                <c:pt idx="6" formatCode="General">
                  <c:v>-2.1</c:v>
                </c:pt>
                <c:pt idx="7" formatCode="General">
                  <c:v>-2.9</c:v>
                </c:pt>
                <c:pt idx="8" formatCode="General">
                  <c:v>-2.7</c:v>
                </c:pt>
                <c:pt idx="9" formatCode="General">
                  <c:v>-4.2</c:v>
                </c:pt>
                <c:pt idx="10" formatCode="General">
                  <c:v>-5.0999999999999996</c:v>
                </c:pt>
                <c:pt idx="11" formatCode="General">
                  <c:v>-6.9</c:v>
                </c:pt>
                <c:pt idx="12" formatCode="General">
                  <c:v>-10.6</c:v>
                </c:pt>
                <c:pt idx="13" formatCode="General">
                  <c:v>-10</c:v>
                </c:pt>
                <c:pt idx="14" formatCode="General">
                  <c:v>-9.9</c:v>
                </c:pt>
                <c:pt idx="15" formatCode="General">
                  <c:v>-8.5</c:v>
                </c:pt>
                <c:pt idx="16" formatCode="General">
                  <c:v>-9.1999999999999993</c:v>
                </c:pt>
                <c:pt idx="17" formatCode="General">
                  <c:v>-8.6999999999999993</c:v>
                </c:pt>
                <c:pt idx="18">
                  <c:v>-5.0999999999999996</c:v>
                </c:pt>
                <c:pt idx="19" formatCode="General">
                  <c:v>-5.5</c:v>
                </c:pt>
                <c:pt idx="20" formatCode="General">
                  <c:v>-6.3</c:v>
                </c:pt>
              </c:numCache>
            </c:numRef>
          </c:val>
          <c:smooth val="0"/>
          <c:extLst>
            <c:ext xmlns:c16="http://schemas.microsoft.com/office/drawing/2014/chart" uri="{C3380CC4-5D6E-409C-BE32-E72D297353CC}">
              <c16:uniqueId val="{00000006-EE3F-449E-B8F7-E57FC1ED1D46}"/>
            </c:ext>
          </c:extLst>
        </c:ser>
        <c:dLbls>
          <c:showLegendKey val="0"/>
          <c:showVal val="0"/>
          <c:showCatName val="0"/>
          <c:showSerName val="0"/>
          <c:showPercent val="0"/>
          <c:showBubbleSize val="0"/>
        </c:dLbls>
        <c:marker val="1"/>
        <c:smooth val="0"/>
        <c:axId val="715460511"/>
        <c:axId val="673440815"/>
      </c:lineChart>
      <c:catAx>
        <c:axId val="715460511"/>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673440815"/>
        <c:crosses val="autoZero"/>
        <c:auto val="0"/>
        <c:lblAlgn val="ctr"/>
        <c:lblOffset val="12"/>
        <c:tickLblSkip val="1"/>
        <c:noMultiLvlLbl val="0"/>
      </c:catAx>
      <c:valAx>
        <c:axId val="67344081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715460511"/>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ceny produkcji sprzedanej przemysłu</c:v>
                </c:pt>
              </c:strCache>
            </c:strRef>
          </c:tx>
          <c:spPr>
            <a:solidFill>
              <a:srgbClr val="001D77"/>
            </a:solidFill>
            <a:ln w="12700">
              <a:solidFill>
                <a:srgbClr val="001D77"/>
              </a:solidFill>
            </a:ln>
            <a:effectLst/>
          </c:spPr>
          <c:invertIfNegative val="0"/>
          <c:dLbls>
            <c:dLbl>
              <c:idx val="20"/>
              <c:layout>
                <c:manualLayout>
                  <c:x val="7.8791278749730576E-2"/>
                  <c:y val="5.47951082879548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A2-47E1-AB51-41E3D504CE8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Arkusz1!$B$2:$B$22</c:f>
              <c:numCache>
                <c:formatCode>General</c:formatCode>
                <c:ptCount val="21"/>
                <c:pt idx="0" formatCode="0.0">
                  <c:v>2.0999999999999943</c:v>
                </c:pt>
                <c:pt idx="1">
                  <c:v>1.5999999999999943</c:v>
                </c:pt>
                <c:pt idx="2">
                  <c:v>1</c:v>
                </c:pt>
                <c:pt idx="3" formatCode="0.0">
                  <c:v>-0.29999999999999716</c:v>
                </c:pt>
                <c:pt idx="4">
                  <c:v>-2.2000000000000028</c:v>
                </c:pt>
                <c:pt idx="5">
                  <c:v>-3</c:v>
                </c:pt>
                <c:pt idx="6">
                  <c:v>-4.0999999999999943</c:v>
                </c:pt>
                <c:pt idx="7" formatCode="0.0">
                  <c:v>-4.2000000000000028</c:v>
                </c:pt>
                <c:pt idx="8" formatCode="0.0">
                  <c:v>-3.9000000000000057</c:v>
                </c:pt>
                <c:pt idx="9" formatCode="0.0">
                  <c:v>-4.5</c:v>
                </c:pt>
                <c:pt idx="10" formatCode="0.0">
                  <c:v>-5.5999999999999943</c:v>
                </c:pt>
                <c:pt idx="11">
                  <c:v>-6.9000000000000057</c:v>
                </c:pt>
                <c:pt idx="12" formatCode="0.0">
                  <c:v>-8.7000000000000028</c:v>
                </c:pt>
                <c:pt idx="13" formatCode="0.0">
                  <c:v>-8.6</c:v>
                </c:pt>
                <c:pt idx="14" formatCode="0.0">
                  <c:v>-9.1</c:v>
                </c:pt>
                <c:pt idx="15" formatCode="0.0">
                  <c:v>-8.7999999999999972</c:v>
                </c:pt>
                <c:pt idx="16" formatCode="0.0">
                  <c:v>-9.0999999999999943</c:v>
                </c:pt>
                <c:pt idx="17" formatCode="0.0">
                  <c:v>-8.7000000000000028</c:v>
                </c:pt>
                <c:pt idx="18" formatCode="0.0">
                  <c:v>-9.0999999999999943</c:v>
                </c:pt>
                <c:pt idx="19" formatCode="0.0">
                  <c:v>-9.5999999999999943</c:v>
                </c:pt>
                <c:pt idx="20" formatCode="0.0">
                  <c:v>-10.099999999999994</c:v>
                </c:pt>
              </c:numCache>
            </c:numRef>
          </c:val>
          <c:extLst>
            <c:ext xmlns:c16="http://schemas.microsoft.com/office/drawing/2014/chart" uri="{C3380CC4-5D6E-409C-BE32-E72D297353CC}">
              <c16:uniqueId val="{00000001-F1A2-47E1-AB51-41E3D504CE81}"/>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 górnictwo i wydobywanie</c:v>
                </c:pt>
              </c:strCache>
            </c:strRef>
          </c:tx>
          <c:spPr>
            <a:ln w="25400" cap="rnd">
              <a:solidFill>
                <a:srgbClr val="99CEB3"/>
              </a:solidFill>
              <a:round/>
            </a:ln>
            <a:effectLst/>
          </c:spPr>
          <c:marker>
            <c:symbol val="none"/>
          </c:marker>
          <c:dLbls>
            <c:dLbl>
              <c:idx val="20"/>
              <c:layout>
                <c:manualLayout>
                  <c:x val="4.4324246703204472E-2"/>
                  <c:y val="-1.03371417160928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1A2-47E1-AB51-41E3D504CE8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Arkusz1!$C$2:$C$22</c:f>
              <c:numCache>
                <c:formatCode>0.0</c:formatCode>
                <c:ptCount val="21"/>
                <c:pt idx="0">
                  <c:v>9.7999999999999972</c:v>
                </c:pt>
                <c:pt idx="1">
                  <c:v>10.299999999999997</c:v>
                </c:pt>
                <c:pt idx="2">
                  <c:v>10.599999999999994</c:v>
                </c:pt>
                <c:pt idx="3">
                  <c:v>11</c:v>
                </c:pt>
                <c:pt idx="4">
                  <c:v>8.9000000000000057</c:v>
                </c:pt>
                <c:pt idx="5">
                  <c:v>7.2000000000000028</c:v>
                </c:pt>
                <c:pt idx="6">
                  <c:v>4.4000000000000057</c:v>
                </c:pt>
                <c:pt idx="7">
                  <c:v>3.7000000000000028</c:v>
                </c:pt>
                <c:pt idx="8">
                  <c:v>6.2000000000000028</c:v>
                </c:pt>
                <c:pt idx="9">
                  <c:v>4.7000000000000028</c:v>
                </c:pt>
                <c:pt idx="10">
                  <c:v>2.5999999999999943</c:v>
                </c:pt>
                <c:pt idx="11">
                  <c:v>2.0999999999999943</c:v>
                </c:pt>
                <c:pt idx="12">
                  <c:v>-3.6</c:v>
                </c:pt>
                <c:pt idx="13">
                  <c:v>-3.9</c:v>
                </c:pt>
                <c:pt idx="14">
                  <c:v>-3.1</c:v>
                </c:pt>
                <c:pt idx="15">
                  <c:v>1.1000000000000001</c:v>
                </c:pt>
                <c:pt idx="16">
                  <c:v>3.0999999999999943</c:v>
                </c:pt>
                <c:pt idx="17">
                  <c:v>1.0999999999999943</c:v>
                </c:pt>
                <c:pt idx="18">
                  <c:v>-9.9999999999994316E-2</c:v>
                </c:pt>
                <c:pt idx="19">
                  <c:v>-2.2999999999999972</c:v>
                </c:pt>
                <c:pt idx="20">
                  <c:v>-3.2999999999999972</c:v>
                </c:pt>
              </c:numCache>
            </c:numRef>
          </c:val>
          <c:smooth val="0"/>
          <c:extLst>
            <c:ext xmlns:c16="http://schemas.microsoft.com/office/drawing/2014/chart" uri="{C3380CC4-5D6E-409C-BE32-E72D297353CC}">
              <c16:uniqueId val="{00000003-F1A2-47E1-AB51-41E3D504CE81}"/>
            </c:ext>
          </c:extLst>
        </c:ser>
        <c:ser>
          <c:idx val="2"/>
          <c:order val="2"/>
          <c:tx>
            <c:strRef>
              <c:f>Arkusz1!$D$1</c:f>
              <c:strCache>
                <c:ptCount val="1"/>
                <c:pt idx="0">
                  <c:v>przetwórstwo przemysłowe</c:v>
                </c:pt>
              </c:strCache>
            </c:strRef>
          </c:tx>
          <c:spPr>
            <a:ln w="25400" cap="rnd">
              <a:solidFill>
                <a:srgbClr val="99A5C9"/>
              </a:solidFill>
              <a:round/>
            </a:ln>
            <a:effectLst/>
          </c:spPr>
          <c:marker>
            <c:symbol val="none"/>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1A2-47E1-AB51-41E3D504CE81}"/>
                </c:ext>
              </c:extLst>
            </c:dLbl>
            <c:dLbl>
              <c:idx val="20"/>
              <c:layout>
                <c:manualLayout>
                  <c:x val="3.4499772634803451E-2"/>
                  <c:y val="1.7135023989033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1A2-47E1-AB51-41E3D504CE8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Arkusz1!$D$2:$D$22</c:f>
              <c:numCache>
                <c:formatCode>0.0</c:formatCode>
                <c:ptCount val="21"/>
                <c:pt idx="0">
                  <c:v>-0.5</c:v>
                </c:pt>
                <c:pt idx="1">
                  <c:v>-0.90000000000000568</c:v>
                </c:pt>
                <c:pt idx="2">
                  <c:v>-1.2999999999999972</c:v>
                </c:pt>
                <c:pt idx="3">
                  <c:v>-2.0999999999999943</c:v>
                </c:pt>
                <c:pt idx="4">
                  <c:v>-3.9000000000000057</c:v>
                </c:pt>
                <c:pt idx="5">
                  <c:v>-4.9000000000000057</c:v>
                </c:pt>
                <c:pt idx="6">
                  <c:v>-5.9000000000000057</c:v>
                </c:pt>
                <c:pt idx="7">
                  <c:v>-5.7999999999999972</c:v>
                </c:pt>
                <c:pt idx="8">
                  <c:v>-5.4000000000000057</c:v>
                </c:pt>
                <c:pt idx="9">
                  <c:v>-6.2999999999999972</c:v>
                </c:pt>
                <c:pt idx="10">
                  <c:v>-7.0999999999999943</c:v>
                </c:pt>
                <c:pt idx="11">
                  <c:v>-8.4000000000000057</c:v>
                </c:pt>
                <c:pt idx="12">
                  <c:v>-9.1</c:v>
                </c:pt>
                <c:pt idx="13">
                  <c:v>-8.7999999999999972</c:v>
                </c:pt>
                <c:pt idx="14">
                  <c:v>-9.2999999999999972</c:v>
                </c:pt>
                <c:pt idx="15">
                  <c:v>-9.2000000000000028</c:v>
                </c:pt>
                <c:pt idx="16">
                  <c:v>-9.7000000000000028</c:v>
                </c:pt>
                <c:pt idx="17">
                  <c:v>-9.2000000000000028</c:v>
                </c:pt>
                <c:pt idx="18">
                  <c:v>-9.7000000000000028</c:v>
                </c:pt>
                <c:pt idx="19">
                  <c:v>-10.200000000000003</c:v>
                </c:pt>
                <c:pt idx="20">
                  <c:v>-10.599999999999994</c:v>
                </c:pt>
              </c:numCache>
            </c:numRef>
          </c:val>
          <c:smooth val="0"/>
          <c:extLst>
            <c:ext xmlns:c16="http://schemas.microsoft.com/office/drawing/2014/chart" uri="{C3380CC4-5D6E-409C-BE32-E72D297353CC}">
              <c16:uniqueId val="{00000006-F1A2-47E1-AB51-41E3D504CE81}"/>
            </c:ext>
          </c:extLst>
        </c:ser>
        <c:ser>
          <c:idx val="3"/>
          <c:order val="3"/>
          <c:tx>
            <c:strRef>
              <c:f>Arkusz1!$E$1</c:f>
              <c:strCache>
                <c:ptCount val="1"/>
                <c:pt idx="0">
                  <c:v> wytwarzanie i zaopatrywanie w energię 
 elektryczną, gaz, parę wodną i gorącą wodę</c:v>
                </c:pt>
              </c:strCache>
            </c:strRef>
          </c:tx>
          <c:spPr>
            <a:ln w="38100" cap="rnd">
              <a:solidFill>
                <a:srgbClr val="008542"/>
              </a:solidFill>
              <a:round/>
            </a:ln>
            <a:effectLst/>
          </c:spPr>
          <c:marker>
            <c:symbol val="none"/>
          </c:marker>
          <c:dLbls>
            <c:dLbl>
              <c:idx val="20"/>
              <c:layout>
                <c:manualLayout>
                  <c:x val="3.4499772634803451E-2"/>
                  <c:y val="2.0562028786840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1A2-47E1-AB51-41E3D504CE8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Arkusz1!$E$2:$E$22</c:f>
              <c:numCache>
                <c:formatCode>0.0</c:formatCode>
                <c:ptCount val="21"/>
                <c:pt idx="0">
                  <c:v>12.5</c:v>
                </c:pt>
                <c:pt idx="1">
                  <c:v>10.900000000000006</c:v>
                </c:pt>
                <c:pt idx="2">
                  <c:v>9</c:v>
                </c:pt>
                <c:pt idx="3">
                  <c:v>3.7000000000000028</c:v>
                </c:pt>
                <c:pt idx="4">
                  <c:v>0.79999999999999716</c:v>
                </c:pt>
                <c:pt idx="5">
                  <c:v>1.5999999999999943</c:v>
                </c:pt>
                <c:pt idx="6">
                  <c:v>0.40000000000000568</c:v>
                </c:pt>
                <c:pt idx="7">
                  <c:v>-0.5</c:v>
                </c:pt>
                <c:pt idx="8">
                  <c:v>-1.7000000000000028</c:v>
                </c:pt>
                <c:pt idx="9">
                  <c:v>0.40000000000000568</c:v>
                </c:pt>
                <c:pt idx="10">
                  <c:v>-2.5999999999999943</c:v>
                </c:pt>
                <c:pt idx="11">
                  <c:v>-4.5</c:v>
                </c:pt>
                <c:pt idx="12">
                  <c:v>-13.599999999999994</c:v>
                </c:pt>
                <c:pt idx="13">
                  <c:v>-14.5</c:v>
                </c:pt>
                <c:pt idx="14">
                  <c:v>-15.299999999999997</c:v>
                </c:pt>
                <c:pt idx="15">
                  <c:v>-15.599999999999994</c:v>
                </c:pt>
                <c:pt idx="16">
                  <c:v>-14.5</c:v>
                </c:pt>
                <c:pt idx="17">
                  <c:v>-13</c:v>
                </c:pt>
                <c:pt idx="18">
                  <c:v>-11.599999999999994</c:v>
                </c:pt>
                <c:pt idx="19">
                  <c:v>-12.099999999999994</c:v>
                </c:pt>
                <c:pt idx="20">
                  <c:v>-12.900000000000006</c:v>
                </c:pt>
              </c:numCache>
            </c:numRef>
          </c:val>
          <c:smooth val="0"/>
          <c:extLst>
            <c:ext xmlns:c16="http://schemas.microsoft.com/office/drawing/2014/chart" uri="{C3380CC4-5D6E-409C-BE32-E72D297353CC}">
              <c16:uniqueId val="{00000008-F1A2-47E1-AB51-41E3D504CE81}"/>
            </c:ext>
          </c:extLst>
        </c:ser>
        <c:ser>
          <c:idx val="4"/>
          <c:order val="4"/>
          <c:tx>
            <c:strRef>
              <c:f>Arkusz1!$F$1</c:f>
              <c:strCache>
                <c:ptCount val="1"/>
                <c:pt idx="0">
                  <c:v>dostawa wody; gospodarowanie
ściekami i odpadami; rekultywacja</c:v>
                </c:pt>
              </c:strCache>
            </c:strRef>
          </c:tx>
          <c:spPr>
            <a:ln w="28575" cap="rnd">
              <a:solidFill>
                <a:schemeClr val="tx1"/>
              </a:solidFill>
              <a:prstDash val="dashDot"/>
              <a:round/>
            </a:ln>
            <a:effectLst/>
          </c:spPr>
          <c:marker>
            <c:symbol val="none"/>
          </c:marker>
          <c:dLbls>
            <c:dLbl>
              <c:idx val="20"/>
              <c:layout>
                <c:manualLayout>
                  <c:x val="5.106382978723404E-2"/>
                  <c:y val="-3.1413847751111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1A2-47E1-AB51-41E3D504CE8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Arkusz1!$A$2:$A$22</c:f>
              <c:strCache>
                <c:ptCount val="21"/>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strCache>
            </c:strRef>
          </c:cat>
          <c:val>
            <c:numRef>
              <c:f>Arkusz1!$F$2:$F$22</c:f>
              <c:numCache>
                <c:formatCode>General</c:formatCode>
                <c:ptCount val="21"/>
                <c:pt idx="0">
                  <c:v>1.9000000000000057</c:v>
                </c:pt>
                <c:pt idx="1">
                  <c:v>2.7999999999999972</c:v>
                </c:pt>
                <c:pt idx="2">
                  <c:v>3.0999999999999943</c:v>
                </c:pt>
                <c:pt idx="3">
                  <c:v>3</c:v>
                </c:pt>
                <c:pt idx="4">
                  <c:v>2.9000000000000057</c:v>
                </c:pt>
                <c:pt idx="5">
                  <c:v>3</c:v>
                </c:pt>
                <c:pt idx="6">
                  <c:v>2.4000000000000057</c:v>
                </c:pt>
                <c:pt idx="7">
                  <c:v>2.4000000000000057</c:v>
                </c:pt>
                <c:pt idx="8">
                  <c:v>3</c:v>
                </c:pt>
                <c:pt idx="9">
                  <c:v>3.2000000000000028</c:v>
                </c:pt>
                <c:pt idx="10">
                  <c:v>3.0999999999999943</c:v>
                </c:pt>
                <c:pt idx="11">
                  <c:v>3.0999999999999943</c:v>
                </c:pt>
                <c:pt idx="12">
                  <c:v>4.2999999999999972</c:v>
                </c:pt>
                <c:pt idx="13">
                  <c:v>5</c:v>
                </c:pt>
                <c:pt idx="14">
                  <c:v>4.7999999999999972</c:v>
                </c:pt>
                <c:pt idx="15">
                  <c:v>4.7000000000000028</c:v>
                </c:pt>
                <c:pt idx="16">
                  <c:v>5.5</c:v>
                </c:pt>
                <c:pt idx="17">
                  <c:v>6</c:v>
                </c:pt>
                <c:pt idx="18">
                  <c:v>6</c:v>
                </c:pt>
                <c:pt idx="19">
                  <c:v>6.0999999999999943</c:v>
                </c:pt>
                <c:pt idx="20" formatCode="0.0">
                  <c:v>6</c:v>
                </c:pt>
              </c:numCache>
            </c:numRef>
          </c:val>
          <c:smooth val="0"/>
          <c:extLst>
            <c:ext xmlns:c16="http://schemas.microsoft.com/office/drawing/2014/chart" uri="{C3380CC4-5D6E-409C-BE32-E72D297353CC}">
              <c16:uniqueId val="{00000009-F1A2-47E1-AB51-41E3D504CE81}"/>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15"/>
          <c:min val="-20"/>
        </c:scaling>
        <c:delete val="0"/>
        <c:axPos val="l"/>
        <c:majorGridlines>
          <c:spPr>
            <a:ln w="9525" cap="flat" cmpd="sng" algn="ctr">
              <a:solidFill>
                <a:schemeClr val="tx1"/>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5"/>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Wskaźniki cen produkcji sprzedanej przemysłu we wrześniu 2024.docx.docx</NazwaPliku>
    <Osoba xmlns="1E9983FF-DC4B-4F4E-A072-0441E2B88E6D">STAT\MALMYSZKOI</Osoba>
    <Odbiorcy2 xmlns="1E9983FF-DC4B-4F4E-A072-0441E2B88E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751DF466-C0F2-4092-9A96-212A98A0E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F57DD7-E727-470B-8605-51F9CCC59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695</Words>
  <Characters>4174</Characters>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2024-09-16T06:18:00Z</cp:lastPrinted>
  <dcterms:created xsi:type="dcterms:W3CDTF">2024-10-18T14:08:00Z</dcterms:created>
  <dcterms:modified xsi:type="dcterms:W3CDTF">2024-10-18T14:08:00Z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