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3185ED69" w:rsidR="00EF6FC5" w:rsidRPr="007A5771" w:rsidRDefault="00EF6FC5" w:rsidP="00EF6FC5">
      <w:pPr>
        <w:pStyle w:val="Tytuinfomacjisygnalnej"/>
      </w:pPr>
      <w:bookmarkStart w:id="0" w:name="_GoBack"/>
      <w:bookmarkEnd w:id="0"/>
      <w:r w:rsidRPr="007A5771">
        <w:t>Wskaźniki cen produkcji sprzedanej przemysłu w </w:t>
      </w:r>
      <w:r w:rsidR="006B798F">
        <w:t>maju</w:t>
      </w:r>
      <w:r w:rsidRPr="007A5771">
        <w:t xml:space="preserve"> 2024 r.</w:t>
      </w:r>
    </w:p>
    <w:p w14:paraId="71CBC931" w14:textId="77777777" w:rsidR="00EF6FC5" w:rsidRDefault="00EF6FC5" w:rsidP="00792D90">
      <w:pPr>
        <w:pStyle w:val="Przypis"/>
        <w:rPr>
          <w:lang w:val="pl-PL"/>
        </w:rPr>
      </w:pPr>
    </w:p>
    <w:p w14:paraId="31F248C6" w14:textId="36D2098D"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54C886C6">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7,0% - spadek cen producentów w przemyśle w porównaniu z maj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6B750E85"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A32C7C">
                              <w:rPr>
                                <w:rStyle w:val="WartowskanikaZnak"/>
                                <w:sz w:val="72"/>
                                <w:szCs w:val="72"/>
                              </w:rPr>
                              <w:t>7,0</w:t>
                            </w:r>
                            <w:r w:rsidR="004B4292" w:rsidRPr="00883E43">
                              <w:rPr>
                                <w:rStyle w:val="WartowskanikaZnak"/>
                                <w:sz w:val="72"/>
                                <w:szCs w:val="72"/>
                              </w:rPr>
                              <w:t>%</w:t>
                            </w:r>
                          </w:p>
                          <w:p w14:paraId="57234A28" w14:textId="06DB4779"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B798F">
                              <w:rPr>
                                <w:szCs w:val="20"/>
                              </w:rPr>
                              <w:t>majem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7,0% - spadek cen producentów w przemyśle w porównaniu z maj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" fillcolor="#001d77" stroked="f">
                <v:stroke joinstyle="miter"/>
                <v:textbox>
                  <w:txbxContent>
                    <w:p w14:paraId="46EB9797" w14:textId="6B750E85"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A32C7C">
                        <w:rPr>
                          <w:rStyle w:val="WartowskanikaZnak"/>
                          <w:sz w:val="72"/>
                          <w:szCs w:val="72"/>
                        </w:rPr>
                        <w:t>7,0</w:t>
                      </w:r>
                      <w:r w:rsidR="004B4292" w:rsidRPr="00883E43">
                        <w:rPr>
                          <w:rStyle w:val="WartowskanikaZnak"/>
                          <w:sz w:val="72"/>
                          <w:szCs w:val="72"/>
                        </w:rPr>
                        <w:t>%</w:t>
                      </w:r>
                    </w:p>
                    <w:p w14:paraId="57234A28" w14:textId="06DB4779"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B798F">
                        <w:rPr>
                          <w:szCs w:val="20"/>
                        </w:rPr>
                        <w:t>majem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6B798F">
        <w:rPr>
          <w:rFonts w:eastAsia="Times New Roman" w:cs="Times New Roman"/>
          <w:bCs/>
        </w:rPr>
        <w:t>maju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4E74D9">
        <w:rPr>
          <w:rFonts w:eastAsia="Times New Roman" w:cs="Times New Roman"/>
          <w:bCs/>
        </w:rPr>
        <w:t>spadły</w:t>
      </w:r>
      <w:r w:rsidR="00475FCB">
        <w:rPr>
          <w:rFonts w:eastAsia="Times New Roman" w:cs="Times New Roman"/>
          <w:bCs/>
        </w:rPr>
        <w:t xml:space="preserve"> </w:t>
      </w:r>
      <w:r w:rsidR="004E74D9">
        <w:rPr>
          <w:rFonts w:eastAsia="Times New Roman" w:cs="Times New Roman"/>
          <w:bCs/>
        </w:rPr>
        <w:t xml:space="preserve">zarówno </w:t>
      </w:r>
      <w:r w:rsidR="00F04AA5">
        <w:rPr>
          <w:rFonts w:eastAsia="Times New Roman" w:cs="Times New Roman"/>
          <w:bCs/>
        </w:rPr>
        <w:t>w</w:t>
      </w:r>
      <w:r w:rsidR="00883E43">
        <w:rPr>
          <w:rFonts w:eastAsia="Times New Roman" w:cs="Times New Roman"/>
          <w:bCs/>
        </w:rPr>
        <w:t> </w:t>
      </w:r>
      <w:r w:rsidR="004E74D9">
        <w:rPr>
          <w:rFonts w:eastAsia="Times New Roman" w:cs="Times New Roman"/>
          <w:bCs/>
        </w:rPr>
        <w:t>porównaniu</w:t>
      </w:r>
      <w:r w:rsidR="00883E43" w:rsidRPr="0088650D">
        <w:rPr>
          <w:rFonts w:eastAsia="Times New Roman" w:cs="Times New Roman"/>
          <w:bCs/>
        </w:rPr>
        <w:t xml:space="preserve"> do </w:t>
      </w:r>
      <w:r w:rsidR="006B798F">
        <w:rPr>
          <w:rFonts w:eastAsia="Times New Roman" w:cs="Times New Roman"/>
          <w:bCs/>
        </w:rPr>
        <w:t>kwietnia</w:t>
      </w:r>
      <w:r w:rsidR="003B7760">
        <w:rPr>
          <w:rFonts w:eastAsia="Times New Roman" w:cs="Times New Roman"/>
          <w:bCs/>
        </w:rPr>
        <w:t xml:space="preserve"> 202</w:t>
      </w:r>
      <w:r w:rsidR="00F04AA5">
        <w:rPr>
          <w:rFonts w:eastAsia="Times New Roman" w:cs="Times New Roman"/>
          <w:bCs/>
        </w:rPr>
        <w:t>4</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4E74D9">
        <w:rPr>
          <w:rFonts w:eastAsia="Times New Roman" w:cs="Times New Roman"/>
          <w:bCs/>
        </w:rPr>
        <w:t>3</w:t>
      </w:r>
      <w:r w:rsidR="00883E43" w:rsidRPr="0052591A">
        <w:rPr>
          <w:rFonts w:eastAsia="Times New Roman" w:cs="Times New Roman"/>
          <w:bCs/>
        </w:rPr>
        <w:t>%,</w:t>
      </w:r>
      <w:r w:rsidR="00883E43" w:rsidRPr="0088650D">
        <w:rPr>
          <w:rFonts w:eastAsia="Times New Roman" w:cs="Times New Roman"/>
          <w:bCs/>
        </w:rPr>
        <w:t xml:space="preserve"> </w:t>
      </w:r>
      <w:r w:rsidR="004E74D9">
        <w:rPr>
          <w:rFonts w:eastAsia="Times New Roman" w:cs="Times New Roman"/>
          <w:bCs/>
        </w:rPr>
        <w:t>jak i</w:t>
      </w:r>
      <w:r w:rsidR="00D516D9">
        <w:rPr>
          <w:rFonts w:eastAsia="Times New Roman" w:cs="Times New Roman"/>
          <w:bCs/>
        </w:rPr>
        <w:t>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 7,0</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0BA3AF7C"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6A3BF8">
        <w:rPr>
          <w:b/>
          <w:shd w:val="clear" w:color="auto" w:fill="FFFFFF"/>
        </w:rPr>
        <w:t>kwietniu</w:t>
      </w:r>
      <w:r w:rsidR="006B798F">
        <w:rPr>
          <w:b/>
          <w:shd w:val="clear" w:color="auto" w:fill="FFFFFF"/>
        </w:rPr>
        <w:t xml:space="preserve"> i maju</w:t>
      </w:r>
      <w:r w:rsidR="006A3BF8">
        <w:rPr>
          <w:b/>
          <w:shd w:val="clear" w:color="auto" w:fill="FFFFFF"/>
        </w:rPr>
        <w:t xml:space="preserve">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kwietniu i maju 2024 r."/>
        <w:tblDescription w:val="Wskaźniki cen produkcji sprzedanej przemysłu w różnych okresach odniesienia: kwiecień 2024 r. do marca 2024 r., kwiecień 2024 r. do analogicznego okresu roku  ubiegłego tj. kwietnia 2023 r., maj 2024 r. do analogicznego okresu roku ubiegłego tj. maja 2023 r., maj 2024 r. do kwietnia 2024 r., maj 2024 r. do grudnia 2023 r., narastająco styczeń - maj 2024 r. do stycznia - maj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2755B201" w:rsidR="00FC2EE0" w:rsidRPr="00BF6C1D" w:rsidRDefault="00FC2EE0" w:rsidP="00FC2EE0">
            <w:pPr>
              <w:jc w:val="center"/>
              <w:rPr>
                <w:sz w:val="16"/>
                <w:szCs w:val="16"/>
                <w:shd w:val="clear" w:color="auto" w:fill="FFFFFF"/>
              </w:rPr>
            </w:pPr>
            <w:r w:rsidRPr="00BF6C1D">
              <w:rPr>
                <w:color w:val="000000" w:themeColor="text1"/>
                <w:sz w:val="16"/>
                <w:szCs w:val="16"/>
              </w:rPr>
              <w:t>0</w:t>
            </w:r>
            <w:r w:rsidR="006B798F">
              <w:rPr>
                <w:color w:val="000000" w:themeColor="text1"/>
                <w:sz w:val="16"/>
                <w:szCs w:val="16"/>
              </w:rPr>
              <w:t>4</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4EABFF27" w:rsidR="00FC2EE0" w:rsidRPr="00BF6C1D" w:rsidRDefault="00FC2EE0" w:rsidP="00FC2EE0">
            <w:pPr>
              <w:jc w:val="center"/>
              <w:rPr>
                <w:sz w:val="16"/>
                <w:szCs w:val="16"/>
                <w:shd w:val="clear" w:color="auto" w:fill="FFFFFF"/>
              </w:rPr>
            </w:pPr>
            <w:r w:rsidRPr="00BF6C1D">
              <w:rPr>
                <w:color w:val="000000" w:themeColor="text1"/>
                <w:sz w:val="16"/>
                <w:szCs w:val="16"/>
              </w:rPr>
              <w:t>0</w:t>
            </w:r>
            <w:r w:rsidR="006B798F">
              <w:rPr>
                <w:color w:val="000000" w:themeColor="text1"/>
                <w:sz w:val="16"/>
                <w:szCs w:val="16"/>
              </w:rPr>
              <w:t>5</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0CB7F721" w:rsidR="00FC2EE0" w:rsidRPr="00BF6C1D" w:rsidRDefault="00FC2EE0" w:rsidP="00FC2EE0">
            <w:pPr>
              <w:jc w:val="center"/>
              <w:rPr>
                <w:color w:val="000000" w:themeColor="text1"/>
                <w:sz w:val="16"/>
                <w:szCs w:val="16"/>
              </w:rPr>
            </w:pPr>
            <w:r w:rsidRPr="00BF6C1D">
              <w:rPr>
                <w:color w:val="000000" w:themeColor="text1"/>
                <w:sz w:val="16"/>
                <w:szCs w:val="16"/>
              </w:rPr>
              <w:t>01-0</w:t>
            </w:r>
            <w:r w:rsidR="006B798F">
              <w:rPr>
                <w:color w:val="000000" w:themeColor="text1"/>
                <w:sz w:val="16"/>
                <w:szCs w:val="16"/>
              </w:rPr>
              <w:t>5</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38E83B85"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6B798F">
              <w:rPr>
                <w:color w:val="000000" w:themeColor="text1"/>
                <w:spacing w:val="-12"/>
                <w:sz w:val="16"/>
                <w:szCs w:val="16"/>
              </w:rPr>
              <w:t>3</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7937DAB8" w:rsidR="00FC2EE0" w:rsidRPr="00BF6C1D" w:rsidRDefault="007108F0" w:rsidP="00FC2EE0">
            <w:pPr>
              <w:jc w:val="center"/>
              <w:rPr>
                <w:color w:val="000000" w:themeColor="text1"/>
                <w:spacing w:val="-12"/>
                <w:sz w:val="16"/>
                <w:szCs w:val="16"/>
              </w:rPr>
            </w:pPr>
            <w:r>
              <w:rPr>
                <w:color w:val="000000" w:themeColor="text1"/>
                <w:spacing w:val="-12"/>
                <w:sz w:val="16"/>
                <w:szCs w:val="16"/>
              </w:rPr>
              <w:t>0</w:t>
            </w:r>
            <w:r w:rsidR="006B798F">
              <w:rPr>
                <w:color w:val="000000" w:themeColor="text1"/>
                <w:spacing w:val="-12"/>
                <w:sz w:val="16"/>
                <w:szCs w:val="16"/>
              </w:rPr>
              <w:t>4</w:t>
            </w:r>
            <w:r w:rsidR="00FC2EE0" w:rsidRPr="00BF6C1D">
              <w:rPr>
                <w:color w:val="000000" w:themeColor="text1"/>
                <w:spacing w:val="-12"/>
                <w:sz w:val="16"/>
                <w:szCs w:val="16"/>
              </w:rPr>
              <w:t xml:space="preserve"> 202</w:t>
            </w:r>
            <w:r w:rsidR="00D51274" w:rsidRPr="00BF6C1D">
              <w:rPr>
                <w:color w:val="000000" w:themeColor="text1"/>
                <w:spacing w:val="-12"/>
                <w:sz w:val="16"/>
                <w:szCs w:val="16"/>
              </w:rPr>
              <w:t>4</w:t>
            </w:r>
            <w:r w:rsidR="00FC2EE0"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24DA5207" w:rsidR="00FC2EE0" w:rsidRPr="00BF6C1D" w:rsidRDefault="00FC2EE0" w:rsidP="00FC2EE0">
            <w:pPr>
              <w:jc w:val="center"/>
              <w:rPr>
                <w:color w:val="000000" w:themeColor="text1"/>
                <w:sz w:val="16"/>
                <w:szCs w:val="16"/>
              </w:rPr>
            </w:pPr>
            <w:r w:rsidRPr="00BF6C1D">
              <w:rPr>
                <w:color w:val="000000" w:themeColor="text1"/>
                <w:sz w:val="16"/>
                <w:szCs w:val="16"/>
              </w:rPr>
              <w:t>01-0</w:t>
            </w:r>
            <w:r w:rsidR="006B798F">
              <w:rPr>
                <w:color w:val="000000" w:themeColor="text1"/>
                <w:sz w:val="16"/>
                <w:szCs w:val="16"/>
              </w:rPr>
              <w:t>5</w:t>
            </w:r>
            <w:r w:rsidRPr="00BF6C1D">
              <w:rPr>
                <w:color w:val="000000" w:themeColor="text1"/>
                <w:sz w:val="16"/>
                <w:szCs w:val="16"/>
              </w:rPr>
              <w:t xml:space="preserve"> 2023=100</w:t>
            </w:r>
          </w:p>
        </w:tc>
      </w:tr>
      <w:tr w:rsidR="006B798F" w14:paraId="1283D980" w14:textId="77777777" w:rsidTr="00BF6C1D">
        <w:tc>
          <w:tcPr>
            <w:tcW w:w="2194" w:type="dxa"/>
            <w:tcBorders>
              <w:top w:val="single" w:sz="4" w:space="0" w:color="001D77"/>
              <w:left w:val="nil"/>
              <w:bottom w:val="single" w:sz="4" w:space="0" w:color="001D77"/>
              <w:right w:val="single" w:sz="4" w:space="0" w:color="001D77"/>
            </w:tcBorders>
            <w:hideMark/>
          </w:tcPr>
          <w:p w14:paraId="75CD21A5" w14:textId="77777777" w:rsidR="006B798F" w:rsidRDefault="006B798F" w:rsidP="006B798F">
            <w:pPr>
              <w:rPr>
                <w:shd w:val="clear" w:color="auto" w:fill="FFFFFF"/>
              </w:rPr>
            </w:pPr>
            <w:r>
              <w:rPr>
                <w:b/>
                <w:color w:val="000000" w:themeColor="text1"/>
                <w:sz w:val="16"/>
                <w:szCs w:val="16"/>
              </w:rPr>
              <w:t>OGÓŁEM</w:t>
            </w:r>
          </w:p>
        </w:tc>
        <w:tc>
          <w:tcPr>
            <w:tcW w:w="964" w:type="dxa"/>
            <w:vAlign w:val="center"/>
          </w:tcPr>
          <w:p w14:paraId="5990A0D0" w14:textId="109D1E81" w:rsidR="006B798F" w:rsidRPr="00991B7A" w:rsidRDefault="006B798F" w:rsidP="006B798F">
            <w:pPr>
              <w:jc w:val="right"/>
              <w:rPr>
                <w:rFonts w:cs="Arial"/>
                <w:color w:val="000000" w:themeColor="text1"/>
                <w:sz w:val="16"/>
                <w:szCs w:val="16"/>
              </w:rPr>
            </w:pPr>
            <w:r>
              <w:rPr>
                <w:rFonts w:cs="Arial"/>
                <w:color w:val="000000" w:themeColor="text1"/>
                <w:sz w:val="16"/>
                <w:szCs w:val="16"/>
              </w:rPr>
              <w:t>100,</w:t>
            </w:r>
            <w:r w:rsidR="009E012F">
              <w:rPr>
                <w:rFonts w:cs="Arial"/>
                <w:color w:val="000000" w:themeColor="text1"/>
                <w:sz w:val="16"/>
                <w:szCs w:val="16"/>
              </w:rPr>
              <w:t>3*</w:t>
            </w:r>
          </w:p>
        </w:tc>
        <w:tc>
          <w:tcPr>
            <w:tcW w:w="964" w:type="dxa"/>
            <w:vAlign w:val="center"/>
          </w:tcPr>
          <w:p w14:paraId="1C763EBB" w14:textId="78EE922E" w:rsidR="006B798F" w:rsidRPr="00991B7A" w:rsidRDefault="006B798F" w:rsidP="006B798F">
            <w:pPr>
              <w:jc w:val="right"/>
              <w:rPr>
                <w:rFonts w:cs="Arial"/>
                <w:color w:val="000000" w:themeColor="text1"/>
                <w:sz w:val="16"/>
                <w:szCs w:val="16"/>
              </w:rPr>
            </w:pPr>
            <w:r>
              <w:rPr>
                <w:rFonts w:cs="Arial"/>
                <w:color w:val="000000" w:themeColor="text1"/>
                <w:sz w:val="16"/>
                <w:szCs w:val="16"/>
              </w:rPr>
              <w:t>91,</w:t>
            </w:r>
            <w:r w:rsidR="004E74D9">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5B7D7D93" w:rsidR="006B798F" w:rsidRPr="00475FCB" w:rsidRDefault="004E74D9" w:rsidP="006B798F">
            <w:pPr>
              <w:jc w:val="right"/>
              <w:rPr>
                <w:rFonts w:cs="Arial"/>
                <w:color w:val="000000" w:themeColor="text1"/>
                <w:sz w:val="16"/>
                <w:szCs w:val="16"/>
              </w:rPr>
            </w:pPr>
            <w:r>
              <w:rPr>
                <w:rFonts w:cs="Arial"/>
                <w:color w:val="000000" w:themeColor="text1"/>
                <w:sz w:val="16"/>
                <w:szCs w:val="16"/>
              </w:rPr>
              <w:t>93,0</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17953FCF" w:rsidR="006B798F" w:rsidRPr="00475FCB" w:rsidRDefault="004E74D9" w:rsidP="006B798F">
            <w:pPr>
              <w:jc w:val="right"/>
              <w:rPr>
                <w:rFonts w:cs="Arial"/>
                <w:color w:val="000000" w:themeColor="text1"/>
                <w:sz w:val="16"/>
                <w:szCs w:val="16"/>
              </w:rPr>
            </w:pPr>
            <w:r>
              <w:rPr>
                <w:rFonts w:cs="Arial"/>
                <w:color w:val="000000" w:themeColor="text1"/>
                <w:sz w:val="16"/>
                <w:szCs w:val="16"/>
              </w:rPr>
              <w:t>99,7</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6B89B3B1" w:rsidR="006B798F" w:rsidRPr="00475FCB" w:rsidRDefault="004E74D9" w:rsidP="006B798F">
            <w:pPr>
              <w:jc w:val="right"/>
              <w:rPr>
                <w:rFonts w:cs="Arial"/>
                <w:color w:val="000000" w:themeColor="text1"/>
                <w:sz w:val="16"/>
                <w:szCs w:val="16"/>
              </w:rPr>
            </w:pPr>
            <w:r>
              <w:rPr>
                <w:rFonts w:cs="Arial"/>
                <w:color w:val="000000" w:themeColor="text1"/>
                <w:sz w:val="16"/>
                <w:szCs w:val="16"/>
              </w:rPr>
              <w:t>97,7</w:t>
            </w:r>
          </w:p>
        </w:tc>
        <w:tc>
          <w:tcPr>
            <w:tcW w:w="968" w:type="dxa"/>
            <w:tcBorders>
              <w:top w:val="single" w:sz="4" w:space="0" w:color="001D77"/>
              <w:left w:val="single" w:sz="4" w:space="0" w:color="001D77"/>
              <w:bottom w:val="single" w:sz="4" w:space="0" w:color="001D77"/>
              <w:right w:val="nil"/>
            </w:tcBorders>
            <w:vAlign w:val="center"/>
          </w:tcPr>
          <w:p w14:paraId="2E948375" w14:textId="3EB2632F" w:rsidR="006B798F" w:rsidRPr="00475FCB" w:rsidRDefault="004E74D9" w:rsidP="006B798F">
            <w:pPr>
              <w:jc w:val="right"/>
              <w:rPr>
                <w:rFonts w:cs="Arial"/>
                <w:color w:val="000000" w:themeColor="text1"/>
                <w:sz w:val="16"/>
                <w:szCs w:val="16"/>
              </w:rPr>
            </w:pPr>
            <w:r>
              <w:rPr>
                <w:rFonts w:cs="Arial"/>
                <w:color w:val="000000" w:themeColor="text1"/>
                <w:sz w:val="16"/>
                <w:szCs w:val="16"/>
              </w:rPr>
              <w:t>90,8</w:t>
            </w:r>
          </w:p>
        </w:tc>
      </w:tr>
      <w:tr w:rsidR="006B798F" w14:paraId="4AFEE64E" w14:textId="77777777" w:rsidTr="00BF6C1D">
        <w:tc>
          <w:tcPr>
            <w:tcW w:w="2194" w:type="dxa"/>
            <w:tcBorders>
              <w:top w:val="single" w:sz="4" w:space="0" w:color="001D77"/>
              <w:left w:val="nil"/>
              <w:bottom w:val="single" w:sz="4" w:space="0" w:color="001D77"/>
              <w:right w:val="single" w:sz="4" w:space="0" w:color="001D77"/>
            </w:tcBorders>
            <w:hideMark/>
          </w:tcPr>
          <w:p w14:paraId="673BCD9A" w14:textId="77777777" w:rsidR="006B798F" w:rsidRDefault="006B798F" w:rsidP="006B798F">
            <w:pPr>
              <w:rPr>
                <w:shd w:val="clear" w:color="auto" w:fill="FFFFFF"/>
              </w:rPr>
            </w:pPr>
            <w:r>
              <w:rPr>
                <w:color w:val="000000" w:themeColor="text1"/>
                <w:sz w:val="16"/>
                <w:szCs w:val="16"/>
                <w:lang w:val="en-US"/>
              </w:rPr>
              <w:t>Górnictwo i wydobywanie</w:t>
            </w:r>
          </w:p>
        </w:tc>
        <w:tc>
          <w:tcPr>
            <w:tcW w:w="964" w:type="dxa"/>
            <w:vAlign w:val="center"/>
          </w:tcPr>
          <w:p w14:paraId="7C4B7F6F" w14:textId="0D9A49D9" w:rsidR="006B798F" w:rsidRPr="00991B7A" w:rsidRDefault="006B798F" w:rsidP="006B798F">
            <w:pPr>
              <w:jc w:val="right"/>
              <w:rPr>
                <w:rFonts w:cs="Arial"/>
                <w:color w:val="000000" w:themeColor="text1"/>
                <w:sz w:val="16"/>
                <w:szCs w:val="16"/>
              </w:rPr>
            </w:pPr>
            <w:r>
              <w:rPr>
                <w:rFonts w:cs="Arial"/>
                <w:color w:val="000000" w:themeColor="text1"/>
                <w:sz w:val="16"/>
                <w:szCs w:val="16"/>
              </w:rPr>
              <w:t>104,</w:t>
            </w:r>
            <w:r w:rsidR="004E74D9">
              <w:rPr>
                <w:rFonts w:cs="Arial"/>
                <w:color w:val="000000" w:themeColor="text1"/>
                <w:sz w:val="16"/>
                <w:szCs w:val="16"/>
              </w:rPr>
              <w:t>3*</w:t>
            </w:r>
          </w:p>
        </w:tc>
        <w:tc>
          <w:tcPr>
            <w:tcW w:w="964" w:type="dxa"/>
            <w:vAlign w:val="center"/>
          </w:tcPr>
          <w:p w14:paraId="7764B424" w14:textId="5248672B" w:rsidR="006B798F" w:rsidRPr="00991B7A" w:rsidRDefault="006B798F" w:rsidP="006B798F">
            <w:pPr>
              <w:jc w:val="right"/>
              <w:rPr>
                <w:rFonts w:cs="Arial"/>
                <w:color w:val="000000" w:themeColor="text1"/>
                <w:sz w:val="16"/>
                <w:szCs w:val="16"/>
              </w:rPr>
            </w:pPr>
            <w:r>
              <w:rPr>
                <w:rFonts w:cs="Arial"/>
                <w:color w:val="000000" w:themeColor="text1"/>
                <w:sz w:val="16"/>
                <w:szCs w:val="16"/>
              </w:rPr>
              <w:t>91,</w:t>
            </w:r>
            <w:r w:rsidR="004E74D9">
              <w:rPr>
                <w:rFonts w:cs="Arial"/>
                <w:color w:val="000000" w:themeColor="text1"/>
                <w:sz w:val="16"/>
                <w:szCs w:val="16"/>
              </w:rPr>
              <w:t>1*</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168F4748" w:rsidR="006B798F" w:rsidRPr="00475FCB" w:rsidRDefault="004E74D9" w:rsidP="006B798F">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735E4357" w:rsidR="006B798F" w:rsidRPr="00475FCB" w:rsidRDefault="004E74D9" w:rsidP="006B798F">
            <w:pPr>
              <w:jc w:val="right"/>
              <w:rPr>
                <w:rFonts w:cs="Arial"/>
                <w:color w:val="000000" w:themeColor="text1"/>
                <w:sz w:val="16"/>
                <w:szCs w:val="16"/>
              </w:rPr>
            </w:pPr>
            <w:r>
              <w:rPr>
                <w:rFonts w:cs="Arial"/>
                <w:color w:val="000000" w:themeColor="text1"/>
                <w:sz w:val="16"/>
                <w:szCs w:val="16"/>
              </w:rPr>
              <w:t>101,7</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372AE2A0" w:rsidR="006B798F" w:rsidRPr="00475FCB" w:rsidRDefault="004E74D9" w:rsidP="006B798F">
            <w:pPr>
              <w:jc w:val="right"/>
              <w:rPr>
                <w:rFonts w:cs="Arial"/>
                <w:color w:val="000000" w:themeColor="text1"/>
                <w:sz w:val="16"/>
                <w:szCs w:val="16"/>
              </w:rPr>
            </w:pPr>
            <w:r>
              <w:rPr>
                <w:rFonts w:cs="Arial"/>
                <w:color w:val="000000" w:themeColor="text1"/>
                <w:sz w:val="16"/>
                <w:szCs w:val="16"/>
              </w:rPr>
              <w:t>100,7</w:t>
            </w:r>
          </w:p>
        </w:tc>
        <w:tc>
          <w:tcPr>
            <w:tcW w:w="968" w:type="dxa"/>
            <w:tcBorders>
              <w:top w:val="single" w:sz="4" w:space="0" w:color="001D77"/>
              <w:left w:val="single" w:sz="4" w:space="0" w:color="001D77"/>
              <w:bottom w:val="single" w:sz="4" w:space="0" w:color="001D77"/>
              <w:right w:val="nil"/>
            </w:tcBorders>
            <w:vAlign w:val="center"/>
          </w:tcPr>
          <w:p w14:paraId="31454F45" w14:textId="0073E1C9" w:rsidR="006B798F" w:rsidRPr="00475FCB" w:rsidRDefault="004E74D9" w:rsidP="006B798F">
            <w:pPr>
              <w:jc w:val="right"/>
              <w:rPr>
                <w:rFonts w:cs="Arial"/>
                <w:color w:val="000000" w:themeColor="text1"/>
                <w:sz w:val="16"/>
                <w:szCs w:val="16"/>
              </w:rPr>
            </w:pPr>
            <w:r>
              <w:rPr>
                <w:rFonts w:cs="Arial"/>
                <w:color w:val="000000" w:themeColor="text1"/>
                <w:sz w:val="16"/>
                <w:szCs w:val="16"/>
              </w:rPr>
              <w:t>89,6</w:t>
            </w:r>
          </w:p>
        </w:tc>
      </w:tr>
      <w:tr w:rsidR="006B798F" w14:paraId="647566A4" w14:textId="77777777" w:rsidTr="00BF6C1D">
        <w:tc>
          <w:tcPr>
            <w:tcW w:w="2194" w:type="dxa"/>
            <w:tcBorders>
              <w:top w:val="single" w:sz="4" w:space="0" w:color="001D77"/>
              <w:left w:val="nil"/>
              <w:bottom w:val="single" w:sz="4" w:space="0" w:color="001D77"/>
              <w:right w:val="single" w:sz="4" w:space="0" w:color="001D77"/>
            </w:tcBorders>
            <w:hideMark/>
          </w:tcPr>
          <w:p w14:paraId="2FD608D1" w14:textId="77777777" w:rsidR="006B798F" w:rsidRDefault="006B798F" w:rsidP="006B798F">
            <w:pPr>
              <w:rPr>
                <w:shd w:val="clear" w:color="auto" w:fill="FFFFFF"/>
              </w:rPr>
            </w:pPr>
            <w:r>
              <w:rPr>
                <w:color w:val="000000" w:themeColor="text1"/>
                <w:sz w:val="16"/>
                <w:szCs w:val="16"/>
                <w:lang w:val="en-US"/>
              </w:rPr>
              <w:t>Przetwórstwo przemysłowe</w:t>
            </w:r>
          </w:p>
        </w:tc>
        <w:tc>
          <w:tcPr>
            <w:tcW w:w="964" w:type="dxa"/>
            <w:vAlign w:val="center"/>
          </w:tcPr>
          <w:p w14:paraId="411D0288" w14:textId="1178CEE2" w:rsidR="006B798F" w:rsidRPr="00991B7A" w:rsidRDefault="006B798F" w:rsidP="006B798F">
            <w:pPr>
              <w:jc w:val="right"/>
              <w:rPr>
                <w:rFonts w:cs="Arial"/>
                <w:color w:val="000000" w:themeColor="text1"/>
                <w:sz w:val="16"/>
                <w:szCs w:val="16"/>
              </w:rPr>
            </w:pPr>
            <w:r>
              <w:rPr>
                <w:rFonts w:cs="Arial"/>
                <w:color w:val="000000" w:themeColor="text1"/>
                <w:sz w:val="16"/>
                <w:szCs w:val="16"/>
              </w:rPr>
              <w:t>100,</w:t>
            </w:r>
            <w:r w:rsidR="004E74D9">
              <w:rPr>
                <w:rFonts w:cs="Arial"/>
                <w:color w:val="000000" w:themeColor="text1"/>
                <w:sz w:val="16"/>
                <w:szCs w:val="16"/>
              </w:rPr>
              <w:t>1*</w:t>
            </w:r>
          </w:p>
        </w:tc>
        <w:tc>
          <w:tcPr>
            <w:tcW w:w="964" w:type="dxa"/>
            <w:vAlign w:val="center"/>
          </w:tcPr>
          <w:p w14:paraId="10F6F5A0" w14:textId="5F8F8006" w:rsidR="006B798F" w:rsidRPr="00991B7A" w:rsidRDefault="006B798F" w:rsidP="006B798F">
            <w:pPr>
              <w:jc w:val="right"/>
              <w:rPr>
                <w:rFonts w:cs="Arial"/>
                <w:color w:val="000000" w:themeColor="text1"/>
                <w:sz w:val="16"/>
                <w:szCs w:val="16"/>
              </w:rPr>
            </w:pPr>
            <w:r>
              <w:rPr>
                <w:rFonts w:cs="Arial"/>
                <w:color w:val="000000" w:themeColor="text1"/>
                <w:sz w:val="16"/>
                <w:szCs w:val="16"/>
              </w:rPr>
              <w:t>92,</w:t>
            </w:r>
            <w:r w:rsidR="004E74D9">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383EB820" w:rsidR="006B798F" w:rsidRPr="00475FCB" w:rsidRDefault="004E74D9" w:rsidP="006B798F">
            <w:pPr>
              <w:jc w:val="right"/>
              <w:rPr>
                <w:rFonts w:cs="Arial"/>
                <w:color w:val="000000" w:themeColor="text1"/>
                <w:sz w:val="16"/>
                <w:szCs w:val="16"/>
              </w:rPr>
            </w:pPr>
            <w:r>
              <w:rPr>
                <w:rFonts w:cs="Arial"/>
                <w:color w:val="000000" w:themeColor="text1"/>
                <w:sz w:val="16"/>
                <w:szCs w:val="16"/>
              </w:rPr>
              <w:t>93,8</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4D2BD032" w:rsidR="006B798F" w:rsidRPr="00475FCB" w:rsidRDefault="004E74D9" w:rsidP="006B798F">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10F22CDC" w:rsidR="006B798F" w:rsidRPr="00475FCB" w:rsidRDefault="004E74D9" w:rsidP="006B798F">
            <w:pPr>
              <w:jc w:val="right"/>
              <w:rPr>
                <w:rFonts w:cs="Arial"/>
                <w:color w:val="000000" w:themeColor="text1"/>
                <w:sz w:val="16"/>
                <w:szCs w:val="16"/>
              </w:rPr>
            </w:pPr>
            <w:r>
              <w:rPr>
                <w:rFonts w:cs="Arial"/>
                <w:color w:val="000000" w:themeColor="text1"/>
                <w:sz w:val="16"/>
                <w:szCs w:val="16"/>
              </w:rPr>
              <w:t>98,6</w:t>
            </w:r>
          </w:p>
        </w:tc>
        <w:tc>
          <w:tcPr>
            <w:tcW w:w="968" w:type="dxa"/>
            <w:tcBorders>
              <w:top w:val="single" w:sz="4" w:space="0" w:color="001D77"/>
              <w:left w:val="single" w:sz="4" w:space="0" w:color="001D77"/>
              <w:bottom w:val="single" w:sz="4" w:space="0" w:color="001D77"/>
              <w:right w:val="nil"/>
            </w:tcBorders>
            <w:vAlign w:val="center"/>
          </w:tcPr>
          <w:p w14:paraId="2728D4B8" w14:textId="3F85EEF4" w:rsidR="006B798F" w:rsidRPr="00475FCB" w:rsidRDefault="004E74D9" w:rsidP="006B798F">
            <w:pPr>
              <w:jc w:val="right"/>
              <w:rPr>
                <w:rFonts w:cs="Arial"/>
                <w:color w:val="000000" w:themeColor="text1"/>
                <w:sz w:val="16"/>
                <w:szCs w:val="16"/>
              </w:rPr>
            </w:pPr>
            <w:r>
              <w:rPr>
                <w:rFonts w:cs="Arial"/>
                <w:color w:val="000000" w:themeColor="text1"/>
                <w:sz w:val="16"/>
                <w:szCs w:val="16"/>
              </w:rPr>
              <w:t>91,6</w:t>
            </w:r>
          </w:p>
        </w:tc>
      </w:tr>
      <w:tr w:rsidR="006B798F" w14:paraId="503101B9" w14:textId="77777777" w:rsidTr="00BF6C1D">
        <w:tc>
          <w:tcPr>
            <w:tcW w:w="2194" w:type="dxa"/>
            <w:tcBorders>
              <w:top w:val="single" w:sz="4" w:space="0" w:color="001D77"/>
              <w:left w:val="nil"/>
              <w:bottom w:val="single" w:sz="4" w:space="0" w:color="001D77"/>
              <w:right w:val="single" w:sz="4" w:space="0" w:color="001D77"/>
            </w:tcBorders>
            <w:hideMark/>
          </w:tcPr>
          <w:p w14:paraId="06EF8C94" w14:textId="77777777" w:rsidR="006B798F" w:rsidRDefault="006B798F" w:rsidP="006B798F">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vAlign w:val="center"/>
          </w:tcPr>
          <w:p w14:paraId="2EF0CBEE" w14:textId="7477241E" w:rsidR="006B798F" w:rsidRPr="00991B7A" w:rsidRDefault="004E74D9" w:rsidP="006B798F">
            <w:pPr>
              <w:jc w:val="right"/>
              <w:rPr>
                <w:rFonts w:cs="Arial"/>
                <w:color w:val="000000" w:themeColor="text1"/>
                <w:sz w:val="16"/>
                <w:szCs w:val="16"/>
              </w:rPr>
            </w:pPr>
            <w:r>
              <w:rPr>
                <w:rFonts w:cs="Arial"/>
                <w:color w:val="000000" w:themeColor="text1"/>
                <w:sz w:val="16"/>
                <w:szCs w:val="16"/>
              </w:rPr>
              <w:t>99,7*</w:t>
            </w:r>
          </w:p>
        </w:tc>
        <w:tc>
          <w:tcPr>
            <w:tcW w:w="964" w:type="dxa"/>
            <w:vAlign w:val="center"/>
          </w:tcPr>
          <w:p w14:paraId="66CC2BD8" w14:textId="58B16EF1" w:rsidR="006B798F" w:rsidRPr="00991B7A" w:rsidRDefault="006B798F" w:rsidP="006B798F">
            <w:pPr>
              <w:jc w:val="right"/>
              <w:rPr>
                <w:rFonts w:cs="Arial"/>
                <w:color w:val="000000" w:themeColor="text1"/>
                <w:sz w:val="16"/>
                <w:szCs w:val="16"/>
              </w:rPr>
            </w:pPr>
            <w:r>
              <w:rPr>
                <w:rFonts w:cs="Arial"/>
                <w:color w:val="000000" w:themeColor="text1"/>
                <w:sz w:val="16"/>
                <w:szCs w:val="16"/>
              </w:rPr>
              <w:t>82,</w:t>
            </w:r>
            <w:r w:rsidR="004E74D9">
              <w:rPr>
                <w:rFonts w:cs="Arial"/>
                <w:color w:val="000000" w:themeColor="text1"/>
                <w:sz w:val="16"/>
                <w:szCs w:val="16"/>
              </w:rPr>
              <w:t>6*</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7DF830F3" w:rsidR="006B798F" w:rsidRPr="00475FCB" w:rsidRDefault="004E74D9" w:rsidP="006B798F">
            <w:pPr>
              <w:jc w:val="right"/>
              <w:rPr>
                <w:rFonts w:cs="Arial"/>
                <w:color w:val="000000" w:themeColor="text1"/>
                <w:sz w:val="16"/>
                <w:szCs w:val="16"/>
              </w:rPr>
            </w:pPr>
            <w:r>
              <w:rPr>
                <w:rFonts w:cs="Arial"/>
                <w:color w:val="000000" w:themeColor="text1"/>
                <w:sz w:val="16"/>
                <w:szCs w:val="16"/>
              </w:rPr>
              <w:t>84,9</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4A9CC58C" w:rsidR="006B798F" w:rsidRPr="00475FCB" w:rsidRDefault="004E74D9" w:rsidP="006B798F">
            <w:pPr>
              <w:jc w:val="right"/>
              <w:rPr>
                <w:rFonts w:cs="Arial"/>
                <w:color w:val="000000" w:themeColor="text1"/>
                <w:sz w:val="16"/>
                <w:szCs w:val="16"/>
              </w:rPr>
            </w:pPr>
            <w:r>
              <w:rPr>
                <w:rFonts w:cs="Arial"/>
                <w:color w:val="000000" w:themeColor="text1"/>
                <w:sz w:val="16"/>
                <w:szCs w:val="16"/>
              </w:rPr>
              <w:t>100,9</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7C00E678" w:rsidR="006B798F" w:rsidRPr="00475FCB" w:rsidRDefault="004E74D9" w:rsidP="006B798F">
            <w:pPr>
              <w:jc w:val="right"/>
              <w:rPr>
                <w:rFonts w:cs="Arial"/>
                <w:color w:val="000000" w:themeColor="text1"/>
                <w:sz w:val="16"/>
                <w:szCs w:val="16"/>
              </w:rPr>
            </w:pPr>
            <w:r>
              <w:rPr>
                <w:rFonts w:cs="Arial"/>
                <w:color w:val="000000" w:themeColor="text1"/>
                <w:sz w:val="16"/>
                <w:szCs w:val="16"/>
              </w:rPr>
              <w:t>89,3</w:t>
            </w:r>
          </w:p>
        </w:tc>
        <w:tc>
          <w:tcPr>
            <w:tcW w:w="968" w:type="dxa"/>
            <w:tcBorders>
              <w:top w:val="single" w:sz="4" w:space="0" w:color="001D77"/>
              <w:left w:val="single" w:sz="4" w:space="0" w:color="001D77"/>
              <w:bottom w:val="single" w:sz="4" w:space="0" w:color="001D77"/>
              <w:right w:val="nil"/>
            </w:tcBorders>
            <w:vAlign w:val="center"/>
          </w:tcPr>
          <w:p w14:paraId="69A3E910" w14:textId="673EE57A" w:rsidR="006B798F" w:rsidRPr="00475FCB" w:rsidRDefault="004E74D9" w:rsidP="006B798F">
            <w:pPr>
              <w:jc w:val="right"/>
              <w:rPr>
                <w:rFonts w:cs="Arial"/>
                <w:color w:val="000000" w:themeColor="text1"/>
                <w:sz w:val="16"/>
                <w:szCs w:val="16"/>
              </w:rPr>
            </w:pPr>
            <w:r>
              <w:rPr>
                <w:rFonts w:cs="Arial"/>
                <w:color w:val="000000" w:themeColor="text1"/>
                <w:sz w:val="16"/>
                <w:szCs w:val="16"/>
              </w:rPr>
              <w:t>83,1</w:t>
            </w:r>
          </w:p>
        </w:tc>
      </w:tr>
      <w:tr w:rsidR="006B798F" w14:paraId="3475094B" w14:textId="77777777" w:rsidTr="00BF6C1D">
        <w:tc>
          <w:tcPr>
            <w:tcW w:w="2194" w:type="dxa"/>
            <w:tcBorders>
              <w:top w:val="single" w:sz="4" w:space="0" w:color="001D77"/>
              <w:left w:val="nil"/>
              <w:bottom w:val="nil"/>
              <w:right w:val="single" w:sz="4" w:space="0" w:color="001D77"/>
            </w:tcBorders>
            <w:hideMark/>
          </w:tcPr>
          <w:p w14:paraId="031BFA2A" w14:textId="77777777" w:rsidR="006B798F" w:rsidRDefault="006B798F" w:rsidP="006B798F">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vAlign w:val="center"/>
          </w:tcPr>
          <w:p w14:paraId="6358DC92" w14:textId="62600B77" w:rsidR="006B798F" w:rsidRPr="00991B7A" w:rsidRDefault="004E74D9" w:rsidP="006B798F">
            <w:pPr>
              <w:jc w:val="right"/>
              <w:rPr>
                <w:rFonts w:cs="Arial"/>
                <w:color w:val="000000" w:themeColor="text1"/>
                <w:sz w:val="16"/>
                <w:szCs w:val="16"/>
              </w:rPr>
            </w:pPr>
            <w:r>
              <w:rPr>
                <w:rFonts w:cs="Arial"/>
                <w:color w:val="000000" w:themeColor="text1"/>
                <w:sz w:val="16"/>
                <w:szCs w:val="16"/>
              </w:rPr>
              <w:t>99,9*</w:t>
            </w:r>
          </w:p>
        </w:tc>
        <w:tc>
          <w:tcPr>
            <w:tcW w:w="964" w:type="dxa"/>
            <w:vAlign w:val="center"/>
          </w:tcPr>
          <w:p w14:paraId="6312B989" w14:textId="2E27CC48" w:rsidR="006B798F" w:rsidRPr="00991B7A" w:rsidRDefault="006B798F" w:rsidP="006B798F">
            <w:pPr>
              <w:jc w:val="right"/>
              <w:rPr>
                <w:rFonts w:cs="Arial"/>
                <w:color w:val="000000" w:themeColor="text1"/>
                <w:sz w:val="16"/>
                <w:szCs w:val="16"/>
              </w:rPr>
            </w:pPr>
            <w:r>
              <w:rPr>
                <w:rFonts w:cs="Arial"/>
                <w:color w:val="000000" w:themeColor="text1"/>
                <w:sz w:val="16"/>
                <w:szCs w:val="16"/>
              </w:rPr>
              <w:t>101,</w:t>
            </w:r>
            <w:r w:rsidR="004E74D9">
              <w:rPr>
                <w:rFonts w:cs="Arial"/>
                <w:color w:val="000000" w:themeColor="text1"/>
                <w:sz w:val="16"/>
                <w:szCs w:val="16"/>
              </w:rPr>
              <w:t>6*</w:t>
            </w:r>
          </w:p>
        </w:tc>
        <w:tc>
          <w:tcPr>
            <w:tcW w:w="964" w:type="dxa"/>
            <w:tcBorders>
              <w:top w:val="single" w:sz="4" w:space="0" w:color="001D77"/>
              <w:left w:val="single" w:sz="4" w:space="0" w:color="001D77"/>
              <w:bottom w:val="nil"/>
              <w:right w:val="single" w:sz="4" w:space="0" w:color="001D77"/>
            </w:tcBorders>
            <w:vAlign w:val="center"/>
          </w:tcPr>
          <w:p w14:paraId="6064AE36" w14:textId="0D885C1F" w:rsidR="006B798F" w:rsidRPr="00475FCB" w:rsidRDefault="004E74D9" w:rsidP="006B798F">
            <w:pPr>
              <w:jc w:val="right"/>
              <w:rPr>
                <w:rFonts w:cs="Arial"/>
                <w:color w:val="000000" w:themeColor="text1"/>
                <w:sz w:val="16"/>
                <w:szCs w:val="16"/>
              </w:rPr>
            </w:pPr>
            <w:r>
              <w:rPr>
                <w:rFonts w:cs="Arial"/>
                <w:color w:val="000000" w:themeColor="text1"/>
                <w:sz w:val="16"/>
                <w:szCs w:val="16"/>
              </w:rPr>
              <w:t>102,0</w:t>
            </w:r>
          </w:p>
        </w:tc>
        <w:tc>
          <w:tcPr>
            <w:tcW w:w="964" w:type="dxa"/>
            <w:tcBorders>
              <w:top w:val="single" w:sz="4" w:space="0" w:color="001D77"/>
              <w:left w:val="single" w:sz="4" w:space="0" w:color="001D77"/>
              <w:bottom w:val="nil"/>
              <w:right w:val="single" w:sz="4" w:space="0" w:color="001D77"/>
            </w:tcBorders>
            <w:vAlign w:val="center"/>
          </w:tcPr>
          <w:p w14:paraId="117C279C" w14:textId="1BC58F1D" w:rsidR="006B798F" w:rsidRPr="00475FCB" w:rsidRDefault="004E74D9" w:rsidP="006B798F">
            <w:pPr>
              <w:jc w:val="right"/>
              <w:rPr>
                <w:rFonts w:cs="Arial"/>
                <w:color w:val="000000" w:themeColor="text1"/>
                <w:sz w:val="16"/>
                <w:szCs w:val="16"/>
              </w:rPr>
            </w:pPr>
            <w:r>
              <w:rPr>
                <w:rFonts w:cs="Arial"/>
                <w:color w:val="000000" w:themeColor="text1"/>
                <w:sz w:val="16"/>
                <w:szCs w:val="16"/>
              </w:rPr>
              <w:t>100,3</w:t>
            </w:r>
          </w:p>
        </w:tc>
        <w:tc>
          <w:tcPr>
            <w:tcW w:w="964" w:type="dxa"/>
            <w:tcBorders>
              <w:top w:val="single" w:sz="4" w:space="0" w:color="001D77"/>
              <w:left w:val="single" w:sz="4" w:space="0" w:color="001D77"/>
              <w:bottom w:val="nil"/>
              <w:right w:val="single" w:sz="4" w:space="0" w:color="001D77"/>
            </w:tcBorders>
            <w:vAlign w:val="center"/>
          </w:tcPr>
          <w:p w14:paraId="630844EA" w14:textId="5B6CE9E5" w:rsidR="006B798F" w:rsidRPr="00475FCB" w:rsidRDefault="004E74D9" w:rsidP="006B798F">
            <w:pPr>
              <w:jc w:val="right"/>
              <w:rPr>
                <w:rFonts w:cs="Arial"/>
                <w:color w:val="000000" w:themeColor="text1"/>
                <w:sz w:val="16"/>
                <w:szCs w:val="16"/>
              </w:rPr>
            </w:pPr>
            <w:r>
              <w:rPr>
                <w:rFonts w:cs="Arial"/>
                <w:color w:val="000000" w:themeColor="text1"/>
                <w:sz w:val="16"/>
                <w:szCs w:val="16"/>
              </w:rPr>
              <w:t>101,9</w:t>
            </w:r>
          </w:p>
        </w:tc>
        <w:tc>
          <w:tcPr>
            <w:tcW w:w="968" w:type="dxa"/>
            <w:tcBorders>
              <w:top w:val="single" w:sz="4" w:space="0" w:color="001D77"/>
              <w:left w:val="single" w:sz="4" w:space="0" w:color="001D77"/>
              <w:bottom w:val="nil"/>
              <w:right w:val="nil"/>
            </w:tcBorders>
            <w:vAlign w:val="center"/>
          </w:tcPr>
          <w:p w14:paraId="4F48BC85" w14:textId="6E3D01A0" w:rsidR="006B798F" w:rsidRPr="00475FCB" w:rsidRDefault="004E74D9" w:rsidP="006B798F">
            <w:pPr>
              <w:jc w:val="right"/>
              <w:rPr>
                <w:rFonts w:cs="Arial"/>
                <w:color w:val="000000" w:themeColor="text1"/>
                <w:sz w:val="16"/>
                <w:szCs w:val="16"/>
              </w:rPr>
            </w:pPr>
            <w:r>
              <w:rPr>
                <w:rFonts w:cs="Arial"/>
                <w:color w:val="000000" w:themeColor="text1"/>
                <w:sz w:val="16"/>
                <w:szCs w:val="16"/>
              </w:rPr>
              <w:t>102,0</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349E0E10" w:rsidR="00883E43" w:rsidRPr="00883E43" w:rsidRDefault="00883E43" w:rsidP="00216634">
      <w:pPr>
        <w:spacing w:line="288" w:lineRule="auto"/>
        <w:rPr>
          <w:rFonts w:eastAsia="Times New Roman" w:cs="Times New Roman"/>
          <w:szCs w:val="19"/>
          <w:lang w:eastAsia="pl-PL"/>
        </w:rPr>
      </w:pPr>
    </w:p>
    <w:p w14:paraId="36F56AB9" w14:textId="40552DE3" w:rsidR="00883E43" w:rsidRDefault="00883E43" w:rsidP="00883E43">
      <w:pPr>
        <w:rPr>
          <w:lang w:eastAsia="pl-PL"/>
        </w:rPr>
      </w:pPr>
    </w:p>
    <w:p w14:paraId="000C1A12" w14:textId="37A2B206"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6B798F">
        <w:rPr>
          <w:rFonts w:ascii="Fira Sans" w:hAnsi="Fira Sans"/>
          <w:b/>
          <w:szCs w:val="19"/>
        </w:rPr>
        <w:t>w maju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 xml:space="preserve">z </w:t>
      </w:r>
      <w:r w:rsidR="006B798F">
        <w:rPr>
          <w:rFonts w:ascii="Fira Sans" w:hAnsi="Fira Sans"/>
          <w:b/>
          <w:szCs w:val="19"/>
        </w:rPr>
        <w:t>kwietniem</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7F87A94D" w:rsidR="00FB1CDE" w:rsidRDefault="00C04C07" w:rsidP="00966CF2">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6B798F">
        <w:rPr>
          <w:spacing w:val="-6"/>
          <w:shd w:val="clear" w:color="auto" w:fill="FFFFFF"/>
        </w:rPr>
        <w:t>maju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4E74D9">
        <w:rPr>
          <w:spacing w:val="-6"/>
          <w:shd w:val="clear" w:color="auto" w:fill="FFFFFF"/>
        </w:rPr>
        <w:t>3</w:t>
      </w:r>
      <w:r w:rsidRPr="006D26F7">
        <w:rPr>
          <w:spacing w:val="-6"/>
          <w:shd w:val="clear" w:color="auto" w:fill="FFFFFF"/>
        </w:rPr>
        <w:t>%</w:t>
      </w:r>
      <w:r w:rsidRPr="00DE402D">
        <w:rPr>
          <w:spacing w:val="-6"/>
          <w:shd w:val="clear" w:color="auto" w:fill="FFFFFF"/>
        </w:rPr>
        <w:t xml:space="preserve"> </w:t>
      </w:r>
      <w:r w:rsidR="004E74D9">
        <w:rPr>
          <w:spacing w:val="-6"/>
          <w:shd w:val="clear" w:color="auto" w:fill="FFFFFF"/>
        </w:rPr>
        <w:t>niższe</w:t>
      </w:r>
      <w:r w:rsidR="00A52878">
        <w:rPr>
          <w:spacing w:val="-6"/>
          <w:shd w:val="clear" w:color="auto" w:fill="FFFFFF"/>
        </w:rPr>
        <w:t xml:space="preserve"> niż w </w:t>
      </w:r>
      <w:r w:rsidR="006B798F">
        <w:rPr>
          <w:spacing w:val="-6"/>
          <w:shd w:val="clear" w:color="auto" w:fill="FFFFFF"/>
        </w:rPr>
        <w:t>kwietniu</w:t>
      </w:r>
      <w:r>
        <w:rPr>
          <w:spacing w:val="-6"/>
          <w:shd w:val="clear" w:color="auto" w:fill="FFFFFF"/>
        </w:rPr>
        <w:t xml:space="preserve"> 2024 r. </w:t>
      </w:r>
      <w:r w:rsidR="009E012F">
        <w:rPr>
          <w:spacing w:val="-6"/>
          <w:shd w:val="clear" w:color="auto" w:fill="FFFFFF"/>
        </w:rPr>
        <w:t>Spadek cen w sekcji przetwórstwo przemysłowe wyniósł 0,5%, w tym n</w:t>
      </w:r>
      <w:r w:rsidR="00DA6FA1">
        <w:rPr>
          <w:spacing w:val="-6"/>
          <w:shd w:val="clear" w:color="auto" w:fill="FFFFFF"/>
        </w:rPr>
        <w:t xml:space="preserve">ajwiększy </w:t>
      </w:r>
      <w:r w:rsidR="002E30B2">
        <w:rPr>
          <w:spacing w:val="-6"/>
          <w:shd w:val="clear" w:color="auto" w:fill="FFFFFF"/>
        </w:rPr>
        <w:t xml:space="preserve"> </w:t>
      </w:r>
      <w:r w:rsidR="00DA6FA1">
        <w:rPr>
          <w:spacing w:val="-6"/>
          <w:shd w:val="clear" w:color="auto" w:fill="FFFFFF"/>
        </w:rPr>
        <w:t>zano</w:t>
      </w:r>
      <w:r w:rsidR="002E30B2">
        <w:rPr>
          <w:spacing w:val="-6"/>
          <w:shd w:val="clear" w:color="auto" w:fill="FFFFFF"/>
        </w:rPr>
        <w:t>towano w produkcji koksu i produktów rafinacji ropy naftowej – o 3,9%</w:t>
      </w:r>
      <w:r w:rsidR="009E012F">
        <w:rPr>
          <w:spacing w:val="-6"/>
          <w:shd w:val="clear" w:color="auto" w:fill="FFFFFF"/>
        </w:rPr>
        <w:t>.</w:t>
      </w:r>
    </w:p>
    <w:p w14:paraId="748D90D8" w14:textId="49A51177" w:rsidR="00EE4781" w:rsidRDefault="00EE4781" w:rsidP="00EE4781">
      <w:pPr>
        <w:spacing w:after="0"/>
        <w:rPr>
          <w:spacing w:val="-6"/>
        </w:rPr>
      </w:pPr>
    </w:p>
    <w:p w14:paraId="0CB81036" w14:textId="111E2EE9" w:rsidR="00FB1CDE" w:rsidRPr="00CF0A53" w:rsidRDefault="004E0DA6" w:rsidP="00C25CC3">
      <w:pPr>
        <w:pStyle w:val="Tytuwykresu0"/>
        <w:ind w:left="851" w:hanging="851"/>
        <w:rPr>
          <w:rFonts w:ascii="Fira Sans" w:hAnsi="Fira Sans"/>
        </w:rPr>
      </w:pPr>
      <w:bookmarkStart w:id="1" w:name="_Hlk156312737"/>
      <w:r>
        <w:rPr>
          <w:rFonts w:ascii="Fira Sans" w:hAnsi="Fira Sans"/>
        </w:rPr>
        <w:t>Wykres</w:t>
      </w:r>
      <w:r w:rsidR="00D86077">
        <w:rPr>
          <w:rFonts w:ascii="Fira Sans" w:hAnsi="Fira Sans"/>
        </w:rPr>
        <w:t xml:space="preserve"> </w:t>
      </w:r>
      <w:r>
        <w:rPr>
          <w:rFonts w:ascii="Fira Sans" w:hAnsi="Fira Sans"/>
        </w:rPr>
        <w:t>1</w:t>
      </w:r>
      <w:r w:rsidR="00D86077">
        <w:rPr>
          <w:rFonts w:ascii="Fira Sans" w:hAnsi="Fira Sans"/>
        </w:rPr>
        <w:t>.</w:t>
      </w:r>
      <w:r>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6B798F">
        <w:rPr>
          <w:rFonts w:ascii="Fira Sans" w:hAnsi="Fira Sans"/>
        </w:rPr>
        <w:t>maju</w:t>
      </w:r>
      <w:r w:rsidR="00027704">
        <w:rPr>
          <w:rFonts w:ascii="Fira Sans" w:hAnsi="Fira Sans"/>
        </w:rPr>
        <w:t xml:space="preserve"> 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Pr>
          <w:rFonts w:ascii="Fira Sans" w:hAnsi="Fira Sans"/>
          <w:szCs w:val="19"/>
        </w:rPr>
        <w:t> </w:t>
      </w:r>
      <w:r w:rsidR="00027704">
        <w:rPr>
          <w:rFonts w:ascii="Fira Sans" w:hAnsi="Fira Sans"/>
          <w:szCs w:val="19"/>
        </w:rPr>
        <w:t>poprzednim miesiącem</w:t>
      </w:r>
    </w:p>
    <w:bookmarkEnd w:id="1"/>
    <w:p w14:paraId="0C52976D" w14:textId="68332D51" w:rsidR="00445B7B" w:rsidRDefault="008C00F1" w:rsidP="00C25CC3">
      <w:pPr>
        <w:ind w:left="851"/>
        <w:rPr>
          <w:spacing w:val="-6"/>
        </w:rPr>
      </w:pPr>
      <w:r w:rsidRPr="00966C9A">
        <w:rPr>
          <w:noProof/>
        </w:rPr>
        <mc:AlternateContent>
          <mc:Choice Requires="wps">
            <w:drawing>
              <wp:anchor distT="45720" distB="45720" distL="114300" distR="114300" simplePos="0" relativeHeight="251759616" behindDoc="1" locked="0" layoutInCell="1" allowOverlap="1" wp14:anchorId="18265EB0" wp14:editId="1A814658">
                <wp:simplePos x="0" y="0"/>
                <wp:positionH relativeFrom="column">
                  <wp:posOffset>5257800</wp:posOffset>
                </wp:positionH>
                <wp:positionV relativeFrom="paragraph">
                  <wp:posOffset>567690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maju 2024 r. w stosunku do miesiąca poprzedniego najbardziej obniżono ceny produkcji koksu i produktów rafinacji ropy naftowej, a podniesiono  produkcji wyrobów tytoni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434D79BA"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6B798F">
                              <w:rPr>
                                <w:iCs/>
                              </w:rPr>
                              <w:t>maju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2E30B2">
                              <w:rPr>
                                <w:iCs/>
                              </w:rPr>
                              <w:t>obniżono</w:t>
                            </w:r>
                            <w:r w:rsidR="00950E4C">
                              <w:rPr>
                                <w:iCs/>
                              </w:rPr>
                              <w:t xml:space="preserve"> ceny produkcji </w:t>
                            </w:r>
                            <w:r w:rsidR="002E30B2" w:rsidRPr="002E30B2">
                              <w:rPr>
                                <w:iCs/>
                              </w:rPr>
                              <w:t>koksu i produktów rafinacji ropy naftowej</w:t>
                            </w:r>
                            <w:r w:rsidR="00950E4C">
                              <w:rPr>
                                <w:iCs/>
                              </w:rPr>
                              <w:t xml:space="preserve">, a </w:t>
                            </w:r>
                            <w:r w:rsidR="002E30B2">
                              <w:rPr>
                                <w:iCs/>
                              </w:rPr>
                              <w:t xml:space="preserve">podniesiono </w:t>
                            </w:r>
                            <w:r>
                              <w:rPr>
                                <w:iCs/>
                              </w:rPr>
                              <w:t xml:space="preserve"> </w:t>
                            </w:r>
                            <w:r w:rsidR="00E327D1" w:rsidRPr="00E327D1">
                              <w:rPr>
                                <w:iCs/>
                              </w:rPr>
                              <w:t xml:space="preserve">produkcji </w:t>
                            </w:r>
                            <w:r w:rsidR="002E30B2">
                              <w:rPr>
                                <w:iCs/>
                              </w:rPr>
                              <w:t>wyrobów tytoniowych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maju 2024 r. w stosunku do miesiąca poprzedniego najbardziej obniżono ceny produkcji koksu i produktów rafinacji ropy naftowej, a podniesiono  produkcji wyrobów tytoniowych" style="position:absolute;left:0;text-align:left;margin-left:414pt;margin-top:44.7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" filled="f" stroked="f">
                <v:textbox>
                  <w:txbxContent>
                    <w:p w14:paraId="6A498C78" w14:textId="434D79BA"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6B798F">
                        <w:rPr>
                          <w:iCs/>
                        </w:rPr>
                        <w:t>maju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2E30B2">
                        <w:rPr>
                          <w:iCs/>
                        </w:rPr>
                        <w:t>obniżono</w:t>
                      </w:r>
                      <w:r w:rsidR="00950E4C">
                        <w:rPr>
                          <w:iCs/>
                        </w:rPr>
                        <w:t xml:space="preserve"> ceny produkcji </w:t>
                      </w:r>
                      <w:r w:rsidR="002E30B2" w:rsidRPr="002E30B2">
                        <w:rPr>
                          <w:iCs/>
                        </w:rPr>
                        <w:t>koksu i produktów rafinacji ropy naftowej</w:t>
                      </w:r>
                      <w:r w:rsidR="00950E4C">
                        <w:rPr>
                          <w:iCs/>
                        </w:rPr>
                        <w:t xml:space="preserve">, a </w:t>
                      </w:r>
                      <w:r w:rsidR="002E30B2">
                        <w:rPr>
                          <w:iCs/>
                        </w:rPr>
                        <w:t xml:space="preserve">podniesiono </w:t>
                      </w:r>
                      <w:r>
                        <w:rPr>
                          <w:iCs/>
                        </w:rPr>
                        <w:t xml:space="preserve"> </w:t>
                      </w:r>
                      <w:r w:rsidR="00E327D1" w:rsidRPr="00E327D1">
                        <w:rPr>
                          <w:iCs/>
                        </w:rPr>
                        <w:t xml:space="preserve">produkcji </w:t>
                      </w:r>
                      <w:r w:rsidR="002E30B2">
                        <w:rPr>
                          <w:iCs/>
                        </w:rPr>
                        <w:t>wyrobów tytoniowych</w:t>
                      </w:r>
                    </w:p>
                  </w:txbxContent>
                </v:textbox>
                <w10:wrap type="tight"/>
              </v:shape>
            </w:pict>
          </mc:Fallback>
        </mc:AlternateContent>
      </w:r>
    </w:p>
    <w:p w14:paraId="5787DFBA" w14:textId="339402FA" w:rsidR="00CF1BC6" w:rsidRDefault="00A32C7C" w:rsidP="00883E43">
      <w:pPr>
        <w:rPr>
          <w:spacing w:val="-6"/>
        </w:rPr>
      </w:pPr>
      <w:r>
        <w:rPr>
          <w:noProof/>
        </w:rPr>
        <w:drawing>
          <wp:anchor distT="0" distB="0" distL="114300" distR="114300" simplePos="0" relativeHeight="251826176" behindDoc="0" locked="0" layoutInCell="1" allowOverlap="1" wp14:anchorId="53B9FEE1" wp14:editId="01F073C9">
            <wp:simplePos x="0" y="0"/>
            <wp:positionH relativeFrom="margin">
              <wp:align>left</wp:align>
            </wp:positionH>
            <wp:positionV relativeFrom="paragraph">
              <wp:posOffset>168910</wp:posOffset>
            </wp:positionV>
            <wp:extent cx="5122545" cy="2912110"/>
            <wp:effectExtent l="0" t="0" r="1905" b="2540"/>
            <wp:wrapTopAndBottom/>
            <wp:docPr id="27" name="Wykres 27" descr="Wykres 1. Zmiany cen w sekcji przetwórstwo przemysłowe według działów w maj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29EC614" w14:textId="36E969FE" w:rsidR="00CF1BC6" w:rsidRDefault="00CF1BC6" w:rsidP="00883E43">
      <w:pPr>
        <w:rPr>
          <w:spacing w:val="-6"/>
        </w:rPr>
      </w:pPr>
    </w:p>
    <w:p w14:paraId="5722E295" w14:textId="64117D67" w:rsidR="00966CF2" w:rsidRDefault="00966CF2" w:rsidP="00966CF2">
      <w:pPr>
        <w:rPr>
          <w:spacing w:val="-6"/>
        </w:rPr>
      </w:pPr>
      <w:r>
        <w:rPr>
          <w:spacing w:val="-6"/>
          <w:shd w:val="clear" w:color="auto" w:fill="FFFFFF"/>
        </w:rPr>
        <w:t xml:space="preserve">Wzrost </w:t>
      </w:r>
      <w:r>
        <w:rPr>
          <w:bCs/>
          <w:spacing w:val="-6"/>
          <w:shd w:val="clear" w:color="auto" w:fill="FFFFFF"/>
        </w:rPr>
        <w:t xml:space="preserve">cen zanotowano </w:t>
      </w:r>
      <w:r w:rsidR="00885959">
        <w:rPr>
          <w:bCs/>
          <w:spacing w:val="-6"/>
          <w:shd w:val="clear" w:color="auto" w:fill="FFFFFF"/>
        </w:rPr>
        <w:t xml:space="preserve">natomiast </w:t>
      </w:r>
      <w:r>
        <w:rPr>
          <w:bCs/>
          <w:spacing w:val="-6"/>
          <w:shd w:val="clear" w:color="auto" w:fill="FFFFFF"/>
        </w:rPr>
        <w:t>w sekcj</w:t>
      </w:r>
      <w:r w:rsidR="00CB500E">
        <w:rPr>
          <w:bCs/>
          <w:spacing w:val="-6"/>
          <w:shd w:val="clear" w:color="auto" w:fill="FFFFFF"/>
        </w:rPr>
        <w:t>i</w:t>
      </w:r>
      <w:r w:rsidRPr="00EE4781">
        <w:rPr>
          <w:b/>
          <w:spacing w:val="-6"/>
          <w:shd w:val="clear" w:color="auto" w:fill="FFFFFF"/>
        </w:rPr>
        <w:t xml:space="preserve"> </w:t>
      </w:r>
      <w:r w:rsidRPr="001D3D02">
        <w:rPr>
          <w:b/>
          <w:spacing w:val="-6"/>
          <w:shd w:val="clear" w:color="auto" w:fill="FFFFFF"/>
        </w:rPr>
        <w:t>górnictw</w:t>
      </w:r>
      <w:r>
        <w:rPr>
          <w:b/>
          <w:spacing w:val="-6"/>
          <w:shd w:val="clear" w:color="auto" w:fill="FFFFFF"/>
        </w:rPr>
        <w:t>o</w:t>
      </w:r>
      <w:r w:rsidRPr="001D3D02">
        <w:rPr>
          <w:b/>
          <w:spacing w:val="-6"/>
          <w:shd w:val="clear" w:color="auto" w:fill="FFFFFF"/>
        </w:rPr>
        <w:t xml:space="preserve"> i </w:t>
      </w:r>
      <w:r w:rsidRPr="006D26F7">
        <w:rPr>
          <w:b/>
          <w:spacing w:val="-6"/>
          <w:shd w:val="clear" w:color="auto" w:fill="FFFFFF"/>
        </w:rPr>
        <w:t>wydobywani</w:t>
      </w:r>
      <w:r>
        <w:rPr>
          <w:b/>
          <w:spacing w:val="-6"/>
          <w:shd w:val="clear" w:color="auto" w:fill="FFFFFF"/>
        </w:rPr>
        <w:t xml:space="preserve">e </w:t>
      </w:r>
      <w:r w:rsidRPr="00EE4781">
        <w:rPr>
          <w:spacing w:val="-6"/>
          <w:shd w:val="clear" w:color="auto" w:fill="FFFFFF"/>
        </w:rPr>
        <w:t>–</w:t>
      </w:r>
      <w:r w:rsidRPr="00EE4781">
        <w:rPr>
          <w:spacing w:val="-6"/>
        </w:rPr>
        <w:t xml:space="preserve"> </w:t>
      </w:r>
      <w:r w:rsidRPr="00EE4781">
        <w:rPr>
          <w:bCs/>
          <w:spacing w:val="-6"/>
          <w:shd w:val="clear" w:color="auto" w:fill="FFFFFF"/>
        </w:rPr>
        <w:t xml:space="preserve">o </w:t>
      </w:r>
      <w:r>
        <w:rPr>
          <w:bCs/>
          <w:spacing w:val="-6"/>
          <w:shd w:val="clear" w:color="auto" w:fill="FFFFFF"/>
        </w:rPr>
        <w:t>1,7</w:t>
      </w:r>
      <w:r w:rsidRPr="00EE4781">
        <w:rPr>
          <w:bCs/>
          <w:spacing w:val="-6"/>
          <w:shd w:val="clear" w:color="auto" w:fill="FFFFFF"/>
        </w:rPr>
        <w:t xml:space="preserve">%, </w:t>
      </w:r>
      <w:r>
        <w:rPr>
          <w:spacing w:val="-6"/>
          <w:shd w:val="clear" w:color="auto" w:fill="FFFFFF"/>
        </w:rPr>
        <w:t>w tym w</w:t>
      </w:r>
      <w:r w:rsidR="00487221">
        <w:rPr>
          <w:spacing w:val="-6"/>
          <w:shd w:val="clear" w:color="auto" w:fill="FFFFFF"/>
        </w:rPr>
        <w:t> </w:t>
      </w:r>
      <w:r>
        <w:rPr>
          <w:spacing w:val="-6"/>
          <w:shd w:val="clear" w:color="auto" w:fill="FFFFFF"/>
        </w:rPr>
        <w:t xml:space="preserve">górnictwie rud metali – o 5,5%, </w:t>
      </w:r>
      <w:r w:rsidR="009E012F">
        <w:rPr>
          <w:spacing w:val="-6"/>
          <w:shd w:val="clear" w:color="auto" w:fill="FFFFFF"/>
        </w:rPr>
        <w:t>przy spadku</w:t>
      </w:r>
      <w:r w:rsidR="00487221">
        <w:rPr>
          <w:spacing w:val="-6"/>
          <w:shd w:val="clear" w:color="auto" w:fill="FFFFFF"/>
        </w:rPr>
        <w:t xml:space="preserve"> </w:t>
      </w:r>
      <w:r>
        <w:rPr>
          <w:spacing w:val="-6"/>
          <w:shd w:val="clear" w:color="auto" w:fill="FFFFFF"/>
        </w:rPr>
        <w:t>w wydobywaniu węgla kamiennego i</w:t>
      </w:r>
      <w:r w:rsidRPr="00665010">
        <w:rPr>
          <w:spacing w:val="-6"/>
          <w:shd w:val="clear" w:color="auto" w:fill="FFFFFF"/>
        </w:rPr>
        <w:t xml:space="preserve"> węgla brunatnego (lignitu)</w:t>
      </w:r>
      <w:r>
        <w:rPr>
          <w:spacing w:val="-6"/>
          <w:shd w:val="clear" w:color="auto" w:fill="FFFFFF"/>
        </w:rPr>
        <w:t xml:space="preserve"> – o 1,4%. </w:t>
      </w:r>
      <w:r w:rsidR="00D061F9">
        <w:rPr>
          <w:spacing w:val="-6"/>
          <w:shd w:val="clear" w:color="auto" w:fill="FFFFFF"/>
        </w:rPr>
        <w:t>W</w:t>
      </w:r>
      <w:r>
        <w:rPr>
          <w:spacing w:val="-6"/>
          <w:shd w:val="clear" w:color="auto" w:fill="FFFFFF"/>
        </w:rPr>
        <w:t xml:space="preserve"> sekcji </w:t>
      </w:r>
      <w:r w:rsidR="009C2C26" w:rsidRPr="00B84F73">
        <w:rPr>
          <w:b/>
          <w:bCs/>
          <w:spacing w:val="-6"/>
          <w:shd w:val="clear" w:color="auto" w:fill="FFFFFF"/>
        </w:rPr>
        <w:t>wytwarzani</w:t>
      </w:r>
      <w:r w:rsidR="009C2C26">
        <w:rPr>
          <w:b/>
          <w:bCs/>
          <w:spacing w:val="-6"/>
          <w:shd w:val="clear" w:color="auto" w:fill="FFFFFF"/>
        </w:rPr>
        <w:t>e</w:t>
      </w:r>
      <w:r w:rsidR="009C2C26" w:rsidRPr="00B84F73">
        <w:rPr>
          <w:b/>
          <w:bCs/>
          <w:spacing w:val="-6"/>
          <w:shd w:val="clear" w:color="auto" w:fill="FFFFFF"/>
        </w:rPr>
        <w:t xml:space="preserve"> i zaopatrywani</w:t>
      </w:r>
      <w:r w:rsidR="009C2C26">
        <w:rPr>
          <w:b/>
          <w:bCs/>
          <w:spacing w:val="-6"/>
          <w:shd w:val="clear" w:color="auto" w:fill="FFFFFF"/>
        </w:rPr>
        <w:t>e</w:t>
      </w:r>
      <w:r w:rsidR="009C2C26" w:rsidRPr="00B84F73">
        <w:rPr>
          <w:b/>
          <w:bCs/>
          <w:spacing w:val="-6"/>
          <w:shd w:val="clear" w:color="auto" w:fill="FFFFFF"/>
        </w:rPr>
        <w:t xml:space="preserve"> w energię elektryczną, gaz, parę wodną i gorącą wodę</w:t>
      </w:r>
      <w:r w:rsidR="009C2C26" w:rsidRPr="00CF1BC6">
        <w:rPr>
          <w:bCs/>
          <w:spacing w:val="-6"/>
          <w:shd w:val="clear" w:color="auto" w:fill="FFFFFF"/>
        </w:rPr>
        <w:t xml:space="preserve"> </w:t>
      </w:r>
      <w:r w:rsidR="009C2C26">
        <w:rPr>
          <w:spacing w:val="-6"/>
        </w:rPr>
        <w:t xml:space="preserve"> </w:t>
      </w:r>
      <w:r w:rsidR="00D061F9" w:rsidRPr="00CB500E">
        <w:rPr>
          <w:spacing w:val="-6"/>
        </w:rPr>
        <w:t xml:space="preserve">ceny wzrosły </w:t>
      </w:r>
      <w:r w:rsidRPr="00CB500E">
        <w:rPr>
          <w:spacing w:val="-6"/>
        </w:rPr>
        <w:t>–</w:t>
      </w:r>
      <w:r>
        <w:rPr>
          <w:spacing w:val="-6"/>
        </w:rPr>
        <w:t xml:space="preserve"> o 0,9%, a w sekcji</w:t>
      </w:r>
      <w:r w:rsidR="008D6319" w:rsidRPr="008D6319">
        <w:rPr>
          <w:b/>
          <w:spacing w:val="-6"/>
        </w:rPr>
        <w:t xml:space="preserve"> </w:t>
      </w:r>
      <w:r w:rsidR="008D6319" w:rsidRPr="00C16683">
        <w:rPr>
          <w:b/>
          <w:spacing w:val="-6"/>
        </w:rPr>
        <w:t>dostawa wody; gospodarowanie ściekami i odpadami; rekultywacja</w:t>
      </w:r>
      <w:r w:rsidR="008D6319">
        <w:rPr>
          <w:b/>
          <w:spacing w:val="-6"/>
        </w:rPr>
        <w:t xml:space="preserve"> </w:t>
      </w:r>
      <w:r>
        <w:rPr>
          <w:spacing w:val="-6"/>
        </w:rPr>
        <w:t>– o 0,3%.</w:t>
      </w:r>
    </w:p>
    <w:p w14:paraId="56625C36" w14:textId="007BD25E"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75B8D8B7"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6B798F">
        <w:rPr>
          <w:rFonts w:eastAsia="Times New Roman" w:cs="Times New Roman"/>
          <w:b/>
          <w:bCs/>
          <w:color w:val="001D77"/>
          <w:szCs w:val="19"/>
          <w:lang w:eastAsia="pl-PL"/>
        </w:rPr>
        <w:t>maju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 xml:space="preserve">z </w:t>
      </w:r>
      <w:r w:rsidR="006B798F">
        <w:rPr>
          <w:rFonts w:eastAsia="Times New Roman" w:cs="Times New Roman"/>
          <w:b/>
          <w:bCs/>
          <w:color w:val="001D77"/>
          <w:szCs w:val="19"/>
          <w:lang w:eastAsia="pl-PL"/>
        </w:rPr>
        <w:t>majem</w:t>
      </w:r>
      <w:r w:rsidR="000362EA">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3C420CEE" w:rsidR="0066387C" w:rsidRDefault="0066387C" w:rsidP="00FB1CDE">
      <w:pPr>
        <w:spacing w:after="0"/>
        <w:ind w:left="68"/>
        <w:rPr>
          <w:shd w:val="clear" w:color="auto" w:fill="FFFFFF"/>
        </w:rPr>
      </w:pPr>
    </w:p>
    <w:p w14:paraId="21F52C32" w14:textId="287B8C45" w:rsidR="00EE1130" w:rsidRDefault="005B3FDB" w:rsidP="00FB1CDE">
      <w:pPr>
        <w:spacing w:after="0"/>
        <w:ind w:left="68"/>
        <w:rPr>
          <w:shd w:val="clear" w:color="auto" w:fill="FFFFFF"/>
        </w:rPr>
      </w:pPr>
      <w:r>
        <w:rPr>
          <w:shd w:val="clear" w:color="auto" w:fill="FFFFFF"/>
        </w:rPr>
        <w:t xml:space="preserve">W </w:t>
      </w:r>
      <w:r w:rsidR="006B798F">
        <w:rPr>
          <w:shd w:val="clear" w:color="auto" w:fill="FFFFFF"/>
        </w:rPr>
        <w:t>maju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665010">
        <w:rPr>
          <w:shd w:val="clear" w:color="auto" w:fill="FFFFFF"/>
        </w:rPr>
        <w:t>–</w:t>
      </w:r>
      <w:r w:rsidR="00206ED7">
        <w:rPr>
          <w:shd w:val="clear" w:color="auto" w:fill="FFFFFF"/>
        </w:rPr>
        <w:t xml:space="preserve"> </w:t>
      </w:r>
      <w:r w:rsidR="00883E43" w:rsidRPr="00295375">
        <w:rPr>
          <w:shd w:val="clear" w:color="auto" w:fill="FFFFFF"/>
        </w:rPr>
        <w:t xml:space="preserve">o </w:t>
      </w:r>
      <w:r w:rsidR="002E30B2">
        <w:rPr>
          <w:shd w:val="clear" w:color="auto" w:fill="FFFFFF"/>
        </w:rPr>
        <w:t>7,0</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D00DC1">
        <w:rPr>
          <w:shd w:val="clear" w:color="auto" w:fill="FFFFFF"/>
        </w:rPr>
        <w:t>15,1</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D00DC1">
        <w:rPr>
          <w:shd w:val="clear" w:color="auto" w:fill="FFFFFF"/>
        </w:rPr>
        <w:t>5,5</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D00DC1">
        <w:rPr>
          <w:shd w:val="clear" w:color="auto" w:fill="FFFFFF"/>
        </w:rPr>
        <w:t>21,9</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sidR="00D00DC1">
        <w:rPr>
          <w:shd w:val="clear" w:color="auto" w:fill="FFFFFF"/>
        </w:rPr>
        <w:t>16,0</w:t>
      </w:r>
      <w:r w:rsidR="00C555F9">
        <w:rPr>
          <w:shd w:val="clear" w:color="auto" w:fill="FFFFFF"/>
        </w:rPr>
        <w:t>%</w:t>
      </w:r>
      <w:r w:rsidR="00D32B2C">
        <w:rPr>
          <w:shd w:val="clear" w:color="auto" w:fill="FFFFFF"/>
        </w:rPr>
        <w:t xml:space="preserve">. </w:t>
      </w:r>
      <w:r w:rsidR="00EC053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EC0534">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D00DC1">
        <w:rPr>
          <w:shd w:val="clear" w:color="auto" w:fill="FFFFFF"/>
        </w:rPr>
        <w:t>6,2</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60EAF224"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6B798F">
        <w:t>maju</w:t>
      </w:r>
      <w:r w:rsidR="00027704">
        <w:t xml:space="preserve"> 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2F867F35" w:rsidR="00175562" w:rsidRDefault="00D00DC1" w:rsidP="0024689C">
      <w:pPr>
        <w:rPr>
          <w:shd w:val="clear" w:color="auto" w:fill="FFFFFF"/>
        </w:rPr>
      </w:pPr>
      <w:r>
        <w:rPr>
          <w:noProof/>
        </w:rPr>
        <w:drawing>
          <wp:anchor distT="0" distB="0" distL="114300" distR="114300" simplePos="0" relativeHeight="251827200" behindDoc="0" locked="0" layoutInCell="1" allowOverlap="1" wp14:anchorId="0DC45DF8" wp14:editId="2A74AEEA">
            <wp:simplePos x="0" y="0"/>
            <wp:positionH relativeFrom="margin">
              <wp:align>left</wp:align>
            </wp:positionH>
            <wp:positionV relativeFrom="paragraph">
              <wp:posOffset>276860</wp:posOffset>
            </wp:positionV>
            <wp:extent cx="5158740" cy="3154680"/>
            <wp:effectExtent l="0" t="0" r="3810" b="7620"/>
            <wp:wrapTopAndBottom/>
            <wp:docPr id="30" name="Wykres 30" descr="Wykres 2. Zmiany cen w sekcji przetwórstwo przemysłowe według działów w maj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0256F6"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322F546C">
                <wp:simplePos x="0" y="0"/>
                <wp:positionH relativeFrom="column">
                  <wp:posOffset>5250180</wp:posOffset>
                </wp:positionH>
                <wp:positionV relativeFrom="page">
                  <wp:posOffset>3124200</wp:posOffset>
                </wp:positionV>
                <wp:extent cx="1725295" cy="1356360"/>
                <wp:effectExtent l="0" t="0" r="0" b="0"/>
                <wp:wrapTight wrapText="bothSides">
                  <wp:wrapPolygon edited="0">
                    <wp:start x="715" y="0"/>
                    <wp:lineTo x="715" y="21236"/>
                    <wp:lineTo x="20749" y="21236"/>
                    <wp:lineTo x="20749" y="0"/>
                    <wp:lineTo x="715" y="0"/>
                  </wp:wrapPolygon>
                </wp:wrapTight>
                <wp:docPr id="13" name="Pole tekstowe 13" descr="W maju 2024 r. w stosunku do analogicznego miesiąca poprzedniego roku najbardziej obniżono ceny produkcji metal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6360"/>
                        </a:xfrm>
                        <a:prstGeom prst="rect">
                          <a:avLst/>
                        </a:prstGeom>
                        <a:noFill/>
                        <a:ln w="9525">
                          <a:noFill/>
                          <a:miter lim="800000"/>
                          <a:headEnd/>
                          <a:tailEnd/>
                        </a:ln>
                      </wps:spPr>
                      <wps:txbx>
                        <w:txbxContent>
                          <w:p w14:paraId="3E293410" w14:textId="22E82C4B" w:rsidR="00883E43" w:rsidRPr="00E95B8E" w:rsidRDefault="00C04C07" w:rsidP="00883E43">
                            <w:pPr>
                              <w:pStyle w:val="tekstzboku"/>
                              <w:rPr>
                                <w:bCs w:val="0"/>
                              </w:rPr>
                            </w:pPr>
                            <w:r>
                              <w:rPr>
                                <w:iCs/>
                              </w:rPr>
                              <w:t xml:space="preserve">W </w:t>
                            </w:r>
                            <w:r w:rsidR="006B798F">
                              <w:rPr>
                                <w:iCs/>
                              </w:rPr>
                              <w:t>maju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maju 2024 r. w stosunku do analogicznego miesiąca poprzedniego roku najbardziej obniżono ceny produkcji metali" style="position:absolute;margin-left:413.4pt;margin-top:246pt;width:135.85pt;height:106.8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" filled="f" stroked="f">
                <v:textbox>
                  <w:txbxContent>
                    <w:p w14:paraId="3E293410" w14:textId="22E82C4B" w:rsidR="00883E43" w:rsidRPr="00E95B8E" w:rsidRDefault="00C04C07" w:rsidP="00883E43">
                      <w:pPr>
                        <w:pStyle w:val="tekstzboku"/>
                        <w:rPr>
                          <w:bCs w:val="0"/>
                        </w:rPr>
                      </w:pPr>
                      <w:r>
                        <w:rPr>
                          <w:iCs/>
                        </w:rPr>
                        <w:t xml:space="preserve">W </w:t>
                      </w:r>
                      <w:r w:rsidR="006B798F">
                        <w:rPr>
                          <w:iCs/>
                        </w:rPr>
                        <w:t>maju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v:textbox>
                <w10:wrap type="tight" anchory="page"/>
              </v:shape>
            </w:pict>
          </mc:Fallback>
        </mc:AlternateContent>
      </w:r>
    </w:p>
    <w:p w14:paraId="60034F0C" w14:textId="722278F0" w:rsidR="00175562" w:rsidRDefault="00175562" w:rsidP="0024689C">
      <w:pPr>
        <w:rPr>
          <w:shd w:val="clear" w:color="auto" w:fill="FFFFFF"/>
        </w:rPr>
      </w:pPr>
    </w:p>
    <w:p w14:paraId="79FC755E" w14:textId="1FEA27F9"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D00DC1">
        <w:rPr>
          <w:bCs/>
          <w:shd w:val="clear" w:color="auto" w:fill="FFFFFF"/>
        </w:rPr>
        <w:t>2,0</w:t>
      </w:r>
      <w:r w:rsidR="00277D2D">
        <w:rPr>
          <w:bCs/>
          <w:shd w:val="clear" w:color="auto" w:fill="FFFFFF"/>
        </w:rPr>
        <w:t>%</w:t>
      </w:r>
      <w:r w:rsidR="00277D2D">
        <w:rPr>
          <w:shd w:val="clear" w:color="auto" w:fill="FFFFFF"/>
        </w:rPr>
        <w:t>.</w:t>
      </w:r>
    </w:p>
    <w:p w14:paraId="652F9A92" w14:textId="39D14BC3" w:rsidR="0066387C" w:rsidRDefault="0066387C">
      <w:pPr>
        <w:spacing w:before="0" w:after="160" w:line="259" w:lineRule="auto"/>
      </w:pPr>
      <w:r>
        <w:br w:type="page"/>
      </w:r>
    </w:p>
    <w:p w14:paraId="6E49C3F4" w14:textId="345E7862"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620BBE46" w:rsidR="00883E43" w:rsidRDefault="00A66E9B" w:rsidP="00883E43">
      <w:pPr>
        <w:spacing w:before="0" w:after="160" w:line="259" w:lineRule="auto"/>
      </w:pPr>
      <w:r>
        <w:rPr>
          <w:noProof/>
        </w:rPr>
        <w:drawing>
          <wp:anchor distT="0" distB="0" distL="114300" distR="114300" simplePos="0" relativeHeight="251823104" behindDoc="0" locked="0" layoutInCell="1" allowOverlap="1" wp14:anchorId="65F74079" wp14:editId="3690DE83">
            <wp:simplePos x="0" y="0"/>
            <wp:positionH relativeFrom="margin">
              <wp:align>right</wp:align>
            </wp:positionH>
            <wp:positionV relativeFrom="paragraph">
              <wp:posOffset>289560</wp:posOffset>
            </wp:positionV>
            <wp:extent cx="5122545" cy="2320925"/>
            <wp:effectExtent l="0" t="0" r="1905" b="3175"/>
            <wp:wrapTopAndBottom/>
            <wp:docPr id="1" name="Wykres 1" descr="Wykres 3. Zmiany cen produkcji sprzedanej przemysłu w latach 2023&#10;-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522C4A3B">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maju 2024 r. w stosunku do miesiąca poprzedniego zanotowano wzrost cen produkcji sprzedanej przemysłu o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3A31BF0C" w14:textId="0EAD025A" w:rsidR="00883E43" w:rsidRPr="00A3469C" w:rsidRDefault="00E327D1" w:rsidP="00883E43">
                            <w:pPr>
                              <w:pStyle w:val="tekstzboku"/>
                              <w:rPr>
                                <w:rFonts w:ascii="Calibri" w:hAnsi="Calibri"/>
                                <w:iCs/>
                                <w:sz w:val="22"/>
                              </w:rPr>
                            </w:pPr>
                            <w:r>
                              <w:rPr>
                                <w:iCs/>
                              </w:rPr>
                              <w:t xml:space="preserve">W </w:t>
                            </w:r>
                            <w:r w:rsidR="006B798F">
                              <w:rPr>
                                <w:iCs/>
                              </w:rPr>
                              <w:t>maju</w:t>
                            </w:r>
                            <w:r w:rsidR="006A3BF8">
                              <w:rPr>
                                <w:iCs/>
                              </w:rPr>
                              <w:t xml:space="preserve">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D00DC1">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D00DC1">
                              <w:rPr>
                                <w:iCs/>
                              </w:rPr>
                              <w:t>3</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maju 2024 r. w stosunku do miesiąca poprzedniego zanotowano wzrost cen produkcji sprzedanej przemysłu o 0,3%"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" filled="f" stroked="f">
                <v:textbox>
                  <w:txbxContent>
                    <w:p w14:paraId="3A31BF0C" w14:textId="0EAD025A" w:rsidR="00883E43" w:rsidRPr="00A3469C" w:rsidRDefault="00E327D1" w:rsidP="00883E43">
                      <w:pPr>
                        <w:pStyle w:val="tekstzboku"/>
                        <w:rPr>
                          <w:rFonts w:ascii="Calibri" w:hAnsi="Calibri"/>
                          <w:iCs/>
                          <w:sz w:val="22"/>
                        </w:rPr>
                      </w:pPr>
                      <w:r>
                        <w:rPr>
                          <w:iCs/>
                        </w:rPr>
                        <w:t xml:space="preserve">W </w:t>
                      </w:r>
                      <w:r w:rsidR="006B798F">
                        <w:rPr>
                          <w:iCs/>
                        </w:rPr>
                        <w:t>maju</w:t>
                      </w:r>
                      <w:r w:rsidR="006A3BF8">
                        <w:rPr>
                          <w:iCs/>
                        </w:rPr>
                        <w:t xml:space="preserve">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D00DC1">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D00DC1">
                        <w:rPr>
                          <w:iCs/>
                        </w:rPr>
                        <w:t>3</w:t>
                      </w:r>
                      <w:r w:rsidR="00883E43" w:rsidRPr="00620F27">
                        <w:rPr>
                          <w:iCs/>
                        </w:rPr>
                        <w:t>%</w:t>
                      </w:r>
                    </w:p>
                  </w:txbxContent>
                </v:textbox>
                <w10:wrap type="tight"/>
              </v:shape>
            </w:pict>
          </mc:Fallback>
        </mc:AlternateContent>
      </w:r>
    </w:p>
    <w:p w14:paraId="5FE5CD02" w14:textId="144641F4" w:rsidR="00883E43" w:rsidRDefault="00883E43" w:rsidP="0054212B">
      <w:pPr>
        <w:rPr>
          <w:noProof/>
          <w:lang w:eastAsia="pl-PL"/>
        </w:rPr>
      </w:pPr>
    </w:p>
    <w:p w14:paraId="0DF6A231" w14:textId="5CE8FBEA"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07662CFC" w:rsidR="00604281" w:rsidRDefault="00A66E9B" w:rsidP="00DC6D14">
      <w:r>
        <w:rPr>
          <w:noProof/>
        </w:rPr>
        <w:drawing>
          <wp:anchor distT="0" distB="0" distL="114300" distR="114300" simplePos="0" relativeHeight="251824128" behindDoc="0" locked="0" layoutInCell="1" allowOverlap="1" wp14:anchorId="650F91D1" wp14:editId="75D87CE9">
            <wp:simplePos x="0" y="0"/>
            <wp:positionH relativeFrom="margin">
              <wp:align>right</wp:align>
            </wp:positionH>
            <wp:positionV relativeFrom="paragraph">
              <wp:posOffset>243840</wp:posOffset>
            </wp:positionV>
            <wp:extent cx="5122545" cy="2625090"/>
            <wp:effectExtent l="0" t="0" r="1905" b="3810"/>
            <wp:wrapTopAndBottom/>
            <wp:docPr id="19" name="Wykres 19"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2B4C057E">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maju 2024 r. zaobserwowano spadek dynamiki cen produkcji sprzedanej przemysłu w skali roku 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79BAD020" w:rsidR="00883E43" w:rsidRPr="005C0F80" w:rsidRDefault="004E1B40" w:rsidP="00883E43">
                            <w:pPr>
                              <w:pStyle w:val="tekstzboku"/>
                              <w:rPr>
                                <w:iCs/>
                              </w:rPr>
                            </w:pPr>
                            <w:r>
                              <w:rPr>
                                <w:iCs/>
                              </w:rPr>
                              <w:t xml:space="preserve">W </w:t>
                            </w:r>
                            <w:r w:rsidR="006B798F">
                              <w:rPr>
                                <w:iCs/>
                              </w:rPr>
                              <w:t>maju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00DC1">
                              <w:rPr>
                                <w:iCs/>
                              </w:rPr>
                              <w:t>7,0</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maju 2024 r. zaobserwowano spadek dynamiki cen produkcji sprzedanej przemysłu w skali roku o 7,0%"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" filled="f" stroked="f">
                <v:textbox>
                  <w:txbxContent>
                    <w:p w14:paraId="04F7DF6A" w14:textId="79BAD020" w:rsidR="00883E43" w:rsidRPr="005C0F80" w:rsidRDefault="004E1B40" w:rsidP="00883E43">
                      <w:pPr>
                        <w:pStyle w:val="tekstzboku"/>
                        <w:rPr>
                          <w:iCs/>
                        </w:rPr>
                      </w:pPr>
                      <w:r>
                        <w:rPr>
                          <w:iCs/>
                        </w:rPr>
                        <w:t xml:space="preserve">W </w:t>
                      </w:r>
                      <w:r w:rsidR="006B798F">
                        <w:rPr>
                          <w:iCs/>
                        </w:rPr>
                        <w:t>maju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00DC1">
                        <w:rPr>
                          <w:iCs/>
                        </w:rPr>
                        <w:t>7,0</w:t>
                      </w:r>
                      <w:r w:rsidR="00C04C07">
                        <w:rPr>
                          <w:iCs/>
                        </w:rPr>
                        <w:t>%</w:t>
                      </w:r>
                    </w:p>
                  </w:txbxContent>
                </v:textbox>
                <w10:wrap type="tight"/>
              </v:shape>
            </w:pict>
          </mc:Fallback>
        </mc:AlternateContent>
      </w:r>
    </w:p>
    <w:p w14:paraId="56155CE5" w14:textId="2762766E" w:rsidR="00175562" w:rsidRDefault="00175562" w:rsidP="00DC6D14"/>
    <w:p w14:paraId="0C999888" w14:textId="02C670DD"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2623B54D" w:rsidR="00883E43" w:rsidRDefault="00883E43" w:rsidP="00883E43">
      <w:pPr>
        <w:pStyle w:val="Tytuwykresu0"/>
        <w:ind w:left="851" w:hanging="851"/>
      </w:pPr>
      <w:r w:rsidRPr="00DA6F6D">
        <w:lastRenderedPageBreak/>
        <w:t xml:space="preserve">Wykres </w:t>
      </w:r>
      <w:bookmarkStart w:id="2"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bookmarkEnd w:id="2"/>
    <w:p w14:paraId="13654FF9" w14:textId="45E1C80A" w:rsidR="00216634" w:rsidRPr="00883E43" w:rsidRDefault="00A66E9B" w:rsidP="00216634">
      <w:pPr>
        <w:spacing w:line="288" w:lineRule="auto"/>
        <w:rPr>
          <w:rFonts w:eastAsia="Times New Roman" w:cs="Times New Roman"/>
          <w:szCs w:val="19"/>
          <w:lang w:eastAsia="pl-PL"/>
        </w:rPr>
      </w:pPr>
      <w:r>
        <w:rPr>
          <w:noProof/>
        </w:rPr>
        <w:drawing>
          <wp:anchor distT="0" distB="0" distL="114300" distR="114300" simplePos="0" relativeHeight="251825152" behindDoc="0" locked="0" layoutInCell="1" allowOverlap="1" wp14:anchorId="1F9004D0" wp14:editId="54523A64">
            <wp:simplePos x="0" y="0"/>
            <wp:positionH relativeFrom="margin">
              <wp:posOffset>-22860</wp:posOffset>
            </wp:positionH>
            <wp:positionV relativeFrom="paragraph">
              <wp:posOffset>284480</wp:posOffset>
            </wp:positionV>
            <wp:extent cx="5204460" cy="3528060"/>
            <wp:effectExtent l="0" t="0" r="0" b="0"/>
            <wp:wrapTopAndBottom/>
            <wp:docPr id="26" name="Wykres 26"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0B9B2E3" w14:textId="4F2B2972" w:rsidR="00FC3D69" w:rsidRPr="00883E43" w:rsidRDefault="00FC3D69" w:rsidP="00DC6D14">
      <w:pPr>
        <w:rPr>
          <w:sz w:val="18"/>
        </w:rPr>
      </w:pPr>
    </w:p>
    <w:p w14:paraId="5F10877A"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729DD4C0"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6B798F">
              <w:rPr>
                <w:b/>
              </w:rPr>
              <w:instrText>HYPERLINK "https://stat.gov.pl/obszary-tematyczne/inne-opracowania/informacje-o-sytuacji-spoleczno-gospodarczej/biuletyn-statystyczny-nr-42024,4,149.html"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C6E63" w14:textId="77777777" w:rsidR="009D5075" w:rsidRDefault="009D5075" w:rsidP="000662E2">
      <w:pPr>
        <w:spacing w:after="0" w:line="240" w:lineRule="auto"/>
      </w:pPr>
      <w:r>
        <w:separator/>
      </w:r>
    </w:p>
  </w:endnote>
  <w:endnote w:type="continuationSeparator" w:id="0">
    <w:p w14:paraId="13962F7A" w14:textId="77777777" w:rsidR="009D5075" w:rsidRDefault="009D507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CC1CED09-7649-4847-93BF-6D586E66A51F}"/>
    <w:embedBold r:id="rId2" w:fontKey="{D63125F8-C10F-46B2-9185-A1516E6F9D82}"/>
    <w:embedItalic r:id="rId3" w:fontKey="{FF0CBA1B-A4AD-4BCA-B530-4272836FE22F}"/>
  </w:font>
  <w:font w:name="Fira Sans">
    <w:panose1 w:val="020B0503050000020004"/>
    <w:charset w:val="EE"/>
    <w:family w:val="swiss"/>
    <w:pitch w:val="variable"/>
    <w:sig w:usb0="600002FF" w:usb1="02000001" w:usb2="00000000" w:usb3="00000000" w:csb0="0000019F" w:csb1="00000000"/>
    <w:embedRegular r:id="rId4" w:fontKey="{42C1B15D-D59D-46FC-B59B-83795B2F44AC}"/>
    <w:embedBold r:id="rId5" w:fontKey="{5127B578-B71E-4B18-AB3D-AC53831E84EE}"/>
    <w:embedItalic r:id="rId6" w:fontKey="{711ABEA3-6BEA-440B-B9D7-E1D12883A0A8}"/>
  </w:font>
  <w:font w:name="Fira Sans SemiBold">
    <w:panose1 w:val="020B0603050000020004"/>
    <w:charset w:val="EE"/>
    <w:family w:val="swiss"/>
    <w:pitch w:val="variable"/>
    <w:sig w:usb0="600002FF" w:usb1="02000001" w:usb2="00000000" w:usb3="00000000" w:csb0="0000019F" w:csb1="00000000"/>
    <w:embedRegular r:id="rId7" w:fontKey="{0E6AB8C5-625B-4816-BFC1-FA2DF4838550}"/>
    <w:embedBold r:id="rId8" w:fontKey="{A9827C92-E310-408B-956B-0F8177DD099E}"/>
  </w:font>
  <w:font w:name="Fira Sans Medium">
    <w:panose1 w:val="020B0603050000020004"/>
    <w:charset w:val="EE"/>
    <w:family w:val="swiss"/>
    <w:pitch w:val="variable"/>
    <w:sig w:usb0="600002FF" w:usb1="02000001" w:usb2="00000000" w:usb3="00000000" w:csb0="0000019F" w:csb1="00000000"/>
    <w:embedRegular r:id="rId9" w:fontKey="{0F725857-D6DE-4876-AFF5-67682177EFE2}"/>
    <w:embedItalic r:id="rId10" w:fontKey="{D164C8D1-2610-4ADB-A5AC-30D9A14DB8BF}"/>
  </w:font>
  <w:font w:name="Segoe UI">
    <w:panose1 w:val="020B0502040204020203"/>
    <w:charset w:val="EE"/>
    <w:family w:val="swiss"/>
    <w:pitch w:val="variable"/>
    <w:sig w:usb0="E4002EFF" w:usb1="C000E47F" w:usb2="00000009" w:usb3="00000000" w:csb0="000001FF" w:csb1="00000000"/>
    <w:embedRegular r:id="rId11" w:fontKey="{CA49280A-BE3A-475C-A690-9C7BEC319596}"/>
  </w:font>
  <w:font w:name="Fira Sans Extra Condensed SemiB">
    <w:panose1 w:val="020B0603050000020004"/>
    <w:charset w:val="EE"/>
    <w:family w:val="swiss"/>
    <w:pitch w:val="variable"/>
    <w:sig w:usb0="600002FF" w:usb1="00000001" w:usb2="00000000" w:usb3="00000000" w:csb0="0000019F" w:csb1="00000000"/>
    <w:embedRegular r:id="rId12" w:fontKey="{19ECF6ED-423B-466E-B181-C4E93EB18B87}"/>
  </w:font>
  <w:font w:name="Calibri">
    <w:panose1 w:val="020F0502020204030204"/>
    <w:charset w:val="EE"/>
    <w:family w:val="swiss"/>
    <w:pitch w:val="variable"/>
    <w:sig w:usb0="E4002EFF" w:usb1="C000247B" w:usb2="00000009" w:usb3="00000000" w:csb0="000001FF" w:csb1="00000000"/>
    <w:embedRegular r:id="rId13" w:fontKey="{DCC66FF3-C872-4F86-8FB0-021D3338BC9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D1DDA" w14:textId="77777777" w:rsidR="009D5075" w:rsidRDefault="009D5075" w:rsidP="000662E2">
      <w:pPr>
        <w:spacing w:after="0" w:line="240" w:lineRule="auto"/>
      </w:pPr>
      <w:r>
        <w:separator/>
      </w:r>
    </w:p>
  </w:footnote>
  <w:footnote w:type="continuationSeparator" w:id="0">
    <w:p w14:paraId="7CF5D53A" w14:textId="77777777" w:rsidR="009D5075" w:rsidRDefault="009D507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72E19D3A">
              <wp:simplePos x="0" y="0"/>
              <wp:positionH relativeFrom="column">
                <wp:posOffset>5287976</wp:posOffset>
              </wp:positionH>
              <wp:positionV relativeFrom="paragraph">
                <wp:posOffset>266065</wp:posOffset>
              </wp:positionV>
              <wp:extent cx="1432293" cy="336589"/>
              <wp:effectExtent l="0" t="0" r="0" b="6350"/>
              <wp:wrapNone/>
              <wp:docPr id="8" name="Pole tekstowe 2" descr="20.06.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72DE20B1" w:rsidR="00F37172" w:rsidRPr="00A01B40" w:rsidRDefault="006B798F" w:rsidP="00F049AB">
                          <w:pPr>
                            <w:pStyle w:val="Datainformacjisygnalnej"/>
                          </w:pPr>
                          <w:r>
                            <w:t>20.06</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20.06.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oPIA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8rFKDyACAAAUBAAADgAAAAAAAAAAAAAAAAAuAgAAZHJzL2Uyb0RvYy54bWxQ&#10;SwECLQAUAAYACAAAACEAtMlX394AAAAKAQAADwAAAAAAAAAAAAAAAAB6BAAAZHJzL2Rvd25yZXYu&#10;eG1sUEsFBgAAAAAEAAQA8wAAAIUFAAAAAA==&#10;" filled="f" stroked="f">
              <v:textbox>
                <w:txbxContent>
                  <w:p w14:paraId="352012DA" w14:textId="72DE20B1" w:rsidR="00F37172" w:rsidRPr="00A01B40" w:rsidRDefault="006B798F" w:rsidP="00F049AB">
                    <w:pPr>
                      <w:pStyle w:val="Datainformacjisygnalnej"/>
                    </w:pPr>
                    <w:r>
                      <w:t>20.06</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25pt;height:126.75pt;visibility:visible;mso-wrap-style:square" o:bullet="t">
        <v:imagedata r:id="rId1" o:title=""/>
      </v:shape>
    </w:pict>
  </w:numPicBullet>
  <w:numPicBullet w:numPicBulletId="1">
    <w:pict>
      <v:shape id="_x0000_i1031" type="#_x0000_t75" style="width:125.25pt;height:126.75pt;visibility:visible;mso-wrap-style:square" o:bullet="t">
        <v:imagedata r:id="rId2" o:title=""/>
      </v:shape>
    </w:pict>
  </w:numPicBullet>
  <w:numPicBullet w:numPicBulletId="2">
    <w:pict>
      <v:shape id="_x0000_i1032" type="#_x0000_t75" style="width:18pt;height:24pt;visibility:visible;mso-wrap-style:square" o:bullet="t">
        <v:imagedata r:id="rId3" o:title=""/>
      </v:shape>
    </w:pict>
  </w:numPicBullet>
  <w:numPicBullet w:numPicBulletId="3">
    <w:pict>
      <v:shape id="_x0000_i1033"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56F6"/>
    <w:rsid w:val="00027704"/>
    <w:rsid w:val="000362EA"/>
    <w:rsid w:val="000376FB"/>
    <w:rsid w:val="0004582E"/>
    <w:rsid w:val="000470AA"/>
    <w:rsid w:val="00056CA1"/>
    <w:rsid w:val="00057CA1"/>
    <w:rsid w:val="0006035A"/>
    <w:rsid w:val="000647A9"/>
    <w:rsid w:val="000662E2"/>
    <w:rsid w:val="00066883"/>
    <w:rsid w:val="00071B39"/>
    <w:rsid w:val="00074DD8"/>
    <w:rsid w:val="00075759"/>
    <w:rsid w:val="00075BD4"/>
    <w:rsid w:val="000764D4"/>
    <w:rsid w:val="000806F7"/>
    <w:rsid w:val="000911E3"/>
    <w:rsid w:val="00095C4A"/>
    <w:rsid w:val="00097840"/>
    <w:rsid w:val="000A4AF0"/>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711"/>
    <w:rsid w:val="00130296"/>
    <w:rsid w:val="001320CE"/>
    <w:rsid w:val="00133E7B"/>
    <w:rsid w:val="00134145"/>
    <w:rsid w:val="00136593"/>
    <w:rsid w:val="00136736"/>
    <w:rsid w:val="00136740"/>
    <w:rsid w:val="00136D67"/>
    <w:rsid w:val="001423B6"/>
    <w:rsid w:val="001427DF"/>
    <w:rsid w:val="00142947"/>
    <w:rsid w:val="001448A7"/>
    <w:rsid w:val="00146621"/>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6209"/>
    <w:rsid w:val="002762FD"/>
    <w:rsid w:val="00276811"/>
    <w:rsid w:val="00277D2D"/>
    <w:rsid w:val="00282699"/>
    <w:rsid w:val="002870EE"/>
    <w:rsid w:val="00287BD5"/>
    <w:rsid w:val="002926DF"/>
    <w:rsid w:val="00294D62"/>
    <w:rsid w:val="00296697"/>
    <w:rsid w:val="0029799E"/>
    <w:rsid w:val="002A04C6"/>
    <w:rsid w:val="002A116F"/>
    <w:rsid w:val="002A34CB"/>
    <w:rsid w:val="002B0472"/>
    <w:rsid w:val="002B6B12"/>
    <w:rsid w:val="002C21F0"/>
    <w:rsid w:val="002C5774"/>
    <w:rsid w:val="002D01DF"/>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EB7"/>
    <w:rsid w:val="00463E39"/>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B31CE"/>
    <w:rsid w:val="004B4292"/>
    <w:rsid w:val="004C058E"/>
    <w:rsid w:val="004C1895"/>
    <w:rsid w:val="004C6D40"/>
    <w:rsid w:val="004E0DA6"/>
    <w:rsid w:val="004E1B40"/>
    <w:rsid w:val="004E6AA8"/>
    <w:rsid w:val="004E74D9"/>
    <w:rsid w:val="004F0C3C"/>
    <w:rsid w:val="004F2280"/>
    <w:rsid w:val="004F23BB"/>
    <w:rsid w:val="004F63FC"/>
    <w:rsid w:val="004F6484"/>
    <w:rsid w:val="005014C4"/>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51F"/>
    <w:rsid w:val="00542FA8"/>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5C9D"/>
    <w:rsid w:val="005B63D1"/>
    <w:rsid w:val="005B699B"/>
    <w:rsid w:val="005C0CAC"/>
    <w:rsid w:val="005C4C9E"/>
    <w:rsid w:val="005C6687"/>
    <w:rsid w:val="005D062E"/>
    <w:rsid w:val="005D1A1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36847"/>
    <w:rsid w:val="0064017E"/>
    <w:rsid w:val="00642461"/>
    <w:rsid w:val="00654BB6"/>
    <w:rsid w:val="00655769"/>
    <w:rsid w:val="00660971"/>
    <w:rsid w:val="0066387C"/>
    <w:rsid w:val="00665010"/>
    <w:rsid w:val="006673CA"/>
    <w:rsid w:val="00671737"/>
    <w:rsid w:val="00673C26"/>
    <w:rsid w:val="00674DE5"/>
    <w:rsid w:val="00677ACA"/>
    <w:rsid w:val="006812AF"/>
    <w:rsid w:val="0068327D"/>
    <w:rsid w:val="00686294"/>
    <w:rsid w:val="00691534"/>
    <w:rsid w:val="00693880"/>
    <w:rsid w:val="00693893"/>
    <w:rsid w:val="00694AF0"/>
    <w:rsid w:val="00696D4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514B"/>
    <w:rsid w:val="00795252"/>
    <w:rsid w:val="007975FB"/>
    <w:rsid w:val="007A2DC1"/>
    <w:rsid w:val="007A5771"/>
    <w:rsid w:val="007B16B8"/>
    <w:rsid w:val="007B6F96"/>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77F6C"/>
    <w:rsid w:val="0088258A"/>
    <w:rsid w:val="00883E43"/>
    <w:rsid w:val="00885959"/>
    <w:rsid w:val="00886332"/>
    <w:rsid w:val="00887C79"/>
    <w:rsid w:val="008925F0"/>
    <w:rsid w:val="008938CA"/>
    <w:rsid w:val="0089448A"/>
    <w:rsid w:val="00895062"/>
    <w:rsid w:val="00897877"/>
    <w:rsid w:val="008A1B2D"/>
    <w:rsid w:val="008A26D9"/>
    <w:rsid w:val="008A7B5B"/>
    <w:rsid w:val="008B12D2"/>
    <w:rsid w:val="008B3ED3"/>
    <w:rsid w:val="008B5916"/>
    <w:rsid w:val="008C00F1"/>
    <w:rsid w:val="008C0C29"/>
    <w:rsid w:val="008C4E9B"/>
    <w:rsid w:val="008D02DA"/>
    <w:rsid w:val="008D33CD"/>
    <w:rsid w:val="008D6319"/>
    <w:rsid w:val="008D76BC"/>
    <w:rsid w:val="008E3EA9"/>
    <w:rsid w:val="008E6C7C"/>
    <w:rsid w:val="008E6EDA"/>
    <w:rsid w:val="008E7DBA"/>
    <w:rsid w:val="008F0829"/>
    <w:rsid w:val="008F3638"/>
    <w:rsid w:val="008F4441"/>
    <w:rsid w:val="008F6B20"/>
    <w:rsid w:val="008F6F31"/>
    <w:rsid w:val="008F74DF"/>
    <w:rsid w:val="00900171"/>
    <w:rsid w:val="00902274"/>
    <w:rsid w:val="009127BA"/>
    <w:rsid w:val="00920AAE"/>
    <w:rsid w:val="009227A6"/>
    <w:rsid w:val="00926FF3"/>
    <w:rsid w:val="00933EC1"/>
    <w:rsid w:val="00937DFE"/>
    <w:rsid w:val="009446AD"/>
    <w:rsid w:val="00950E4C"/>
    <w:rsid w:val="00952C51"/>
    <w:rsid w:val="009530DB"/>
    <w:rsid w:val="00953676"/>
    <w:rsid w:val="00956F30"/>
    <w:rsid w:val="009570E2"/>
    <w:rsid w:val="00964FA3"/>
    <w:rsid w:val="009664F7"/>
    <w:rsid w:val="00966C9A"/>
    <w:rsid w:val="00966CF2"/>
    <w:rsid w:val="00967527"/>
    <w:rsid w:val="009705EE"/>
    <w:rsid w:val="00977927"/>
    <w:rsid w:val="0098135C"/>
    <w:rsid w:val="0098156A"/>
    <w:rsid w:val="00991B7A"/>
    <w:rsid w:val="00991BAC"/>
    <w:rsid w:val="009A6EA0"/>
    <w:rsid w:val="009B2A4A"/>
    <w:rsid w:val="009B3364"/>
    <w:rsid w:val="009C1335"/>
    <w:rsid w:val="009C1AB2"/>
    <w:rsid w:val="009C2C26"/>
    <w:rsid w:val="009C7251"/>
    <w:rsid w:val="009D0892"/>
    <w:rsid w:val="009D380E"/>
    <w:rsid w:val="009D5075"/>
    <w:rsid w:val="009E012F"/>
    <w:rsid w:val="009E2E91"/>
    <w:rsid w:val="009E3C05"/>
    <w:rsid w:val="009E7424"/>
    <w:rsid w:val="009E74E1"/>
    <w:rsid w:val="009F11AD"/>
    <w:rsid w:val="00A01B40"/>
    <w:rsid w:val="00A04531"/>
    <w:rsid w:val="00A139F5"/>
    <w:rsid w:val="00A2681A"/>
    <w:rsid w:val="00A32C7C"/>
    <w:rsid w:val="00A32E16"/>
    <w:rsid w:val="00A365F4"/>
    <w:rsid w:val="00A36EEA"/>
    <w:rsid w:val="00A460CD"/>
    <w:rsid w:val="00A465FA"/>
    <w:rsid w:val="00A47D80"/>
    <w:rsid w:val="00A52878"/>
    <w:rsid w:val="00A53132"/>
    <w:rsid w:val="00A563F2"/>
    <w:rsid w:val="00A566E8"/>
    <w:rsid w:val="00A61BBA"/>
    <w:rsid w:val="00A65B36"/>
    <w:rsid w:val="00A66347"/>
    <w:rsid w:val="00A66E9B"/>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507D"/>
    <w:rsid w:val="00AB64F3"/>
    <w:rsid w:val="00AB6D25"/>
    <w:rsid w:val="00AC0FA0"/>
    <w:rsid w:val="00AD0E56"/>
    <w:rsid w:val="00AD2909"/>
    <w:rsid w:val="00AE229B"/>
    <w:rsid w:val="00AE2D4B"/>
    <w:rsid w:val="00AE4F99"/>
    <w:rsid w:val="00AE7E38"/>
    <w:rsid w:val="00B0274A"/>
    <w:rsid w:val="00B064F7"/>
    <w:rsid w:val="00B066C7"/>
    <w:rsid w:val="00B11B69"/>
    <w:rsid w:val="00B14952"/>
    <w:rsid w:val="00B1620E"/>
    <w:rsid w:val="00B16871"/>
    <w:rsid w:val="00B25B45"/>
    <w:rsid w:val="00B31E5A"/>
    <w:rsid w:val="00B47359"/>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4F09"/>
    <w:rsid w:val="00BB54B5"/>
    <w:rsid w:val="00BC248A"/>
    <w:rsid w:val="00BD3185"/>
    <w:rsid w:val="00BD4E33"/>
    <w:rsid w:val="00BD6FD5"/>
    <w:rsid w:val="00BE5E5E"/>
    <w:rsid w:val="00BF6C1D"/>
    <w:rsid w:val="00C007F1"/>
    <w:rsid w:val="00C030DE"/>
    <w:rsid w:val="00C04C07"/>
    <w:rsid w:val="00C051A8"/>
    <w:rsid w:val="00C12F50"/>
    <w:rsid w:val="00C158BF"/>
    <w:rsid w:val="00C16683"/>
    <w:rsid w:val="00C16889"/>
    <w:rsid w:val="00C22105"/>
    <w:rsid w:val="00C244B6"/>
    <w:rsid w:val="00C25CC3"/>
    <w:rsid w:val="00C27BF1"/>
    <w:rsid w:val="00C30BBC"/>
    <w:rsid w:val="00C310E6"/>
    <w:rsid w:val="00C3702F"/>
    <w:rsid w:val="00C4500A"/>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484D"/>
    <w:rsid w:val="00CA4FB6"/>
    <w:rsid w:val="00CA7A4D"/>
    <w:rsid w:val="00CB0BC5"/>
    <w:rsid w:val="00CB2F90"/>
    <w:rsid w:val="00CB500E"/>
    <w:rsid w:val="00CB6AD4"/>
    <w:rsid w:val="00CB7D7C"/>
    <w:rsid w:val="00CC4D95"/>
    <w:rsid w:val="00CC739E"/>
    <w:rsid w:val="00CD1EBB"/>
    <w:rsid w:val="00CD28CF"/>
    <w:rsid w:val="00CD58B7"/>
    <w:rsid w:val="00CD7967"/>
    <w:rsid w:val="00CE5656"/>
    <w:rsid w:val="00CE6A09"/>
    <w:rsid w:val="00CF0A53"/>
    <w:rsid w:val="00CF18EE"/>
    <w:rsid w:val="00CF1BC6"/>
    <w:rsid w:val="00CF2B56"/>
    <w:rsid w:val="00CF30BD"/>
    <w:rsid w:val="00CF4099"/>
    <w:rsid w:val="00CF4FDA"/>
    <w:rsid w:val="00D0069C"/>
    <w:rsid w:val="00D00796"/>
    <w:rsid w:val="00D00DC1"/>
    <w:rsid w:val="00D047FA"/>
    <w:rsid w:val="00D061F9"/>
    <w:rsid w:val="00D06ABA"/>
    <w:rsid w:val="00D20E55"/>
    <w:rsid w:val="00D261A2"/>
    <w:rsid w:val="00D31908"/>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6FA1"/>
    <w:rsid w:val="00DA7C1C"/>
    <w:rsid w:val="00DB147A"/>
    <w:rsid w:val="00DB1B7A"/>
    <w:rsid w:val="00DB443F"/>
    <w:rsid w:val="00DB4D47"/>
    <w:rsid w:val="00DB5CDC"/>
    <w:rsid w:val="00DB706E"/>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85FF1"/>
    <w:rsid w:val="00E90EB4"/>
    <w:rsid w:val="00E95036"/>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F2D7E"/>
    <w:rsid w:val="00EF5D0A"/>
    <w:rsid w:val="00EF6BCB"/>
    <w:rsid w:val="00EF6FC5"/>
    <w:rsid w:val="00F0166F"/>
    <w:rsid w:val="00F037A4"/>
    <w:rsid w:val="00F03D62"/>
    <w:rsid w:val="00F049AB"/>
    <w:rsid w:val="00F04AA5"/>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D7A"/>
    <w:rsid w:val="00F60BA8"/>
    <w:rsid w:val="00F65A5A"/>
    <w:rsid w:val="00F67D8F"/>
    <w:rsid w:val="00F75CCB"/>
    <w:rsid w:val="00F802BE"/>
    <w:rsid w:val="00F80E93"/>
    <w:rsid w:val="00F86024"/>
    <w:rsid w:val="00F8611A"/>
    <w:rsid w:val="00F870C5"/>
    <w:rsid w:val="00FA3E6A"/>
    <w:rsid w:val="00FA5128"/>
    <w:rsid w:val="00FB1CDE"/>
    <w:rsid w:val="00FB42D4"/>
    <w:rsid w:val="00FB5906"/>
    <w:rsid w:val="00FB6741"/>
    <w:rsid w:val="00FB7150"/>
    <w:rsid w:val="00FB762F"/>
    <w:rsid w:val="00FC2AED"/>
    <w:rsid w:val="00FC2EE0"/>
    <w:rsid w:val="00FC3D69"/>
    <w:rsid w:val="00FC4C4B"/>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051306528297945"/>
          <c:y val="9.4961983797893182E-2"/>
          <c:w val="0.51529464358048582"/>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14-41D3-84F0-29512F423315}"/>
                </c:ext>
              </c:extLst>
            </c:dLbl>
            <c:dLbl>
              <c:idx val="8"/>
              <c:layout>
                <c:manualLayout>
                  <c:x val="-3.1488028486393767E-3"/>
                  <c:y val="-2.5388243826878825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1-A214-41D3-84F0-29512F423315}"/>
                </c:ext>
              </c:extLst>
            </c:dLbl>
            <c:dLbl>
              <c:idx val="9"/>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14-41D3-84F0-29512F423315}"/>
                </c:ext>
              </c:extLst>
            </c:dLbl>
            <c:dLbl>
              <c:idx val="11"/>
              <c:layout>
                <c:manualLayout>
                  <c:x val="9.9169455807611249E-3"/>
                  <c:y val="4.36109899694723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14-41D3-84F0-29512F423315}"/>
                </c:ext>
              </c:extLst>
            </c:dLbl>
            <c:dLbl>
              <c:idx val="12"/>
              <c:layout>
                <c:manualLayout>
                  <c:x val="9.012902766105519E-3"/>
                  <c:y val="7.18379456819968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14-41D3-84F0-29512F423315}"/>
                </c:ext>
              </c:extLst>
            </c:dLbl>
            <c:dLbl>
              <c:idx val="13"/>
              <c:layout>
                <c:manualLayout>
                  <c:x val="9.9169455807611249E-3"/>
                  <c:y val="-3.997627899596334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214-41D3-84F0-29512F423315}"/>
                </c:ext>
              </c:extLst>
            </c:dLbl>
            <c:dLbl>
              <c:idx val="16"/>
              <c:layout>
                <c:manualLayout>
                  <c:x val="2.479236395190281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44-4639-A812-FB86C3BB18D5}"/>
                </c:ext>
              </c:extLst>
            </c:dLbl>
            <c:dLbl>
              <c:idx val="17"/>
              <c:layout>
                <c:manualLayout>
                  <c:x val="2.044296340978947E-3"/>
                  <c:y val="5.88130256068623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14-41D3-84F0-29512F423315}"/>
                </c:ext>
              </c:extLst>
            </c:dLbl>
            <c:dLbl>
              <c:idx val="18"/>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14-41D3-84F0-29512F423315}"/>
                </c:ext>
              </c:extLst>
            </c:dLbl>
            <c:dLbl>
              <c:idx val="21"/>
              <c:layout>
                <c:manualLayout>
                  <c:x val="-3.3535283731035946E-2"/>
                  <c:y val="2.6519259231279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14-41D3-84F0-29512F42331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wyrobów tytoniowych</c:v>
                </c:pt>
                <c:pt idx="1">
                  <c:v>produkcja wyrobów farmaceutycznych</c:v>
                </c:pt>
                <c:pt idx="2">
                  <c:v>produkcja skór i wyrobów skórzanych</c:v>
                </c:pt>
                <c:pt idx="3">
                  <c:v>produkcja artykułów spożywczych</c:v>
                </c:pt>
                <c:pt idx="4">
                  <c:v>produkcja wyrobów z drewna, korka, słomy i wikliny</c:v>
                </c:pt>
                <c:pt idx="5">
                  <c:v>produkcja maszyn i urządzeń</c:v>
                </c:pt>
                <c:pt idx="6">
                  <c:v>poligrafia i reprodukcja zapisanych nośników informacji</c:v>
                </c:pt>
                <c:pt idx="7">
                  <c:v>produkcja metali</c:v>
                </c:pt>
                <c:pt idx="8">
                  <c:v>produkcja pozostałego sprzętu transportowego</c:v>
                </c:pt>
                <c:pt idx="9">
                  <c:v>produkcja wyrobów tekstylnych</c:v>
                </c:pt>
                <c:pt idx="10">
                  <c:v>produkcja urządzeń elektrycznych</c:v>
                </c:pt>
                <c:pt idx="11">
                  <c:v>produkcja napojów</c:v>
                </c:pt>
                <c:pt idx="12">
                  <c:v>produkcja papieru i wyrobów z papieru</c:v>
                </c:pt>
                <c:pt idx="13">
                  <c:v>produkcja wyrobów z gumy i tworzyw sztucznych</c:v>
                </c:pt>
                <c:pt idx="14">
                  <c:v>produkcja wyrobów z pozostałych mineralnych surowców niemetalicznych</c:v>
                </c:pt>
                <c:pt idx="15">
                  <c:v>produkcja wyrobów z metali</c:v>
                </c:pt>
                <c:pt idx="16">
                  <c:v>produkcja odzieży</c:v>
                </c:pt>
                <c:pt idx="17">
                  <c:v>produkcja pojazdów samochodowych, przyczep i naczep</c:v>
                </c:pt>
                <c:pt idx="18">
                  <c:v>produkcja mebli</c:v>
                </c:pt>
                <c:pt idx="19">
                  <c:v>produkcja chemikaliów i wyrobów chemicznych</c:v>
                </c:pt>
                <c:pt idx="20">
                  <c:v>produkcja komputerów, wyrobów elektronicznych i optycznych</c:v>
                </c:pt>
                <c:pt idx="21">
                  <c:v>produkcja koksu i produktów rafinacji ropy naftowej</c:v>
                </c:pt>
              </c:strCache>
            </c:strRef>
          </c:cat>
          <c:val>
            <c:numRef>
              <c:f>'Wykres 1'!$E$5:$E$26</c:f>
              <c:numCache>
                <c:formatCode>0\,0</c:formatCode>
                <c:ptCount val="22"/>
                <c:pt idx="0">
                  <c:v>3.1</c:v>
                </c:pt>
                <c:pt idx="1">
                  <c:v>1.2</c:v>
                </c:pt>
                <c:pt idx="2">
                  <c:v>1</c:v>
                </c:pt>
                <c:pt idx="3">
                  <c:v>0.5</c:v>
                </c:pt>
                <c:pt idx="4">
                  <c:v>0.4</c:v>
                </c:pt>
                <c:pt idx="5">
                  <c:v>0.4</c:v>
                </c:pt>
                <c:pt idx="6">
                  <c:v>0.3</c:v>
                </c:pt>
                <c:pt idx="7">
                  <c:v>0.2</c:v>
                </c:pt>
                <c:pt idx="8">
                  <c:v>0.1</c:v>
                </c:pt>
                <c:pt idx="9">
                  <c:v>0</c:v>
                </c:pt>
                <c:pt idx="10">
                  <c:v>0</c:v>
                </c:pt>
                <c:pt idx="11">
                  <c:v>-0.1</c:v>
                </c:pt>
                <c:pt idx="12">
                  <c:v>-0.1</c:v>
                </c:pt>
                <c:pt idx="13">
                  <c:v>-0.1</c:v>
                </c:pt>
                <c:pt idx="14">
                  <c:v>-0.2</c:v>
                </c:pt>
                <c:pt idx="15">
                  <c:v>-0.2</c:v>
                </c:pt>
                <c:pt idx="16">
                  <c:v>-0.3</c:v>
                </c:pt>
                <c:pt idx="17">
                  <c:v>-0.3</c:v>
                </c:pt>
                <c:pt idx="18">
                  <c:v>-0.5</c:v>
                </c:pt>
                <c:pt idx="19">
                  <c:v>-0.7</c:v>
                </c:pt>
                <c:pt idx="20">
                  <c:v>-1.3</c:v>
                </c:pt>
                <c:pt idx="21">
                  <c:v>-3.9</c:v>
                </c:pt>
              </c:numCache>
            </c:numRef>
          </c:val>
          <c:extLst>
            <c:ext xmlns:c16="http://schemas.microsoft.com/office/drawing/2014/chart" uri="{C3380CC4-5D6E-409C-BE32-E72D297353CC}">
              <c16:uniqueId val="{00000007-A214-41D3-84F0-29512F423315}"/>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4"/>
          <c:min val="-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pl-PL"/>
          </a:p>
        </c:txPr>
        <c:crossAx val="689017312"/>
        <c:crosses val="autoZero"/>
        <c:crossBetween val="between"/>
        <c:majorUnit val="0.60000000000000009"/>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9.84736582964057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CF-4ADA-AABB-C9CA11F6712C}"/>
                </c:ext>
              </c:extLst>
            </c:dLbl>
            <c:dLbl>
              <c:idx val="20"/>
              <c:layout>
                <c:manualLayout>
                  <c:x val="-1.2309013441266666E-2"/>
                  <c:y val="4.02576489533009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CF-4ADA-AABB-C9CA11F6712C}"/>
                </c:ext>
              </c:extLst>
            </c:dLbl>
            <c:dLbl>
              <c:idx val="21"/>
              <c:layout>
                <c:manualLayout>
                  <c:x val="-1.37359457066751E-2"/>
                  <c:y val="4.39947206335239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3B-4C6E-A157-A3C357A6885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skór i wyrobów skórzanych</c:v>
                </c:pt>
                <c:pt idx="2">
                  <c:v>produkcja napojów</c:v>
                </c:pt>
                <c:pt idx="3">
                  <c:v>produkcja wyrobów farmaceutycznych</c:v>
                </c:pt>
                <c:pt idx="4">
                  <c:v>produkcja pozostałego sprzętu transportowego</c:v>
                </c:pt>
                <c:pt idx="5">
                  <c:v>produkcja odzieży</c:v>
                </c:pt>
                <c:pt idx="6">
                  <c:v>produkcja maszyn i urządzeń</c:v>
                </c:pt>
                <c:pt idx="7">
                  <c:v>produkcja wyrobów tekstylnych</c:v>
                </c:pt>
                <c:pt idx="8">
                  <c:v>produkcja komputerów, wyrobów elektronicznych i optycznych</c:v>
                </c:pt>
                <c:pt idx="9">
                  <c:v>produkcja poligrafia i reprodukcja zapisanych nośników informacji</c:v>
                </c:pt>
                <c:pt idx="10">
                  <c:v>produkcja koksu i produktów rafinacji ropy naftowej</c:v>
                </c:pt>
                <c:pt idx="11">
                  <c:v>produkcja mebli</c:v>
                </c:pt>
                <c:pt idx="12">
                  <c:v>produkcja artykułów spożywczych</c:v>
                </c:pt>
                <c:pt idx="13">
                  <c:v>produkcja pojazdów samochodowych, przyczep i naczep</c:v>
                </c:pt>
                <c:pt idx="14">
                  <c:v>produkcja chemikaliów i wyrobów chemicznych</c:v>
                </c:pt>
                <c:pt idx="15">
                  <c:v>produkcja wyrobów z pozostałych mineralnych surowców niemetalicznych</c:v>
                </c:pt>
                <c:pt idx="16">
                  <c:v>produkcja urządzeń elektrycznych</c:v>
                </c:pt>
                <c:pt idx="17">
                  <c:v>produkcja wyrobów z metali</c:v>
                </c:pt>
                <c:pt idx="18">
                  <c:v>produkcja wyrobów z gumy i tworzyw sztucznych</c:v>
                </c:pt>
                <c:pt idx="19">
                  <c:v>produkcja papieru i wyrobów z papieru</c:v>
                </c:pt>
                <c:pt idx="20">
                  <c:v>produkcja wyrobów z drewna, korka, słomy i wikliny</c:v>
                </c:pt>
                <c:pt idx="21">
                  <c:v>produkcja metali</c:v>
                </c:pt>
              </c:strCache>
            </c:strRef>
          </c:cat>
          <c:val>
            <c:numRef>
              <c:f>'Wykres 2'!$E$5:$E$26</c:f>
              <c:numCache>
                <c:formatCode>0\,0</c:formatCode>
                <c:ptCount val="22"/>
                <c:pt idx="0">
                  <c:v>8.9</c:v>
                </c:pt>
                <c:pt idx="1">
                  <c:v>2.7</c:v>
                </c:pt>
                <c:pt idx="2">
                  <c:v>2.4</c:v>
                </c:pt>
                <c:pt idx="3">
                  <c:v>1.7</c:v>
                </c:pt>
                <c:pt idx="4">
                  <c:v>0.9</c:v>
                </c:pt>
                <c:pt idx="5">
                  <c:v>0.7</c:v>
                </c:pt>
                <c:pt idx="6">
                  <c:v>-1.3</c:v>
                </c:pt>
                <c:pt idx="7">
                  <c:v>-2.1</c:v>
                </c:pt>
                <c:pt idx="8">
                  <c:v>-2.6</c:v>
                </c:pt>
                <c:pt idx="9">
                  <c:v>-4.2</c:v>
                </c:pt>
                <c:pt idx="10">
                  <c:v>-4.9000000000000004</c:v>
                </c:pt>
                <c:pt idx="11">
                  <c:v>-5.8</c:v>
                </c:pt>
                <c:pt idx="12">
                  <c:v>-5.9</c:v>
                </c:pt>
                <c:pt idx="13">
                  <c:v>-6.2</c:v>
                </c:pt>
                <c:pt idx="14">
                  <c:v>-6.6</c:v>
                </c:pt>
                <c:pt idx="15">
                  <c:v>-6.6</c:v>
                </c:pt>
                <c:pt idx="16">
                  <c:v>-6.9</c:v>
                </c:pt>
                <c:pt idx="17">
                  <c:v>-7</c:v>
                </c:pt>
                <c:pt idx="18">
                  <c:v>-9.1</c:v>
                </c:pt>
                <c:pt idx="19">
                  <c:v>-10.199999999999999</c:v>
                </c:pt>
                <c:pt idx="20">
                  <c:v>-12.2</c:v>
                </c:pt>
                <c:pt idx="21">
                  <c:v>-12.9</c:v>
                </c:pt>
              </c:numCache>
            </c:numRef>
          </c:val>
          <c:extLst>
            <c:ext xmlns:c16="http://schemas.microsoft.com/office/drawing/2014/chart" uri="{C3380CC4-5D6E-409C-BE32-E72D297353CC}">
              <c16:uniqueId val="{00000001-8D3B-4C6E-A157-A3C357A6885A}"/>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0"/>
          <c:min val="-1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1.2821166041489142E-2"/>
                  <c:y val="-3.4690909874295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7E-4B96-8D08-F00EAA2EF42D}"/>
                </c:ext>
              </c:extLst>
            </c:dLbl>
            <c:dLbl>
              <c:idx val="1"/>
              <c:layout>
                <c:manualLayout>
                  <c:x val="-3.6629253622954994E-2"/>
                  <c:y val="3.2578820944235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7E-4B96-8D08-F00EAA2EF42D}"/>
                </c:ext>
              </c:extLst>
            </c:dLbl>
            <c:dLbl>
              <c:idx val="2"/>
              <c:layout>
                <c:manualLayout>
                  <c:x val="-4.853329741368792E-2"/>
                  <c:y val="4.15709253853528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7E-4B96-8D08-F00EAA2EF42D}"/>
                </c:ext>
              </c:extLst>
            </c:dLbl>
            <c:dLbl>
              <c:idx val="3"/>
              <c:layout>
                <c:manualLayout>
                  <c:x val="-5.2474697635647903E-2"/>
                  <c:y val="5.0563460689164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7E-4B96-8D08-F00EAA2EF42D}"/>
                </c:ext>
              </c:extLst>
            </c:dLbl>
            <c:dLbl>
              <c:idx val="4"/>
              <c:layout>
                <c:manualLayout>
                  <c:x val="-2.6513578699650271E-2"/>
                  <c:y val="5.0563460689164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7E-4B96-8D08-F00EAA2EF42D}"/>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7E-4B96-8D08-F00EAA2EF42D}"/>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7E-4B96-8D08-F00EAA2EF42D}"/>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7E-4B96-8D08-F00EAA2EF42D}"/>
                </c:ext>
              </c:extLst>
            </c:dLbl>
            <c:dLbl>
              <c:idx val="11"/>
              <c:layout>
                <c:manualLayout>
                  <c:x val="-3.724203496504179E-2"/>
                  <c:y val="-3.733382164438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7E-4B96-8D08-F00EAA2EF42D}"/>
                </c:ext>
              </c:extLst>
            </c:dLbl>
            <c:dLbl>
              <c:idx val="12"/>
              <c:layout>
                <c:manualLayout>
                  <c:x val="-4.5374125556730191E-2"/>
                  <c:y val="-7.2771847431519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7E-4B96-8D08-F00EAA2EF42D}"/>
                </c:ext>
              </c:extLst>
            </c:dLbl>
            <c:dLbl>
              <c:idx val="14"/>
              <c:layout>
                <c:manualLayout>
                  <c:x val="-3.2118605107422281E-2"/>
                  <c:y val="3.4473324213406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8C-473A-918C-A6D376129E8A}"/>
                </c:ext>
              </c:extLst>
            </c:dLbl>
            <c:dLbl>
              <c:idx val="16"/>
              <c:layout>
                <c:manualLayout>
                  <c:x val="-2.9626874922524044E-2"/>
                  <c:y val="5.6361149110807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8C-473A-918C-A6D376129E8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3'!$B$18:$B$34</c:f>
              <c:numCache>
                <c:formatCode>0\,0</c:formatCode>
                <c:ptCount val="17"/>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numCache>
            </c:numRef>
          </c:val>
          <c:smooth val="0"/>
          <c:extLst>
            <c:ext xmlns:c16="http://schemas.microsoft.com/office/drawing/2014/chart" uri="{C3380CC4-5D6E-409C-BE32-E72D297353CC}">
              <c16:uniqueId val="{0000000A-2D7E-4B96-8D08-F00EAA2EF42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DF-4059-B6DC-B36D162A9C7D}"/>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DF-4059-B6DC-B36D162A9C7D}"/>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DF-4059-B6DC-B36D162A9C7D}"/>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DF-4059-B6DC-B36D162A9C7D}"/>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DF-4059-B6DC-B36D162A9C7D}"/>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DF-4059-B6DC-B36D162A9C7D}"/>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DF-4059-B6DC-B36D162A9C7D}"/>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DF-4059-B6DC-B36D162A9C7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4'!$B$18:$B$34</c:f>
              <c:numCache>
                <c:formatCode>0\,0</c:formatCode>
                <c:ptCount val="17"/>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-7</c:v>
                </c:pt>
              </c:numCache>
            </c:numRef>
          </c:val>
          <c:smooth val="0"/>
          <c:extLst>
            <c:ext xmlns:c16="http://schemas.microsoft.com/office/drawing/2014/chart" uri="{C3380CC4-5D6E-409C-BE32-E72D297353CC}">
              <c16:uniqueId val="{00000008-D3DF-4059-B6DC-B36D162A9C7D}"/>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6"/>
              <c:layout>
                <c:manualLayout>
                  <c:x val="0.10271421050406766"/>
                  <c:y val="5.6571033372448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C5-4145-8F16-4E2D340F7139}"/>
                </c:ext>
              </c:extLst>
            </c:dLbl>
            <c:numFmt formatCode="#,##0.0" sourceLinked="0"/>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ang'!$B$8:$B$24</c:f>
              <c:numCache>
                <c:formatCode>0\,0</c:formatCode>
                <c:ptCount val="17"/>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-9.1</c:v>
                </c:pt>
              </c:numCache>
            </c:numRef>
          </c:val>
          <c:extLst>
            <c:ext xmlns:c16="http://schemas.microsoft.com/office/drawing/2014/chart" uri="{C3380CC4-5D6E-409C-BE32-E72D297353CC}">
              <c16:uniqueId val="{00000001-A4C5-4145-8F16-4E2D340F7139}"/>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6"/>
              <c:layout>
                <c:manualLayout>
                  <c:x val="7.1447373983083567E-2"/>
                  <c:y val="1.9490031348673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C5-4145-8F16-4E2D340F7139}"/>
                </c:ext>
              </c:extLst>
            </c:dLbl>
            <c:numFmt formatCode="#,##0.0" sourceLinked="0"/>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ang'!$C$8:$C$24</c:f>
              <c:numCache>
                <c:formatCode>0\,0</c:formatCode>
                <c:ptCount val="17"/>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2.7999999999999972</c:v>
                </c:pt>
              </c:numCache>
            </c:numRef>
          </c:val>
          <c:smooth val="0"/>
          <c:extLst>
            <c:ext xmlns:c16="http://schemas.microsoft.com/office/drawing/2014/chart" uri="{C3380CC4-5D6E-409C-BE32-E72D297353CC}">
              <c16:uniqueId val="{00000003-A4C5-4145-8F16-4E2D340F7139}"/>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6"/>
              <c:layout>
                <c:manualLayout>
                  <c:x val="6.4289666939509577E-2"/>
                  <c:y val="5.0674308260063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C5-4145-8F16-4E2D340F7139}"/>
                </c:ext>
              </c:extLst>
            </c:dLbl>
            <c:numFmt formatCode="#,##0.0" sourceLinked="0"/>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ang'!$D$8:$D$24</c:f>
              <c:numCache>
                <c:formatCode>0\,0</c:formatCode>
                <c:ptCount val="17"/>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numCache>
            </c:numRef>
          </c:val>
          <c:smooth val="0"/>
          <c:extLst>
            <c:ext xmlns:c16="http://schemas.microsoft.com/office/drawing/2014/chart" uri="{C3380CC4-5D6E-409C-BE32-E72D297353CC}">
              <c16:uniqueId val="{00000005-A4C5-4145-8F16-4E2D340F7139}"/>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6"/>
              <c:layout>
                <c:manualLayout>
                  <c:x val="5.5513368692414931E-2"/>
                  <c:y val="3.9479497780455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C5-4145-8F16-4E2D340F7139}"/>
                </c:ext>
              </c:extLst>
            </c:dLbl>
            <c:numFmt formatCode="#,##0.0" sourceLinked="0"/>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ang'!$E$8:$E$24</c:f>
              <c:numCache>
                <c:formatCode>0\,0</c:formatCode>
                <c:ptCount val="17"/>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-14.799999999999997</c:v>
                </c:pt>
              </c:numCache>
            </c:numRef>
          </c:val>
          <c:smooth val="0"/>
          <c:extLst>
            <c:ext xmlns:c16="http://schemas.microsoft.com/office/drawing/2014/chart" uri="{C3380CC4-5D6E-409C-BE32-E72D297353CC}">
              <c16:uniqueId val="{00000007-A4C5-4145-8F16-4E2D340F7139}"/>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6"/>
              <c:layout>
                <c:manualLayout>
                  <c:x val="7.1447373983083567E-2"/>
                  <c:y val="-2.6385322245086534E-2"/>
                </c:manualLayout>
              </c:layout>
              <c:numFmt formatCode="#,##0.0" sourceLinked="0"/>
              <c:spPr>
                <a:noFill/>
                <a:ln>
                  <a:noFill/>
                </a:ln>
                <a:effectLst/>
              </c:spPr>
              <c:txPr>
                <a:bodyPr wrap="square" lIns="38100" tIns="19050" rIns="38100" bIns="19050" anchor="ctr">
                  <a:spAutoFit/>
                </a:bodyPr>
                <a:lstStyle/>
                <a:p>
                  <a:pPr>
                    <a:defRPr sz="9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C5-4145-8F16-4E2D340F7139}"/>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ang'!$F$8:$F$24</c:f>
              <c:numCache>
                <c:formatCode>0\,0</c:formatCode>
                <c:ptCount val="17"/>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c:v>
                </c:pt>
              </c:numCache>
            </c:numRef>
          </c:val>
          <c:smooth val="0"/>
          <c:extLst>
            <c:ext xmlns:c16="http://schemas.microsoft.com/office/drawing/2014/chart" uri="{C3380CC4-5D6E-409C-BE32-E72D297353CC}">
              <c16:uniqueId val="{00000009-A4C5-4145-8F16-4E2D340F7139}"/>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698377773314"/>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maju 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2372-DAAD-44F3-8E43-7DEDB4CB50B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3C03E60-3848-4483-AB00-973FBEAB99B0}"/>
</file>

<file path=docProps/app.xml><?xml version="1.0" encoding="utf-8"?>
<Properties xmlns="http://schemas.openxmlformats.org/officeDocument/2006/extended-properties" xmlns:vt="http://schemas.openxmlformats.org/officeDocument/2006/docPropsVTypes">
  <Template>Normal</Template>
  <TotalTime>279</TotalTime>
  <Pages>1</Pages>
  <Words>700</Words>
  <Characters>4201</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2024-06-18T10:30:00Z</cp:lastPrinted>
  <dcterms:created xsi:type="dcterms:W3CDTF">2024-05-17T09:42:00Z</dcterms:created>
  <dcterms:modified xsi:type="dcterms:W3CDTF">2024-06-18T10:30:00Z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