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7A23A3E" w14:textId="5B15575B" w:rsidR="009638EE" w:rsidRPr="00A70D1B" w:rsidRDefault="00AE6310" w:rsidP="00294A5B">
      <w:pPr>
        <w:pStyle w:val="LID"/>
        <w:spacing w:before="0" w:after="360" w:line="240" w:lineRule="auto"/>
        <w:rPr>
          <w:rFonts w:ascii="Fira Sans Extra Condensed" w:hAnsi="Fira Sans Extra Condensed"/>
          <w:sz w:val="40"/>
          <w:szCs w:val="40"/>
        </w:rPr>
      </w:pPr>
      <w:r w:rsidRPr="00A70D1B">
        <w:rPr>
          <w:rFonts w:ascii="Fira Sans Extra Condensed" w:hAnsi="Fira Sans Extra Condensed"/>
          <w:sz w:val="40"/>
          <w:szCs w:val="40"/>
        </w:rPr>
        <mc:AlternateContent>
          <mc:Choice Requires="wps">
            <w:drawing>
              <wp:anchor distT="45720" distB="45720" distL="114300" distR="114300" simplePos="0" relativeHeight="251738112" behindDoc="0" locked="0" layoutInCell="1" allowOverlap="1" wp14:anchorId="78FD670E" wp14:editId="5505A9DD">
                <wp:simplePos x="0" y="0"/>
                <wp:positionH relativeFrom="margin">
                  <wp:posOffset>-161925</wp:posOffset>
                </wp:positionH>
                <wp:positionV relativeFrom="paragraph">
                  <wp:posOffset>1040765</wp:posOffset>
                </wp:positionV>
                <wp:extent cx="2381250" cy="1247775"/>
                <wp:effectExtent l="0" t="0" r="0" b="9525"/>
                <wp:wrapSquare wrapText="bothSides"/>
                <wp:docPr id="6" name="Pole tekstowe 2" descr="Współczynnik aktywności zawodowej osób w wieku 15-89 lat - 58,3%&#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247775"/>
                        </a:xfrm>
                        <a:prstGeom prst="roundRect">
                          <a:avLst/>
                        </a:prstGeom>
                        <a:solidFill>
                          <a:srgbClr val="001D77"/>
                        </a:solidFill>
                        <a:ln w="9525">
                          <a:noFill/>
                          <a:miter lim="800000"/>
                          <a:headEnd/>
                          <a:tailEnd/>
                        </a:ln>
                      </wps:spPr>
                      <wps:txbx>
                        <w:txbxContent>
                          <w:p w14:paraId="040A7F93" w14:textId="7499AA90" w:rsidR="00830EC6" w:rsidRPr="0011409E" w:rsidRDefault="00830EC6" w:rsidP="00577E10">
                            <w:pPr>
                              <w:spacing w:after="0" w:line="240" w:lineRule="auto"/>
                              <w:jc w:val="center"/>
                              <w:rPr>
                                <w:rFonts w:ascii="Fira Sans SemiBold" w:hAnsi="Fira Sans SemiBold"/>
                                <w:color w:val="FFFFFF" w:themeColor="background1"/>
                                <w:sz w:val="72"/>
                                <w:szCs w:val="72"/>
                              </w:rPr>
                            </w:pPr>
                            <w:r w:rsidRPr="00B13CD6">
                              <w:rPr>
                                <w:rFonts w:ascii="Fira Sans SemiBold" w:hAnsi="Fira Sans SemiBold"/>
                                <w:color w:val="FFFFFF" w:themeColor="background1"/>
                                <w:sz w:val="72"/>
                                <w:szCs w:val="72"/>
                              </w:rPr>
                              <w:t>58,</w:t>
                            </w:r>
                            <w:r w:rsidR="00215226">
                              <w:rPr>
                                <w:rFonts w:ascii="Fira Sans SemiBold" w:hAnsi="Fira Sans SemiBold"/>
                                <w:color w:val="FFFFFF" w:themeColor="background1"/>
                                <w:sz w:val="72"/>
                                <w:szCs w:val="72"/>
                              </w:rPr>
                              <w:t>3</w:t>
                            </w:r>
                            <w:r w:rsidRPr="00B13CD6">
                              <w:rPr>
                                <w:rFonts w:ascii="Fira Sans SemiBold" w:hAnsi="Fira Sans SemiBold"/>
                                <w:color w:val="FFFFFF" w:themeColor="background1"/>
                                <w:sz w:val="72"/>
                                <w:szCs w:val="72"/>
                              </w:rPr>
                              <w:t>%</w:t>
                            </w:r>
                          </w:p>
                          <w:p w14:paraId="21CCDB68" w14:textId="77777777" w:rsidR="00830EC6" w:rsidRPr="00872983" w:rsidRDefault="00830EC6" w:rsidP="00577E10">
                            <w:pPr>
                              <w:pStyle w:val="Opiswskanika"/>
                              <w:spacing w:before="120"/>
                              <w:jc w:val="center"/>
                              <w:rPr>
                                <w:sz w:val="18"/>
                                <w:szCs w:val="20"/>
                              </w:rPr>
                            </w:pPr>
                            <w:r w:rsidRPr="00872983">
                              <w:t>Współczynnik aktywności zawodowej osób w wieku 15-89 lat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FD670E" id="Pole tekstowe 2" o:spid="_x0000_s1026" alt="Współczynnik aktywności zawodowej osób w wieku 15-89 lat - 58,3%&#10;&#10;" style="position:absolute;margin-left:-12.75pt;margin-top:81.95pt;width:187.5pt;height:98.2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" fillcolor="#001d77" stroked="f">
                <v:stroke joinstyle="miter"/>
                <v:textbox>
                  <w:txbxContent>
                    <w:p w14:paraId="040A7F93" w14:textId="7499AA90" w:rsidR="00830EC6" w:rsidRPr="0011409E" w:rsidRDefault="00830EC6" w:rsidP="00577E10">
                      <w:pPr>
                        <w:spacing w:after="0" w:line="240" w:lineRule="auto"/>
                        <w:jc w:val="center"/>
                        <w:rPr>
                          <w:rFonts w:ascii="Fira Sans SemiBold" w:hAnsi="Fira Sans SemiBold"/>
                          <w:color w:val="FFFFFF" w:themeColor="background1"/>
                          <w:sz w:val="72"/>
                          <w:szCs w:val="72"/>
                        </w:rPr>
                      </w:pPr>
                      <w:r w:rsidRPr="00B13CD6">
                        <w:rPr>
                          <w:rFonts w:ascii="Fira Sans SemiBold" w:hAnsi="Fira Sans SemiBold"/>
                          <w:color w:val="FFFFFF" w:themeColor="background1"/>
                          <w:sz w:val="72"/>
                          <w:szCs w:val="72"/>
                        </w:rPr>
                        <w:t>58,</w:t>
                      </w:r>
                      <w:r w:rsidR="00215226">
                        <w:rPr>
                          <w:rFonts w:ascii="Fira Sans SemiBold" w:hAnsi="Fira Sans SemiBold"/>
                          <w:color w:val="FFFFFF" w:themeColor="background1"/>
                          <w:sz w:val="72"/>
                          <w:szCs w:val="72"/>
                        </w:rPr>
                        <w:t>3</w:t>
                      </w:r>
                      <w:r w:rsidRPr="00B13CD6">
                        <w:rPr>
                          <w:rFonts w:ascii="Fira Sans SemiBold" w:hAnsi="Fira Sans SemiBold"/>
                          <w:color w:val="FFFFFF" w:themeColor="background1"/>
                          <w:sz w:val="72"/>
                          <w:szCs w:val="72"/>
                        </w:rPr>
                        <w:t>%</w:t>
                      </w:r>
                    </w:p>
                    <w:p w14:paraId="21CCDB68" w14:textId="77777777" w:rsidR="00830EC6" w:rsidRPr="00872983" w:rsidRDefault="00830EC6" w:rsidP="00577E10">
                      <w:pPr>
                        <w:pStyle w:val="Opiswskanika"/>
                        <w:spacing w:before="120"/>
                        <w:jc w:val="center"/>
                        <w:rPr>
                          <w:sz w:val="18"/>
                          <w:szCs w:val="20"/>
                        </w:rPr>
                      </w:pPr>
                      <w:r w:rsidRPr="00872983">
                        <w:t>Współczynnik aktywności zawodowej osób w wieku 15-89 lat</w:t>
                      </w:r>
                    </w:p>
                  </w:txbxContent>
                </v:textbox>
                <w10:wrap type="square" anchorx="margin"/>
              </v:roundrect>
            </w:pict>
          </mc:Fallback>
        </mc:AlternateContent>
      </w:r>
      <w:r w:rsidR="007A4440" w:rsidRPr="00A70D1B">
        <w:rPr>
          <w:rFonts w:ascii="Fira Sans Extra Condensed" w:hAnsi="Fira Sans Extra Condensed"/>
          <w:sz w:val="40"/>
          <w:szCs w:val="40"/>
        </w:rPr>
        <w:t>Pracujący, bezrobotni i bierni zawodowo</w:t>
      </w:r>
      <w:r w:rsidR="000858EC" w:rsidRPr="00A70D1B">
        <w:rPr>
          <w:rFonts w:ascii="Fira Sans Extra Condensed" w:hAnsi="Fira Sans Extra Condensed"/>
          <w:sz w:val="40"/>
          <w:szCs w:val="40"/>
        </w:rPr>
        <w:t xml:space="preserve"> </w:t>
      </w:r>
      <w:r w:rsidR="00766836" w:rsidRPr="00A70D1B">
        <w:rPr>
          <w:rFonts w:ascii="Fira Sans Extra Condensed" w:hAnsi="Fira Sans Extra Condensed"/>
          <w:sz w:val="40"/>
          <w:szCs w:val="40"/>
        </w:rPr>
        <w:br/>
      </w:r>
      <w:r w:rsidR="000858EC" w:rsidRPr="00A70D1B">
        <w:rPr>
          <w:rFonts w:ascii="Fira Sans Extra Condensed" w:hAnsi="Fira Sans Extra Condensed"/>
          <w:sz w:val="40"/>
          <w:szCs w:val="40"/>
        </w:rPr>
        <w:t>(</w:t>
      </w:r>
      <w:r w:rsidR="007A4440" w:rsidRPr="00A70D1B">
        <w:rPr>
          <w:rFonts w:ascii="Fira Sans Extra Condensed" w:hAnsi="Fira Sans Extra Condensed"/>
          <w:sz w:val="40"/>
          <w:szCs w:val="40"/>
        </w:rPr>
        <w:t>wyniki wstępne B</w:t>
      </w:r>
      <w:r w:rsidR="008D5D28" w:rsidRPr="00A70D1B">
        <w:rPr>
          <w:rFonts w:ascii="Fira Sans Extra Condensed" w:hAnsi="Fira Sans Extra Condensed"/>
          <w:sz w:val="40"/>
          <w:szCs w:val="40"/>
        </w:rPr>
        <w:t>adania Aktywności Ekonomicznej Ludności)</w:t>
      </w:r>
      <w:r w:rsidR="00AE281D" w:rsidRPr="00A70D1B">
        <w:rPr>
          <w:rStyle w:val="Odwoanieprzypisudolnego"/>
          <w:rFonts w:ascii="Fira Sans Extra Condensed" w:hAnsi="Fira Sans Extra Condensed"/>
          <w:sz w:val="40"/>
          <w:szCs w:val="40"/>
        </w:rPr>
        <w:footnoteReference w:id="1"/>
      </w:r>
      <w:r w:rsidR="00364AF9" w:rsidRPr="00A70D1B">
        <w:rPr>
          <w:rFonts w:ascii="Fira Sans Extra Condensed" w:hAnsi="Fira Sans Extra Condensed"/>
          <w:sz w:val="40"/>
          <w:szCs w:val="40"/>
        </w:rPr>
        <w:tab/>
      </w:r>
    </w:p>
    <w:p w14:paraId="3C163A84" w14:textId="428FC343" w:rsidR="00983BFE" w:rsidRPr="00A70D1B" w:rsidRDefault="00983BFE" w:rsidP="00E96C32">
      <w:pPr>
        <w:pStyle w:val="Lead"/>
      </w:pPr>
      <w:bookmarkStart w:id="1" w:name="_Hlk143263663"/>
      <w:bookmarkEnd w:id="1"/>
      <w:r w:rsidRPr="00A70D1B">
        <w:t xml:space="preserve">W </w:t>
      </w:r>
      <w:r w:rsidR="00215226" w:rsidRPr="00A70D1B">
        <w:t>2</w:t>
      </w:r>
      <w:r w:rsidRPr="00A70D1B">
        <w:t xml:space="preserve"> kwartale 202</w:t>
      </w:r>
      <w:r w:rsidR="005672B2" w:rsidRPr="00A70D1B">
        <w:t>4</w:t>
      </w:r>
      <w:r w:rsidRPr="00A70D1B">
        <w:t xml:space="preserve"> r. osoby aktywne zawodowo stanowiły 58,</w:t>
      </w:r>
      <w:r w:rsidR="00215226" w:rsidRPr="00A70D1B">
        <w:t>3</w:t>
      </w:r>
      <w:r w:rsidRPr="00A70D1B">
        <w:t>% ludności</w:t>
      </w:r>
      <w:r w:rsidR="00A81313" w:rsidRPr="00A70D1B">
        <w:rPr>
          <w:rStyle w:val="Odwoanieprzypisudolnego"/>
        </w:rPr>
        <w:footnoteReference w:id="2"/>
      </w:r>
      <w:r w:rsidRPr="00A70D1B">
        <w:t xml:space="preserve"> w wieku 15-89 lat. Wskaźnik ten </w:t>
      </w:r>
      <w:r w:rsidR="000E4FEA" w:rsidRPr="00A70D1B">
        <w:t xml:space="preserve">był </w:t>
      </w:r>
      <w:r w:rsidR="005672B2" w:rsidRPr="00A70D1B">
        <w:t>niższy</w:t>
      </w:r>
      <w:r w:rsidR="000E4FEA" w:rsidRPr="00A70D1B">
        <w:t xml:space="preserve"> </w:t>
      </w:r>
      <w:r w:rsidR="00310ABE" w:rsidRPr="00A70D1B">
        <w:t>zarówno w porównaniu z</w:t>
      </w:r>
      <w:r w:rsidR="001665BD" w:rsidRPr="00A70D1B">
        <w:t> </w:t>
      </w:r>
      <w:r w:rsidR="00215226" w:rsidRPr="00A70D1B">
        <w:t>1</w:t>
      </w:r>
      <w:r w:rsidR="00627CE7" w:rsidRPr="00A70D1B">
        <w:t> </w:t>
      </w:r>
      <w:r w:rsidR="000E4FEA" w:rsidRPr="00A70D1B">
        <w:t>kwarta</w:t>
      </w:r>
      <w:r w:rsidR="00310ABE" w:rsidRPr="00A70D1B">
        <w:t>łem</w:t>
      </w:r>
      <w:r w:rsidR="000E4FEA" w:rsidRPr="00A70D1B">
        <w:t xml:space="preserve"> 202</w:t>
      </w:r>
      <w:r w:rsidR="00215226" w:rsidRPr="00A70D1B">
        <w:t>4</w:t>
      </w:r>
      <w:r w:rsidR="000E4FEA" w:rsidRPr="00A70D1B">
        <w:t xml:space="preserve"> r., </w:t>
      </w:r>
      <w:r w:rsidR="005672B2" w:rsidRPr="00A70D1B">
        <w:t>jak i</w:t>
      </w:r>
      <w:r w:rsidR="001665BD" w:rsidRPr="00A70D1B">
        <w:t> </w:t>
      </w:r>
      <w:r w:rsidR="00215226" w:rsidRPr="00A70D1B">
        <w:t xml:space="preserve">2 </w:t>
      </w:r>
      <w:r w:rsidR="000E4FEA" w:rsidRPr="00A70D1B">
        <w:t>kwarta</w:t>
      </w:r>
      <w:r w:rsidR="00310ABE" w:rsidRPr="00A70D1B">
        <w:t>łem</w:t>
      </w:r>
      <w:r w:rsidR="000E4FEA" w:rsidRPr="00A70D1B">
        <w:t xml:space="preserve"> 202</w:t>
      </w:r>
      <w:r w:rsidR="005672B2" w:rsidRPr="00A70D1B">
        <w:t>3</w:t>
      </w:r>
      <w:r w:rsidR="000E4FEA" w:rsidRPr="00A70D1B">
        <w:t xml:space="preserve"> r. (</w:t>
      </w:r>
      <w:r w:rsidR="00215226" w:rsidRPr="00A70D1B">
        <w:t xml:space="preserve">spadek po 0,2 </w:t>
      </w:r>
      <w:r w:rsidR="000E4FEA" w:rsidRPr="00A70D1B">
        <w:t>p.</w:t>
      </w:r>
      <w:r w:rsidR="00DC363A" w:rsidRPr="00A70D1B">
        <w:t xml:space="preserve"> </w:t>
      </w:r>
      <w:r w:rsidR="000E4FEA" w:rsidRPr="00A70D1B">
        <w:t>proc.).</w:t>
      </w:r>
      <w:r w:rsidR="007625E1" w:rsidRPr="00A70D1B">
        <w:t xml:space="preserve"> </w:t>
      </w:r>
      <w:r w:rsidR="00E96C32" w:rsidRPr="00A70D1B">
        <w:t>Ws</w:t>
      </w:r>
      <w:r w:rsidR="00347206" w:rsidRPr="00A70D1B">
        <w:t xml:space="preserve">półczynnik aktywności zawodowej </w:t>
      </w:r>
      <w:r w:rsidR="00676B58" w:rsidRPr="00A70D1B">
        <w:t xml:space="preserve">wyniósł </w:t>
      </w:r>
      <w:r w:rsidR="00E96C32" w:rsidRPr="00A70D1B">
        <w:t xml:space="preserve">wśród mężczyzn </w:t>
      </w:r>
      <w:r w:rsidR="007625E1" w:rsidRPr="00A70D1B">
        <w:t>6</w:t>
      </w:r>
      <w:r w:rsidR="005672B2" w:rsidRPr="00A70D1B">
        <w:t>5,</w:t>
      </w:r>
      <w:r w:rsidR="00215226" w:rsidRPr="00A70D1B">
        <w:t>5</w:t>
      </w:r>
      <w:r w:rsidR="007625E1" w:rsidRPr="00A70D1B">
        <w:t>%, a</w:t>
      </w:r>
      <w:r w:rsidR="00676B58" w:rsidRPr="00A70D1B">
        <w:t> </w:t>
      </w:r>
      <w:r w:rsidR="007625E1" w:rsidRPr="00A70D1B">
        <w:t>wśród kobiet 5</w:t>
      </w:r>
      <w:r w:rsidR="005672B2" w:rsidRPr="00A70D1B">
        <w:t>1,</w:t>
      </w:r>
      <w:r w:rsidR="00215226" w:rsidRPr="00A70D1B">
        <w:t>5</w:t>
      </w:r>
      <w:r w:rsidR="007625E1" w:rsidRPr="00A70D1B">
        <w:t>%.</w:t>
      </w:r>
    </w:p>
    <w:p w14:paraId="2042B8C9" w14:textId="44B3D942" w:rsidR="00E96C32" w:rsidRPr="00A70D1B" w:rsidRDefault="00E96C32" w:rsidP="00E96C32">
      <w:pPr>
        <w:pStyle w:val="Lead"/>
        <w:spacing w:before="0" w:after="0"/>
      </w:pPr>
    </w:p>
    <w:p w14:paraId="6EFDF42B" w14:textId="42A2833B" w:rsidR="002919DE" w:rsidRPr="00A70D1B" w:rsidRDefault="00B704FE" w:rsidP="00445C52">
      <w:pPr>
        <w:pStyle w:val="Nagwek1"/>
        <w:rPr>
          <w:rFonts w:ascii="Fira Sans" w:eastAsiaTheme="minorHAnsi" w:hAnsi="Fira Sans" w:cstheme="minorBidi"/>
          <w:b/>
          <w:bCs w:val="0"/>
          <w:noProof/>
          <w:szCs w:val="19"/>
        </w:rPr>
      </w:pPr>
      <w:r w:rsidRPr="00A70D1B">
        <w:rPr>
          <w:b/>
          <w:noProof/>
        </w:rPr>
        <mc:AlternateContent>
          <mc:Choice Requires="wps">
            <w:drawing>
              <wp:anchor distT="45720" distB="45720" distL="114300" distR="114300" simplePos="0" relativeHeight="251674624" behindDoc="1" locked="0" layoutInCell="1" allowOverlap="1" wp14:anchorId="16EC836E" wp14:editId="5D137570">
                <wp:simplePos x="0" y="0"/>
                <wp:positionH relativeFrom="column">
                  <wp:posOffset>5291455</wp:posOffset>
                </wp:positionH>
                <wp:positionV relativeFrom="paragraph">
                  <wp:posOffset>67310</wp:posOffset>
                </wp:positionV>
                <wp:extent cx="1780540" cy="1939925"/>
                <wp:effectExtent l="0" t="0" r="0" b="3175"/>
                <wp:wrapTight wrapText="bothSides">
                  <wp:wrapPolygon edited="0">
                    <wp:start x="693" y="0"/>
                    <wp:lineTo x="693" y="21423"/>
                    <wp:lineTo x="20799" y="21423"/>
                    <wp:lineTo x="20799" y="0"/>
                    <wp:lineTo x="693" y="0"/>
                  </wp:wrapPolygon>
                </wp:wrapTight>
                <wp:docPr id="2" name="Pole tekstowe 2" descr="Współczynnik aktywności zawodowej dla osób w wieku 15-89 lat w porównaniu z poprzednim kwartałem zmniejszył się zarówno wśród mężczyzn, jak i kobiet. W porównaniu z analogicznym okresem ub. roku spadek odnotowano wśród mężczyzn, a wśród kobiet wskaźnik pozostał na tym samym poziomi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1939925"/>
                        </a:xfrm>
                        <a:prstGeom prst="rect">
                          <a:avLst/>
                        </a:prstGeom>
                        <a:noFill/>
                        <a:ln w="9525">
                          <a:noFill/>
                          <a:miter lim="800000"/>
                          <a:headEnd/>
                          <a:tailEnd/>
                        </a:ln>
                      </wps:spPr>
                      <wps:txbx>
                        <w:txbxContent>
                          <w:p w14:paraId="091B16A6" w14:textId="530BB2BC" w:rsidR="00830EC6" w:rsidRPr="00187A09" w:rsidRDefault="00830EC6" w:rsidP="00A37DFF">
                            <w:pPr>
                              <w:pStyle w:val="tekstzboku"/>
                              <w:spacing w:before="0"/>
                            </w:pPr>
                            <w:r w:rsidRPr="00EF1899">
                              <w:t>Współczynnik aktywności zawodowej dla osób w wieku 15</w:t>
                            </w:r>
                            <w:r>
                              <w:t>-</w:t>
                            </w:r>
                            <w:r w:rsidRPr="00EF1899">
                              <w:t>89 lat w porównaniu z</w:t>
                            </w:r>
                            <w:r>
                              <w:t> </w:t>
                            </w:r>
                            <w:r w:rsidRPr="00EF1899">
                              <w:t xml:space="preserve">poprzednim </w:t>
                            </w:r>
                            <w:r w:rsidRPr="00933D71">
                              <w:t>kwartałem</w:t>
                            </w:r>
                            <w:r>
                              <w:t xml:space="preserve"> z</w:t>
                            </w:r>
                            <w:r w:rsidR="00CB07BB">
                              <w:t>mniejszył</w:t>
                            </w:r>
                            <w:r>
                              <w:t xml:space="preserve"> się zarówno wśród mężczyzn, jak i kobiet. W</w:t>
                            </w:r>
                            <w:r w:rsidR="00CF774D">
                              <w:t> </w:t>
                            </w:r>
                            <w:r w:rsidR="00E96C32">
                              <w:t xml:space="preserve">porównaniu z analogicznym okresem ub. roku </w:t>
                            </w:r>
                            <w:r w:rsidR="00CB07BB" w:rsidRPr="004761BE">
                              <w:t>spadek</w:t>
                            </w:r>
                            <w:r w:rsidRPr="004761BE">
                              <w:t xml:space="preserve"> odnotowano wśród </w:t>
                            </w:r>
                            <w:r w:rsidR="00CB07BB" w:rsidRPr="004761BE">
                              <w:t>mężczyzn</w:t>
                            </w:r>
                            <w:r w:rsidRPr="004761BE">
                              <w:t xml:space="preserve">, a wśród </w:t>
                            </w:r>
                            <w:r w:rsidR="00CB07BB" w:rsidRPr="004761BE">
                              <w:t>kobiet</w:t>
                            </w:r>
                            <w:r w:rsidRPr="004761BE">
                              <w:t xml:space="preserve"> </w:t>
                            </w:r>
                            <w:r w:rsidR="00305D1B">
                              <w:t xml:space="preserve">wskaźnik </w:t>
                            </w:r>
                            <w:r w:rsidR="00E96C32">
                              <w:t>pozostał na tym samym poziomie</w:t>
                            </w:r>
                          </w:p>
                          <w:p w14:paraId="58493924" w14:textId="68A12526" w:rsidR="00830EC6" w:rsidRPr="00187A09" w:rsidRDefault="00830EC6" w:rsidP="00187A09">
                            <w:pPr>
                              <w:pStyle w:val="tekstzboku"/>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EC836E" id="_x0000_t202" coordsize="21600,21600" o:spt="202" path="m,l,21600r21600,l21600,xe">
                <v:stroke joinstyle="miter"/>
                <v:path gradientshapeok="t" o:connecttype="rect"/>
              </v:shapetype>
              <v:shape id="_x0000_s1027" type="#_x0000_t202" alt="Współczynnik aktywności zawodowej dla osób w wieku 15-89 lat w porównaniu z poprzednim kwartałem zmniejszył się zarówno wśród mężczyzn, jak i kobiet. W porównaniu z analogicznym okresem ub. roku spadek odnotowano wśród mężczyzn, a wśród kobiet wskaźnik pozostał na tym samym poziomie" style="position:absolute;margin-left:416.65pt;margin-top:5.3pt;width:140.2pt;height:152.7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" filled="f" stroked="f">
                <v:textbox>
                  <w:txbxContent>
                    <w:p w14:paraId="091B16A6" w14:textId="530BB2BC" w:rsidR="00830EC6" w:rsidRPr="00187A09" w:rsidRDefault="00830EC6" w:rsidP="00A37DFF">
                      <w:pPr>
                        <w:pStyle w:val="tekstzboku"/>
                        <w:spacing w:before="0"/>
                      </w:pPr>
                      <w:r w:rsidRPr="00EF1899">
                        <w:t>Współczynnik aktywności zawodowej dla osób w wieku 15</w:t>
                      </w:r>
                      <w:r>
                        <w:t>-</w:t>
                      </w:r>
                      <w:r w:rsidRPr="00EF1899">
                        <w:t>89 lat w porównaniu z</w:t>
                      </w:r>
                      <w:r>
                        <w:t> </w:t>
                      </w:r>
                      <w:r w:rsidRPr="00EF1899">
                        <w:t xml:space="preserve">poprzednim </w:t>
                      </w:r>
                      <w:r w:rsidRPr="00933D71">
                        <w:t>kwartałem</w:t>
                      </w:r>
                      <w:r>
                        <w:t xml:space="preserve"> z</w:t>
                      </w:r>
                      <w:r w:rsidR="00CB07BB">
                        <w:t>mniejszył</w:t>
                      </w:r>
                      <w:r>
                        <w:t xml:space="preserve"> się zarówno wśród mężczyzn, jak i kobiet. W</w:t>
                      </w:r>
                      <w:r w:rsidR="00CF774D">
                        <w:t> </w:t>
                      </w:r>
                      <w:r w:rsidR="00E96C32">
                        <w:t xml:space="preserve">porównaniu z analogicznym okresem ub. roku </w:t>
                      </w:r>
                      <w:r w:rsidR="00CB07BB" w:rsidRPr="004761BE">
                        <w:t>spadek</w:t>
                      </w:r>
                      <w:r w:rsidRPr="004761BE">
                        <w:t xml:space="preserve"> odnotowano wśród </w:t>
                      </w:r>
                      <w:r w:rsidR="00CB07BB" w:rsidRPr="004761BE">
                        <w:t>mężczyzn</w:t>
                      </w:r>
                      <w:r w:rsidRPr="004761BE">
                        <w:t xml:space="preserve">, a wśród </w:t>
                      </w:r>
                      <w:r w:rsidR="00CB07BB" w:rsidRPr="004761BE">
                        <w:t>kobiet</w:t>
                      </w:r>
                      <w:r w:rsidRPr="004761BE">
                        <w:t xml:space="preserve"> </w:t>
                      </w:r>
                      <w:r w:rsidR="00305D1B">
                        <w:t xml:space="preserve">wskaźnik </w:t>
                      </w:r>
                      <w:r w:rsidR="00E96C32">
                        <w:t>pozostał na tym samym poziomie</w:t>
                      </w:r>
                    </w:p>
                    <w:p w14:paraId="58493924" w14:textId="68A12526" w:rsidR="00830EC6" w:rsidRPr="00187A09" w:rsidRDefault="00830EC6" w:rsidP="00187A09">
                      <w:pPr>
                        <w:pStyle w:val="tekstzboku"/>
                        <w:spacing w:before="0"/>
                      </w:pPr>
                    </w:p>
                  </w:txbxContent>
                </v:textbox>
                <w10:wrap type="tight"/>
              </v:shape>
            </w:pict>
          </mc:Fallback>
        </mc:AlternateContent>
      </w:r>
      <w:r w:rsidR="00705190" w:rsidRPr="00A70D1B">
        <w:rPr>
          <w:rFonts w:ascii="Fira Sans" w:hAnsi="Fira Sans"/>
          <w:b/>
          <w:szCs w:val="19"/>
        </w:rPr>
        <w:t>Aktywność ekonomiczna ludności w wieku 15</w:t>
      </w:r>
      <w:r w:rsidR="00DA3A67" w:rsidRPr="00A70D1B">
        <w:rPr>
          <w:rFonts w:ascii="Fira Sans" w:hAnsi="Fira Sans"/>
          <w:b/>
          <w:szCs w:val="19"/>
        </w:rPr>
        <w:t>-</w:t>
      </w:r>
      <w:r w:rsidR="00705190" w:rsidRPr="00A70D1B">
        <w:rPr>
          <w:rFonts w:ascii="Fira Sans" w:hAnsi="Fira Sans"/>
          <w:b/>
          <w:szCs w:val="19"/>
        </w:rPr>
        <w:t>89 lat według BAEL</w:t>
      </w:r>
    </w:p>
    <w:p w14:paraId="0F0DA79A" w14:textId="34945AFE" w:rsidR="00983BFE" w:rsidRPr="00A70D1B" w:rsidRDefault="00983BFE" w:rsidP="00983BFE">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7E4E3A" w:rsidRPr="00A70D1B">
        <w:rPr>
          <w:rFonts w:eastAsia="Times New Roman" w:cs="Times New Roman"/>
          <w:szCs w:val="19"/>
          <w:lang w:eastAsia="pl-PL"/>
        </w:rPr>
        <w:t>2</w:t>
      </w:r>
      <w:r w:rsidRPr="00A70D1B">
        <w:rPr>
          <w:rFonts w:eastAsia="Times New Roman" w:cs="Times New Roman"/>
          <w:szCs w:val="19"/>
          <w:lang w:eastAsia="pl-PL"/>
        </w:rPr>
        <w:t xml:space="preserve"> kwartale 202</w:t>
      </w:r>
      <w:r w:rsidR="005672B2" w:rsidRPr="00A70D1B">
        <w:rPr>
          <w:rFonts w:eastAsia="Times New Roman" w:cs="Times New Roman"/>
          <w:szCs w:val="19"/>
          <w:lang w:eastAsia="pl-PL"/>
        </w:rPr>
        <w:t>4</w:t>
      </w:r>
      <w:r w:rsidRPr="00A70D1B">
        <w:rPr>
          <w:rFonts w:eastAsia="Times New Roman" w:cs="Times New Roman"/>
          <w:szCs w:val="19"/>
          <w:lang w:eastAsia="pl-PL"/>
        </w:rPr>
        <w:t xml:space="preserve"> r. liczba osób aktywnych zawodowo w wieku 15-89 lat wyniosła 17 </w:t>
      </w:r>
      <w:r w:rsidR="007E4E3A" w:rsidRPr="00A70D1B">
        <w:rPr>
          <w:rFonts w:eastAsia="Times New Roman" w:cs="Times New Roman"/>
          <w:szCs w:val="19"/>
          <w:lang w:eastAsia="pl-PL"/>
        </w:rPr>
        <w:t>678</w:t>
      </w:r>
      <w:r w:rsidRPr="00A70D1B">
        <w:rPr>
          <w:rFonts w:eastAsia="Times New Roman" w:cs="Times New Roman"/>
          <w:szCs w:val="19"/>
          <w:lang w:eastAsia="pl-PL"/>
        </w:rPr>
        <w:t xml:space="preserve"> tys., z tego: 1</w:t>
      </w:r>
      <w:r w:rsidR="001848DD" w:rsidRPr="00A70D1B">
        <w:rPr>
          <w:rFonts w:eastAsia="Times New Roman" w:cs="Times New Roman"/>
          <w:szCs w:val="19"/>
          <w:lang w:eastAsia="pl-PL"/>
        </w:rPr>
        <w:t>7 </w:t>
      </w:r>
      <w:r w:rsidR="007E4E3A" w:rsidRPr="00A70D1B">
        <w:rPr>
          <w:rFonts w:eastAsia="Times New Roman" w:cs="Times New Roman"/>
          <w:szCs w:val="19"/>
          <w:lang w:eastAsia="pl-PL"/>
        </w:rPr>
        <w:t>205</w:t>
      </w:r>
      <w:r w:rsidRPr="00A70D1B">
        <w:rPr>
          <w:rFonts w:eastAsia="Times New Roman" w:cs="Times New Roman"/>
          <w:szCs w:val="19"/>
          <w:lang w:eastAsia="pl-PL"/>
        </w:rPr>
        <w:t xml:space="preserve"> tys. stanowili pracujący, natomiast </w:t>
      </w:r>
      <w:r w:rsidR="007E4E3A" w:rsidRPr="00A70D1B">
        <w:rPr>
          <w:rFonts w:eastAsia="Times New Roman" w:cs="Times New Roman"/>
          <w:szCs w:val="19"/>
          <w:lang w:eastAsia="pl-PL"/>
        </w:rPr>
        <w:t>472</w:t>
      </w:r>
      <w:r w:rsidRPr="00A70D1B">
        <w:rPr>
          <w:rFonts w:eastAsia="Times New Roman" w:cs="Times New Roman"/>
          <w:szCs w:val="19"/>
          <w:lang w:eastAsia="pl-PL"/>
        </w:rPr>
        <w:t xml:space="preserve"> tys. – bezrobotni. Populacja biernych zawodowo w </w:t>
      </w:r>
      <w:r w:rsidR="00347206" w:rsidRPr="00A70D1B">
        <w:rPr>
          <w:rFonts w:eastAsia="Times New Roman" w:cs="Times New Roman"/>
          <w:szCs w:val="19"/>
          <w:lang w:eastAsia="pl-PL"/>
        </w:rPr>
        <w:t>tej</w:t>
      </w:r>
      <w:r w:rsidRPr="00A70D1B">
        <w:rPr>
          <w:rFonts w:eastAsia="Times New Roman" w:cs="Times New Roman"/>
          <w:szCs w:val="19"/>
          <w:lang w:eastAsia="pl-PL"/>
        </w:rPr>
        <w:t xml:space="preserve"> grupie wieku liczyła 12 </w:t>
      </w:r>
      <w:r w:rsidR="00CB07BB" w:rsidRPr="00A70D1B">
        <w:rPr>
          <w:rFonts w:eastAsia="Times New Roman" w:cs="Times New Roman"/>
          <w:szCs w:val="19"/>
          <w:lang w:eastAsia="pl-PL"/>
        </w:rPr>
        <w:t>6</w:t>
      </w:r>
      <w:r w:rsidR="007E4E3A" w:rsidRPr="00A70D1B">
        <w:rPr>
          <w:rFonts w:eastAsia="Times New Roman" w:cs="Times New Roman"/>
          <w:szCs w:val="19"/>
          <w:lang w:eastAsia="pl-PL"/>
        </w:rPr>
        <w:t>67</w:t>
      </w:r>
      <w:r w:rsidRPr="00A70D1B">
        <w:rPr>
          <w:rFonts w:eastAsia="Times New Roman" w:cs="Times New Roman"/>
          <w:szCs w:val="19"/>
          <w:lang w:eastAsia="pl-PL"/>
        </w:rPr>
        <w:t xml:space="preserve"> tys. osób</w:t>
      </w:r>
      <w:r w:rsidR="002D12AB" w:rsidRPr="00A70D1B">
        <w:rPr>
          <w:rFonts w:eastAsia="Times New Roman" w:cs="Times New Roman"/>
          <w:szCs w:val="19"/>
          <w:lang w:eastAsia="pl-PL"/>
        </w:rPr>
        <w:t>.</w:t>
      </w:r>
    </w:p>
    <w:p w14:paraId="3440C498" w14:textId="3C4232D8" w:rsidR="00C46375" w:rsidRPr="00A70D1B" w:rsidRDefault="00C46375" w:rsidP="00C46375">
      <w:pPr>
        <w:spacing w:line="288" w:lineRule="auto"/>
        <w:rPr>
          <w:rFonts w:eastAsia="Times New Roman" w:cs="Times New Roman"/>
          <w:szCs w:val="19"/>
          <w:lang w:eastAsia="pl-PL"/>
        </w:rPr>
      </w:pPr>
      <w:r w:rsidRPr="00A70D1B">
        <w:rPr>
          <w:rFonts w:eastAsia="Times New Roman" w:cs="Times New Roman"/>
          <w:szCs w:val="19"/>
          <w:lang w:eastAsia="pl-PL"/>
        </w:rPr>
        <w:t>Zbiorowość aktywnych zawodowo z</w:t>
      </w:r>
      <w:r w:rsidR="00CB07BB" w:rsidRPr="00A70D1B">
        <w:rPr>
          <w:rFonts w:eastAsia="Times New Roman" w:cs="Times New Roman"/>
          <w:szCs w:val="19"/>
          <w:lang w:eastAsia="pl-PL"/>
        </w:rPr>
        <w:t>mniejszyła</w:t>
      </w:r>
      <w:r w:rsidRPr="00A70D1B">
        <w:rPr>
          <w:rFonts w:eastAsia="Times New Roman" w:cs="Times New Roman"/>
          <w:szCs w:val="19"/>
          <w:lang w:eastAsia="pl-PL"/>
        </w:rPr>
        <w:t xml:space="preserve"> się zarówno w porównaniu z </w:t>
      </w:r>
      <w:r w:rsidR="007E4E3A" w:rsidRPr="00A70D1B">
        <w:rPr>
          <w:rFonts w:eastAsia="Times New Roman" w:cs="Times New Roman"/>
          <w:szCs w:val="19"/>
          <w:lang w:eastAsia="pl-PL"/>
        </w:rPr>
        <w:t>1</w:t>
      </w:r>
      <w:r w:rsidRPr="00A70D1B">
        <w:rPr>
          <w:rFonts w:eastAsia="Times New Roman" w:cs="Times New Roman"/>
          <w:szCs w:val="19"/>
          <w:lang w:eastAsia="pl-PL"/>
        </w:rPr>
        <w:t xml:space="preserve"> kwartałem 202</w:t>
      </w:r>
      <w:r w:rsidR="007E4E3A" w:rsidRPr="00A70D1B">
        <w:rPr>
          <w:rFonts w:eastAsia="Times New Roman" w:cs="Times New Roman"/>
          <w:szCs w:val="19"/>
          <w:lang w:eastAsia="pl-PL"/>
        </w:rPr>
        <w:t>4</w:t>
      </w:r>
      <w:r w:rsidRPr="00A70D1B">
        <w:rPr>
          <w:rFonts w:eastAsia="Times New Roman" w:cs="Times New Roman"/>
          <w:szCs w:val="19"/>
          <w:lang w:eastAsia="pl-PL"/>
        </w:rPr>
        <w:t xml:space="preserve"> r. </w:t>
      </w:r>
      <w:r w:rsidR="00310ABE" w:rsidRPr="00A70D1B">
        <w:rPr>
          <w:rFonts w:eastAsia="Times New Roman" w:cs="Times New Roman"/>
          <w:szCs w:val="19"/>
          <w:lang w:eastAsia="pl-PL"/>
        </w:rPr>
        <w:t>(</w:t>
      </w:r>
      <w:r w:rsidRPr="00A70D1B">
        <w:rPr>
          <w:rFonts w:eastAsia="Times New Roman" w:cs="Times New Roman"/>
          <w:szCs w:val="19"/>
          <w:lang w:eastAsia="pl-PL"/>
        </w:rPr>
        <w:t>o </w:t>
      </w:r>
      <w:r w:rsidR="007E4E3A" w:rsidRPr="00A70D1B">
        <w:rPr>
          <w:rFonts w:eastAsia="Times New Roman" w:cs="Times New Roman"/>
          <w:szCs w:val="19"/>
          <w:lang w:eastAsia="pl-PL"/>
        </w:rPr>
        <w:t>76</w:t>
      </w:r>
      <w:r w:rsidRPr="00A70D1B">
        <w:rPr>
          <w:rFonts w:eastAsia="Times New Roman" w:cs="Times New Roman"/>
          <w:szCs w:val="19"/>
          <w:lang w:eastAsia="pl-PL"/>
        </w:rPr>
        <w:t> tys.</w:t>
      </w:r>
      <w:r w:rsidR="00D82D93" w:rsidRPr="00A70D1B">
        <w:rPr>
          <w:rFonts w:eastAsia="Times New Roman" w:cs="Times New Roman"/>
          <w:szCs w:val="19"/>
          <w:lang w:eastAsia="pl-PL"/>
        </w:rPr>
        <w:t xml:space="preserve"> osób</w:t>
      </w:r>
      <w:r w:rsidRPr="00A70D1B">
        <w:rPr>
          <w:rFonts w:eastAsia="Times New Roman" w:cs="Times New Roman"/>
          <w:szCs w:val="19"/>
          <w:lang w:eastAsia="pl-PL"/>
        </w:rPr>
        <w:t>, tj. o 0,</w:t>
      </w:r>
      <w:r w:rsidR="007E4E3A" w:rsidRPr="00A70D1B">
        <w:rPr>
          <w:rFonts w:eastAsia="Times New Roman" w:cs="Times New Roman"/>
          <w:szCs w:val="19"/>
          <w:lang w:eastAsia="pl-PL"/>
        </w:rPr>
        <w:t>4</w:t>
      </w:r>
      <w:r w:rsidRPr="00A70D1B">
        <w:rPr>
          <w:rFonts w:eastAsia="Times New Roman" w:cs="Times New Roman"/>
          <w:szCs w:val="19"/>
          <w:lang w:eastAsia="pl-PL"/>
        </w:rPr>
        <w:t>%</w:t>
      </w:r>
      <w:r w:rsidR="00310ABE" w:rsidRPr="00A70D1B">
        <w:rPr>
          <w:rFonts w:eastAsia="Times New Roman" w:cs="Times New Roman"/>
          <w:szCs w:val="19"/>
          <w:lang w:eastAsia="pl-PL"/>
        </w:rPr>
        <w:t>)</w:t>
      </w:r>
      <w:r w:rsidRPr="00A70D1B">
        <w:rPr>
          <w:rFonts w:eastAsia="Times New Roman" w:cs="Times New Roman"/>
          <w:szCs w:val="19"/>
          <w:lang w:eastAsia="pl-PL"/>
        </w:rPr>
        <w:t xml:space="preserve">, jak i z </w:t>
      </w:r>
      <w:r w:rsidR="007E4E3A" w:rsidRPr="00A70D1B">
        <w:rPr>
          <w:rFonts w:eastAsia="Times New Roman" w:cs="Times New Roman"/>
          <w:szCs w:val="19"/>
          <w:lang w:eastAsia="pl-PL"/>
        </w:rPr>
        <w:t>2</w:t>
      </w:r>
      <w:r w:rsidRPr="00A70D1B">
        <w:rPr>
          <w:rFonts w:eastAsia="Times New Roman" w:cs="Times New Roman"/>
          <w:szCs w:val="19"/>
          <w:lang w:eastAsia="pl-PL"/>
        </w:rPr>
        <w:t xml:space="preserve"> kwartałem 202</w:t>
      </w:r>
      <w:r w:rsidR="007E4E3A" w:rsidRPr="00A70D1B">
        <w:rPr>
          <w:rFonts w:eastAsia="Times New Roman" w:cs="Times New Roman"/>
          <w:szCs w:val="19"/>
          <w:lang w:eastAsia="pl-PL"/>
        </w:rPr>
        <w:t>3</w:t>
      </w:r>
      <w:r w:rsidRPr="00A70D1B">
        <w:rPr>
          <w:rFonts w:eastAsia="Times New Roman" w:cs="Times New Roman"/>
          <w:szCs w:val="19"/>
          <w:lang w:eastAsia="pl-PL"/>
        </w:rPr>
        <w:t xml:space="preserve"> r. </w:t>
      </w:r>
      <w:r w:rsidR="00310ABE" w:rsidRPr="00A70D1B">
        <w:rPr>
          <w:rFonts w:eastAsia="Times New Roman" w:cs="Times New Roman"/>
          <w:szCs w:val="19"/>
          <w:lang w:eastAsia="pl-PL"/>
        </w:rPr>
        <w:t>(</w:t>
      </w:r>
      <w:r w:rsidRPr="00A70D1B">
        <w:rPr>
          <w:rFonts w:eastAsia="Times New Roman" w:cs="Times New Roman"/>
          <w:szCs w:val="19"/>
          <w:lang w:eastAsia="pl-PL"/>
        </w:rPr>
        <w:t xml:space="preserve">o </w:t>
      </w:r>
      <w:r w:rsidR="007E4E3A" w:rsidRPr="00A70D1B">
        <w:rPr>
          <w:rFonts w:eastAsia="Times New Roman" w:cs="Times New Roman"/>
          <w:szCs w:val="19"/>
          <w:lang w:eastAsia="pl-PL"/>
        </w:rPr>
        <w:t>68</w:t>
      </w:r>
      <w:r w:rsidRPr="00A70D1B">
        <w:rPr>
          <w:rFonts w:eastAsia="Times New Roman" w:cs="Times New Roman"/>
          <w:szCs w:val="19"/>
          <w:lang w:eastAsia="pl-PL"/>
        </w:rPr>
        <w:t xml:space="preserve"> tys., tj. o 0,</w:t>
      </w:r>
      <w:r w:rsidR="007E4E3A" w:rsidRPr="00A70D1B">
        <w:rPr>
          <w:rFonts w:eastAsia="Times New Roman" w:cs="Times New Roman"/>
          <w:szCs w:val="19"/>
          <w:lang w:eastAsia="pl-PL"/>
        </w:rPr>
        <w:t>4</w:t>
      </w:r>
      <w:r w:rsidRPr="00A70D1B">
        <w:rPr>
          <w:rFonts w:eastAsia="Times New Roman" w:cs="Times New Roman"/>
          <w:szCs w:val="19"/>
          <w:lang w:eastAsia="pl-PL"/>
        </w:rPr>
        <w:t>%</w:t>
      </w:r>
      <w:r w:rsidR="00310ABE" w:rsidRPr="00A70D1B">
        <w:rPr>
          <w:rFonts w:eastAsia="Times New Roman" w:cs="Times New Roman"/>
          <w:szCs w:val="19"/>
          <w:lang w:eastAsia="pl-PL"/>
        </w:rPr>
        <w:t>)</w:t>
      </w:r>
      <w:r w:rsidRPr="00A70D1B">
        <w:rPr>
          <w:rFonts w:eastAsia="Times New Roman" w:cs="Times New Roman"/>
          <w:szCs w:val="19"/>
          <w:lang w:eastAsia="pl-PL"/>
        </w:rPr>
        <w:t>.</w:t>
      </w:r>
    </w:p>
    <w:p w14:paraId="7E4CB985" w14:textId="29672073" w:rsidR="00581A0F" w:rsidRPr="00A70D1B" w:rsidRDefault="0022643B" w:rsidP="00AF6C9A">
      <w:pPr>
        <w:spacing w:before="240" w:line="276" w:lineRule="auto"/>
        <w:ind w:left="992" w:hanging="992"/>
        <w:rPr>
          <w:rFonts w:eastAsia="Times New Roman" w:cs="Times New Roman"/>
          <w:b/>
          <w:szCs w:val="19"/>
          <w:lang w:eastAsia="pl-PL"/>
        </w:rPr>
      </w:pPr>
      <w:r w:rsidRPr="00A70D1B">
        <w:rPr>
          <w:rFonts w:eastAsia="Times New Roman" w:cs="Times New Roman"/>
          <w:noProof/>
          <w:szCs w:val="19"/>
          <w:lang w:eastAsia="pl-PL"/>
        </w:rPr>
        <w:drawing>
          <wp:anchor distT="0" distB="0" distL="114300" distR="114300" simplePos="0" relativeHeight="251951104" behindDoc="0" locked="0" layoutInCell="1" allowOverlap="1" wp14:anchorId="0D53FC43" wp14:editId="1CDFBA3D">
            <wp:simplePos x="0" y="0"/>
            <wp:positionH relativeFrom="margin">
              <wp:align>center</wp:align>
            </wp:positionH>
            <wp:positionV relativeFrom="paragraph">
              <wp:posOffset>406400</wp:posOffset>
            </wp:positionV>
            <wp:extent cx="4188460" cy="2004060"/>
            <wp:effectExtent l="0" t="0" r="2540" b="0"/>
            <wp:wrapSquare wrapText="bothSides"/>
            <wp:docPr id="25" name="Obraz 25" descr="Wykres prezentuje strukturę ludności w wieku 15-89 lat według statusu na rynku pracy w 2 kwartale 2024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8681"/>
                    <a:stretch/>
                  </pic:blipFill>
                  <pic:spPr bwMode="auto">
                    <a:xfrm>
                      <a:off x="0" y="0"/>
                      <a:ext cx="4188460" cy="2004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1A0F" w:rsidRPr="00A70D1B">
        <w:rPr>
          <w:b/>
          <w:shd w:val="clear" w:color="auto" w:fill="FFFFFF"/>
        </w:rPr>
        <w:t>Wykres</w:t>
      </w:r>
      <w:r w:rsidR="00581A0F" w:rsidRPr="00A70D1B">
        <w:rPr>
          <w:rFonts w:eastAsia="Times New Roman" w:cs="Times New Roman"/>
          <w:b/>
          <w:szCs w:val="19"/>
          <w:lang w:eastAsia="pl-PL"/>
        </w:rPr>
        <w:t xml:space="preserve"> 1. </w:t>
      </w:r>
      <w:r w:rsidR="00A700B6" w:rsidRPr="00A70D1B">
        <w:rPr>
          <w:rFonts w:eastAsia="Times New Roman" w:cs="Times New Roman"/>
          <w:b/>
          <w:szCs w:val="19"/>
          <w:lang w:eastAsia="pl-PL"/>
        </w:rPr>
        <w:tab/>
      </w:r>
      <w:r w:rsidR="00581A0F" w:rsidRPr="00A70D1B">
        <w:rPr>
          <w:rFonts w:eastAsia="Times New Roman" w:cs="Times New Roman"/>
          <w:b/>
          <w:szCs w:val="19"/>
          <w:lang w:eastAsia="pl-PL"/>
        </w:rPr>
        <w:t>Struktura ludności w wieku 15-89 lat w</w:t>
      </w:r>
      <w:r w:rsidR="00C27A3A" w:rsidRPr="00A70D1B">
        <w:rPr>
          <w:rFonts w:eastAsia="Times New Roman" w:cs="Times New Roman"/>
          <w:b/>
          <w:szCs w:val="19"/>
          <w:lang w:eastAsia="pl-PL"/>
        </w:rPr>
        <w:t>edłu</w:t>
      </w:r>
      <w:r w:rsidR="00581A0F" w:rsidRPr="00A70D1B">
        <w:rPr>
          <w:rFonts w:eastAsia="Times New Roman" w:cs="Times New Roman"/>
          <w:b/>
          <w:szCs w:val="19"/>
          <w:lang w:eastAsia="pl-PL"/>
        </w:rPr>
        <w:t>g statusu na rynku pracy</w:t>
      </w:r>
      <w:r w:rsidR="00C46375" w:rsidRPr="00A70D1B">
        <w:rPr>
          <w:rFonts w:eastAsia="Times New Roman" w:cs="Times New Roman"/>
          <w:b/>
          <w:szCs w:val="19"/>
          <w:lang w:eastAsia="pl-PL"/>
        </w:rPr>
        <w:t xml:space="preserve"> w</w:t>
      </w:r>
      <w:r w:rsidR="00A700B6" w:rsidRPr="00A70D1B">
        <w:rPr>
          <w:rFonts w:eastAsia="Times New Roman" w:cs="Times New Roman"/>
          <w:b/>
          <w:szCs w:val="19"/>
          <w:lang w:eastAsia="pl-PL"/>
        </w:rPr>
        <w:t> </w:t>
      </w:r>
      <w:r w:rsidR="007E4E3A" w:rsidRPr="00A70D1B">
        <w:rPr>
          <w:rFonts w:eastAsia="Times New Roman" w:cs="Times New Roman"/>
          <w:b/>
          <w:szCs w:val="19"/>
          <w:lang w:eastAsia="pl-PL"/>
        </w:rPr>
        <w:t>2</w:t>
      </w:r>
      <w:r w:rsidR="00A700B6" w:rsidRPr="00A70D1B">
        <w:rPr>
          <w:rFonts w:eastAsia="Times New Roman" w:cs="Times New Roman"/>
          <w:b/>
          <w:szCs w:val="19"/>
          <w:lang w:eastAsia="pl-PL"/>
        </w:rPr>
        <w:t> </w:t>
      </w:r>
      <w:r w:rsidR="00C46375" w:rsidRPr="00A70D1B">
        <w:rPr>
          <w:rFonts w:eastAsia="Times New Roman" w:cs="Times New Roman"/>
          <w:b/>
          <w:szCs w:val="19"/>
          <w:lang w:eastAsia="pl-PL"/>
        </w:rPr>
        <w:t>kwartale</w:t>
      </w:r>
      <w:r w:rsidR="00A700B6" w:rsidRPr="00A70D1B">
        <w:rPr>
          <w:rFonts w:eastAsia="Times New Roman" w:cs="Times New Roman"/>
          <w:b/>
          <w:szCs w:val="19"/>
          <w:lang w:eastAsia="pl-PL"/>
        </w:rPr>
        <w:t> </w:t>
      </w:r>
      <w:r w:rsidR="00C46375" w:rsidRPr="00A70D1B">
        <w:rPr>
          <w:rFonts w:eastAsia="Times New Roman" w:cs="Times New Roman"/>
          <w:b/>
          <w:szCs w:val="19"/>
          <w:lang w:eastAsia="pl-PL"/>
        </w:rPr>
        <w:t>202</w:t>
      </w:r>
      <w:r w:rsidR="00AF731A" w:rsidRPr="00A70D1B">
        <w:rPr>
          <w:rFonts w:eastAsia="Times New Roman" w:cs="Times New Roman"/>
          <w:b/>
          <w:szCs w:val="19"/>
          <w:lang w:eastAsia="pl-PL"/>
        </w:rPr>
        <w:t>4</w:t>
      </w:r>
      <w:r w:rsidR="00C46375" w:rsidRPr="00A70D1B">
        <w:rPr>
          <w:rFonts w:eastAsia="Times New Roman" w:cs="Times New Roman"/>
          <w:b/>
          <w:szCs w:val="19"/>
          <w:lang w:eastAsia="pl-PL"/>
        </w:rPr>
        <w:t xml:space="preserve"> r.</w:t>
      </w:r>
      <w:r w:rsidR="00C3453B" w:rsidRPr="00A70D1B">
        <w:rPr>
          <w:rFonts w:eastAsia="Times New Roman" w:cs="Times New Roman"/>
          <w:b/>
          <w:szCs w:val="19"/>
          <w:lang w:eastAsia="pl-PL"/>
        </w:rPr>
        <w:t xml:space="preserve"> </w:t>
      </w:r>
    </w:p>
    <w:p w14:paraId="1CAE8737" w14:textId="66654886" w:rsidR="007E4E3A" w:rsidRPr="00A70D1B" w:rsidRDefault="007E4E3A" w:rsidP="00F06FFA">
      <w:pPr>
        <w:spacing w:before="240" w:line="288" w:lineRule="auto"/>
        <w:rPr>
          <w:rFonts w:eastAsia="Times New Roman" w:cs="Times New Roman"/>
          <w:szCs w:val="19"/>
          <w:lang w:eastAsia="pl-PL"/>
        </w:rPr>
      </w:pPr>
    </w:p>
    <w:p w14:paraId="7F03679F" w14:textId="77777777" w:rsidR="007E4E3A" w:rsidRPr="00A70D1B" w:rsidRDefault="007E4E3A" w:rsidP="00F06FFA">
      <w:pPr>
        <w:spacing w:before="240" w:line="288" w:lineRule="auto"/>
        <w:rPr>
          <w:rFonts w:eastAsia="Times New Roman" w:cs="Times New Roman"/>
          <w:szCs w:val="19"/>
          <w:lang w:eastAsia="pl-PL"/>
        </w:rPr>
      </w:pPr>
    </w:p>
    <w:p w14:paraId="014B618F" w14:textId="77777777" w:rsidR="007E4E3A" w:rsidRPr="00A70D1B" w:rsidRDefault="007E4E3A" w:rsidP="00F06FFA">
      <w:pPr>
        <w:spacing w:before="240" w:line="288" w:lineRule="auto"/>
        <w:rPr>
          <w:rFonts w:eastAsia="Times New Roman" w:cs="Times New Roman"/>
          <w:szCs w:val="19"/>
          <w:lang w:eastAsia="pl-PL"/>
        </w:rPr>
      </w:pPr>
    </w:p>
    <w:p w14:paraId="0F5B029D" w14:textId="77777777" w:rsidR="007E4E3A" w:rsidRPr="00A70D1B" w:rsidRDefault="007E4E3A" w:rsidP="00F06FFA">
      <w:pPr>
        <w:spacing w:before="240" w:line="288" w:lineRule="auto"/>
        <w:rPr>
          <w:rFonts w:eastAsia="Times New Roman" w:cs="Times New Roman"/>
          <w:szCs w:val="19"/>
          <w:lang w:eastAsia="pl-PL"/>
        </w:rPr>
      </w:pPr>
    </w:p>
    <w:p w14:paraId="14E5567D" w14:textId="77777777" w:rsidR="007E4E3A" w:rsidRPr="00A70D1B" w:rsidRDefault="007E4E3A" w:rsidP="00F06FFA">
      <w:pPr>
        <w:spacing w:before="240" w:line="288" w:lineRule="auto"/>
        <w:rPr>
          <w:rFonts w:eastAsia="Times New Roman" w:cs="Times New Roman"/>
          <w:szCs w:val="19"/>
          <w:lang w:eastAsia="pl-PL"/>
        </w:rPr>
      </w:pPr>
    </w:p>
    <w:p w14:paraId="04763B61" w14:textId="77777777" w:rsidR="007E4E3A" w:rsidRPr="00A70D1B" w:rsidRDefault="007E4E3A" w:rsidP="00F06FFA">
      <w:pPr>
        <w:spacing w:before="240" w:line="288" w:lineRule="auto"/>
        <w:rPr>
          <w:rFonts w:eastAsia="Times New Roman" w:cs="Times New Roman"/>
          <w:szCs w:val="19"/>
          <w:lang w:eastAsia="pl-PL"/>
        </w:rPr>
      </w:pPr>
    </w:p>
    <w:p w14:paraId="5DE44DF5" w14:textId="77777777" w:rsidR="0022643B" w:rsidRPr="00A70D1B" w:rsidRDefault="0022643B" w:rsidP="00F06FFA">
      <w:pPr>
        <w:spacing w:before="240" w:line="288" w:lineRule="auto"/>
        <w:rPr>
          <w:rFonts w:eastAsia="Times New Roman" w:cs="Times New Roman"/>
          <w:szCs w:val="19"/>
          <w:lang w:eastAsia="pl-PL"/>
        </w:rPr>
      </w:pPr>
    </w:p>
    <w:p w14:paraId="04EE7549" w14:textId="023BF626" w:rsidR="003E217F" w:rsidRPr="00A70D1B" w:rsidRDefault="003E217F" w:rsidP="0022643B">
      <w:pPr>
        <w:spacing w:before="0" w:line="288" w:lineRule="auto"/>
        <w:rPr>
          <w:rFonts w:eastAsia="Times New Roman" w:cs="Times New Roman"/>
          <w:szCs w:val="19"/>
          <w:lang w:eastAsia="pl-PL"/>
        </w:rPr>
      </w:pPr>
      <w:r w:rsidRPr="00A70D1B">
        <w:rPr>
          <w:rFonts w:eastAsia="Times New Roman" w:cs="Times New Roman"/>
          <w:szCs w:val="19"/>
          <w:lang w:eastAsia="pl-PL"/>
        </w:rPr>
        <w:t>Współczynnik aktywności zawodowej</w:t>
      </w:r>
      <w:r w:rsidRPr="00A70D1B" w:rsidDel="009A100E">
        <w:rPr>
          <w:rFonts w:eastAsia="Times New Roman" w:cs="Times New Roman"/>
          <w:szCs w:val="19"/>
          <w:lang w:eastAsia="pl-PL"/>
        </w:rPr>
        <w:t xml:space="preserve"> </w:t>
      </w:r>
      <w:r w:rsidRPr="00A70D1B">
        <w:rPr>
          <w:rFonts w:eastAsia="Times New Roman" w:cs="Times New Roman"/>
          <w:szCs w:val="19"/>
          <w:lang w:eastAsia="pl-PL"/>
        </w:rPr>
        <w:t xml:space="preserve">osób w wieku 15-89 lat w </w:t>
      </w:r>
      <w:r w:rsidR="0022643B" w:rsidRPr="00A70D1B">
        <w:rPr>
          <w:rFonts w:eastAsia="Times New Roman" w:cs="Times New Roman"/>
          <w:szCs w:val="19"/>
          <w:lang w:eastAsia="pl-PL"/>
        </w:rPr>
        <w:t>2</w:t>
      </w:r>
      <w:r w:rsidRPr="00A70D1B">
        <w:rPr>
          <w:rFonts w:eastAsia="Times New Roman" w:cs="Times New Roman"/>
          <w:szCs w:val="19"/>
          <w:lang w:eastAsia="pl-PL"/>
        </w:rPr>
        <w:t xml:space="preserve"> kwartale 202</w:t>
      </w:r>
      <w:r w:rsidR="00B92EAF" w:rsidRPr="00A70D1B">
        <w:rPr>
          <w:rFonts w:eastAsia="Times New Roman" w:cs="Times New Roman"/>
          <w:szCs w:val="19"/>
          <w:lang w:eastAsia="pl-PL"/>
        </w:rPr>
        <w:t>4</w:t>
      </w:r>
      <w:r w:rsidRPr="00A70D1B">
        <w:rPr>
          <w:rFonts w:eastAsia="Times New Roman" w:cs="Times New Roman"/>
          <w:szCs w:val="19"/>
          <w:lang w:eastAsia="pl-PL"/>
        </w:rPr>
        <w:t xml:space="preserve"> r. był wyższy wśród mężczyzn i wyniósł 6</w:t>
      </w:r>
      <w:r w:rsidR="006E38BB" w:rsidRPr="00A70D1B">
        <w:rPr>
          <w:rFonts w:eastAsia="Times New Roman" w:cs="Times New Roman"/>
          <w:szCs w:val="19"/>
          <w:lang w:eastAsia="pl-PL"/>
        </w:rPr>
        <w:t>5,</w:t>
      </w:r>
      <w:r w:rsidR="0022643B" w:rsidRPr="00A70D1B">
        <w:rPr>
          <w:rFonts w:eastAsia="Times New Roman" w:cs="Times New Roman"/>
          <w:szCs w:val="19"/>
          <w:lang w:eastAsia="pl-PL"/>
        </w:rPr>
        <w:t>5</w:t>
      </w:r>
      <w:r w:rsidRPr="00A70D1B">
        <w:rPr>
          <w:rFonts w:eastAsia="Times New Roman" w:cs="Times New Roman"/>
          <w:szCs w:val="19"/>
          <w:lang w:eastAsia="pl-PL"/>
        </w:rPr>
        <w:t>%, w populacji kobiet kształtował się na poziomie 5</w:t>
      </w:r>
      <w:r w:rsidR="006E38BB" w:rsidRPr="00A70D1B">
        <w:rPr>
          <w:rFonts w:eastAsia="Times New Roman" w:cs="Times New Roman"/>
          <w:szCs w:val="19"/>
          <w:lang w:eastAsia="pl-PL"/>
        </w:rPr>
        <w:t>1,</w:t>
      </w:r>
      <w:r w:rsidR="0022643B" w:rsidRPr="00A70D1B">
        <w:rPr>
          <w:rFonts w:eastAsia="Times New Roman" w:cs="Times New Roman"/>
          <w:szCs w:val="19"/>
          <w:lang w:eastAsia="pl-PL"/>
        </w:rPr>
        <w:t>5</w:t>
      </w:r>
      <w:r w:rsidRPr="00A70D1B">
        <w:rPr>
          <w:rFonts w:eastAsia="Times New Roman" w:cs="Times New Roman"/>
          <w:szCs w:val="19"/>
          <w:lang w:eastAsia="pl-PL"/>
        </w:rPr>
        <w:t>% (odpowiednie wartości dla osób w wieku produkcyjnym</w:t>
      </w:r>
      <w:r w:rsidRPr="00A70D1B">
        <w:rPr>
          <w:rStyle w:val="Odwoanieprzypisudolnego"/>
          <w:rFonts w:eastAsia="Times New Roman" w:cs="Times New Roman"/>
          <w:szCs w:val="19"/>
          <w:lang w:eastAsia="pl-PL"/>
        </w:rPr>
        <w:footnoteReference w:id="3"/>
      </w:r>
      <w:r w:rsidRPr="00A70D1B">
        <w:rPr>
          <w:rFonts w:eastAsia="Times New Roman" w:cs="Times New Roman"/>
          <w:szCs w:val="19"/>
          <w:lang w:eastAsia="pl-PL"/>
        </w:rPr>
        <w:t xml:space="preserve"> to 84,</w:t>
      </w:r>
      <w:r w:rsidR="0022643B" w:rsidRPr="00A70D1B">
        <w:rPr>
          <w:rFonts w:eastAsia="Times New Roman" w:cs="Times New Roman"/>
          <w:szCs w:val="19"/>
          <w:lang w:eastAsia="pl-PL"/>
        </w:rPr>
        <w:t>0</w:t>
      </w:r>
      <w:r w:rsidRPr="00A70D1B">
        <w:rPr>
          <w:rFonts w:eastAsia="Times New Roman" w:cs="Times New Roman"/>
          <w:szCs w:val="19"/>
          <w:lang w:eastAsia="pl-PL"/>
        </w:rPr>
        <w:t>% oraz 7</w:t>
      </w:r>
      <w:r w:rsidR="006E38BB" w:rsidRPr="00A70D1B">
        <w:rPr>
          <w:rFonts w:eastAsia="Times New Roman" w:cs="Times New Roman"/>
          <w:szCs w:val="19"/>
          <w:lang w:eastAsia="pl-PL"/>
        </w:rPr>
        <w:t>8,</w:t>
      </w:r>
      <w:r w:rsidR="0022643B" w:rsidRPr="00A70D1B">
        <w:rPr>
          <w:rFonts w:eastAsia="Times New Roman" w:cs="Times New Roman"/>
          <w:szCs w:val="19"/>
          <w:lang w:eastAsia="pl-PL"/>
        </w:rPr>
        <w:t>1</w:t>
      </w:r>
      <w:r w:rsidRPr="00A70D1B">
        <w:rPr>
          <w:rFonts w:eastAsia="Times New Roman" w:cs="Times New Roman"/>
          <w:szCs w:val="19"/>
          <w:lang w:eastAsia="pl-PL"/>
        </w:rPr>
        <w:t xml:space="preserve">%). </w:t>
      </w:r>
      <w:r w:rsidR="00AC202C" w:rsidRPr="00A70D1B">
        <w:rPr>
          <w:rFonts w:eastAsia="Times New Roman" w:cs="Times New Roman"/>
          <w:szCs w:val="19"/>
          <w:lang w:eastAsia="pl-PL"/>
        </w:rPr>
        <w:t>Analogiczne wskaźniki dla mieszkańców miast oraz mieszkańców wsi wyniosły odpowiednio: 5</w:t>
      </w:r>
      <w:r w:rsidR="0022643B" w:rsidRPr="00A70D1B">
        <w:rPr>
          <w:rFonts w:eastAsia="Times New Roman" w:cs="Times New Roman"/>
          <w:szCs w:val="19"/>
          <w:lang w:eastAsia="pl-PL"/>
        </w:rPr>
        <w:t>9,1</w:t>
      </w:r>
      <w:r w:rsidR="00AC202C" w:rsidRPr="00A70D1B">
        <w:rPr>
          <w:rFonts w:eastAsia="Times New Roman" w:cs="Times New Roman"/>
          <w:szCs w:val="19"/>
          <w:lang w:eastAsia="pl-PL"/>
        </w:rPr>
        <w:t>% i 57,</w:t>
      </w:r>
      <w:r w:rsidR="0022643B" w:rsidRPr="00A70D1B">
        <w:rPr>
          <w:rFonts w:eastAsia="Times New Roman" w:cs="Times New Roman"/>
          <w:szCs w:val="19"/>
          <w:lang w:eastAsia="pl-PL"/>
        </w:rPr>
        <w:t>0</w:t>
      </w:r>
      <w:r w:rsidR="00AC202C" w:rsidRPr="00A70D1B">
        <w:rPr>
          <w:rFonts w:eastAsia="Times New Roman" w:cs="Times New Roman"/>
          <w:szCs w:val="19"/>
          <w:lang w:eastAsia="pl-PL"/>
        </w:rPr>
        <w:t>% (w wieku produkcyjnym: 83,</w:t>
      </w:r>
      <w:r w:rsidR="0022643B" w:rsidRPr="00A70D1B">
        <w:rPr>
          <w:rFonts w:eastAsia="Times New Roman" w:cs="Times New Roman"/>
          <w:szCs w:val="19"/>
          <w:lang w:eastAsia="pl-PL"/>
        </w:rPr>
        <w:t>7</w:t>
      </w:r>
      <w:r w:rsidR="00AC202C" w:rsidRPr="00A70D1B">
        <w:rPr>
          <w:rFonts w:eastAsia="Times New Roman" w:cs="Times New Roman"/>
          <w:szCs w:val="19"/>
          <w:lang w:eastAsia="pl-PL"/>
        </w:rPr>
        <w:t>% i 7</w:t>
      </w:r>
      <w:r w:rsidR="0022643B" w:rsidRPr="00A70D1B">
        <w:rPr>
          <w:rFonts w:eastAsia="Times New Roman" w:cs="Times New Roman"/>
          <w:szCs w:val="19"/>
          <w:lang w:eastAsia="pl-PL"/>
        </w:rPr>
        <w:t>7,6</w:t>
      </w:r>
      <w:r w:rsidR="00AC202C" w:rsidRPr="00A70D1B">
        <w:rPr>
          <w:rFonts w:eastAsia="Times New Roman" w:cs="Times New Roman"/>
          <w:szCs w:val="19"/>
          <w:lang w:eastAsia="pl-PL"/>
        </w:rPr>
        <w:t>%).</w:t>
      </w:r>
    </w:p>
    <w:p w14:paraId="6930C314" w14:textId="35D5B8DF" w:rsidR="009A1CA1" w:rsidRPr="00A70D1B" w:rsidRDefault="005C3D5A" w:rsidP="006E3978">
      <w:pPr>
        <w:spacing w:before="240" w:line="276" w:lineRule="auto"/>
        <w:ind w:left="992" w:hanging="992"/>
        <w:rPr>
          <w:rFonts w:eastAsia="Times New Roman" w:cs="Times New Roman"/>
          <w:b/>
          <w:szCs w:val="19"/>
          <w:lang w:eastAsia="pl-PL"/>
        </w:rPr>
      </w:pPr>
      <w:r w:rsidRPr="00A70D1B">
        <w:rPr>
          <w:noProof/>
          <w:lang w:eastAsia="pl-PL"/>
        </w:rPr>
        <w:lastRenderedPageBreak/>
        <mc:AlternateContent>
          <mc:Choice Requires="wps">
            <w:drawing>
              <wp:anchor distT="45720" distB="45720" distL="114300" distR="114300" simplePos="0" relativeHeight="251901952" behindDoc="1" locked="0" layoutInCell="1" allowOverlap="1" wp14:anchorId="4D688310" wp14:editId="45C77891">
                <wp:simplePos x="0" y="0"/>
                <wp:positionH relativeFrom="page">
                  <wp:posOffset>5765800</wp:posOffset>
                </wp:positionH>
                <wp:positionV relativeFrom="paragraph">
                  <wp:posOffset>2438400</wp:posOffset>
                </wp:positionV>
                <wp:extent cx="1676400" cy="1390650"/>
                <wp:effectExtent l="0" t="0" r="0" b="0"/>
                <wp:wrapTight wrapText="bothSides">
                  <wp:wrapPolygon edited="0">
                    <wp:start x="736" y="0"/>
                    <wp:lineTo x="736" y="21304"/>
                    <wp:lineTo x="20618" y="21304"/>
                    <wp:lineTo x="20618" y="0"/>
                    <wp:lineTo x="736" y="0"/>
                  </wp:wrapPolygon>
                </wp:wrapTight>
                <wp:docPr id="31" name="Pole tekstowe 2" descr="Wskaźnik opisujący relację liczby osób niepracujących do liczby osób pracujących pozostał na podobnym poziomie w porównaniu z 1 kwartałem 2024 r., ale zwiększył się w odniesieniu do 2 kwartału 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390650"/>
                        </a:xfrm>
                        <a:prstGeom prst="rect">
                          <a:avLst/>
                        </a:prstGeom>
                        <a:noFill/>
                        <a:ln w="9525">
                          <a:noFill/>
                          <a:miter lim="800000"/>
                          <a:headEnd/>
                          <a:tailEnd/>
                        </a:ln>
                      </wps:spPr>
                      <wps:txbx>
                        <w:txbxContent>
                          <w:p w14:paraId="00B50DE2" w14:textId="596656D3" w:rsidR="00830EC6" w:rsidRPr="00EE1C79" w:rsidRDefault="00830EC6" w:rsidP="001C1F42">
                            <w:pPr>
                              <w:pStyle w:val="tekstzboku"/>
                              <w:spacing w:before="0"/>
                            </w:pPr>
                            <w:r w:rsidRPr="00933D71">
                              <w:t xml:space="preserve">Wskaźnik opisujący relację liczby osób niepracujących do liczby osób pracujących </w:t>
                            </w:r>
                            <w:r w:rsidR="00AF08FC">
                              <w:t>pozostał na podobnym poziomie</w:t>
                            </w:r>
                            <w:r>
                              <w:t xml:space="preserve"> </w:t>
                            </w:r>
                            <w:r w:rsidR="005C3D5A">
                              <w:t>w porównaniu z</w:t>
                            </w:r>
                            <w:r w:rsidR="002C0B09">
                              <w:t> </w:t>
                            </w:r>
                            <w:r w:rsidR="005C3D5A">
                              <w:t>1</w:t>
                            </w:r>
                            <w:r w:rsidR="00F17DC1">
                              <w:t> </w:t>
                            </w:r>
                            <w:r w:rsidR="005C3D5A">
                              <w:t>kwartałem 2024 r., ale zwiększył się w odniesieniu do 2 kwartału 2023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88310" id="_x0000_s1028" type="#_x0000_t202" alt="Wskaźnik opisujący relację liczby osób niepracujących do liczby osób pracujących pozostał na podobnym poziomie w porównaniu z 1 kwartałem 2024 r., ale zwiększył się w odniesieniu do 2 kwartału 2023 r." style="position:absolute;left:0;text-align:left;margin-left:454pt;margin-top:192pt;width:132pt;height:109.5pt;z-index:-251414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" filled="f" stroked="f">
                <v:textbox>
                  <w:txbxContent>
                    <w:p w14:paraId="00B50DE2" w14:textId="596656D3" w:rsidR="00830EC6" w:rsidRPr="00EE1C79" w:rsidRDefault="00830EC6" w:rsidP="001C1F42">
                      <w:pPr>
                        <w:pStyle w:val="tekstzboku"/>
                        <w:spacing w:before="0"/>
                      </w:pPr>
                      <w:r w:rsidRPr="00933D71">
                        <w:t xml:space="preserve">Wskaźnik opisujący relację liczby osób niepracujących do liczby osób pracujących </w:t>
                      </w:r>
                      <w:r w:rsidR="00AF08FC">
                        <w:t>pozostał na podobnym poziomie</w:t>
                      </w:r>
                      <w:r>
                        <w:t xml:space="preserve"> </w:t>
                      </w:r>
                      <w:r w:rsidR="005C3D5A">
                        <w:t>w porównaniu z</w:t>
                      </w:r>
                      <w:r w:rsidR="002C0B09">
                        <w:t> </w:t>
                      </w:r>
                      <w:r w:rsidR="005C3D5A">
                        <w:t>1</w:t>
                      </w:r>
                      <w:r w:rsidR="00F17DC1">
                        <w:t> </w:t>
                      </w:r>
                      <w:r w:rsidR="005C3D5A">
                        <w:t>kwartałem 2024 r., ale zwiększył się w odniesieniu do 2 kwartału 2023 r.</w:t>
                      </w:r>
                    </w:p>
                  </w:txbxContent>
                </v:textbox>
                <w10:wrap type="tight" anchorx="page"/>
              </v:shape>
            </w:pict>
          </mc:Fallback>
        </mc:AlternateContent>
      </w:r>
      <w:r w:rsidR="008056E4" w:rsidRPr="00A70D1B">
        <w:rPr>
          <w:rFonts w:eastAsia="Times New Roman" w:cs="Times New Roman"/>
          <w:noProof/>
          <w:szCs w:val="19"/>
          <w:lang w:eastAsia="pl-PL"/>
        </w:rPr>
        <w:drawing>
          <wp:anchor distT="0" distB="0" distL="114300" distR="114300" simplePos="0" relativeHeight="251952128" behindDoc="0" locked="0" layoutInCell="1" allowOverlap="1" wp14:anchorId="648AC50E" wp14:editId="56DF890C">
            <wp:simplePos x="0" y="0"/>
            <wp:positionH relativeFrom="margin">
              <wp:align>left</wp:align>
            </wp:positionH>
            <wp:positionV relativeFrom="paragraph">
              <wp:posOffset>177800</wp:posOffset>
            </wp:positionV>
            <wp:extent cx="4864735" cy="2341245"/>
            <wp:effectExtent l="0" t="0" r="0" b="1905"/>
            <wp:wrapSquare wrapText="bothSides"/>
            <wp:docPr id="33" name="Obraz 33" descr="Wykres prezentuje współczynnik aktywności zawodowej osób w wieku 15-89 lat od 1 kwartału 2021 r. do 2 kwartału 2024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4735" cy="2341245"/>
                    </a:xfrm>
                    <a:prstGeom prst="rect">
                      <a:avLst/>
                    </a:prstGeom>
                    <a:noFill/>
                  </pic:spPr>
                </pic:pic>
              </a:graphicData>
            </a:graphic>
            <wp14:sizeRelH relativeFrom="page">
              <wp14:pctWidth>0</wp14:pctWidth>
            </wp14:sizeRelH>
            <wp14:sizeRelV relativeFrom="page">
              <wp14:pctHeight>0</wp14:pctHeight>
            </wp14:sizeRelV>
          </wp:anchor>
        </w:drawing>
      </w:r>
      <w:r w:rsidR="009A1CA1" w:rsidRPr="00A70D1B">
        <w:rPr>
          <w:rFonts w:eastAsia="Times New Roman" w:cs="Times New Roman"/>
          <w:b/>
          <w:sz w:val="18"/>
          <w:szCs w:val="18"/>
          <w:lang w:eastAsia="pl-PL"/>
        </w:rPr>
        <w:t>Wykres</w:t>
      </w:r>
      <w:r w:rsidR="009A1CA1" w:rsidRPr="00A70D1B">
        <w:rPr>
          <w:rFonts w:eastAsia="Times New Roman" w:cs="Times New Roman"/>
          <w:b/>
          <w:szCs w:val="19"/>
          <w:lang w:eastAsia="pl-PL"/>
        </w:rPr>
        <w:t xml:space="preserve"> </w:t>
      </w:r>
      <w:r w:rsidR="00E23488" w:rsidRPr="00A70D1B">
        <w:rPr>
          <w:rFonts w:eastAsia="Times New Roman" w:cs="Times New Roman"/>
          <w:b/>
          <w:szCs w:val="19"/>
          <w:lang w:eastAsia="pl-PL"/>
        </w:rPr>
        <w:t>2</w:t>
      </w:r>
      <w:r w:rsidR="009A1CA1" w:rsidRPr="00A70D1B">
        <w:rPr>
          <w:rFonts w:eastAsia="Times New Roman" w:cs="Times New Roman"/>
          <w:b/>
          <w:szCs w:val="19"/>
          <w:lang w:eastAsia="pl-PL"/>
        </w:rPr>
        <w:t>.</w:t>
      </w:r>
      <w:r w:rsidR="009A1CA1" w:rsidRPr="00A70D1B">
        <w:rPr>
          <w:rFonts w:eastAsia="Times New Roman" w:cs="Times New Roman"/>
          <w:b/>
          <w:szCs w:val="19"/>
          <w:lang w:eastAsia="pl-PL"/>
        </w:rPr>
        <w:tab/>
      </w:r>
      <w:r w:rsidR="009A1CA1" w:rsidRPr="00A70D1B">
        <w:rPr>
          <w:b/>
          <w:shd w:val="clear" w:color="auto" w:fill="FFFFFF"/>
        </w:rPr>
        <w:t>Współczynnik</w:t>
      </w:r>
      <w:r w:rsidR="009A1CA1" w:rsidRPr="00A70D1B">
        <w:rPr>
          <w:rFonts w:eastAsia="Times New Roman" w:cs="Times New Roman"/>
          <w:b/>
          <w:szCs w:val="19"/>
          <w:lang w:eastAsia="pl-PL"/>
        </w:rPr>
        <w:t xml:space="preserve"> aktywności zawodowej osób w wieku 15-89 lat</w:t>
      </w:r>
    </w:p>
    <w:p w14:paraId="3CE23719" w14:textId="789BFF18" w:rsidR="001C1F42" w:rsidRPr="00A70D1B" w:rsidRDefault="001C1F42" w:rsidP="00104F2C">
      <w:pPr>
        <w:spacing w:before="240" w:after="0" w:line="288" w:lineRule="auto"/>
        <w:rPr>
          <w:rFonts w:eastAsia="Times New Roman" w:cs="Times New Roman"/>
          <w:szCs w:val="19"/>
          <w:lang w:eastAsia="pl-PL"/>
        </w:rPr>
      </w:pPr>
      <w:r w:rsidRPr="00A70D1B">
        <w:rPr>
          <w:rFonts w:eastAsia="Times New Roman" w:cs="Times New Roman"/>
          <w:szCs w:val="19"/>
          <w:lang w:eastAsia="pl-PL"/>
        </w:rPr>
        <w:t xml:space="preserve">Wśród osób w wieku 15-89 lat, relacja liczby </w:t>
      </w:r>
      <w:r w:rsidR="00020141" w:rsidRPr="00A70D1B">
        <w:rPr>
          <w:rFonts w:eastAsia="Times New Roman" w:cs="Times New Roman"/>
          <w:szCs w:val="19"/>
          <w:lang w:eastAsia="pl-PL"/>
        </w:rPr>
        <w:t xml:space="preserve">osób </w:t>
      </w:r>
      <w:r w:rsidRPr="00A70D1B">
        <w:rPr>
          <w:rFonts w:eastAsia="Times New Roman" w:cs="Times New Roman"/>
          <w:szCs w:val="19"/>
          <w:lang w:eastAsia="pl-PL"/>
        </w:rPr>
        <w:t xml:space="preserve">niepracujących (bezrobotnych lub biernych zawodowo) </w:t>
      </w:r>
      <w:r w:rsidR="0053111F" w:rsidRPr="00A70D1B">
        <w:rPr>
          <w:rFonts w:eastAsia="Times New Roman" w:cs="Times New Roman"/>
          <w:szCs w:val="19"/>
          <w:lang w:eastAsia="pl-PL"/>
        </w:rPr>
        <w:t xml:space="preserve">do pracujących </w:t>
      </w:r>
      <w:r w:rsidR="00E40CE0" w:rsidRPr="00A70D1B">
        <w:rPr>
          <w:rFonts w:eastAsia="Times New Roman" w:cs="Times New Roman"/>
          <w:szCs w:val="19"/>
          <w:lang w:eastAsia="pl-PL"/>
        </w:rPr>
        <w:t xml:space="preserve">pozostała na podobnym poziomie </w:t>
      </w:r>
      <w:r w:rsidRPr="00A70D1B">
        <w:rPr>
          <w:rFonts w:eastAsia="Times New Roman" w:cs="Times New Roman"/>
          <w:szCs w:val="19"/>
          <w:lang w:eastAsia="pl-PL"/>
        </w:rPr>
        <w:t xml:space="preserve">w stosunku do poprzedniego kwartału, </w:t>
      </w:r>
      <w:r w:rsidR="005C3D5A" w:rsidRPr="00A70D1B">
        <w:rPr>
          <w:rFonts w:eastAsia="Times New Roman" w:cs="Times New Roman"/>
          <w:szCs w:val="19"/>
          <w:lang w:eastAsia="pl-PL"/>
        </w:rPr>
        <w:t xml:space="preserve">ale zwiększyła się </w:t>
      </w:r>
      <w:r w:rsidRPr="00A70D1B">
        <w:rPr>
          <w:rFonts w:eastAsia="Times New Roman" w:cs="Times New Roman"/>
          <w:szCs w:val="19"/>
          <w:lang w:eastAsia="pl-PL"/>
        </w:rPr>
        <w:t>w</w:t>
      </w:r>
      <w:r w:rsidR="008D702C" w:rsidRPr="00A70D1B">
        <w:rPr>
          <w:rFonts w:eastAsia="Times New Roman" w:cs="Times New Roman"/>
          <w:szCs w:val="19"/>
          <w:lang w:eastAsia="pl-PL"/>
        </w:rPr>
        <w:t> </w:t>
      </w:r>
      <w:r w:rsidRPr="00A70D1B">
        <w:rPr>
          <w:rFonts w:eastAsia="Times New Roman" w:cs="Times New Roman"/>
          <w:szCs w:val="19"/>
          <w:lang w:eastAsia="pl-PL"/>
        </w:rPr>
        <w:t>porównaniu z </w:t>
      </w:r>
      <w:r w:rsidR="005C3D5A" w:rsidRPr="00A70D1B">
        <w:rPr>
          <w:rFonts w:eastAsia="Times New Roman" w:cs="Times New Roman"/>
          <w:szCs w:val="19"/>
          <w:lang w:eastAsia="pl-PL"/>
        </w:rPr>
        <w:t>2</w:t>
      </w:r>
      <w:r w:rsidRPr="00A70D1B">
        <w:rPr>
          <w:rFonts w:eastAsia="Times New Roman" w:cs="Times New Roman"/>
          <w:szCs w:val="19"/>
          <w:lang w:eastAsia="pl-PL"/>
        </w:rPr>
        <w:t> kwartałem 202</w:t>
      </w:r>
      <w:r w:rsidR="005B480F" w:rsidRPr="00A70D1B">
        <w:rPr>
          <w:rFonts w:eastAsia="Times New Roman" w:cs="Times New Roman"/>
          <w:szCs w:val="19"/>
          <w:lang w:eastAsia="pl-PL"/>
        </w:rPr>
        <w:t xml:space="preserve">3 </w:t>
      </w:r>
      <w:r w:rsidRPr="00A70D1B">
        <w:rPr>
          <w:rFonts w:eastAsia="Times New Roman" w:cs="Times New Roman"/>
          <w:szCs w:val="19"/>
          <w:lang w:eastAsia="pl-PL"/>
        </w:rPr>
        <w:t xml:space="preserve">r. </w:t>
      </w:r>
      <w:r w:rsidRPr="00A70D1B">
        <w:rPr>
          <w:noProof/>
          <w:lang w:eastAsia="pl-PL"/>
        </w:rPr>
        <w:t xml:space="preserve">W </w:t>
      </w:r>
      <w:r w:rsidR="005C3D5A" w:rsidRPr="00A70D1B">
        <w:rPr>
          <w:noProof/>
          <w:lang w:eastAsia="pl-PL"/>
        </w:rPr>
        <w:t>2</w:t>
      </w:r>
      <w:r w:rsidRPr="00A70D1B">
        <w:rPr>
          <w:noProof/>
          <w:lang w:eastAsia="pl-PL"/>
        </w:rPr>
        <w:t xml:space="preserve"> kwartale 202</w:t>
      </w:r>
      <w:r w:rsidR="005B480F" w:rsidRPr="00A70D1B">
        <w:rPr>
          <w:noProof/>
          <w:lang w:eastAsia="pl-PL"/>
        </w:rPr>
        <w:t>4</w:t>
      </w:r>
      <w:r w:rsidRPr="00A70D1B">
        <w:rPr>
          <w:noProof/>
          <w:lang w:eastAsia="pl-PL"/>
        </w:rPr>
        <w:t xml:space="preserve"> r. na 1 000 osób pracujących przypadał</w:t>
      </w:r>
      <w:r w:rsidR="005C3D5A" w:rsidRPr="00A70D1B">
        <w:rPr>
          <w:noProof/>
          <w:lang w:eastAsia="pl-PL"/>
        </w:rPr>
        <w:t>y</w:t>
      </w:r>
      <w:r w:rsidRPr="00A70D1B">
        <w:rPr>
          <w:noProof/>
          <w:lang w:eastAsia="pl-PL"/>
        </w:rPr>
        <w:t xml:space="preserve"> 7</w:t>
      </w:r>
      <w:r w:rsidR="005B480F" w:rsidRPr="00A70D1B">
        <w:rPr>
          <w:noProof/>
          <w:lang w:eastAsia="pl-PL"/>
        </w:rPr>
        <w:t>6</w:t>
      </w:r>
      <w:r w:rsidR="005C3D5A" w:rsidRPr="00A70D1B">
        <w:rPr>
          <w:noProof/>
          <w:lang w:eastAsia="pl-PL"/>
        </w:rPr>
        <w:t>4</w:t>
      </w:r>
      <w:r w:rsidRPr="00A70D1B">
        <w:rPr>
          <w:noProof/>
          <w:lang w:eastAsia="pl-PL"/>
        </w:rPr>
        <w:t> os</w:t>
      </w:r>
      <w:r w:rsidR="005C3D5A" w:rsidRPr="00A70D1B">
        <w:rPr>
          <w:noProof/>
          <w:lang w:eastAsia="pl-PL"/>
        </w:rPr>
        <w:t>oby</w:t>
      </w:r>
      <w:r w:rsidRPr="00A70D1B">
        <w:rPr>
          <w:noProof/>
          <w:lang w:eastAsia="pl-PL"/>
        </w:rPr>
        <w:t xml:space="preserve"> bezrobotn</w:t>
      </w:r>
      <w:r w:rsidR="005C3D5A" w:rsidRPr="00A70D1B">
        <w:rPr>
          <w:noProof/>
          <w:lang w:eastAsia="pl-PL"/>
        </w:rPr>
        <w:t>e</w:t>
      </w:r>
      <w:r w:rsidRPr="00A70D1B">
        <w:rPr>
          <w:noProof/>
          <w:lang w:eastAsia="pl-PL"/>
        </w:rPr>
        <w:t xml:space="preserve"> lub biern</w:t>
      </w:r>
      <w:r w:rsidR="005C3D5A" w:rsidRPr="00A70D1B">
        <w:rPr>
          <w:noProof/>
          <w:lang w:eastAsia="pl-PL"/>
        </w:rPr>
        <w:t>e</w:t>
      </w:r>
      <w:r w:rsidRPr="00A70D1B">
        <w:rPr>
          <w:noProof/>
          <w:lang w:eastAsia="pl-PL"/>
        </w:rPr>
        <w:t xml:space="preserve"> zawodowo w</w:t>
      </w:r>
      <w:r w:rsidR="00B704FE" w:rsidRPr="00A70D1B">
        <w:rPr>
          <w:noProof/>
          <w:lang w:eastAsia="pl-PL"/>
        </w:rPr>
        <w:t> </w:t>
      </w:r>
      <w:r w:rsidRPr="00A70D1B">
        <w:rPr>
          <w:noProof/>
          <w:lang w:eastAsia="pl-PL"/>
        </w:rPr>
        <w:t xml:space="preserve">wieku </w:t>
      </w:r>
      <w:r w:rsidR="006947DC" w:rsidRPr="00A70D1B">
        <w:rPr>
          <w:noProof/>
          <w:lang w:eastAsia="pl-PL"/>
        </w:rPr>
        <w:br/>
      </w:r>
      <w:r w:rsidRPr="00A70D1B">
        <w:rPr>
          <w:noProof/>
          <w:lang w:eastAsia="pl-PL"/>
        </w:rPr>
        <w:t>15-89 lat (w </w:t>
      </w:r>
      <w:r w:rsidR="005C3D5A" w:rsidRPr="00A70D1B">
        <w:rPr>
          <w:noProof/>
          <w:lang w:eastAsia="pl-PL"/>
        </w:rPr>
        <w:t>1</w:t>
      </w:r>
      <w:r w:rsidRPr="00A70D1B">
        <w:rPr>
          <w:noProof/>
          <w:lang w:eastAsia="pl-PL"/>
        </w:rPr>
        <w:t> kwartale 202</w:t>
      </w:r>
      <w:r w:rsidR="005C3D5A" w:rsidRPr="00A70D1B">
        <w:rPr>
          <w:noProof/>
          <w:lang w:eastAsia="pl-PL"/>
        </w:rPr>
        <w:t>4</w:t>
      </w:r>
      <w:r w:rsidR="008D702C" w:rsidRPr="00A70D1B">
        <w:rPr>
          <w:noProof/>
          <w:lang w:eastAsia="pl-PL"/>
        </w:rPr>
        <w:t> </w:t>
      </w:r>
      <w:r w:rsidRPr="00A70D1B">
        <w:rPr>
          <w:noProof/>
          <w:lang w:eastAsia="pl-PL"/>
        </w:rPr>
        <w:t xml:space="preserve">r. </w:t>
      </w:r>
      <w:r w:rsidRPr="00A70D1B">
        <w:rPr>
          <w:rFonts w:eastAsia="Times New Roman" w:cs="Times New Roman"/>
          <w:szCs w:val="19"/>
          <w:lang w:eastAsia="pl-PL"/>
        </w:rPr>
        <w:t>–</w:t>
      </w:r>
      <w:r w:rsidRPr="00A70D1B">
        <w:rPr>
          <w:noProof/>
          <w:lang w:eastAsia="pl-PL"/>
        </w:rPr>
        <w:t xml:space="preserve"> 7</w:t>
      </w:r>
      <w:r w:rsidR="005C3D5A" w:rsidRPr="00A70D1B">
        <w:rPr>
          <w:noProof/>
          <w:lang w:eastAsia="pl-PL"/>
        </w:rPr>
        <w:t>65</w:t>
      </w:r>
      <w:r w:rsidRPr="00A70D1B">
        <w:rPr>
          <w:noProof/>
          <w:lang w:eastAsia="pl-PL"/>
        </w:rPr>
        <w:t xml:space="preserve"> os</w:t>
      </w:r>
      <w:r w:rsidR="005C3D5A" w:rsidRPr="00A70D1B">
        <w:rPr>
          <w:noProof/>
          <w:lang w:eastAsia="pl-PL"/>
        </w:rPr>
        <w:t>ób</w:t>
      </w:r>
      <w:r w:rsidRPr="00A70D1B">
        <w:rPr>
          <w:noProof/>
          <w:lang w:eastAsia="pl-PL"/>
        </w:rPr>
        <w:t>, a w </w:t>
      </w:r>
      <w:r w:rsidR="005C3D5A" w:rsidRPr="00A70D1B">
        <w:rPr>
          <w:noProof/>
          <w:lang w:eastAsia="pl-PL"/>
        </w:rPr>
        <w:t>2</w:t>
      </w:r>
      <w:r w:rsidRPr="00A70D1B">
        <w:rPr>
          <w:noProof/>
          <w:lang w:eastAsia="pl-PL"/>
        </w:rPr>
        <w:t xml:space="preserve"> kwartale </w:t>
      </w:r>
      <w:r w:rsidR="0096206A" w:rsidRPr="00A70D1B">
        <w:rPr>
          <w:noProof/>
          <w:lang w:eastAsia="pl-PL"/>
        </w:rPr>
        <w:t>202</w:t>
      </w:r>
      <w:r w:rsidR="005B480F" w:rsidRPr="00A70D1B">
        <w:rPr>
          <w:noProof/>
          <w:lang w:eastAsia="pl-PL"/>
        </w:rPr>
        <w:t>3</w:t>
      </w:r>
      <w:r w:rsidR="0096206A" w:rsidRPr="00A70D1B">
        <w:rPr>
          <w:noProof/>
          <w:lang w:eastAsia="pl-PL"/>
        </w:rPr>
        <w:t xml:space="preserve"> </w:t>
      </w:r>
      <w:r w:rsidRPr="00A70D1B">
        <w:rPr>
          <w:noProof/>
          <w:lang w:eastAsia="pl-PL"/>
        </w:rPr>
        <w:t xml:space="preserve">r. </w:t>
      </w:r>
      <w:r w:rsidRPr="00A70D1B">
        <w:rPr>
          <w:rFonts w:eastAsia="Times New Roman" w:cs="Times New Roman"/>
          <w:szCs w:val="19"/>
          <w:lang w:eastAsia="pl-PL"/>
        </w:rPr>
        <w:t xml:space="preserve">– </w:t>
      </w:r>
      <w:r w:rsidRPr="00A70D1B">
        <w:rPr>
          <w:noProof/>
          <w:lang w:eastAsia="pl-PL"/>
        </w:rPr>
        <w:t>7</w:t>
      </w:r>
      <w:r w:rsidR="0096206A" w:rsidRPr="00A70D1B">
        <w:rPr>
          <w:noProof/>
          <w:lang w:eastAsia="pl-PL"/>
        </w:rPr>
        <w:t>5</w:t>
      </w:r>
      <w:r w:rsidR="005C3D5A" w:rsidRPr="00A70D1B">
        <w:rPr>
          <w:noProof/>
          <w:lang w:eastAsia="pl-PL"/>
        </w:rPr>
        <w:t>5</w:t>
      </w:r>
      <w:r w:rsidRPr="00A70D1B">
        <w:rPr>
          <w:noProof/>
          <w:lang w:eastAsia="pl-PL"/>
        </w:rPr>
        <w:t> o</w:t>
      </w:r>
      <w:r w:rsidR="005B480F" w:rsidRPr="00A70D1B">
        <w:rPr>
          <w:noProof/>
          <w:lang w:eastAsia="pl-PL"/>
        </w:rPr>
        <w:t>s</w:t>
      </w:r>
      <w:r w:rsidR="005C3D5A" w:rsidRPr="00A70D1B">
        <w:rPr>
          <w:noProof/>
          <w:lang w:eastAsia="pl-PL"/>
        </w:rPr>
        <w:t>ób</w:t>
      </w:r>
      <w:r w:rsidRPr="00A70D1B">
        <w:rPr>
          <w:noProof/>
          <w:lang w:eastAsia="pl-PL"/>
        </w:rPr>
        <w:t>).</w:t>
      </w:r>
    </w:p>
    <w:p w14:paraId="4483245A" w14:textId="48A62480" w:rsidR="0030711C" w:rsidRPr="00A70D1B" w:rsidRDefault="0030711C" w:rsidP="00FD2962">
      <w:pPr>
        <w:spacing w:after="0" w:line="240" w:lineRule="auto"/>
        <w:rPr>
          <w:rFonts w:eastAsia="Times New Roman" w:cs="Times New Roman"/>
          <w:szCs w:val="19"/>
          <w:lang w:eastAsia="pl-PL"/>
        </w:rPr>
      </w:pPr>
    </w:p>
    <w:p w14:paraId="76165DCB" w14:textId="47146400" w:rsidR="00924E85" w:rsidRPr="00A70D1B" w:rsidRDefault="00EE7ACF" w:rsidP="00BA445A">
      <w:pPr>
        <w:pStyle w:val="Lead"/>
        <w:spacing w:before="120" w:after="0"/>
        <w:ind w:left="3686"/>
      </w:pPr>
      <w:r w:rsidRPr="00A70D1B">
        <w:rPr>
          <w:color w:val="001D77"/>
        </w:rPr>
        <mc:AlternateContent>
          <mc:Choice Requires="wps">
            <w:drawing>
              <wp:anchor distT="45720" distB="45720" distL="114300" distR="114300" simplePos="0" relativeHeight="251759616" behindDoc="0" locked="0" layoutInCell="1" allowOverlap="1" wp14:anchorId="73F6F8B2" wp14:editId="346E7216">
                <wp:simplePos x="0" y="0"/>
                <wp:positionH relativeFrom="margin">
                  <wp:posOffset>-114300</wp:posOffset>
                </wp:positionH>
                <wp:positionV relativeFrom="paragraph">
                  <wp:posOffset>6350</wp:posOffset>
                </wp:positionV>
                <wp:extent cx="2238375" cy="1200150"/>
                <wp:effectExtent l="0" t="0" r="9525" b="0"/>
                <wp:wrapSquare wrapText="bothSides"/>
                <wp:docPr id="15" name="Pole tekstowe 2" descr="Wskaźnik zatrudnienia osób w wieku 15-89 lat - 56,7%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200150"/>
                        </a:xfrm>
                        <a:prstGeom prst="roundRect">
                          <a:avLst/>
                        </a:prstGeom>
                        <a:solidFill>
                          <a:srgbClr val="001D77"/>
                        </a:solidFill>
                        <a:ln w="9525">
                          <a:noFill/>
                          <a:miter lim="800000"/>
                          <a:headEnd/>
                          <a:tailEnd/>
                        </a:ln>
                      </wps:spPr>
                      <wps:txbx>
                        <w:txbxContent>
                          <w:p w14:paraId="2153BE20" w14:textId="225710E8" w:rsidR="00830EC6" w:rsidRPr="000E6274" w:rsidRDefault="00830EC6" w:rsidP="00577E10">
                            <w:pPr>
                              <w:spacing w:after="0" w:line="240" w:lineRule="auto"/>
                              <w:jc w:val="center"/>
                              <w:rPr>
                                <w:rFonts w:ascii="Fira Sans SemiBold" w:hAnsi="Fira Sans SemiBold"/>
                                <w:color w:val="FFFFFF" w:themeColor="background1"/>
                                <w:sz w:val="72"/>
                              </w:rPr>
                            </w:pPr>
                            <w:r w:rsidRPr="006A3645">
                              <w:rPr>
                                <w:rFonts w:ascii="Fira Sans SemiBold" w:hAnsi="Fira Sans SemiBold"/>
                                <w:color w:val="FFFFFF" w:themeColor="background1"/>
                                <w:sz w:val="72"/>
                                <w:szCs w:val="72"/>
                              </w:rPr>
                              <w:t>5</w:t>
                            </w:r>
                            <w:r w:rsidR="00B75491">
                              <w:rPr>
                                <w:rFonts w:ascii="Fira Sans SemiBold" w:hAnsi="Fira Sans SemiBold"/>
                                <w:color w:val="FFFFFF" w:themeColor="background1"/>
                                <w:sz w:val="72"/>
                                <w:szCs w:val="72"/>
                              </w:rPr>
                              <w:t>6,</w:t>
                            </w:r>
                            <w:r w:rsidR="008056E4">
                              <w:rPr>
                                <w:rFonts w:ascii="Fira Sans SemiBold" w:hAnsi="Fira Sans SemiBold"/>
                                <w:color w:val="FFFFFF" w:themeColor="background1"/>
                                <w:sz w:val="72"/>
                                <w:szCs w:val="72"/>
                              </w:rPr>
                              <w:t>7</w:t>
                            </w:r>
                            <w:r w:rsidRPr="006A3645">
                              <w:rPr>
                                <w:rFonts w:ascii="Fira Sans SemiBold" w:hAnsi="Fira Sans SemiBold"/>
                                <w:color w:val="FFFFFF" w:themeColor="background1"/>
                                <w:sz w:val="72"/>
                                <w:szCs w:val="72"/>
                              </w:rPr>
                              <w:t>%</w:t>
                            </w:r>
                          </w:p>
                          <w:p w14:paraId="24B18567" w14:textId="77777777" w:rsidR="00830EC6" w:rsidRDefault="00830EC6" w:rsidP="00577E10">
                            <w:pPr>
                              <w:pStyle w:val="tekstnaniebieskimtle"/>
                              <w:jc w:val="center"/>
                            </w:pPr>
                            <w:r w:rsidRPr="00EE2052">
                              <w:t>Ws</w:t>
                            </w:r>
                            <w:r>
                              <w:t>k</w:t>
                            </w:r>
                            <w:r w:rsidRPr="00EE2052">
                              <w:t>a</w:t>
                            </w:r>
                            <w:r>
                              <w:t>źnik</w:t>
                            </w:r>
                            <w:r w:rsidRPr="00EE2052">
                              <w:t xml:space="preserve"> za</w:t>
                            </w:r>
                            <w:r>
                              <w:t>trudnienia</w:t>
                            </w:r>
                          </w:p>
                          <w:p w14:paraId="49578799" w14:textId="77777777" w:rsidR="00830EC6" w:rsidRPr="001F49E2" w:rsidRDefault="00830EC6" w:rsidP="001F49E2">
                            <w:pPr>
                              <w:pStyle w:val="tekstnaniebieskimtle"/>
                              <w:jc w:val="center"/>
                              <w:rPr>
                                <w:color w:val="FFFFFF" w:themeColor="background1"/>
                                <w:sz w:val="18"/>
                                <w:szCs w:val="20"/>
                              </w:rPr>
                            </w:pPr>
                            <w:r>
                              <w:t>osób w wieku 15-89 lat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3F6F8B2" id="_x0000_s1029" alt="Wskaźnik zatrudnienia osób w wieku 15-89 lat - 56,7% &#10;" style="position:absolute;left:0;text-align:left;margin-left:-9pt;margin-top:.5pt;width:176.25pt;height:94.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" fillcolor="#001d77" stroked="f">
                <v:stroke joinstyle="miter"/>
                <v:textbox>
                  <w:txbxContent>
                    <w:p w14:paraId="2153BE20" w14:textId="225710E8" w:rsidR="00830EC6" w:rsidRPr="000E6274" w:rsidRDefault="00830EC6" w:rsidP="00577E10">
                      <w:pPr>
                        <w:spacing w:after="0" w:line="240" w:lineRule="auto"/>
                        <w:jc w:val="center"/>
                        <w:rPr>
                          <w:rFonts w:ascii="Fira Sans SemiBold" w:hAnsi="Fira Sans SemiBold"/>
                          <w:color w:val="FFFFFF" w:themeColor="background1"/>
                          <w:sz w:val="72"/>
                        </w:rPr>
                      </w:pPr>
                      <w:r w:rsidRPr="006A3645">
                        <w:rPr>
                          <w:rFonts w:ascii="Fira Sans SemiBold" w:hAnsi="Fira Sans SemiBold"/>
                          <w:color w:val="FFFFFF" w:themeColor="background1"/>
                          <w:sz w:val="72"/>
                          <w:szCs w:val="72"/>
                        </w:rPr>
                        <w:t>5</w:t>
                      </w:r>
                      <w:r w:rsidR="00B75491">
                        <w:rPr>
                          <w:rFonts w:ascii="Fira Sans SemiBold" w:hAnsi="Fira Sans SemiBold"/>
                          <w:color w:val="FFFFFF" w:themeColor="background1"/>
                          <w:sz w:val="72"/>
                          <w:szCs w:val="72"/>
                        </w:rPr>
                        <w:t>6,</w:t>
                      </w:r>
                      <w:r w:rsidR="008056E4">
                        <w:rPr>
                          <w:rFonts w:ascii="Fira Sans SemiBold" w:hAnsi="Fira Sans SemiBold"/>
                          <w:color w:val="FFFFFF" w:themeColor="background1"/>
                          <w:sz w:val="72"/>
                          <w:szCs w:val="72"/>
                        </w:rPr>
                        <w:t>7</w:t>
                      </w:r>
                      <w:r w:rsidRPr="006A3645">
                        <w:rPr>
                          <w:rFonts w:ascii="Fira Sans SemiBold" w:hAnsi="Fira Sans SemiBold"/>
                          <w:color w:val="FFFFFF" w:themeColor="background1"/>
                          <w:sz w:val="72"/>
                          <w:szCs w:val="72"/>
                        </w:rPr>
                        <w:t>%</w:t>
                      </w:r>
                    </w:p>
                    <w:p w14:paraId="24B18567" w14:textId="77777777" w:rsidR="00830EC6" w:rsidRDefault="00830EC6" w:rsidP="00577E10">
                      <w:pPr>
                        <w:pStyle w:val="tekstnaniebieskimtle"/>
                        <w:jc w:val="center"/>
                      </w:pPr>
                      <w:r w:rsidRPr="00EE2052">
                        <w:t>Ws</w:t>
                      </w:r>
                      <w:r>
                        <w:t>k</w:t>
                      </w:r>
                      <w:r w:rsidRPr="00EE2052">
                        <w:t>a</w:t>
                      </w:r>
                      <w:r>
                        <w:t>źnik</w:t>
                      </w:r>
                      <w:r w:rsidRPr="00EE2052">
                        <w:t xml:space="preserve"> za</w:t>
                      </w:r>
                      <w:r>
                        <w:t>trudnienia</w:t>
                      </w:r>
                    </w:p>
                    <w:p w14:paraId="49578799" w14:textId="77777777" w:rsidR="00830EC6" w:rsidRPr="001F49E2" w:rsidRDefault="00830EC6" w:rsidP="001F49E2">
                      <w:pPr>
                        <w:pStyle w:val="tekstnaniebieskimtle"/>
                        <w:jc w:val="center"/>
                        <w:rPr>
                          <w:color w:val="FFFFFF" w:themeColor="background1"/>
                          <w:sz w:val="18"/>
                          <w:szCs w:val="20"/>
                        </w:rPr>
                      </w:pPr>
                      <w:r>
                        <w:t>osób w wieku 15-89 lat</w:t>
                      </w:r>
                    </w:p>
                  </w:txbxContent>
                </v:textbox>
                <w10:wrap type="square" anchorx="margin"/>
              </v:roundrect>
            </w:pict>
          </mc:Fallback>
        </mc:AlternateContent>
      </w:r>
      <w:r w:rsidR="00705190" w:rsidRPr="00A70D1B">
        <w:t xml:space="preserve">Osoby pracujące stanowiły w </w:t>
      </w:r>
      <w:r w:rsidR="008056E4" w:rsidRPr="00A70D1B">
        <w:t>2</w:t>
      </w:r>
      <w:r w:rsidR="00705190" w:rsidRPr="00A70D1B">
        <w:t xml:space="preserve"> kw</w:t>
      </w:r>
      <w:r w:rsidR="00127E61" w:rsidRPr="00A70D1B">
        <w:t>artale</w:t>
      </w:r>
      <w:r w:rsidR="00705190" w:rsidRPr="00A70D1B">
        <w:t xml:space="preserve"> 202</w:t>
      </w:r>
      <w:r w:rsidR="00B75491" w:rsidRPr="00A70D1B">
        <w:t>4</w:t>
      </w:r>
      <w:r w:rsidR="00705190" w:rsidRPr="00A70D1B">
        <w:t xml:space="preserve"> r. 5</w:t>
      </w:r>
      <w:r w:rsidR="00B75491" w:rsidRPr="00A70D1B">
        <w:t>6,</w:t>
      </w:r>
      <w:r w:rsidR="008056E4" w:rsidRPr="00A70D1B">
        <w:t>7</w:t>
      </w:r>
      <w:r w:rsidR="00705190" w:rsidRPr="00A70D1B">
        <w:t>% ludności w wieku 15</w:t>
      </w:r>
      <w:r w:rsidR="00545381" w:rsidRPr="00A70D1B">
        <w:t>-</w:t>
      </w:r>
      <w:r w:rsidR="00705190" w:rsidRPr="00A70D1B">
        <w:t>89 lat.</w:t>
      </w:r>
      <w:r w:rsidR="002B2C6B" w:rsidRPr="00A70D1B">
        <w:t xml:space="preserve"> Wskaźnik zatrudnienia </w:t>
      </w:r>
      <w:r w:rsidR="00B75491" w:rsidRPr="00A70D1B">
        <w:t xml:space="preserve">był </w:t>
      </w:r>
      <w:r w:rsidR="00F92041" w:rsidRPr="00A70D1B">
        <w:t>w nieznacznym stopniu</w:t>
      </w:r>
      <w:r w:rsidR="008056E4" w:rsidRPr="00A70D1B">
        <w:t xml:space="preserve"> wyższy</w:t>
      </w:r>
      <w:r w:rsidR="00B75491" w:rsidRPr="00A70D1B">
        <w:t xml:space="preserve"> </w:t>
      </w:r>
      <w:r w:rsidR="00310ABE" w:rsidRPr="00A70D1B">
        <w:t xml:space="preserve">od notowanego w </w:t>
      </w:r>
      <w:r w:rsidR="008056E4" w:rsidRPr="00A70D1B">
        <w:t>1</w:t>
      </w:r>
      <w:r w:rsidR="00F17DC1" w:rsidRPr="00A70D1B">
        <w:t> </w:t>
      </w:r>
      <w:r w:rsidR="00310ABE" w:rsidRPr="00A70D1B">
        <w:t>kwartale 202</w:t>
      </w:r>
      <w:r w:rsidR="008056E4" w:rsidRPr="00A70D1B">
        <w:t>4</w:t>
      </w:r>
      <w:r w:rsidR="00310ABE" w:rsidRPr="00A70D1B">
        <w:t xml:space="preserve"> r.</w:t>
      </w:r>
      <w:r w:rsidR="008056E4" w:rsidRPr="00A70D1B">
        <w:t xml:space="preserve"> (o</w:t>
      </w:r>
      <w:r w:rsidR="00A44658" w:rsidRPr="00A70D1B">
        <w:t> </w:t>
      </w:r>
      <w:r w:rsidR="008056E4" w:rsidRPr="00A70D1B">
        <w:t>0,1</w:t>
      </w:r>
      <w:r w:rsidR="00A44658" w:rsidRPr="00A70D1B">
        <w:t> </w:t>
      </w:r>
      <w:r w:rsidR="008056E4" w:rsidRPr="00A70D1B">
        <w:t>p.</w:t>
      </w:r>
      <w:r w:rsidR="00A44658" w:rsidRPr="00A70D1B">
        <w:t> </w:t>
      </w:r>
      <w:r w:rsidR="008056E4" w:rsidRPr="00A70D1B">
        <w:t>proc.)</w:t>
      </w:r>
      <w:r w:rsidR="00310ABE" w:rsidRPr="00A70D1B">
        <w:t>,</w:t>
      </w:r>
      <w:r w:rsidR="003948AB" w:rsidRPr="00A70D1B">
        <w:t xml:space="preserve"> </w:t>
      </w:r>
      <w:r w:rsidR="008056E4" w:rsidRPr="00A70D1B">
        <w:t xml:space="preserve">ale </w:t>
      </w:r>
      <w:r w:rsidR="00F92041" w:rsidRPr="00A70D1B">
        <w:t>niższy</w:t>
      </w:r>
      <w:r w:rsidR="0033388E" w:rsidRPr="00A70D1B">
        <w:t xml:space="preserve"> w stosunku do </w:t>
      </w:r>
      <w:r w:rsidR="008056E4" w:rsidRPr="00A70D1B">
        <w:t>2</w:t>
      </w:r>
      <w:r w:rsidR="00A44658" w:rsidRPr="00A70D1B">
        <w:t> </w:t>
      </w:r>
      <w:r w:rsidR="008056E4" w:rsidRPr="00A70D1B">
        <w:t>kwarta</w:t>
      </w:r>
      <w:r w:rsidR="00DD711D" w:rsidRPr="00A70D1B">
        <w:t>łu</w:t>
      </w:r>
      <w:r w:rsidR="008056E4" w:rsidRPr="00A70D1B">
        <w:t xml:space="preserve"> 2023</w:t>
      </w:r>
      <w:r w:rsidR="00DD711D" w:rsidRPr="00A70D1B">
        <w:t> </w:t>
      </w:r>
      <w:r w:rsidR="008056E4" w:rsidRPr="00A70D1B">
        <w:t>r.</w:t>
      </w:r>
      <w:r w:rsidR="00B75491" w:rsidRPr="00A70D1B">
        <w:t xml:space="preserve"> (o 0,</w:t>
      </w:r>
      <w:r w:rsidR="008056E4" w:rsidRPr="00A70D1B">
        <w:t>3</w:t>
      </w:r>
      <w:r w:rsidR="007B4191" w:rsidRPr="00A70D1B">
        <w:t> </w:t>
      </w:r>
      <w:r w:rsidR="00B75491" w:rsidRPr="00A70D1B">
        <w:t>p.</w:t>
      </w:r>
      <w:r w:rsidR="007B4191" w:rsidRPr="00A70D1B">
        <w:t> </w:t>
      </w:r>
      <w:r w:rsidR="00B75491" w:rsidRPr="00A70D1B">
        <w:t>proc.).</w:t>
      </w:r>
      <w:r w:rsidR="00256A66" w:rsidRPr="00A70D1B">
        <w:t xml:space="preserve"> </w:t>
      </w:r>
      <w:r w:rsidR="00DD711D" w:rsidRPr="00A70D1B">
        <w:t>W</w:t>
      </w:r>
      <w:r w:rsidR="000E0437" w:rsidRPr="00A70D1B">
        <w:t xml:space="preserve">yższy </w:t>
      </w:r>
      <w:r w:rsidR="00DD711D" w:rsidRPr="00A70D1B">
        <w:t xml:space="preserve">wskaźnik obserwowano </w:t>
      </w:r>
      <w:r w:rsidR="000E0437" w:rsidRPr="00A70D1B">
        <w:t>w</w:t>
      </w:r>
      <w:r w:rsidR="00191684" w:rsidRPr="00A70D1B">
        <w:t> </w:t>
      </w:r>
      <w:r w:rsidR="000E0437" w:rsidRPr="00A70D1B">
        <w:t>zbiorowości mężczyzn (</w:t>
      </w:r>
      <w:r w:rsidR="007C459B" w:rsidRPr="00A70D1B">
        <w:t>6</w:t>
      </w:r>
      <w:r w:rsidR="00B75491" w:rsidRPr="00A70D1B">
        <w:t>3,</w:t>
      </w:r>
      <w:r w:rsidR="008056E4" w:rsidRPr="00A70D1B">
        <w:t>8</w:t>
      </w:r>
      <w:r w:rsidR="00602C8A" w:rsidRPr="00A70D1B">
        <w:t>%) niż kobiet (50</w:t>
      </w:r>
      <w:r w:rsidR="00B75491" w:rsidRPr="00A70D1B">
        <w:t>,</w:t>
      </w:r>
      <w:r w:rsidR="008056E4" w:rsidRPr="00A70D1B">
        <w:t>2</w:t>
      </w:r>
      <w:r w:rsidR="000E0437" w:rsidRPr="00A70D1B">
        <w:t>%)</w:t>
      </w:r>
      <w:r w:rsidR="00B44FB1" w:rsidRPr="00A70D1B">
        <w:t>.</w:t>
      </w:r>
    </w:p>
    <w:p w14:paraId="5319316D" w14:textId="7D288CCB" w:rsidR="005F5624" w:rsidRPr="00A70D1B" w:rsidRDefault="005F5624" w:rsidP="00B53FB7">
      <w:pPr>
        <w:pStyle w:val="Lead"/>
        <w:spacing w:before="0" w:after="0" w:line="240" w:lineRule="auto"/>
        <w:ind w:left="3686"/>
      </w:pPr>
    </w:p>
    <w:p w14:paraId="088A0608" w14:textId="04874F27" w:rsidR="00705190" w:rsidRPr="00A70D1B" w:rsidRDefault="00EB309B" w:rsidP="0083097C">
      <w:pPr>
        <w:pStyle w:val="Nagwek1"/>
        <w:spacing w:before="120"/>
      </w:pPr>
      <w:r w:rsidRPr="00A70D1B">
        <w:rPr>
          <w:noProof/>
        </w:rPr>
        <mc:AlternateContent>
          <mc:Choice Requires="wps">
            <w:drawing>
              <wp:anchor distT="45720" distB="45720" distL="114300" distR="114300" simplePos="0" relativeHeight="251785216" behindDoc="1" locked="0" layoutInCell="1" allowOverlap="1" wp14:anchorId="46AD23FC" wp14:editId="3947510D">
                <wp:simplePos x="0" y="0"/>
                <wp:positionH relativeFrom="column">
                  <wp:posOffset>5339080</wp:posOffset>
                </wp:positionH>
                <wp:positionV relativeFrom="paragraph">
                  <wp:posOffset>118745</wp:posOffset>
                </wp:positionV>
                <wp:extent cx="1668780" cy="1263650"/>
                <wp:effectExtent l="0" t="0" r="0" b="0"/>
                <wp:wrapTight wrapText="bothSides">
                  <wp:wrapPolygon edited="0">
                    <wp:start x="740" y="0"/>
                    <wp:lineTo x="740" y="21166"/>
                    <wp:lineTo x="20712" y="21166"/>
                    <wp:lineTo x="20712" y="0"/>
                    <wp:lineTo x="740" y="0"/>
                  </wp:wrapPolygon>
                </wp:wrapTight>
                <wp:docPr id="32" name="Pole tekstowe 2" descr="Liczba pracujących pozostała na podobnym poziomie w porównaniu z 1 kwartałem 2024 r., ale zmniejszyła się w odniesieniu do 2 kwartału 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1263650"/>
                        </a:xfrm>
                        <a:prstGeom prst="rect">
                          <a:avLst/>
                        </a:prstGeom>
                        <a:noFill/>
                        <a:ln w="9525">
                          <a:noFill/>
                          <a:miter lim="800000"/>
                          <a:headEnd/>
                          <a:tailEnd/>
                        </a:ln>
                      </wps:spPr>
                      <wps:txbx>
                        <w:txbxContent>
                          <w:p w14:paraId="374065EB" w14:textId="1912B9C6" w:rsidR="00830EC6" w:rsidRPr="00EE1C79" w:rsidRDefault="00830EC6" w:rsidP="00EC542E">
                            <w:pPr>
                              <w:pStyle w:val="tekstzboku"/>
                            </w:pPr>
                            <w:r w:rsidRPr="00933D71">
                              <w:t xml:space="preserve">Liczba pracujących </w:t>
                            </w:r>
                            <w:r w:rsidR="008664EF">
                              <w:t>pozostała na podobnym poziomie w</w:t>
                            </w:r>
                            <w:r>
                              <w:t xml:space="preserve"> </w:t>
                            </w:r>
                            <w:r w:rsidR="00825546">
                              <w:t>porównaniu z</w:t>
                            </w:r>
                            <w:r w:rsidR="002C0B09">
                              <w:t> </w:t>
                            </w:r>
                            <w:r w:rsidR="00825546">
                              <w:t>1</w:t>
                            </w:r>
                            <w:r w:rsidR="008664EF">
                              <w:t> </w:t>
                            </w:r>
                            <w:r w:rsidR="00825546">
                              <w:t xml:space="preserve">kwartałem 2024 r., </w:t>
                            </w:r>
                            <w:r w:rsidR="00F473DF">
                              <w:t xml:space="preserve">ale zmniejszyła </w:t>
                            </w:r>
                            <w:r w:rsidR="006947DC">
                              <w:t xml:space="preserve">się </w:t>
                            </w:r>
                            <w:r w:rsidR="00F473DF">
                              <w:t>w</w:t>
                            </w:r>
                            <w:r w:rsidR="00CB2457">
                              <w:t> </w:t>
                            </w:r>
                            <w:r w:rsidR="00825546">
                              <w:t xml:space="preserve">odniesieniu do </w:t>
                            </w:r>
                            <w:r w:rsidR="00CB2457">
                              <w:br/>
                            </w:r>
                            <w:r w:rsidR="00825546">
                              <w:t>2 kwartału 2023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D23FC" id="_x0000_t202" coordsize="21600,21600" o:spt="202" path="m,l,21600r21600,l21600,xe">
                <v:stroke joinstyle="miter"/>
                <v:path gradientshapeok="t" o:connecttype="rect"/>
              </v:shapetype>
              <v:shape id="_x0000_s1030" type="#_x0000_t202" alt="Liczba pracujących pozostała na podobnym poziomie w porównaniu z 1 kwartałem 2024 r., ale zmniejszyła się w odniesieniu do 2 kwartału 2023 r." style="position:absolute;margin-left:420.4pt;margin-top:9.35pt;width:131.4pt;height:99.5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" filled="f" stroked="f">
                <v:textbox>
                  <w:txbxContent>
                    <w:p w14:paraId="374065EB" w14:textId="1912B9C6" w:rsidR="00830EC6" w:rsidRPr="00EE1C79" w:rsidRDefault="00830EC6" w:rsidP="00EC542E">
                      <w:pPr>
                        <w:pStyle w:val="tekstzboku"/>
                      </w:pPr>
                      <w:r w:rsidRPr="00933D71">
                        <w:t xml:space="preserve">Liczba pracujących </w:t>
                      </w:r>
                      <w:r w:rsidR="008664EF">
                        <w:t>pozostała na podobnym poziomie w</w:t>
                      </w:r>
                      <w:r>
                        <w:t xml:space="preserve"> </w:t>
                      </w:r>
                      <w:r w:rsidR="00825546">
                        <w:t>porównaniu z</w:t>
                      </w:r>
                      <w:r w:rsidR="002C0B09">
                        <w:t> </w:t>
                      </w:r>
                      <w:r w:rsidR="00825546">
                        <w:t>1</w:t>
                      </w:r>
                      <w:r w:rsidR="008664EF">
                        <w:t> </w:t>
                      </w:r>
                      <w:r w:rsidR="00825546">
                        <w:t xml:space="preserve">kwartałem 2024 r., </w:t>
                      </w:r>
                      <w:r w:rsidR="00F473DF">
                        <w:t xml:space="preserve">ale zmniejszyła </w:t>
                      </w:r>
                      <w:r w:rsidR="006947DC">
                        <w:t xml:space="preserve">się </w:t>
                      </w:r>
                      <w:r w:rsidR="00F473DF">
                        <w:t>w</w:t>
                      </w:r>
                      <w:r w:rsidR="00CB2457">
                        <w:t> </w:t>
                      </w:r>
                      <w:r w:rsidR="00825546">
                        <w:t xml:space="preserve">odniesieniu do </w:t>
                      </w:r>
                      <w:r w:rsidR="00CB2457">
                        <w:br/>
                      </w:r>
                      <w:r w:rsidR="00825546">
                        <w:t>2 kwartału 2023 r.</w:t>
                      </w:r>
                    </w:p>
                  </w:txbxContent>
                </v:textbox>
                <w10:wrap type="tight"/>
              </v:shape>
            </w:pict>
          </mc:Fallback>
        </mc:AlternateContent>
      </w:r>
      <w:r w:rsidR="008F0ACB" w:rsidRPr="00A70D1B">
        <w:rPr>
          <w:rFonts w:ascii="Fira Sans" w:hAnsi="Fira Sans"/>
          <w:b/>
          <w:szCs w:val="19"/>
        </w:rPr>
        <w:t>Pracujący w wieku 15</w:t>
      </w:r>
      <w:r w:rsidR="00545381" w:rsidRPr="00A70D1B">
        <w:rPr>
          <w:rFonts w:ascii="Fira Sans" w:hAnsi="Fira Sans"/>
          <w:b/>
          <w:szCs w:val="19"/>
        </w:rPr>
        <w:t>-</w:t>
      </w:r>
      <w:r w:rsidR="008F0ACB" w:rsidRPr="00A70D1B">
        <w:rPr>
          <w:rFonts w:ascii="Fira Sans" w:hAnsi="Fira Sans"/>
          <w:b/>
          <w:szCs w:val="19"/>
        </w:rPr>
        <w:t>89 lat według BAEL</w:t>
      </w:r>
    </w:p>
    <w:p w14:paraId="01FC6234" w14:textId="2F5C7A5B" w:rsidR="00E23488" w:rsidRPr="00A70D1B" w:rsidRDefault="008F0ACB" w:rsidP="00E23488">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8056E4" w:rsidRPr="00A70D1B">
        <w:rPr>
          <w:rFonts w:eastAsia="Times New Roman" w:cs="Times New Roman"/>
          <w:szCs w:val="19"/>
          <w:lang w:eastAsia="pl-PL"/>
        </w:rPr>
        <w:t>2</w:t>
      </w:r>
      <w:r w:rsidR="000C03EE" w:rsidRPr="00A70D1B">
        <w:rPr>
          <w:rFonts w:eastAsia="Times New Roman" w:cs="Times New Roman"/>
          <w:szCs w:val="19"/>
          <w:lang w:eastAsia="pl-PL"/>
        </w:rPr>
        <w:t xml:space="preserve"> kwartale 202</w:t>
      </w:r>
      <w:r w:rsidR="00B75491" w:rsidRPr="00A70D1B">
        <w:rPr>
          <w:rFonts w:eastAsia="Times New Roman" w:cs="Times New Roman"/>
          <w:szCs w:val="19"/>
          <w:lang w:eastAsia="pl-PL"/>
        </w:rPr>
        <w:t>4</w:t>
      </w:r>
      <w:r w:rsidR="000C03EE" w:rsidRPr="00A70D1B">
        <w:rPr>
          <w:rFonts w:eastAsia="Times New Roman" w:cs="Times New Roman"/>
          <w:szCs w:val="19"/>
          <w:lang w:eastAsia="pl-PL"/>
        </w:rPr>
        <w:t xml:space="preserve"> r. </w:t>
      </w:r>
      <w:r w:rsidRPr="00A70D1B">
        <w:rPr>
          <w:rFonts w:eastAsia="Times New Roman" w:cs="Times New Roman"/>
          <w:szCs w:val="19"/>
          <w:lang w:eastAsia="pl-PL"/>
        </w:rPr>
        <w:t>populacja pracujących w wieku 15</w:t>
      </w:r>
      <w:r w:rsidR="00545381" w:rsidRPr="00A70D1B">
        <w:rPr>
          <w:rFonts w:eastAsia="Times New Roman" w:cs="Times New Roman"/>
          <w:szCs w:val="19"/>
          <w:lang w:eastAsia="pl-PL"/>
        </w:rPr>
        <w:t>-</w:t>
      </w:r>
      <w:r w:rsidRPr="00A70D1B">
        <w:rPr>
          <w:rFonts w:eastAsia="Times New Roman" w:cs="Times New Roman"/>
          <w:szCs w:val="19"/>
          <w:lang w:eastAsia="pl-PL"/>
        </w:rPr>
        <w:t xml:space="preserve">89 lat liczyła </w:t>
      </w:r>
      <w:r w:rsidR="00924E85" w:rsidRPr="00A70D1B">
        <w:rPr>
          <w:rFonts w:eastAsia="Times New Roman" w:cs="Times New Roman"/>
          <w:szCs w:val="19"/>
          <w:lang w:eastAsia="pl-PL"/>
        </w:rPr>
        <w:t>1</w:t>
      </w:r>
      <w:r w:rsidR="00B63FF9" w:rsidRPr="00A70D1B">
        <w:rPr>
          <w:rFonts w:eastAsia="Times New Roman" w:cs="Times New Roman"/>
          <w:szCs w:val="19"/>
          <w:lang w:eastAsia="pl-PL"/>
        </w:rPr>
        <w:t>7 </w:t>
      </w:r>
      <w:r w:rsidR="008056E4" w:rsidRPr="00A70D1B">
        <w:rPr>
          <w:rFonts w:eastAsia="Times New Roman" w:cs="Times New Roman"/>
          <w:szCs w:val="19"/>
          <w:lang w:eastAsia="pl-PL"/>
        </w:rPr>
        <w:t>205</w:t>
      </w:r>
      <w:r w:rsidR="005F5624" w:rsidRPr="00A70D1B">
        <w:rPr>
          <w:rFonts w:eastAsia="Times New Roman" w:cs="Times New Roman"/>
          <w:szCs w:val="19"/>
          <w:lang w:eastAsia="pl-PL"/>
        </w:rPr>
        <w:t xml:space="preserve"> </w:t>
      </w:r>
      <w:r w:rsidRPr="00A70D1B">
        <w:rPr>
          <w:rFonts w:eastAsia="Times New Roman" w:cs="Times New Roman"/>
          <w:szCs w:val="19"/>
          <w:lang w:eastAsia="pl-PL"/>
        </w:rPr>
        <w:t>tys. osób i</w:t>
      </w:r>
      <w:r w:rsidR="00447C4D" w:rsidRPr="00A70D1B">
        <w:rPr>
          <w:rFonts w:eastAsia="Times New Roman" w:cs="Times New Roman"/>
          <w:szCs w:val="19"/>
          <w:lang w:eastAsia="pl-PL"/>
        </w:rPr>
        <w:t> </w:t>
      </w:r>
      <w:bookmarkStart w:id="2" w:name="_Hlk143062200"/>
      <w:r w:rsidR="00B75491" w:rsidRPr="00A70D1B">
        <w:rPr>
          <w:rFonts w:eastAsia="Times New Roman" w:cs="Times New Roman"/>
          <w:szCs w:val="19"/>
          <w:lang w:eastAsia="pl-PL"/>
        </w:rPr>
        <w:t xml:space="preserve">była </w:t>
      </w:r>
      <w:r w:rsidR="008664EF" w:rsidRPr="00A70D1B">
        <w:rPr>
          <w:rFonts w:eastAsia="Times New Roman" w:cs="Times New Roman"/>
          <w:szCs w:val="19"/>
          <w:lang w:eastAsia="pl-PL"/>
        </w:rPr>
        <w:t xml:space="preserve">na podobnym poziomie co </w:t>
      </w:r>
      <w:r w:rsidR="00B75491" w:rsidRPr="00A70D1B">
        <w:rPr>
          <w:rFonts w:eastAsia="Times New Roman" w:cs="Times New Roman"/>
          <w:szCs w:val="19"/>
          <w:lang w:eastAsia="pl-PL"/>
        </w:rPr>
        <w:t>w ubiegłym kwartale (</w:t>
      </w:r>
      <w:r w:rsidR="008664EF" w:rsidRPr="00A70D1B">
        <w:rPr>
          <w:rFonts w:eastAsia="Times New Roman" w:cs="Times New Roman"/>
          <w:szCs w:val="19"/>
          <w:lang w:eastAsia="pl-PL"/>
        </w:rPr>
        <w:t xml:space="preserve">wzrost </w:t>
      </w:r>
      <w:r w:rsidR="00B75491" w:rsidRPr="00A70D1B">
        <w:rPr>
          <w:rFonts w:eastAsia="Times New Roman" w:cs="Times New Roman"/>
          <w:szCs w:val="19"/>
          <w:lang w:eastAsia="pl-PL"/>
        </w:rPr>
        <w:t>o 1</w:t>
      </w:r>
      <w:r w:rsidR="00C34564" w:rsidRPr="00A70D1B">
        <w:rPr>
          <w:rFonts w:eastAsia="Times New Roman" w:cs="Times New Roman"/>
          <w:szCs w:val="19"/>
          <w:lang w:eastAsia="pl-PL"/>
        </w:rPr>
        <w:t>1</w:t>
      </w:r>
      <w:r w:rsidR="00B75491" w:rsidRPr="00A70D1B">
        <w:rPr>
          <w:rFonts w:eastAsia="Times New Roman" w:cs="Times New Roman"/>
          <w:szCs w:val="19"/>
          <w:lang w:eastAsia="pl-PL"/>
        </w:rPr>
        <w:t xml:space="preserve"> tys.</w:t>
      </w:r>
      <w:r w:rsidR="00D82D93" w:rsidRPr="00A70D1B">
        <w:rPr>
          <w:rFonts w:eastAsia="Times New Roman" w:cs="Times New Roman"/>
          <w:szCs w:val="19"/>
          <w:lang w:eastAsia="pl-PL"/>
        </w:rPr>
        <w:t xml:space="preserve"> osób</w:t>
      </w:r>
      <w:r w:rsidR="00B75491" w:rsidRPr="00A70D1B">
        <w:rPr>
          <w:rFonts w:eastAsia="Times New Roman" w:cs="Times New Roman"/>
          <w:szCs w:val="19"/>
          <w:lang w:eastAsia="pl-PL"/>
        </w:rPr>
        <w:t>, tj. o 0,</w:t>
      </w:r>
      <w:r w:rsidR="00C34564" w:rsidRPr="00A70D1B">
        <w:rPr>
          <w:rFonts w:eastAsia="Times New Roman" w:cs="Times New Roman"/>
          <w:szCs w:val="19"/>
          <w:lang w:eastAsia="pl-PL"/>
        </w:rPr>
        <w:t>1</w:t>
      </w:r>
      <w:r w:rsidR="00B75491" w:rsidRPr="00A70D1B">
        <w:rPr>
          <w:rFonts w:eastAsia="Times New Roman" w:cs="Times New Roman"/>
          <w:szCs w:val="19"/>
          <w:lang w:eastAsia="pl-PL"/>
        </w:rPr>
        <w:t xml:space="preserve">%), </w:t>
      </w:r>
      <w:r w:rsidR="00C34564" w:rsidRPr="00A70D1B">
        <w:rPr>
          <w:rFonts w:eastAsia="Times New Roman" w:cs="Times New Roman"/>
          <w:szCs w:val="19"/>
          <w:lang w:eastAsia="pl-PL"/>
        </w:rPr>
        <w:t xml:space="preserve">ale mniejsza </w:t>
      </w:r>
      <w:r w:rsidR="00F473DF" w:rsidRPr="00A70D1B">
        <w:rPr>
          <w:rFonts w:eastAsia="Times New Roman" w:cs="Times New Roman"/>
          <w:szCs w:val="19"/>
          <w:lang w:eastAsia="pl-PL"/>
        </w:rPr>
        <w:t xml:space="preserve">od notowanej rok wcześniej </w:t>
      </w:r>
      <w:r w:rsidR="00402574" w:rsidRPr="00A70D1B">
        <w:rPr>
          <w:rFonts w:eastAsia="Times New Roman" w:cs="Times New Roman"/>
          <w:szCs w:val="19"/>
          <w:lang w:eastAsia="pl-PL"/>
        </w:rPr>
        <w:t>(</w:t>
      </w:r>
      <w:r w:rsidR="00EA3E56" w:rsidRPr="00A70D1B">
        <w:rPr>
          <w:rFonts w:eastAsia="Times New Roman" w:cs="Times New Roman"/>
          <w:szCs w:val="19"/>
          <w:lang w:eastAsia="pl-PL"/>
        </w:rPr>
        <w:t xml:space="preserve">spadek </w:t>
      </w:r>
      <w:r w:rsidR="00402574" w:rsidRPr="00A70D1B">
        <w:rPr>
          <w:rFonts w:eastAsia="Times New Roman" w:cs="Times New Roman"/>
          <w:szCs w:val="19"/>
          <w:lang w:eastAsia="pl-PL"/>
        </w:rPr>
        <w:t xml:space="preserve">o </w:t>
      </w:r>
      <w:r w:rsidR="00C34564" w:rsidRPr="00A70D1B">
        <w:rPr>
          <w:rFonts w:eastAsia="Times New Roman" w:cs="Times New Roman"/>
          <w:szCs w:val="19"/>
          <w:lang w:eastAsia="pl-PL"/>
        </w:rPr>
        <w:t>87</w:t>
      </w:r>
      <w:r w:rsidR="00402574" w:rsidRPr="00A70D1B">
        <w:rPr>
          <w:rFonts w:eastAsia="Times New Roman" w:cs="Times New Roman"/>
          <w:szCs w:val="19"/>
          <w:lang w:eastAsia="pl-PL"/>
        </w:rPr>
        <w:t xml:space="preserve"> tys., tj. o 0,</w:t>
      </w:r>
      <w:r w:rsidR="00C34564" w:rsidRPr="00A70D1B">
        <w:rPr>
          <w:rFonts w:eastAsia="Times New Roman" w:cs="Times New Roman"/>
          <w:szCs w:val="19"/>
          <w:lang w:eastAsia="pl-PL"/>
        </w:rPr>
        <w:t>5</w:t>
      </w:r>
      <w:r w:rsidR="00402574" w:rsidRPr="00A70D1B">
        <w:rPr>
          <w:rFonts w:eastAsia="Times New Roman" w:cs="Times New Roman"/>
          <w:szCs w:val="19"/>
          <w:lang w:eastAsia="pl-PL"/>
        </w:rPr>
        <w:t>%).</w:t>
      </w:r>
      <w:r w:rsidR="00B75491" w:rsidRPr="00A70D1B">
        <w:rPr>
          <w:rFonts w:eastAsia="Times New Roman" w:cs="Times New Roman"/>
          <w:szCs w:val="19"/>
          <w:lang w:eastAsia="pl-PL"/>
        </w:rPr>
        <w:t xml:space="preserve"> </w:t>
      </w:r>
      <w:bookmarkEnd w:id="2"/>
    </w:p>
    <w:p w14:paraId="1A40F2E7" w14:textId="55F4453D" w:rsidR="00F06FFA" w:rsidRPr="00A70D1B" w:rsidRDefault="00980B8E" w:rsidP="00F06FFA">
      <w:pPr>
        <w:spacing w:before="240" w:line="288" w:lineRule="auto"/>
        <w:ind w:left="992" w:hanging="992"/>
        <w:rPr>
          <w:rFonts w:eastAsia="Times New Roman" w:cs="Times New Roman"/>
          <w:b/>
          <w:noProof/>
          <w:szCs w:val="19"/>
          <w:lang w:eastAsia="pl-PL"/>
        </w:rPr>
      </w:pPr>
      <w:r w:rsidRPr="00A70D1B">
        <w:rPr>
          <w:rFonts w:eastAsia="Times New Roman" w:cs="Times New Roman"/>
          <w:noProof/>
          <w:szCs w:val="19"/>
          <w:lang w:eastAsia="pl-PL"/>
        </w:rPr>
        <w:drawing>
          <wp:anchor distT="0" distB="0" distL="114300" distR="114300" simplePos="0" relativeHeight="251953152" behindDoc="0" locked="0" layoutInCell="1" allowOverlap="1" wp14:anchorId="5F3CAC2E" wp14:editId="628C3C5C">
            <wp:simplePos x="0" y="0"/>
            <wp:positionH relativeFrom="margin">
              <wp:align>center</wp:align>
            </wp:positionH>
            <wp:positionV relativeFrom="paragraph">
              <wp:posOffset>412115</wp:posOffset>
            </wp:positionV>
            <wp:extent cx="5153660" cy="2816860"/>
            <wp:effectExtent l="0" t="0" r="8890" b="2540"/>
            <wp:wrapSquare wrapText="bothSides"/>
            <wp:docPr id="37" name="Obraz 37" descr="Wykres prezentuje pracujących i wskaźnik zatrudnienia osób w wieku 15-89 lat i w wieku produkcyjnym od 1 kwartału 2021 r. do 2 kwartału 2024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3660" cy="2816860"/>
                    </a:xfrm>
                    <a:prstGeom prst="rect">
                      <a:avLst/>
                    </a:prstGeom>
                    <a:noFill/>
                  </pic:spPr>
                </pic:pic>
              </a:graphicData>
            </a:graphic>
            <wp14:sizeRelH relativeFrom="page">
              <wp14:pctWidth>0</wp14:pctWidth>
            </wp14:sizeRelH>
            <wp14:sizeRelV relativeFrom="page">
              <wp14:pctHeight>0</wp14:pctHeight>
            </wp14:sizeRelV>
          </wp:anchor>
        </w:drawing>
      </w:r>
      <w:r w:rsidR="00F06FFA" w:rsidRPr="00A70D1B">
        <w:rPr>
          <w:rFonts w:eastAsia="Times New Roman" w:cs="Times New Roman"/>
          <w:b/>
          <w:szCs w:val="19"/>
          <w:lang w:eastAsia="pl-PL"/>
        </w:rPr>
        <w:t>Wykres 3.</w:t>
      </w:r>
      <w:r w:rsidR="00F06FFA" w:rsidRPr="00A70D1B">
        <w:rPr>
          <w:rFonts w:eastAsia="Times New Roman" w:cs="Times New Roman"/>
          <w:b/>
          <w:szCs w:val="19"/>
          <w:lang w:eastAsia="pl-PL"/>
        </w:rPr>
        <w:tab/>
      </w:r>
      <w:r w:rsidR="00F06FFA" w:rsidRPr="00A70D1B">
        <w:rPr>
          <w:b/>
          <w:szCs w:val="19"/>
          <w:shd w:val="clear" w:color="auto" w:fill="FFFFFF"/>
        </w:rPr>
        <w:t>Pracujący</w:t>
      </w:r>
      <w:r w:rsidR="00F06FFA" w:rsidRPr="00A70D1B">
        <w:rPr>
          <w:rFonts w:eastAsia="Times New Roman" w:cs="Times New Roman"/>
          <w:b/>
          <w:szCs w:val="19"/>
          <w:lang w:eastAsia="pl-PL"/>
        </w:rPr>
        <w:t xml:space="preserve"> i wskaźnik zatrudnienia osób w wieku 15-89 lat i w wieku produkcyjnym</w:t>
      </w:r>
      <w:r w:rsidR="00F06FFA" w:rsidRPr="00A70D1B">
        <w:rPr>
          <w:rFonts w:eastAsia="Times New Roman" w:cs="Times New Roman"/>
          <w:b/>
          <w:noProof/>
          <w:szCs w:val="19"/>
          <w:lang w:eastAsia="pl-PL"/>
        </w:rPr>
        <w:t xml:space="preserve"> </w:t>
      </w:r>
    </w:p>
    <w:p w14:paraId="73A7945E" w14:textId="0725F957" w:rsidR="00F06FFA" w:rsidRPr="00A70D1B" w:rsidRDefault="00F06FFA" w:rsidP="00E23488">
      <w:pPr>
        <w:spacing w:line="288" w:lineRule="auto"/>
        <w:rPr>
          <w:rFonts w:eastAsia="Times New Roman" w:cs="Times New Roman"/>
          <w:szCs w:val="19"/>
          <w:lang w:eastAsia="pl-PL"/>
        </w:rPr>
      </w:pPr>
    </w:p>
    <w:p w14:paraId="4396B6B4" w14:textId="086938E5" w:rsidR="00621173" w:rsidRPr="00A70D1B" w:rsidRDefault="00E53EFF" w:rsidP="00E23488">
      <w:pPr>
        <w:spacing w:line="288" w:lineRule="auto"/>
        <w:rPr>
          <w:rFonts w:eastAsia="Times New Roman" w:cs="Times New Roman"/>
          <w:szCs w:val="19"/>
          <w:lang w:eastAsia="pl-PL"/>
        </w:rPr>
      </w:pPr>
      <w:r w:rsidRPr="00A70D1B">
        <w:rPr>
          <w:rFonts w:eastAsia="Times New Roman" w:cs="Times New Roman"/>
          <w:szCs w:val="19"/>
          <w:lang w:eastAsia="pl-PL"/>
        </w:rPr>
        <w:lastRenderedPageBreak/>
        <w:t>W</w:t>
      </w:r>
      <w:r w:rsidR="00621173" w:rsidRPr="00A70D1B">
        <w:rPr>
          <w:rFonts w:eastAsia="Times New Roman" w:cs="Times New Roman"/>
          <w:szCs w:val="19"/>
          <w:lang w:eastAsia="pl-PL"/>
        </w:rPr>
        <w:t xml:space="preserve"> porównaniu z</w:t>
      </w:r>
      <w:r w:rsidR="00B704FE" w:rsidRPr="00A70D1B">
        <w:rPr>
          <w:rFonts w:eastAsia="Times New Roman" w:cs="Times New Roman"/>
          <w:szCs w:val="19"/>
          <w:lang w:eastAsia="pl-PL"/>
        </w:rPr>
        <w:t> </w:t>
      </w:r>
      <w:r w:rsidR="00621173" w:rsidRPr="00A70D1B">
        <w:rPr>
          <w:rFonts w:eastAsia="Times New Roman" w:cs="Times New Roman"/>
          <w:szCs w:val="19"/>
          <w:lang w:eastAsia="pl-PL"/>
        </w:rPr>
        <w:t>1</w:t>
      </w:r>
      <w:r w:rsidR="00B704FE" w:rsidRPr="00A70D1B">
        <w:rPr>
          <w:rFonts w:eastAsia="Times New Roman" w:cs="Times New Roman"/>
          <w:szCs w:val="19"/>
          <w:lang w:eastAsia="pl-PL"/>
        </w:rPr>
        <w:t> </w:t>
      </w:r>
      <w:r w:rsidR="00621173" w:rsidRPr="00A70D1B">
        <w:rPr>
          <w:rFonts w:eastAsia="Times New Roman" w:cs="Times New Roman"/>
          <w:szCs w:val="19"/>
          <w:lang w:eastAsia="pl-PL"/>
        </w:rPr>
        <w:t xml:space="preserve">kwartałem 2024 r. </w:t>
      </w:r>
      <w:r w:rsidRPr="00A70D1B">
        <w:rPr>
          <w:rFonts w:eastAsia="Times New Roman" w:cs="Times New Roman"/>
          <w:szCs w:val="19"/>
          <w:lang w:eastAsia="pl-PL"/>
        </w:rPr>
        <w:t xml:space="preserve">liczba pracujących zwiększyła się </w:t>
      </w:r>
      <w:r w:rsidR="00621173" w:rsidRPr="00A70D1B">
        <w:rPr>
          <w:rFonts w:eastAsia="Times New Roman" w:cs="Times New Roman"/>
          <w:szCs w:val="19"/>
          <w:lang w:eastAsia="pl-PL"/>
        </w:rPr>
        <w:t>wyłącznie wśród kobiet (o 29 tys.</w:t>
      </w:r>
      <w:r w:rsidR="00D82D93" w:rsidRPr="00A70D1B">
        <w:rPr>
          <w:rFonts w:eastAsia="Times New Roman" w:cs="Times New Roman"/>
          <w:szCs w:val="19"/>
          <w:lang w:eastAsia="pl-PL"/>
        </w:rPr>
        <w:t xml:space="preserve"> osób</w:t>
      </w:r>
      <w:r w:rsidR="00621173" w:rsidRPr="00A70D1B">
        <w:rPr>
          <w:rFonts w:eastAsia="Times New Roman" w:cs="Times New Roman"/>
          <w:szCs w:val="19"/>
          <w:lang w:eastAsia="pl-PL"/>
        </w:rPr>
        <w:t>, tj. o 0,4%), wśród mężczyzn odnotowano spadek tej populacji (o 18 tys., tj.</w:t>
      </w:r>
      <w:r w:rsidR="002C0B09" w:rsidRPr="00A70D1B">
        <w:rPr>
          <w:rFonts w:eastAsia="Times New Roman" w:cs="Times New Roman"/>
          <w:szCs w:val="19"/>
          <w:lang w:eastAsia="pl-PL"/>
        </w:rPr>
        <w:t> </w:t>
      </w:r>
      <w:r w:rsidR="00621173" w:rsidRPr="00A70D1B">
        <w:rPr>
          <w:rFonts w:eastAsia="Times New Roman" w:cs="Times New Roman"/>
          <w:szCs w:val="19"/>
          <w:lang w:eastAsia="pl-PL"/>
        </w:rPr>
        <w:t>o</w:t>
      </w:r>
      <w:r w:rsidR="00D82D93" w:rsidRPr="00A70D1B">
        <w:rPr>
          <w:rFonts w:eastAsia="Times New Roman" w:cs="Times New Roman"/>
          <w:szCs w:val="19"/>
          <w:lang w:eastAsia="pl-PL"/>
        </w:rPr>
        <w:t> </w:t>
      </w:r>
      <w:r w:rsidR="00621173" w:rsidRPr="00A70D1B">
        <w:rPr>
          <w:rFonts w:eastAsia="Times New Roman" w:cs="Times New Roman"/>
          <w:szCs w:val="19"/>
          <w:lang w:eastAsia="pl-PL"/>
        </w:rPr>
        <w:t>0,2%). Biorąc pod uwagę miejsce zamieszkania wzrost liczby pracujących nastąpił z kolei tylko wśród mieszkańców miast (o</w:t>
      </w:r>
      <w:r w:rsidR="00B704FE" w:rsidRPr="00A70D1B">
        <w:rPr>
          <w:rFonts w:eastAsia="Times New Roman" w:cs="Times New Roman"/>
          <w:szCs w:val="19"/>
          <w:lang w:eastAsia="pl-PL"/>
        </w:rPr>
        <w:t> </w:t>
      </w:r>
      <w:r w:rsidR="00621173" w:rsidRPr="00A70D1B">
        <w:rPr>
          <w:rFonts w:eastAsia="Times New Roman" w:cs="Times New Roman"/>
          <w:szCs w:val="19"/>
          <w:lang w:eastAsia="pl-PL"/>
        </w:rPr>
        <w:t>74</w:t>
      </w:r>
      <w:r w:rsidR="00B704FE" w:rsidRPr="00A70D1B">
        <w:rPr>
          <w:rFonts w:eastAsia="Times New Roman" w:cs="Times New Roman"/>
          <w:szCs w:val="19"/>
          <w:lang w:eastAsia="pl-PL"/>
        </w:rPr>
        <w:t> </w:t>
      </w:r>
      <w:r w:rsidR="00621173" w:rsidRPr="00A70D1B">
        <w:rPr>
          <w:rFonts w:eastAsia="Times New Roman" w:cs="Times New Roman"/>
          <w:szCs w:val="19"/>
          <w:lang w:eastAsia="pl-PL"/>
        </w:rPr>
        <w:t xml:space="preserve">tys., tj. o 0,7%), natomiast wśród mieszkańców wsi odnotowano </w:t>
      </w:r>
      <w:r w:rsidR="006947DC" w:rsidRPr="00A70D1B">
        <w:rPr>
          <w:rFonts w:eastAsia="Times New Roman" w:cs="Times New Roman"/>
          <w:szCs w:val="19"/>
          <w:lang w:eastAsia="pl-PL"/>
        </w:rPr>
        <w:t xml:space="preserve">zmniejszenie liczebności tej grupy </w:t>
      </w:r>
      <w:r w:rsidR="00621173" w:rsidRPr="00A70D1B">
        <w:rPr>
          <w:rFonts w:eastAsia="Times New Roman" w:cs="Times New Roman"/>
          <w:szCs w:val="19"/>
          <w:lang w:eastAsia="pl-PL"/>
        </w:rPr>
        <w:t>(o 64 tys., tj. o 0,9%).</w:t>
      </w:r>
    </w:p>
    <w:p w14:paraId="229FEB24" w14:textId="55944165" w:rsidR="00E23488" w:rsidRPr="00A70D1B" w:rsidRDefault="005C2D1F" w:rsidP="008F0ACB">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B82123" w:rsidRPr="00A70D1B">
        <w:rPr>
          <w:rFonts w:eastAsia="Times New Roman" w:cs="Times New Roman"/>
          <w:szCs w:val="19"/>
          <w:lang w:eastAsia="pl-PL"/>
        </w:rPr>
        <w:t xml:space="preserve">porównaniu z </w:t>
      </w:r>
      <w:r w:rsidR="00621173" w:rsidRPr="00A70D1B">
        <w:rPr>
          <w:rFonts w:eastAsia="Times New Roman" w:cs="Times New Roman"/>
          <w:szCs w:val="19"/>
          <w:lang w:eastAsia="pl-PL"/>
        </w:rPr>
        <w:t>2</w:t>
      </w:r>
      <w:r w:rsidR="00B82123" w:rsidRPr="00A70D1B">
        <w:rPr>
          <w:rFonts w:eastAsia="Times New Roman" w:cs="Times New Roman"/>
          <w:szCs w:val="19"/>
          <w:lang w:eastAsia="pl-PL"/>
        </w:rPr>
        <w:t xml:space="preserve"> kwartałem 2023 r.</w:t>
      </w:r>
      <w:r w:rsidR="00621173" w:rsidRPr="00A70D1B">
        <w:rPr>
          <w:rFonts w:eastAsia="Times New Roman" w:cs="Times New Roman"/>
          <w:szCs w:val="19"/>
          <w:lang w:eastAsia="pl-PL"/>
        </w:rPr>
        <w:t>,</w:t>
      </w:r>
      <w:r w:rsidR="0090047C" w:rsidRPr="00A70D1B">
        <w:rPr>
          <w:rFonts w:eastAsia="Times New Roman" w:cs="Times New Roman"/>
          <w:szCs w:val="19"/>
          <w:lang w:eastAsia="pl-PL"/>
        </w:rPr>
        <w:t xml:space="preserve"> spadek</w:t>
      </w:r>
      <w:r w:rsidR="00811873" w:rsidRPr="00A70D1B">
        <w:rPr>
          <w:rFonts w:eastAsia="Times New Roman" w:cs="Times New Roman"/>
          <w:szCs w:val="19"/>
          <w:lang w:eastAsia="pl-PL"/>
        </w:rPr>
        <w:t xml:space="preserve"> liczby osób</w:t>
      </w:r>
      <w:r w:rsidR="0090047C" w:rsidRPr="00A70D1B">
        <w:rPr>
          <w:rFonts w:eastAsia="Times New Roman" w:cs="Times New Roman"/>
          <w:szCs w:val="19"/>
          <w:lang w:eastAsia="pl-PL"/>
        </w:rPr>
        <w:t xml:space="preserve"> pracujących odnotowano wśród mężczyzn (o </w:t>
      </w:r>
      <w:r w:rsidR="00811873" w:rsidRPr="00A70D1B">
        <w:rPr>
          <w:rFonts w:eastAsia="Times New Roman" w:cs="Times New Roman"/>
          <w:szCs w:val="19"/>
          <w:lang w:eastAsia="pl-PL"/>
        </w:rPr>
        <w:t>95</w:t>
      </w:r>
      <w:r w:rsidR="0090047C" w:rsidRPr="00A70D1B">
        <w:rPr>
          <w:rFonts w:eastAsia="Times New Roman" w:cs="Times New Roman"/>
          <w:szCs w:val="19"/>
          <w:lang w:eastAsia="pl-PL"/>
        </w:rPr>
        <w:t xml:space="preserve"> tys.</w:t>
      </w:r>
      <w:r w:rsidR="00D82D93" w:rsidRPr="00A70D1B">
        <w:rPr>
          <w:rFonts w:eastAsia="Times New Roman" w:cs="Times New Roman"/>
          <w:szCs w:val="19"/>
          <w:lang w:eastAsia="pl-PL"/>
        </w:rPr>
        <w:t xml:space="preserve"> osób</w:t>
      </w:r>
      <w:r w:rsidR="00833EE4" w:rsidRPr="00A70D1B">
        <w:rPr>
          <w:rFonts w:eastAsia="Times New Roman" w:cs="Times New Roman"/>
          <w:szCs w:val="19"/>
          <w:lang w:eastAsia="pl-PL"/>
        </w:rPr>
        <w:t>,</w:t>
      </w:r>
      <w:r w:rsidR="0090047C" w:rsidRPr="00A70D1B">
        <w:rPr>
          <w:rFonts w:eastAsia="Times New Roman" w:cs="Times New Roman"/>
          <w:szCs w:val="19"/>
          <w:lang w:eastAsia="pl-PL"/>
        </w:rPr>
        <w:t xml:space="preserve"> tj. o</w:t>
      </w:r>
      <w:r w:rsidR="00627CE7" w:rsidRPr="00A70D1B">
        <w:rPr>
          <w:rFonts w:eastAsia="Times New Roman" w:cs="Times New Roman"/>
          <w:szCs w:val="19"/>
          <w:lang w:eastAsia="pl-PL"/>
        </w:rPr>
        <w:t> </w:t>
      </w:r>
      <w:r w:rsidR="0090047C" w:rsidRPr="00A70D1B">
        <w:rPr>
          <w:rFonts w:eastAsia="Times New Roman" w:cs="Times New Roman"/>
          <w:szCs w:val="19"/>
          <w:lang w:eastAsia="pl-PL"/>
        </w:rPr>
        <w:t>1,</w:t>
      </w:r>
      <w:r w:rsidR="00811873" w:rsidRPr="00A70D1B">
        <w:rPr>
          <w:rFonts w:eastAsia="Times New Roman" w:cs="Times New Roman"/>
          <w:szCs w:val="19"/>
          <w:lang w:eastAsia="pl-PL"/>
        </w:rPr>
        <w:t>0</w:t>
      </w:r>
      <w:r w:rsidR="0090047C" w:rsidRPr="00A70D1B">
        <w:rPr>
          <w:rFonts w:eastAsia="Times New Roman" w:cs="Times New Roman"/>
          <w:szCs w:val="19"/>
          <w:lang w:eastAsia="pl-PL"/>
        </w:rPr>
        <w:t>%)</w:t>
      </w:r>
      <w:r w:rsidR="00811873" w:rsidRPr="00A70D1B">
        <w:rPr>
          <w:rFonts w:eastAsia="Times New Roman" w:cs="Times New Roman"/>
          <w:szCs w:val="19"/>
          <w:lang w:eastAsia="pl-PL"/>
        </w:rPr>
        <w:t>, a wśród kobiet nie</w:t>
      </w:r>
      <w:r w:rsidR="00F92041" w:rsidRPr="00A70D1B">
        <w:rPr>
          <w:rFonts w:eastAsia="Times New Roman" w:cs="Times New Roman"/>
          <w:szCs w:val="19"/>
          <w:lang w:eastAsia="pl-PL"/>
        </w:rPr>
        <w:t>znaczny</w:t>
      </w:r>
      <w:r w:rsidR="00811873" w:rsidRPr="00A70D1B">
        <w:rPr>
          <w:rFonts w:eastAsia="Times New Roman" w:cs="Times New Roman"/>
          <w:szCs w:val="19"/>
          <w:lang w:eastAsia="pl-PL"/>
        </w:rPr>
        <w:t xml:space="preserve"> wzrost</w:t>
      </w:r>
      <w:r w:rsidR="0090047C" w:rsidRPr="00A70D1B">
        <w:rPr>
          <w:rFonts w:eastAsia="Times New Roman" w:cs="Times New Roman"/>
          <w:szCs w:val="19"/>
          <w:lang w:eastAsia="pl-PL"/>
        </w:rPr>
        <w:t xml:space="preserve"> (o </w:t>
      </w:r>
      <w:r w:rsidR="00811873" w:rsidRPr="00A70D1B">
        <w:rPr>
          <w:rFonts w:eastAsia="Times New Roman" w:cs="Times New Roman"/>
          <w:szCs w:val="19"/>
          <w:lang w:eastAsia="pl-PL"/>
        </w:rPr>
        <w:t>9</w:t>
      </w:r>
      <w:r w:rsidR="0090047C" w:rsidRPr="00A70D1B">
        <w:rPr>
          <w:rFonts w:eastAsia="Times New Roman" w:cs="Times New Roman"/>
          <w:szCs w:val="19"/>
          <w:lang w:eastAsia="pl-PL"/>
        </w:rPr>
        <w:t xml:space="preserve"> tys., tj. o 0,</w:t>
      </w:r>
      <w:r w:rsidR="00811873" w:rsidRPr="00A70D1B">
        <w:rPr>
          <w:rFonts w:eastAsia="Times New Roman" w:cs="Times New Roman"/>
          <w:szCs w:val="19"/>
          <w:lang w:eastAsia="pl-PL"/>
        </w:rPr>
        <w:t>1</w:t>
      </w:r>
      <w:r w:rsidR="0090047C" w:rsidRPr="00A70D1B">
        <w:rPr>
          <w:rFonts w:eastAsia="Times New Roman" w:cs="Times New Roman"/>
          <w:szCs w:val="19"/>
          <w:lang w:eastAsia="pl-PL"/>
        </w:rPr>
        <w:t>%)</w:t>
      </w:r>
      <w:r w:rsidR="00310ABE" w:rsidRPr="00A70D1B">
        <w:rPr>
          <w:rFonts w:eastAsia="Times New Roman" w:cs="Times New Roman"/>
          <w:szCs w:val="19"/>
          <w:lang w:eastAsia="pl-PL"/>
        </w:rPr>
        <w:t>,</w:t>
      </w:r>
      <w:r w:rsidR="006947DC" w:rsidRPr="00A70D1B">
        <w:rPr>
          <w:rFonts w:eastAsia="Times New Roman" w:cs="Times New Roman"/>
          <w:szCs w:val="19"/>
          <w:lang w:eastAsia="pl-PL"/>
        </w:rPr>
        <w:t xml:space="preserve"> z</w:t>
      </w:r>
      <w:r w:rsidR="004B40F3" w:rsidRPr="00A70D1B">
        <w:rPr>
          <w:rFonts w:eastAsia="Times New Roman" w:cs="Times New Roman"/>
          <w:szCs w:val="19"/>
          <w:lang w:eastAsia="pl-PL"/>
        </w:rPr>
        <w:t> </w:t>
      </w:r>
      <w:r w:rsidR="006947DC" w:rsidRPr="00A70D1B">
        <w:rPr>
          <w:rFonts w:eastAsia="Times New Roman" w:cs="Times New Roman"/>
          <w:szCs w:val="19"/>
          <w:lang w:eastAsia="pl-PL"/>
        </w:rPr>
        <w:t xml:space="preserve">kolei </w:t>
      </w:r>
      <w:r w:rsidR="00310ABE" w:rsidRPr="00A70D1B">
        <w:rPr>
          <w:rFonts w:eastAsia="Times New Roman" w:cs="Times New Roman"/>
          <w:szCs w:val="19"/>
          <w:lang w:eastAsia="pl-PL"/>
        </w:rPr>
        <w:t>u</w:t>
      </w:r>
      <w:r w:rsidR="00155815" w:rsidRPr="00A70D1B">
        <w:rPr>
          <w:rFonts w:eastAsia="Times New Roman" w:cs="Times New Roman"/>
          <w:szCs w:val="19"/>
          <w:lang w:eastAsia="pl-PL"/>
        </w:rPr>
        <w:t>względniając</w:t>
      </w:r>
      <w:r w:rsidR="00ED5B64" w:rsidRPr="00A70D1B">
        <w:rPr>
          <w:rFonts w:eastAsia="Times New Roman" w:cs="Times New Roman"/>
          <w:szCs w:val="19"/>
          <w:lang w:eastAsia="pl-PL"/>
        </w:rPr>
        <w:t xml:space="preserve"> miejsce zamieszkania</w:t>
      </w:r>
      <w:r w:rsidR="00F5089C" w:rsidRPr="00A70D1B">
        <w:rPr>
          <w:rFonts w:eastAsia="Times New Roman" w:cs="Times New Roman"/>
          <w:szCs w:val="19"/>
          <w:lang w:eastAsia="pl-PL"/>
        </w:rPr>
        <w:t>,</w:t>
      </w:r>
      <w:r w:rsidR="0090047C" w:rsidRPr="00A70D1B">
        <w:rPr>
          <w:rFonts w:eastAsia="Times New Roman" w:cs="Times New Roman"/>
          <w:szCs w:val="19"/>
          <w:lang w:eastAsia="pl-PL"/>
        </w:rPr>
        <w:t xml:space="preserve"> w</w:t>
      </w:r>
      <w:r w:rsidR="00627CE7" w:rsidRPr="00A70D1B">
        <w:rPr>
          <w:rFonts w:eastAsia="Times New Roman" w:cs="Times New Roman"/>
          <w:szCs w:val="19"/>
          <w:lang w:eastAsia="pl-PL"/>
        </w:rPr>
        <w:t> </w:t>
      </w:r>
      <w:r w:rsidR="0090047C" w:rsidRPr="00A70D1B">
        <w:rPr>
          <w:rFonts w:eastAsia="Times New Roman" w:cs="Times New Roman"/>
          <w:szCs w:val="19"/>
          <w:lang w:eastAsia="pl-PL"/>
        </w:rPr>
        <w:t>większym stopniu</w:t>
      </w:r>
      <w:r w:rsidR="00ED5B64" w:rsidRPr="00A70D1B">
        <w:rPr>
          <w:rFonts w:eastAsia="Times New Roman" w:cs="Times New Roman"/>
          <w:szCs w:val="19"/>
          <w:lang w:eastAsia="pl-PL"/>
        </w:rPr>
        <w:t xml:space="preserve"> z</w:t>
      </w:r>
      <w:r w:rsidR="0090047C" w:rsidRPr="00A70D1B">
        <w:rPr>
          <w:rFonts w:eastAsia="Times New Roman" w:cs="Times New Roman"/>
          <w:szCs w:val="19"/>
          <w:lang w:eastAsia="pl-PL"/>
        </w:rPr>
        <w:t>mniejszyła</w:t>
      </w:r>
      <w:r w:rsidR="00ED5B64" w:rsidRPr="00A70D1B">
        <w:rPr>
          <w:rFonts w:eastAsia="Times New Roman" w:cs="Times New Roman"/>
          <w:szCs w:val="19"/>
          <w:lang w:eastAsia="pl-PL"/>
        </w:rPr>
        <w:t xml:space="preserve"> się liczba pracujących mieszkańców </w:t>
      </w:r>
      <w:r w:rsidR="00811873" w:rsidRPr="00A70D1B">
        <w:rPr>
          <w:rFonts w:eastAsia="Times New Roman" w:cs="Times New Roman"/>
          <w:szCs w:val="19"/>
          <w:lang w:eastAsia="pl-PL"/>
        </w:rPr>
        <w:t>wsi</w:t>
      </w:r>
      <w:r w:rsidR="00ED5B64" w:rsidRPr="00A70D1B">
        <w:rPr>
          <w:rFonts w:eastAsia="Times New Roman" w:cs="Times New Roman"/>
          <w:szCs w:val="19"/>
          <w:lang w:eastAsia="pl-PL"/>
        </w:rPr>
        <w:t xml:space="preserve"> </w:t>
      </w:r>
      <w:r w:rsidR="00310ABE" w:rsidRPr="00A70D1B">
        <w:rPr>
          <w:rFonts w:eastAsia="Times New Roman" w:cs="Times New Roman"/>
          <w:szCs w:val="19"/>
          <w:lang w:eastAsia="pl-PL"/>
        </w:rPr>
        <w:t>(</w:t>
      </w:r>
      <w:r w:rsidR="00ED5B64" w:rsidRPr="00A70D1B">
        <w:rPr>
          <w:rFonts w:eastAsia="Times New Roman" w:cs="Times New Roman"/>
          <w:szCs w:val="19"/>
          <w:lang w:eastAsia="pl-PL"/>
        </w:rPr>
        <w:t xml:space="preserve">o </w:t>
      </w:r>
      <w:r w:rsidR="00811873" w:rsidRPr="00A70D1B">
        <w:rPr>
          <w:rFonts w:eastAsia="Times New Roman" w:cs="Times New Roman"/>
          <w:szCs w:val="19"/>
          <w:lang w:eastAsia="pl-PL"/>
        </w:rPr>
        <w:t>63</w:t>
      </w:r>
      <w:r w:rsidR="00ED5B64" w:rsidRPr="00A70D1B">
        <w:rPr>
          <w:rFonts w:eastAsia="Times New Roman" w:cs="Times New Roman"/>
          <w:szCs w:val="19"/>
          <w:lang w:eastAsia="pl-PL"/>
        </w:rPr>
        <w:t xml:space="preserve"> tys., tj.</w:t>
      </w:r>
      <w:r w:rsidR="00865495" w:rsidRPr="00A70D1B">
        <w:rPr>
          <w:rFonts w:eastAsia="Times New Roman" w:cs="Times New Roman"/>
          <w:szCs w:val="19"/>
          <w:lang w:eastAsia="pl-PL"/>
        </w:rPr>
        <w:t> </w:t>
      </w:r>
      <w:r w:rsidR="00ED5B64" w:rsidRPr="00A70D1B">
        <w:rPr>
          <w:rFonts w:eastAsia="Times New Roman" w:cs="Times New Roman"/>
          <w:szCs w:val="19"/>
          <w:lang w:eastAsia="pl-PL"/>
        </w:rPr>
        <w:t>o</w:t>
      </w:r>
      <w:r w:rsidR="00155815" w:rsidRPr="00A70D1B">
        <w:rPr>
          <w:rFonts w:eastAsia="Times New Roman" w:cs="Times New Roman"/>
          <w:szCs w:val="19"/>
          <w:lang w:eastAsia="pl-PL"/>
        </w:rPr>
        <w:t> </w:t>
      </w:r>
      <w:r w:rsidR="00811873" w:rsidRPr="00A70D1B">
        <w:rPr>
          <w:rFonts w:eastAsia="Times New Roman" w:cs="Times New Roman"/>
          <w:szCs w:val="19"/>
          <w:lang w:eastAsia="pl-PL"/>
        </w:rPr>
        <w:t>0,9</w:t>
      </w:r>
      <w:r w:rsidR="00ED5B64" w:rsidRPr="00A70D1B">
        <w:rPr>
          <w:rFonts w:eastAsia="Times New Roman" w:cs="Times New Roman"/>
          <w:szCs w:val="19"/>
          <w:lang w:eastAsia="pl-PL"/>
        </w:rPr>
        <w:t>%</w:t>
      </w:r>
      <w:r w:rsidR="00310ABE" w:rsidRPr="00A70D1B">
        <w:rPr>
          <w:rFonts w:eastAsia="Times New Roman" w:cs="Times New Roman"/>
          <w:szCs w:val="19"/>
          <w:lang w:eastAsia="pl-PL"/>
        </w:rPr>
        <w:t>)</w:t>
      </w:r>
      <w:r w:rsidR="00F5089C" w:rsidRPr="00A70D1B">
        <w:rPr>
          <w:rFonts w:eastAsia="Times New Roman" w:cs="Times New Roman"/>
          <w:szCs w:val="19"/>
          <w:lang w:eastAsia="pl-PL"/>
        </w:rPr>
        <w:t xml:space="preserve"> </w:t>
      </w:r>
      <w:r w:rsidR="0090047C" w:rsidRPr="00A70D1B">
        <w:rPr>
          <w:rFonts w:eastAsia="Times New Roman" w:cs="Times New Roman"/>
          <w:szCs w:val="19"/>
          <w:lang w:eastAsia="pl-PL"/>
        </w:rPr>
        <w:t>niż</w:t>
      </w:r>
      <w:r w:rsidR="00ED5B64" w:rsidRPr="00A70D1B">
        <w:rPr>
          <w:rFonts w:eastAsia="Times New Roman" w:cs="Times New Roman"/>
          <w:szCs w:val="19"/>
          <w:lang w:eastAsia="pl-PL"/>
        </w:rPr>
        <w:t xml:space="preserve"> </w:t>
      </w:r>
      <w:r w:rsidR="00811873" w:rsidRPr="00A70D1B">
        <w:rPr>
          <w:rFonts w:eastAsia="Times New Roman" w:cs="Times New Roman"/>
          <w:szCs w:val="19"/>
          <w:lang w:eastAsia="pl-PL"/>
        </w:rPr>
        <w:t>miast</w:t>
      </w:r>
      <w:r w:rsidR="00ED5B64" w:rsidRPr="00A70D1B">
        <w:rPr>
          <w:rFonts w:eastAsia="Times New Roman" w:cs="Times New Roman"/>
          <w:szCs w:val="19"/>
          <w:lang w:eastAsia="pl-PL"/>
        </w:rPr>
        <w:t xml:space="preserve"> </w:t>
      </w:r>
      <w:r w:rsidR="00310ABE" w:rsidRPr="00A70D1B">
        <w:rPr>
          <w:rFonts w:eastAsia="Times New Roman" w:cs="Times New Roman"/>
          <w:szCs w:val="19"/>
          <w:lang w:eastAsia="pl-PL"/>
        </w:rPr>
        <w:t>(</w:t>
      </w:r>
      <w:r w:rsidR="00ED5B64" w:rsidRPr="00A70D1B">
        <w:rPr>
          <w:rFonts w:eastAsia="Times New Roman" w:cs="Times New Roman"/>
          <w:szCs w:val="19"/>
          <w:lang w:eastAsia="pl-PL"/>
        </w:rPr>
        <w:t xml:space="preserve">o </w:t>
      </w:r>
      <w:r w:rsidR="00811873" w:rsidRPr="00A70D1B">
        <w:rPr>
          <w:rFonts w:eastAsia="Times New Roman" w:cs="Times New Roman"/>
          <w:szCs w:val="19"/>
          <w:lang w:eastAsia="pl-PL"/>
        </w:rPr>
        <w:t>24</w:t>
      </w:r>
      <w:r w:rsidR="00ED5B64" w:rsidRPr="00A70D1B">
        <w:rPr>
          <w:rFonts w:eastAsia="Times New Roman" w:cs="Times New Roman"/>
          <w:szCs w:val="19"/>
          <w:lang w:eastAsia="pl-PL"/>
        </w:rPr>
        <w:t xml:space="preserve"> tys., tj. o 0,</w:t>
      </w:r>
      <w:r w:rsidR="004217CF" w:rsidRPr="00A70D1B">
        <w:rPr>
          <w:rFonts w:eastAsia="Times New Roman" w:cs="Times New Roman"/>
          <w:szCs w:val="19"/>
          <w:lang w:eastAsia="pl-PL"/>
        </w:rPr>
        <w:t>2</w:t>
      </w:r>
      <w:r w:rsidR="00ED5B64" w:rsidRPr="00A70D1B">
        <w:rPr>
          <w:rFonts w:eastAsia="Times New Roman" w:cs="Times New Roman"/>
          <w:szCs w:val="19"/>
          <w:lang w:eastAsia="pl-PL"/>
        </w:rPr>
        <w:t>%</w:t>
      </w:r>
      <w:r w:rsidR="00310ABE" w:rsidRPr="00A70D1B">
        <w:rPr>
          <w:rFonts w:eastAsia="Times New Roman" w:cs="Times New Roman"/>
          <w:szCs w:val="19"/>
          <w:lang w:eastAsia="pl-PL"/>
        </w:rPr>
        <w:t>)</w:t>
      </w:r>
      <w:r w:rsidR="00ED5B64" w:rsidRPr="00A70D1B">
        <w:rPr>
          <w:rFonts w:eastAsia="Times New Roman" w:cs="Times New Roman"/>
          <w:szCs w:val="19"/>
          <w:lang w:eastAsia="pl-PL"/>
        </w:rPr>
        <w:t>.</w:t>
      </w:r>
      <w:r w:rsidR="00E23488" w:rsidRPr="00A70D1B">
        <w:rPr>
          <w:rFonts w:eastAsia="Times New Roman" w:cs="Times New Roman"/>
          <w:szCs w:val="19"/>
          <w:lang w:eastAsia="pl-PL"/>
        </w:rPr>
        <w:t xml:space="preserve"> </w:t>
      </w:r>
    </w:p>
    <w:p w14:paraId="0E9A242D" w14:textId="4C0A112C" w:rsidR="00E23488" w:rsidRPr="00A70D1B" w:rsidRDefault="001F008C" w:rsidP="00104F2C">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E90FDC" w:rsidRPr="00A70D1B">
        <w:rPr>
          <w:rFonts w:eastAsia="Times New Roman" w:cs="Times New Roman"/>
          <w:szCs w:val="19"/>
          <w:lang w:eastAsia="pl-PL"/>
        </w:rPr>
        <w:t xml:space="preserve">populacji </w:t>
      </w:r>
      <w:r w:rsidR="00BF092B" w:rsidRPr="00A70D1B">
        <w:rPr>
          <w:rFonts w:eastAsia="Times New Roman" w:cs="Times New Roman"/>
          <w:szCs w:val="19"/>
          <w:lang w:eastAsia="pl-PL"/>
        </w:rPr>
        <w:t>pracujących</w:t>
      </w:r>
      <w:r w:rsidR="00CA3AEE" w:rsidRPr="00A70D1B">
        <w:rPr>
          <w:rFonts w:eastAsia="Times New Roman" w:cs="Times New Roman"/>
          <w:szCs w:val="19"/>
          <w:lang w:eastAsia="pl-PL"/>
        </w:rPr>
        <w:t>,</w:t>
      </w:r>
      <w:r w:rsidR="00BF092B" w:rsidRPr="00A70D1B">
        <w:rPr>
          <w:rFonts w:eastAsia="Times New Roman" w:cs="Times New Roman"/>
          <w:szCs w:val="19"/>
          <w:lang w:eastAsia="pl-PL"/>
        </w:rPr>
        <w:t xml:space="preserve"> </w:t>
      </w:r>
      <w:r w:rsidR="008144C4" w:rsidRPr="00A70D1B">
        <w:rPr>
          <w:rFonts w:eastAsia="Times New Roman" w:cs="Times New Roman"/>
          <w:szCs w:val="19"/>
          <w:lang w:eastAsia="pl-PL"/>
        </w:rPr>
        <w:t>uwzględniając</w:t>
      </w:r>
      <w:r w:rsidR="00CA3AEE" w:rsidRPr="00A70D1B">
        <w:rPr>
          <w:rFonts w:eastAsia="Times New Roman" w:cs="Times New Roman"/>
          <w:szCs w:val="19"/>
          <w:lang w:eastAsia="pl-PL"/>
        </w:rPr>
        <w:t xml:space="preserve"> </w:t>
      </w:r>
      <w:r w:rsidR="00310ABE" w:rsidRPr="00A70D1B">
        <w:rPr>
          <w:rFonts w:eastAsia="Times New Roman" w:cs="Times New Roman"/>
          <w:szCs w:val="19"/>
          <w:lang w:eastAsia="pl-PL"/>
        </w:rPr>
        <w:t xml:space="preserve">podział </w:t>
      </w:r>
      <w:r w:rsidR="00B82123" w:rsidRPr="00A70D1B">
        <w:rPr>
          <w:rFonts w:eastAsia="Times New Roman" w:cs="Times New Roman"/>
          <w:szCs w:val="19"/>
          <w:lang w:eastAsia="pl-PL"/>
        </w:rPr>
        <w:t>według płci</w:t>
      </w:r>
      <w:r w:rsidR="00CA3AEE" w:rsidRPr="00A70D1B">
        <w:rPr>
          <w:rFonts w:eastAsia="Times New Roman" w:cs="Times New Roman"/>
          <w:szCs w:val="19"/>
          <w:lang w:eastAsia="pl-PL"/>
        </w:rPr>
        <w:t xml:space="preserve">, nadal </w:t>
      </w:r>
      <w:r w:rsidR="00BF092B" w:rsidRPr="00A70D1B">
        <w:rPr>
          <w:rFonts w:eastAsia="Times New Roman" w:cs="Times New Roman"/>
          <w:szCs w:val="19"/>
          <w:lang w:eastAsia="pl-PL"/>
        </w:rPr>
        <w:t xml:space="preserve">przeważali mężczyźni, którzy stanowili </w:t>
      </w:r>
      <w:r w:rsidR="00B00F4E" w:rsidRPr="00A70D1B">
        <w:rPr>
          <w:rFonts w:eastAsia="Times New Roman" w:cs="Times New Roman"/>
          <w:szCs w:val="19"/>
          <w:lang w:eastAsia="pl-PL"/>
        </w:rPr>
        <w:t>5</w:t>
      </w:r>
      <w:r w:rsidR="00830EC6" w:rsidRPr="00A70D1B">
        <w:rPr>
          <w:rFonts w:eastAsia="Times New Roman" w:cs="Times New Roman"/>
          <w:szCs w:val="19"/>
          <w:lang w:eastAsia="pl-PL"/>
        </w:rPr>
        <w:t>4,</w:t>
      </w:r>
      <w:r w:rsidR="00811873" w:rsidRPr="00A70D1B">
        <w:rPr>
          <w:rFonts w:eastAsia="Times New Roman" w:cs="Times New Roman"/>
          <w:szCs w:val="19"/>
          <w:lang w:eastAsia="pl-PL"/>
        </w:rPr>
        <w:t>0</w:t>
      </w:r>
      <w:r w:rsidR="00BF092B" w:rsidRPr="00A70D1B">
        <w:rPr>
          <w:rFonts w:eastAsia="Times New Roman" w:cs="Times New Roman"/>
          <w:szCs w:val="19"/>
          <w:lang w:eastAsia="pl-PL"/>
        </w:rPr>
        <w:t>% (tj. 9</w:t>
      </w:r>
      <w:r w:rsidR="00811873" w:rsidRPr="00A70D1B">
        <w:rPr>
          <w:rFonts w:eastAsia="Times New Roman" w:cs="Times New Roman"/>
          <w:szCs w:val="19"/>
          <w:lang w:eastAsia="pl-PL"/>
        </w:rPr>
        <w:t> 284</w:t>
      </w:r>
      <w:r w:rsidR="00BF092B" w:rsidRPr="00A70D1B">
        <w:rPr>
          <w:rFonts w:eastAsia="Times New Roman" w:cs="Times New Roman"/>
          <w:szCs w:val="19"/>
          <w:lang w:eastAsia="pl-PL"/>
        </w:rPr>
        <w:t xml:space="preserve"> tys.</w:t>
      </w:r>
      <w:r w:rsidR="00310ABE" w:rsidRPr="00A70D1B">
        <w:rPr>
          <w:rFonts w:eastAsia="Times New Roman" w:cs="Times New Roman"/>
          <w:szCs w:val="19"/>
          <w:lang w:eastAsia="pl-PL"/>
        </w:rPr>
        <w:t xml:space="preserve"> osób</w:t>
      </w:r>
      <w:r w:rsidR="00BF092B" w:rsidRPr="00A70D1B">
        <w:rPr>
          <w:rFonts w:eastAsia="Times New Roman" w:cs="Times New Roman"/>
          <w:szCs w:val="19"/>
          <w:lang w:eastAsia="pl-PL"/>
        </w:rPr>
        <w:t>) tej zbiorowości</w:t>
      </w:r>
      <w:r w:rsidR="00184DFE" w:rsidRPr="00A70D1B">
        <w:rPr>
          <w:rFonts w:eastAsia="Times New Roman" w:cs="Times New Roman"/>
          <w:szCs w:val="19"/>
          <w:lang w:eastAsia="pl-PL"/>
        </w:rPr>
        <w:t xml:space="preserve">, </w:t>
      </w:r>
      <w:r w:rsidR="003E38C9" w:rsidRPr="00A70D1B">
        <w:rPr>
          <w:rFonts w:eastAsia="Times New Roman" w:cs="Times New Roman"/>
          <w:szCs w:val="19"/>
          <w:lang w:eastAsia="pl-PL"/>
        </w:rPr>
        <w:t xml:space="preserve">a </w:t>
      </w:r>
      <w:r w:rsidRPr="00A70D1B">
        <w:rPr>
          <w:rFonts w:eastAsia="Times New Roman" w:cs="Times New Roman"/>
          <w:szCs w:val="19"/>
          <w:lang w:eastAsia="pl-PL"/>
        </w:rPr>
        <w:t xml:space="preserve">biorąc pod uwagę miejsce </w:t>
      </w:r>
      <w:r w:rsidR="00BF092B" w:rsidRPr="00A70D1B">
        <w:rPr>
          <w:rFonts w:eastAsia="Times New Roman" w:cs="Times New Roman"/>
          <w:szCs w:val="19"/>
          <w:lang w:eastAsia="pl-PL"/>
        </w:rPr>
        <w:t>zamieszkania</w:t>
      </w:r>
      <w:r w:rsidR="004F102D" w:rsidRPr="00A70D1B">
        <w:rPr>
          <w:rFonts w:eastAsia="Times New Roman" w:cs="Times New Roman"/>
          <w:szCs w:val="19"/>
          <w:lang w:eastAsia="pl-PL"/>
        </w:rPr>
        <w:t xml:space="preserve"> – więcej było pracujących zamieszkałych w miastach </w:t>
      </w:r>
      <w:r w:rsidR="00184DFE" w:rsidRPr="00A70D1B">
        <w:rPr>
          <w:rFonts w:eastAsia="Times New Roman" w:cs="Times New Roman"/>
          <w:szCs w:val="19"/>
          <w:lang w:eastAsia="pl-PL"/>
        </w:rPr>
        <w:t>(</w:t>
      </w:r>
      <w:r w:rsidR="004B0775" w:rsidRPr="00A70D1B">
        <w:rPr>
          <w:rFonts w:eastAsia="Times New Roman" w:cs="Times New Roman"/>
          <w:szCs w:val="19"/>
          <w:lang w:eastAsia="pl-PL"/>
        </w:rPr>
        <w:t>6</w:t>
      </w:r>
      <w:r w:rsidR="00811873" w:rsidRPr="00A70D1B">
        <w:rPr>
          <w:rFonts w:eastAsia="Times New Roman" w:cs="Times New Roman"/>
          <w:szCs w:val="19"/>
          <w:lang w:eastAsia="pl-PL"/>
        </w:rPr>
        <w:t>1,2</w:t>
      </w:r>
      <w:r w:rsidR="00BF092B" w:rsidRPr="00A70D1B" w:rsidDel="00CB3101">
        <w:rPr>
          <w:rFonts w:eastAsia="Times New Roman" w:cs="Times New Roman"/>
          <w:szCs w:val="19"/>
          <w:lang w:eastAsia="pl-PL"/>
        </w:rPr>
        <w:t>%</w:t>
      </w:r>
      <w:r w:rsidR="00184DFE" w:rsidRPr="00A70D1B">
        <w:rPr>
          <w:rFonts w:eastAsia="Times New Roman" w:cs="Times New Roman"/>
          <w:szCs w:val="19"/>
          <w:lang w:eastAsia="pl-PL"/>
        </w:rPr>
        <w:t xml:space="preserve">, </w:t>
      </w:r>
      <w:r w:rsidR="00BF092B" w:rsidRPr="00A70D1B">
        <w:rPr>
          <w:rFonts w:eastAsia="Times New Roman" w:cs="Times New Roman"/>
          <w:szCs w:val="19"/>
          <w:lang w:eastAsia="pl-PL"/>
        </w:rPr>
        <w:t>tj.</w:t>
      </w:r>
      <w:r w:rsidR="00BF092B" w:rsidRPr="00A70D1B">
        <w:t xml:space="preserve"> </w:t>
      </w:r>
      <w:r w:rsidR="004B0775" w:rsidRPr="00A70D1B">
        <w:rPr>
          <w:rFonts w:eastAsia="Times New Roman" w:cs="Times New Roman"/>
          <w:szCs w:val="19"/>
          <w:lang w:eastAsia="pl-PL"/>
        </w:rPr>
        <w:t>10</w:t>
      </w:r>
      <w:r w:rsidR="00830EC6" w:rsidRPr="00A70D1B">
        <w:rPr>
          <w:rFonts w:eastAsia="Times New Roman" w:cs="Times New Roman"/>
          <w:szCs w:val="19"/>
          <w:lang w:eastAsia="pl-PL"/>
        </w:rPr>
        <w:t> </w:t>
      </w:r>
      <w:r w:rsidR="00811873" w:rsidRPr="00A70D1B">
        <w:rPr>
          <w:rFonts w:eastAsia="Times New Roman" w:cs="Times New Roman"/>
          <w:szCs w:val="19"/>
          <w:lang w:eastAsia="pl-PL"/>
        </w:rPr>
        <w:t>532</w:t>
      </w:r>
      <w:r w:rsidR="00830EC6" w:rsidRPr="00A70D1B">
        <w:rPr>
          <w:rFonts w:eastAsia="Times New Roman" w:cs="Times New Roman"/>
          <w:szCs w:val="19"/>
          <w:lang w:eastAsia="pl-PL"/>
        </w:rPr>
        <w:t xml:space="preserve"> </w:t>
      </w:r>
      <w:r w:rsidR="00BF092B" w:rsidRPr="00A70D1B">
        <w:rPr>
          <w:rFonts w:eastAsia="Times New Roman" w:cs="Times New Roman"/>
          <w:szCs w:val="19"/>
          <w:lang w:eastAsia="pl-PL"/>
        </w:rPr>
        <w:t>tys.)</w:t>
      </w:r>
      <w:r w:rsidR="001C2602" w:rsidRPr="00A70D1B">
        <w:rPr>
          <w:rFonts w:eastAsia="Times New Roman" w:cs="Times New Roman"/>
          <w:szCs w:val="19"/>
          <w:lang w:eastAsia="pl-PL"/>
        </w:rPr>
        <w:t xml:space="preserve">, co jest </w:t>
      </w:r>
      <w:r w:rsidR="002A0069" w:rsidRPr="00A70D1B">
        <w:rPr>
          <w:rFonts w:eastAsia="Times New Roman" w:cs="Times New Roman"/>
          <w:szCs w:val="19"/>
          <w:lang w:eastAsia="pl-PL"/>
        </w:rPr>
        <w:t xml:space="preserve">wprost </w:t>
      </w:r>
      <w:r w:rsidR="001C2602" w:rsidRPr="00A70D1B">
        <w:rPr>
          <w:rFonts w:eastAsia="Times New Roman" w:cs="Times New Roman"/>
          <w:szCs w:val="19"/>
          <w:lang w:eastAsia="pl-PL"/>
        </w:rPr>
        <w:t>konsekwencją większej liczby ludn</w:t>
      </w:r>
      <w:r w:rsidR="00070039" w:rsidRPr="00A70D1B">
        <w:rPr>
          <w:rFonts w:eastAsia="Times New Roman" w:cs="Times New Roman"/>
          <w:szCs w:val="19"/>
          <w:lang w:eastAsia="pl-PL"/>
        </w:rPr>
        <w:t>ości</w:t>
      </w:r>
      <w:r w:rsidR="002A0069" w:rsidRPr="00A70D1B">
        <w:rPr>
          <w:rFonts w:eastAsia="Times New Roman" w:cs="Times New Roman"/>
          <w:szCs w:val="19"/>
          <w:lang w:eastAsia="pl-PL"/>
        </w:rPr>
        <w:t xml:space="preserve"> w miastach</w:t>
      </w:r>
      <w:r w:rsidR="00CF3A00" w:rsidRPr="00A70D1B">
        <w:rPr>
          <w:rFonts w:eastAsia="Times New Roman" w:cs="Times New Roman"/>
          <w:szCs w:val="19"/>
          <w:lang w:eastAsia="pl-PL"/>
        </w:rPr>
        <w:t xml:space="preserve"> niż na wsi</w:t>
      </w:r>
      <w:r w:rsidR="00CD376E" w:rsidRPr="00A70D1B">
        <w:rPr>
          <w:rFonts w:eastAsia="Times New Roman" w:cs="Times New Roman"/>
          <w:szCs w:val="19"/>
          <w:lang w:eastAsia="pl-PL"/>
        </w:rPr>
        <w:t xml:space="preserve"> (odpowiednio 3/5 i</w:t>
      </w:r>
      <w:r w:rsidR="004B40F3" w:rsidRPr="00A70D1B">
        <w:rPr>
          <w:rFonts w:eastAsia="Times New Roman" w:cs="Times New Roman"/>
          <w:szCs w:val="19"/>
          <w:lang w:eastAsia="pl-PL"/>
        </w:rPr>
        <w:t> </w:t>
      </w:r>
      <w:r w:rsidR="00CD376E" w:rsidRPr="00A70D1B">
        <w:rPr>
          <w:rFonts w:eastAsia="Times New Roman" w:cs="Times New Roman"/>
          <w:szCs w:val="19"/>
          <w:lang w:eastAsia="pl-PL"/>
        </w:rPr>
        <w:t>2/5 ogółu ludności w Polsce)</w:t>
      </w:r>
      <w:r w:rsidR="00CF3A00" w:rsidRPr="00A70D1B">
        <w:rPr>
          <w:rFonts w:eastAsia="Times New Roman" w:cs="Times New Roman"/>
          <w:szCs w:val="19"/>
          <w:lang w:eastAsia="pl-PL"/>
        </w:rPr>
        <w:t>.</w:t>
      </w:r>
      <w:r w:rsidR="006A01D3" w:rsidRPr="00A70D1B">
        <w:rPr>
          <w:rFonts w:eastAsia="Times New Roman" w:cs="Times New Roman"/>
          <w:szCs w:val="19"/>
          <w:lang w:eastAsia="pl-PL"/>
        </w:rPr>
        <w:t xml:space="preserve"> </w:t>
      </w:r>
    </w:p>
    <w:p w14:paraId="355360C8" w14:textId="77777777" w:rsidR="00811873" w:rsidRPr="00A70D1B" w:rsidRDefault="000941C8" w:rsidP="00104F2C">
      <w:pPr>
        <w:spacing w:after="0" w:line="288" w:lineRule="auto"/>
        <w:rPr>
          <w:szCs w:val="19"/>
        </w:rPr>
      </w:pPr>
      <w:r w:rsidRPr="00A70D1B">
        <w:rPr>
          <w:szCs w:val="19"/>
        </w:rPr>
        <w:t xml:space="preserve">W </w:t>
      </w:r>
      <w:r w:rsidR="00811873" w:rsidRPr="00A70D1B">
        <w:rPr>
          <w:szCs w:val="19"/>
        </w:rPr>
        <w:t>2</w:t>
      </w:r>
      <w:r w:rsidRPr="00A70D1B">
        <w:rPr>
          <w:szCs w:val="19"/>
        </w:rPr>
        <w:t xml:space="preserve"> kwartale 202</w:t>
      </w:r>
      <w:r w:rsidR="00A97058" w:rsidRPr="00A70D1B">
        <w:rPr>
          <w:szCs w:val="19"/>
        </w:rPr>
        <w:t>4</w:t>
      </w:r>
      <w:r w:rsidRPr="00A70D1B">
        <w:rPr>
          <w:szCs w:val="19"/>
        </w:rPr>
        <w:t xml:space="preserve"> r. wskaźnik zatrudnienia </w:t>
      </w:r>
      <w:r w:rsidR="00356B66" w:rsidRPr="00A70D1B">
        <w:rPr>
          <w:szCs w:val="19"/>
        </w:rPr>
        <w:t xml:space="preserve">ogółem </w:t>
      </w:r>
      <w:r w:rsidRPr="00A70D1B">
        <w:rPr>
          <w:szCs w:val="19"/>
        </w:rPr>
        <w:t xml:space="preserve">wyniósł </w:t>
      </w:r>
      <w:r w:rsidR="00E73C57" w:rsidRPr="00A70D1B">
        <w:rPr>
          <w:szCs w:val="19"/>
        </w:rPr>
        <w:t>5</w:t>
      </w:r>
      <w:r w:rsidR="00A97058" w:rsidRPr="00A70D1B">
        <w:rPr>
          <w:szCs w:val="19"/>
        </w:rPr>
        <w:t>6,</w:t>
      </w:r>
      <w:r w:rsidR="00811873" w:rsidRPr="00A70D1B">
        <w:rPr>
          <w:szCs w:val="19"/>
        </w:rPr>
        <w:t>7</w:t>
      </w:r>
      <w:r w:rsidRPr="00A70D1B">
        <w:rPr>
          <w:szCs w:val="19"/>
        </w:rPr>
        <w:t>%</w:t>
      </w:r>
      <w:r w:rsidR="00811873" w:rsidRPr="00A70D1B">
        <w:rPr>
          <w:szCs w:val="19"/>
        </w:rPr>
        <w:t>, tj. o 0,1 p. proc. więcej niż w ubiegłym kwartale i o 0,3 p. proc. mniej niż przed rokiem.</w:t>
      </w:r>
    </w:p>
    <w:p w14:paraId="0EF7C2F5" w14:textId="6DB391B7" w:rsidR="00427144" w:rsidRPr="00A70D1B" w:rsidRDefault="00811873" w:rsidP="00811873">
      <w:pPr>
        <w:spacing w:before="0" w:after="0" w:line="288" w:lineRule="auto"/>
        <w:rPr>
          <w:szCs w:val="19"/>
        </w:rPr>
      </w:pPr>
      <w:r w:rsidRPr="00A70D1B">
        <w:rPr>
          <w:szCs w:val="19"/>
        </w:rPr>
        <w:t>Z</w:t>
      </w:r>
      <w:r w:rsidR="00FC283E" w:rsidRPr="00A70D1B">
        <w:rPr>
          <w:szCs w:val="19"/>
        </w:rPr>
        <w:t>godnie z obserwowaną tendencją</w:t>
      </w:r>
      <w:r w:rsidR="000B353A" w:rsidRPr="00A70D1B">
        <w:rPr>
          <w:szCs w:val="19"/>
        </w:rPr>
        <w:t xml:space="preserve">, </w:t>
      </w:r>
      <w:r w:rsidR="000941C8" w:rsidRPr="00A70D1B">
        <w:rPr>
          <w:szCs w:val="19"/>
        </w:rPr>
        <w:t>był wyższy wśród mężczyzn (6</w:t>
      </w:r>
      <w:r w:rsidR="00A97058" w:rsidRPr="00A70D1B">
        <w:rPr>
          <w:szCs w:val="19"/>
        </w:rPr>
        <w:t>3,</w:t>
      </w:r>
      <w:r w:rsidRPr="00A70D1B">
        <w:rPr>
          <w:szCs w:val="19"/>
        </w:rPr>
        <w:t>8</w:t>
      </w:r>
      <w:r w:rsidR="000941C8" w:rsidRPr="00A70D1B">
        <w:rPr>
          <w:szCs w:val="19"/>
        </w:rPr>
        <w:t>%)</w:t>
      </w:r>
      <w:r w:rsidR="00182473" w:rsidRPr="00A70D1B">
        <w:rPr>
          <w:szCs w:val="19"/>
        </w:rPr>
        <w:t xml:space="preserve"> </w:t>
      </w:r>
      <w:r w:rsidR="006540E3" w:rsidRPr="00A70D1B">
        <w:rPr>
          <w:szCs w:val="19"/>
        </w:rPr>
        <w:t>niż wśród kobiet (50</w:t>
      </w:r>
      <w:r w:rsidR="000941C8" w:rsidRPr="00A70D1B">
        <w:rPr>
          <w:szCs w:val="19"/>
        </w:rPr>
        <w:t>,</w:t>
      </w:r>
      <w:r w:rsidRPr="00A70D1B">
        <w:rPr>
          <w:szCs w:val="19"/>
        </w:rPr>
        <w:t>2</w:t>
      </w:r>
      <w:r w:rsidR="000941C8" w:rsidRPr="00A70D1B">
        <w:rPr>
          <w:szCs w:val="19"/>
        </w:rPr>
        <w:t>%)</w:t>
      </w:r>
      <w:r w:rsidR="00FC283E" w:rsidRPr="00A70D1B">
        <w:rPr>
          <w:szCs w:val="19"/>
        </w:rPr>
        <w:t>, a uwzględniając miejsce zamieszkania w</w:t>
      </w:r>
      <w:r w:rsidR="00CD5D51" w:rsidRPr="00A70D1B">
        <w:rPr>
          <w:szCs w:val="19"/>
        </w:rPr>
        <w:t xml:space="preserve">yższy poziom wskaźnika </w:t>
      </w:r>
      <w:r w:rsidR="00FA4177" w:rsidRPr="00A70D1B">
        <w:rPr>
          <w:szCs w:val="19"/>
        </w:rPr>
        <w:t xml:space="preserve">odnotowano </w:t>
      </w:r>
      <w:r w:rsidR="00323B68" w:rsidRPr="00A70D1B">
        <w:rPr>
          <w:szCs w:val="19"/>
        </w:rPr>
        <w:t>w</w:t>
      </w:r>
      <w:r w:rsidR="0085217B" w:rsidRPr="00A70D1B">
        <w:rPr>
          <w:szCs w:val="19"/>
        </w:rPr>
        <w:t> </w:t>
      </w:r>
      <w:r w:rsidR="00323B68" w:rsidRPr="00A70D1B">
        <w:rPr>
          <w:szCs w:val="19"/>
        </w:rPr>
        <w:t>miastach</w:t>
      </w:r>
      <w:r w:rsidR="00FA4177" w:rsidRPr="00A70D1B">
        <w:rPr>
          <w:szCs w:val="19"/>
        </w:rPr>
        <w:t xml:space="preserve"> </w:t>
      </w:r>
      <w:bookmarkStart w:id="3" w:name="_Hlk167273634"/>
      <w:r w:rsidR="00F5089C" w:rsidRPr="00A70D1B">
        <w:rPr>
          <w:szCs w:val="19"/>
        </w:rPr>
        <w:t>(</w:t>
      </w:r>
      <w:r w:rsidR="00FA4177" w:rsidRPr="00A70D1B">
        <w:rPr>
          <w:szCs w:val="19"/>
        </w:rPr>
        <w:t>57,</w:t>
      </w:r>
      <w:r w:rsidRPr="00A70D1B">
        <w:rPr>
          <w:szCs w:val="19"/>
        </w:rPr>
        <w:t>5</w:t>
      </w:r>
      <w:r w:rsidR="00FA4177" w:rsidRPr="00A70D1B">
        <w:rPr>
          <w:szCs w:val="19"/>
        </w:rPr>
        <w:t>%</w:t>
      </w:r>
      <w:r w:rsidR="00B82123" w:rsidRPr="00A70D1B">
        <w:rPr>
          <w:szCs w:val="19"/>
        </w:rPr>
        <w:t>)</w:t>
      </w:r>
      <w:r w:rsidR="00F5089C" w:rsidRPr="00A70D1B">
        <w:rPr>
          <w:szCs w:val="19"/>
        </w:rPr>
        <w:t xml:space="preserve"> </w:t>
      </w:r>
      <w:r w:rsidR="00B82123" w:rsidRPr="00A70D1B">
        <w:rPr>
          <w:szCs w:val="19"/>
        </w:rPr>
        <w:t>niż na wsi</w:t>
      </w:r>
      <w:r w:rsidR="00F5089C" w:rsidRPr="00A70D1B">
        <w:rPr>
          <w:szCs w:val="19"/>
        </w:rPr>
        <w:t xml:space="preserve"> </w:t>
      </w:r>
      <w:r w:rsidR="00B82123" w:rsidRPr="00A70D1B">
        <w:rPr>
          <w:szCs w:val="19"/>
        </w:rPr>
        <w:t>(</w:t>
      </w:r>
      <w:r w:rsidR="00FA4177" w:rsidRPr="00A70D1B">
        <w:rPr>
          <w:szCs w:val="19"/>
        </w:rPr>
        <w:t>5</w:t>
      </w:r>
      <w:r w:rsidR="00A97058" w:rsidRPr="00A70D1B">
        <w:rPr>
          <w:szCs w:val="19"/>
        </w:rPr>
        <w:t>5,</w:t>
      </w:r>
      <w:r w:rsidRPr="00A70D1B">
        <w:rPr>
          <w:szCs w:val="19"/>
        </w:rPr>
        <w:t>5</w:t>
      </w:r>
      <w:r w:rsidR="00FA4177" w:rsidRPr="00A70D1B">
        <w:rPr>
          <w:szCs w:val="19"/>
        </w:rPr>
        <w:t>%</w:t>
      </w:r>
      <w:r w:rsidR="00F5089C" w:rsidRPr="00A70D1B">
        <w:rPr>
          <w:szCs w:val="19"/>
        </w:rPr>
        <w:t>).</w:t>
      </w:r>
    </w:p>
    <w:bookmarkEnd w:id="3"/>
    <w:p w14:paraId="51FEE8C0" w14:textId="1288FCBF" w:rsidR="00427144" w:rsidRPr="00A70D1B" w:rsidRDefault="00811873" w:rsidP="003E2080">
      <w:pPr>
        <w:spacing w:after="0" w:line="288" w:lineRule="auto"/>
        <w:rPr>
          <w:szCs w:val="19"/>
        </w:rPr>
      </w:pPr>
      <w:r w:rsidRPr="00A70D1B">
        <w:rPr>
          <w:szCs w:val="19"/>
        </w:rPr>
        <w:t>W ujęciu kwartalnym, podobnie jak w populacji pracujących, wskaźnik zatrudnienia zwiększył się wśród kobiet</w:t>
      </w:r>
      <w:r w:rsidR="00F92041" w:rsidRPr="00A70D1B">
        <w:rPr>
          <w:szCs w:val="19"/>
        </w:rPr>
        <w:t xml:space="preserve"> – o 0,2 p. proc.</w:t>
      </w:r>
      <w:r w:rsidRPr="00A70D1B">
        <w:rPr>
          <w:szCs w:val="19"/>
        </w:rPr>
        <w:t xml:space="preserve">, a wśród mężczyzn </w:t>
      </w:r>
      <w:r w:rsidR="0085217B" w:rsidRPr="00A70D1B">
        <w:rPr>
          <w:szCs w:val="19"/>
        </w:rPr>
        <w:t>zmniejszył się</w:t>
      </w:r>
      <w:r w:rsidR="00F92041" w:rsidRPr="00A70D1B">
        <w:rPr>
          <w:szCs w:val="19"/>
        </w:rPr>
        <w:t>,</w:t>
      </w:r>
      <w:r w:rsidR="0085217B" w:rsidRPr="00A70D1B">
        <w:rPr>
          <w:szCs w:val="19"/>
        </w:rPr>
        <w:t xml:space="preserve"> </w:t>
      </w:r>
      <w:r w:rsidR="00F92041" w:rsidRPr="00A70D1B">
        <w:rPr>
          <w:szCs w:val="19"/>
        </w:rPr>
        <w:t xml:space="preserve">choć w niewielkim stopniu – </w:t>
      </w:r>
      <w:r w:rsidRPr="00A70D1B">
        <w:rPr>
          <w:szCs w:val="19"/>
        </w:rPr>
        <w:t>o 0,1 p. proc.</w:t>
      </w:r>
      <w:r w:rsidR="00FA2737" w:rsidRPr="00A70D1B">
        <w:t xml:space="preserve"> </w:t>
      </w:r>
      <w:r w:rsidR="00FA2737" w:rsidRPr="00A70D1B">
        <w:rPr>
          <w:szCs w:val="19"/>
        </w:rPr>
        <w:t xml:space="preserve">Biorąc pod uwagę miejsce zamieszkania </w:t>
      </w:r>
      <w:r w:rsidR="00265296" w:rsidRPr="00A70D1B">
        <w:rPr>
          <w:szCs w:val="19"/>
        </w:rPr>
        <w:t>wzrostowi tego wskaźnika wśród mieszkańców miast o 0,4 p. proc. towarzyszył taki sam spadek wśród mieszkańców wsi (o</w:t>
      </w:r>
      <w:r w:rsidR="00CC1FD1" w:rsidRPr="00A70D1B">
        <w:rPr>
          <w:szCs w:val="19"/>
        </w:rPr>
        <w:t> </w:t>
      </w:r>
      <w:r w:rsidR="00265296" w:rsidRPr="00A70D1B">
        <w:rPr>
          <w:szCs w:val="19"/>
        </w:rPr>
        <w:t>0,4</w:t>
      </w:r>
      <w:r w:rsidR="00CC1FD1" w:rsidRPr="00A70D1B">
        <w:rPr>
          <w:szCs w:val="19"/>
        </w:rPr>
        <w:t> </w:t>
      </w:r>
      <w:r w:rsidR="00265296" w:rsidRPr="00A70D1B">
        <w:rPr>
          <w:szCs w:val="19"/>
        </w:rPr>
        <w:t xml:space="preserve">p. proc.). </w:t>
      </w:r>
    </w:p>
    <w:p w14:paraId="1EF6CC03" w14:textId="05E379CB" w:rsidR="00323B68" w:rsidRPr="00A70D1B" w:rsidRDefault="00323B68" w:rsidP="003E2080">
      <w:pPr>
        <w:spacing w:after="0" w:line="288" w:lineRule="auto"/>
        <w:rPr>
          <w:szCs w:val="19"/>
        </w:rPr>
      </w:pPr>
      <w:r w:rsidRPr="00A70D1B">
        <w:rPr>
          <w:szCs w:val="19"/>
        </w:rPr>
        <w:t xml:space="preserve">W </w:t>
      </w:r>
      <w:r w:rsidR="00DD711D" w:rsidRPr="00A70D1B">
        <w:rPr>
          <w:szCs w:val="19"/>
        </w:rPr>
        <w:t>porównaniu z 2 kwartałem 2023 r.</w:t>
      </w:r>
      <w:r w:rsidRPr="00A70D1B">
        <w:rPr>
          <w:szCs w:val="19"/>
        </w:rPr>
        <w:t xml:space="preserve"> wskaźnik zatrudnienia </w:t>
      </w:r>
      <w:r w:rsidR="00D579DB" w:rsidRPr="00A70D1B">
        <w:rPr>
          <w:szCs w:val="19"/>
        </w:rPr>
        <w:t xml:space="preserve">zmniejszył </w:t>
      </w:r>
      <w:r w:rsidRPr="00A70D1B">
        <w:rPr>
          <w:szCs w:val="19"/>
        </w:rPr>
        <w:t xml:space="preserve">się </w:t>
      </w:r>
      <w:r w:rsidR="00D579DB" w:rsidRPr="00A70D1B">
        <w:rPr>
          <w:szCs w:val="19"/>
        </w:rPr>
        <w:t>wśród</w:t>
      </w:r>
      <w:r w:rsidRPr="00A70D1B">
        <w:rPr>
          <w:szCs w:val="19"/>
        </w:rPr>
        <w:t xml:space="preserve"> </w:t>
      </w:r>
      <w:r w:rsidR="00D579DB" w:rsidRPr="00A70D1B">
        <w:rPr>
          <w:szCs w:val="19"/>
        </w:rPr>
        <w:t>mężczyzn</w:t>
      </w:r>
      <w:r w:rsidRPr="00A70D1B">
        <w:rPr>
          <w:szCs w:val="19"/>
        </w:rPr>
        <w:t xml:space="preserve"> (o</w:t>
      </w:r>
      <w:r w:rsidR="00380BCB" w:rsidRPr="00A70D1B">
        <w:rPr>
          <w:szCs w:val="19"/>
        </w:rPr>
        <w:t> </w:t>
      </w:r>
      <w:r w:rsidRPr="00A70D1B">
        <w:rPr>
          <w:szCs w:val="19"/>
        </w:rPr>
        <w:t>0,</w:t>
      </w:r>
      <w:r w:rsidR="0050363A" w:rsidRPr="00A70D1B">
        <w:rPr>
          <w:szCs w:val="19"/>
        </w:rPr>
        <w:t>6</w:t>
      </w:r>
      <w:r w:rsidRPr="00A70D1B">
        <w:rPr>
          <w:szCs w:val="19"/>
        </w:rPr>
        <w:t xml:space="preserve"> p. proc.)</w:t>
      </w:r>
      <w:r w:rsidR="007D2FCF" w:rsidRPr="00A70D1B">
        <w:rPr>
          <w:szCs w:val="19"/>
        </w:rPr>
        <w:t>, a wśród kobiet zwiększył się</w:t>
      </w:r>
      <w:r w:rsidR="00A44658" w:rsidRPr="00A70D1B">
        <w:rPr>
          <w:szCs w:val="19"/>
        </w:rPr>
        <w:t xml:space="preserve"> </w:t>
      </w:r>
      <w:r w:rsidR="00D579DB" w:rsidRPr="00A70D1B">
        <w:rPr>
          <w:szCs w:val="19"/>
        </w:rPr>
        <w:t>w</w:t>
      </w:r>
      <w:r w:rsidR="007A7B86" w:rsidRPr="00A70D1B">
        <w:rPr>
          <w:szCs w:val="19"/>
        </w:rPr>
        <w:t> </w:t>
      </w:r>
      <w:r w:rsidR="00D579DB" w:rsidRPr="00A70D1B">
        <w:rPr>
          <w:szCs w:val="19"/>
        </w:rPr>
        <w:t xml:space="preserve">nieznacznym stopniu (o 0,1 p. proc.). </w:t>
      </w:r>
      <w:r w:rsidRPr="00A70D1B">
        <w:rPr>
          <w:szCs w:val="19"/>
        </w:rPr>
        <w:t>W</w:t>
      </w:r>
      <w:r w:rsidR="00DD711D" w:rsidRPr="00A70D1B">
        <w:rPr>
          <w:szCs w:val="19"/>
        </w:rPr>
        <w:t> </w:t>
      </w:r>
      <w:r w:rsidRPr="00A70D1B">
        <w:rPr>
          <w:szCs w:val="19"/>
        </w:rPr>
        <w:t xml:space="preserve">przypadku osób zamieszkałych </w:t>
      </w:r>
      <w:r w:rsidR="007D2FCF" w:rsidRPr="00A70D1B">
        <w:rPr>
          <w:szCs w:val="19"/>
        </w:rPr>
        <w:t>na wsi</w:t>
      </w:r>
      <w:r w:rsidR="0023578F" w:rsidRPr="00A70D1B">
        <w:rPr>
          <w:szCs w:val="19"/>
        </w:rPr>
        <w:t xml:space="preserve"> </w:t>
      </w:r>
      <w:r w:rsidRPr="00A70D1B">
        <w:rPr>
          <w:szCs w:val="19"/>
        </w:rPr>
        <w:t xml:space="preserve">wskaźnik ten obniżył </w:t>
      </w:r>
      <w:r w:rsidR="00A44780" w:rsidRPr="00A70D1B">
        <w:rPr>
          <w:szCs w:val="19"/>
        </w:rPr>
        <w:t xml:space="preserve">się </w:t>
      </w:r>
      <w:r w:rsidR="00D579DB" w:rsidRPr="00A70D1B">
        <w:rPr>
          <w:szCs w:val="19"/>
        </w:rPr>
        <w:t>o</w:t>
      </w:r>
      <w:r w:rsidRPr="00A70D1B">
        <w:rPr>
          <w:szCs w:val="19"/>
        </w:rPr>
        <w:t xml:space="preserve"> 0,</w:t>
      </w:r>
      <w:r w:rsidR="007D2FCF" w:rsidRPr="00A70D1B">
        <w:rPr>
          <w:szCs w:val="19"/>
        </w:rPr>
        <w:t>6</w:t>
      </w:r>
      <w:r w:rsidRPr="00A70D1B">
        <w:rPr>
          <w:szCs w:val="19"/>
        </w:rPr>
        <w:t xml:space="preserve"> p. proc</w:t>
      </w:r>
      <w:r w:rsidR="0023578F" w:rsidRPr="00A70D1B">
        <w:rPr>
          <w:szCs w:val="19"/>
        </w:rPr>
        <w:t xml:space="preserve">, a </w:t>
      </w:r>
      <w:r w:rsidR="002B1B24" w:rsidRPr="00A70D1B">
        <w:rPr>
          <w:szCs w:val="19"/>
        </w:rPr>
        <w:t>w miastach</w:t>
      </w:r>
      <w:r w:rsidR="00413DD8" w:rsidRPr="00A70D1B">
        <w:rPr>
          <w:szCs w:val="19"/>
        </w:rPr>
        <w:t xml:space="preserve"> </w:t>
      </w:r>
      <w:r w:rsidR="007D2FCF" w:rsidRPr="00A70D1B">
        <w:rPr>
          <w:szCs w:val="19"/>
        </w:rPr>
        <w:t>pozostał na poziomie obserwowanym w 2 kwartale 2023 r.</w:t>
      </w:r>
    </w:p>
    <w:p w14:paraId="059F8CE9" w14:textId="7DAF78FB" w:rsidR="00104F2C" w:rsidRPr="00A70D1B" w:rsidRDefault="00980B8E" w:rsidP="00104F2C">
      <w:pPr>
        <w:spacing w:before="240" w:line="288" w:lineRule="auto"/>
        <w:ind w:left="992" w:hanging="992"/>
        <w:rPr>
          <w:b/>
          <w:shd w:val="clear" w:color="auto" w:fill="FFFFFF"/>
        </w:rPr>
      </w:pPr>
      <w:r w:rsidRPr="00A70D1B">
        <w:rPr>
          <w:b/>
          <w:noProof/>
          <w:shd w:val="clear" w:color="auto" w:fill="FFFFFF"/>
          <w:lang w:eastAsia="pl-PL"/>
        </w:rPr>
        <w:drawing>
          <wp:anchor distT="0" distB="0" distL="114300" distR="114300" simplePos="0" relativeHeight="251954176" behindDoc="0" locked="0" layoutInCell="1" allowOverlap="1" wp14:anchorId="63B07671" wp14:editId="25FD5E5A">
            <wp:simplePos x="0" y="0"/>
            <wp:positionH relativeFrom="margin">
              <wp:align>left</wp:align>
            </wp:positionH>
            <wp:positionV relativeFrom="paragraph">
              <wp:posOffset>500380</wp:posOffset>
            </wp:positionV>
            <wp:extent cx="5128260" cy="1927860"/>
            <wp:effectExtent l="0" t="0" r="0" b="0"/>
            <wp:wrapSquare wrapText="bothSides"/>
            <wp:docPr id="38" name="Obraz 38" descr="Wykres prezentuje strukturę pracujących w wieku 15-89 lat według statusu zatrudnienia w głównym miejscu pracy w 2 kwartale 2024 r. (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8260" cy="1927860"/>
                    </a:xfrm>
                    <a:prstGeom prst="rect">
                      <a:avLst/>
                    </a:prstGeom>
                    <a:noFill/>
                  </pic:spPr>
                </pic:pic>
              </a:graphicData>
            </a:graphic>
            <wp14:sizeRelH relativeFrom="page">
              <wp14:pctWidth>0</wp14:pctWidth>
            </wp14:sizeRelH>
            <wp14:sizeRelV relativeFrom="page">
              <wp14:pctHeight>0</wp14:pctHeight>
            </wp14:sizeRelV>
          </wp:anchor>
        </w:drawing>
      </w:r>
      <w:r w:rsidR="00104F2C" w:rsidRPr="00A70D1B">
        <w:rPr>
          <w:rFonts w:eastAsia="Times New Roman" w:cs="Times New Roman"/>
          <w:b/>
          <w:szCs w:val="19"/>
          <w:lang w:eastAsia="pl-PL"/>
        </w:rPr>
        <w:t>Wykres</w:t>
      </w:r>
      <w:r w:rsidR="00104F2C" w:rsidRPr="00A70D1B">
        <w:rPr>
          <w:b/>
          <w:shd w:val="clear" w:color="auto" w:fill="FFFFFF"/>
        </w:rPr>
        <w:t xml:space="preserve"> 4.</w:t>
      </w:r>
      <w:r w:rsidR="00104F2C" w:rsidRPr="00A70D1B">
        <w:rPr>
          <w:b/>
          <w:shd w:val="clear" w:color="auto" w:fill="FFFFFF"/>
        </w:rPr>
        <w:tab/>
      </w:r>
      <w:r w:rsidR="00104F2C" w:rsidRPr="00A70D1B">
        <w:rPr>
          <w:b/>
          <w:szCs w:val="19"/>
          <w:shd w:val="clear" w:color="auto" w:fill="FFFFFF"/>
        </w:rPr>
        <w:t>Struktura</w:t>
      </w:r>
      <w:r w:rsidR="00104F2C" w:rsidRPr="00A70D1B">
        <w:rPr>
          <w:b/>
          <w:shd w:val="clear" w:color="auto" w:fill="FFFFFF"/>
        </w:rPr>
        <w:t xml:space="preserve"> </w:t>
      </w:r>
      <w:r w:rsidR="00104F2C" w:rsidRPr="00A70D1B">
        <w:rPr>
          <w:b/>
          <w:szCs w:val="19"/>
          <w:shd w:val="clear" w:color="auto" w:fill="FFFFFF"/>
        </w:rPr>
        <w:t>pracujących</w:t>
      </w:r>
      <w:r w:rsidR="00104F2C" w:rsidRPr="00A70D1B">
        <w:rPr>
          <w:b/>
          <w:shd w:val="clear" w:color="auto" w:fill="FFFFFF"/>
        </w:rPr>
        <w:t xml:space="preserve"> w wieku 15-89 lat według statusu zatrudnienia w głównym miejscu pracy w </w:t>
      </w:r>
      <w:r w:rsidRPr="00A70D1B">
        <w:rPr>
          <w:b/>
          <w:shd w:val="clear" w:color="auto" w:fill="FFFFFF"/>
        </w:rPr>
        <w:t>2</w:t>
      </w:r>
      <w:r w:rsidR="00104F2C" w:rsidRPr="00A70D1B">
        <w:rPr>
          <w:b/>
          <w:shd w:val="clear" w:color="auto" w:fill="FFFFFF"/>
        </w:rPr>
        <w:t xml:space="preserve"> kwartale 2024 r. (w %)</w:t>
      </w:r>
    </w:p>
    <w:p w14:paraId="52175437" w14:textId="786AD039" w:rsidR="00C44AC5" w:rsidRPr="00A70D1B" w:rsidRDefault="0030711C" w:rsidP="00104F2C">
      <w:pPr>
        <w:spacing w:before="240" w:after="0" w:line="288" w:lineRule="auto"/>
        <w:rPr>
          <w:rFonts w:eastAsia="Times New Roman" w:cs="Times New Roman"/>
          <w:szCs w:val="19"/>
          <w:lang w:eastAsia="pl-PL"/>
        </w:rPr>
      </w:pPr>
      <w:r w:rsidRPr="00A70D1B">
        <w:rPr>
          <w:rFonts w:eastAsia="Times New Roman" w:cs="Times New Roman"/>
          <w:szCs w:val="19"/>
          <w:lang w:eastAsia="pl-PL"/>
        </w:rPr>
        <w:t>Wyniki BAEL wskazują, że</w:t>
      </w:r>
      <w:r w:rsidR="00335F47" w:rsidRPr="00A70D1B">
        <w:rPr>
          <w:rFonts w:eastAsia="Times New Roman" w:cs="Times New Roman"/>
          <w:szCs w:val="19"/>
          <w:lang w:eastAsia="pl-PL"/>
        </w:rPr>
        <w:t xml:space="preserve"> w</w:t>
      </w:r>
      <w:r w:rsidR="008F0ACB" w:rsidRPr="00A70D1B">
        <w:rPr>
          <w:rFonts w:eastAsia="Times New Roman" w:cs="Times New Roman"/>
          <w:szCs w:val="19"/>
          <w:lang w:eastAsia="pl-PL"/>
        </w:rPr>
        <w:t xml:space="preserve"> </w:t>
      </w:r>
      <w:r w:rsidR="00980B8E" w:rsidRPr="00A70D1B">
        <w:rPr>
          <w:rFonts w:eastAsia="Times New Roman" w:cs="Times New Roman"/>
          <w:szCs w:val="19"/>
          <w:lang w:eastAsia="pl-PL"/>
        </w:rPr>
        <w:t>2</w:t>
      </w:r>
      <w:r w:rsidR="008F0ACB" w:rsidRPr="00A70D1B">
        <w:rPr>
          <w:rFonts w:eastAsia="Times New Roman" w:cs="Times New Roman"/>
          <w:szCs w:val="19"/>
          <w:lang w:eastAsia="pl-PL"/>
        </w:rPr>
        <w:t xml:space="preserve"> kwartale 202</w:t>
      </w:r>
      <w:r w:rsidR="000708BE" w:rsidRPr="00A70D1B">
        <w:rPr>
          <w:rFonts w:eastAsia="Times New Roman" w:cs="Times New Roman"/>
          <w:szCs w:val="19"/>
          <w:lang w:eastAsia="pl-PL"/>
        </w:rPr>
        <w:t>4</w:t>
      </w:r>
      <w:r w:rsidR="008F0ACB" w:rsidRPr="00A70D1B">
        <w:rPr>
          <w:rFonts w:eastAsia="Times New Roman" w:cs="Times New Roman"/>
          <w:szCs w:val="19"/>
          <w:lang w:eastAsia="pl-PL"/>
        </w:rPr>
        <w:t xml:space="preserve"> r.</w:t>
      </w:r>
      <w:r w:rsidR="00C44AC5" w:rsidRPr="00A70D1B">
        <w:rPr>
          <w:rFonts w:eastAsia="Times New Roman" w:cs="Times New Roman"/>
          <w:szCs w:val="19"/>
          <w:lang w:eastAsia="pl-PL"/>
        </w:rPr>
        <w:t>:</w:t>
      </w:r>
    </w:p>
    <w:p w14:paraId="6406A58F" w14:textId="121D45B2" w:rsidR="00492C15" w:rsidRPr="00A70D1B" w:rsidRDefault="00C06836" w:rsidP="00772E57">
      <w:pPr>
        <w:pStyle w:val="Akapitzlist"/>
        <w:numPr>
          <w:ilvl w:val="0"/>
          <w:numId w:val="9"/>
        </w:numPr>
        <w:spacing w:line="288" w:lineRule="auto"/>
        <w:ind w:left="426" w:hanging="357"/>
        <w:rPr>
          <w:szCs w:val="19"/>
        </w:rPr>
      </w:pPr>
      <w:r w:rsidRPr="00A70D1B">
        <w:rPr>
          <w:noProof/>
          <w:lang w:eastAsia="pl-PL"/>
        </w:rPr>
        <mc:AlternateContent>
          <mc:Choice Requires="wps">
            <w:drawing>
              <wp:anchor distT="45720" distB="45720" distL="114300" distR="114300" simplePos="0" relativeHeight="251761664" behindDoc="1" locked="0" layoutInCell="1" allowOverlap="1" wp14:anchorId="3121ECE4" wp14:editId="1EDB1E5B">
                <wp:simplePos x="0" y="0"/>
                <wp:positionH relativeFrom="column">
                  <wp:posOffset>5308600</wp:posOffset>
                </wp:positionH>
                <wp:positionV relativeFrom="paragraph">
                  <wp:posOffset>84455</wp:posOffset>
                </wp:positionV>
                <wp:extent cx="1644015" cy="1362075"/>
                <wp:effectExtent l="0" t="0" r="0" b="0"/>
                <wp:wrapTight wrapText="bothSides">
                  <wp:wrapPolygon edited="0">
                    <wp:start x="751" y="0"/>
                    <wp:lineTo x="751" y="21147"/>
                    <wp:lineTo x="20774" y="21147"/>
                    <wp:lineTo x="20774" y="0"/>
                    <wp:lineTo x="751" y="0"/>
                  </wp:wrapPolygon>
                </wp:wrapTight>
                <wp:docPr id="16" name="Pole tekstowe 2" descr="Liczba pracujących w pełnym wymiarze czasu zmniejszyła się w porównaniu z ub. kwartałem, jak i analogicznym okresem ub. roku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1362075"/>
                        </a:xfrm>
                        <a:prstGeom prst="rect">
                          <a:avLst/>
                        </a:prstGeom>
                        <a:noFill/>
                        <a:ln w="9525">
                          <a:noFill/>
                          <a:miter lim="800000"/>
                          <a:headEnd/>
                          <a:tailEnd/>
                        </a:ln>
                      </wps:spPr>
                      <wps:txbx>
                        <w:txbxContent>
                          <w:p w14:paraId="66B851B3" w14:textId="236F7256" w:rsidR="00830EC6" w:rsidRPr="00EE1C79" w:rsidRDefault="00830EC6" w:rsidP="00F849EE">
                            <w:pPr>
                              <w:pStyle w:val="tekstzboku"/>
                            </w:pPr>
                            <w:r w:rsidRPr="00EF1899">
                              <w:t xml:space="preserve">Liczba pracujących w pełnym wymiarze czasu </w:t>
                            </w:r>
                            <w:r w:rsidR="00306CCE">
                              <w:t>zmniejszyła się</w:t>
                            </w:r>
                            <w:r w:rsidR="0072237B">
                              <w:t xml:space="preserve"> </w:t>
                            </w:r>
                            <w:r w:rsidRPr="00933D71">
                              <w:t>w</w:t>
                            </w:r>
                            <w:r>
                              <w:t> </w:t>
                            </w:r>
                            <w:r w:rsidR="00AF6233">
                              <w:t xml:space="preserve">porównaniu </w:t>
                            </w:r>
                            <w:r w:rsidR="00C7253B">
                              <w:br/>
                            </w:r>
                            <w:r w:rsidR="00AF6233">
                              <w:t>z ub. kwartałem, jak</w:t>
                            </w:r>
                            <w:r w:rsidR="004B5964">
                              <w:t xml:space="preserve"> </w:t>
                            </w:r>
                            <w:r w:rsidR="00AF6233">
                              <w:t>i</w:t>
                            </w:r>
                            <w:r w:rsidR="002C0B09">
                              <w:t> </w:t>
                            </w:r>
                            <w:r w:rsidR="00AF6233">
                              <w:t>analogiczny</w:t>
                            </w:r>
                            <w:r w:rsidR="004B5964">
                              <w:t>m</w:t>
                            </w:r>
                            <w:r w:rsidR="00AF6233">
                              <w:t xml:space="preserve"> okresem </w:t>
                            </w:r>
                            <w:r w:rsidR="00C7253B">
                              <w:br/>
                            </w:r>
                            <w:r w:rsidR="00AF6233">
                              <w:t xml:space="preserve">ub. roku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1ECE4" id="_x0000_s1031" type="#_x0000_t202" alt="Liczba pracujących w pełnym wymiarze czasu zmniejszyła się w porównaniu z ub. kwartałem, jak i analogicznym okresem ub. roku " style="position:absolute;left:0;text-align:left;margin-left:418pt;margin-top:6.65pt;width:129.45pt;height:107.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" filled="f" stroked="f">
                <v:textbox inset=",0">
                  <w:txbxContent>
                    <w:p w14:paraId="66B851B3" w14:textId="236F7256" w:rsidR="00830EC6" w:rsidRPr="00EE1C79" w:rsidRDefault="00830EC6" w:rsidP="00F849EE">
                      <w:pPr>
                        <w:pStyle w:val="tekstzboku"/>
                      </w:pPr>
                      <w:r w:rsidRPr="00EF1899">
                        <w:t xml:space="preserve">Liczba pracujących w pełnym wymiarze czasu </w:t>
                      </w:r>
                      <w:r w:rsidR="00306CCE">
                        <w:t>zmniejszyła się</w:t>
                      </w:r>
                      <w:r w:rsidR="0072237B">
                        <w:t xml:space="preserve"> </w:t>
                      </w:r>
                      <w:r w:rsidRPr="00933D71">
                        <w:t>w</w:t>
                      </w:r>
                      <w:r>
                        <w:t> </w:t>
                      </w:r>
                      <w:r w:rsidR="00AF6233">
                        <w:t xml:space="preserve">porównaniu </w:t>
                      </w:r>
                      <w:r w:rsidR="00C7253B">
                        <w:br/>
                      </w:r>
                      <w:r w:rsidR="00AF6233">
                        <w:t>z ub. kwartałem, jak</w:t>
                      </w:r>
                      <w:r w:rsidR="004B5964">
                        <w:t xml:space="preserve"> </w:t>
                      </w:r>
                      <w:r w:rsidR="00AF6233">
                        <w:t>i</w:t>
                      </w:r>
                      <w:r w:rsidR="002C0B09">
                        <w:t> </w:t>
                      </w:r>
                      <w:r w:rsidR="00AF6233">
                        <w:t>analogiczny</w:t>
                      </w:r>
                      <w:r w:rsidR="004B5964">
                        <w:t>m</w:t>
                      </w:r>
                      <w:r w:rsidR="00AF6233">
                        <w:t xml:space="preserve"> okresem </w:t>
                      </w:r>
                      <w:r w:rsidR="00C7253B">
                        <w:br/>
                      </w:r>
                      <w:bookmarkStart w:id="4" w:name="_GoBack"/>
                      <w:bookmarkEnd w:id="4"/>
                      <w:r w:rsidR="00AF6233">
                        <w:t xml:space="preserve">ub. roku </w:t>
                      </w:r>
                    </w:p>
                  </w:txbxContent>
                </v:textbox>
                <w10:wrap type="tight"/>
              </v:shape>
            </w:pict>
          </mc:Fallback>
        </mc:AlternateContent>
      </w:r>
      <w:r w:rsidR="00CD3EE5" w:rsidRPr="00A70D1B">
        <w:rPr>
          <w:rFonts w:eastAsia="Times New Roman" w:cs="Times New Roman"/>
          <w:szCs w:val="19"/>
          <w:lang w:eastAsia="pl-PL"/>
        </w:rPr>
        <w:t>1</w:t>
      </w:r>
      <w:r w:rsidR="00C44CFE" w:rsidRPr="00A70D1B">
        <w:rPr>
          <w:rFonts w:eastAsia="Times New Roman" w:cs="Times New Roman"/>
          <w:szCs w:val="19"/>
          <w:lang w:eastAsia="pl-PL"/>
        </w:rPr>
        <w:t>6</w:t>
      </w:r>
      <w:r w:rsidR="006B715E" w:rsidRPr="00A70D1B">
        <w:rPr>
          <w:rFonts w:eastAsia="Times New Roman" w:cs="Times New Roman"/>
          <w:szCs w:val="19"/>
          <w:lang w:eastAsia="pl-PL"/>
        </w:rPr>
        <w:t> </w:t>
      </w:r>
      <w:r w:rsidR="000708BE" w:rsidRPr="00A70D1B">
        <w:rPr>
          <w:rFonts w:eastAsia="Times New Roman" w:cs="Times New Roman"/>
          <w:szCs w:val="19"/>
          <w:lang w:eastAsia="pl-PL"/>
        </w:rPr>
        <w:t>0</w:t>
      </w:r>
      <w:r w:rsidR="00980B8E" w:rsidRPr="00A70D1B">
        <w:rPr>
          <w:rFonts w:eastAsia="Times New Roman" w:cs="Times New Roman"/>
          <w:szCs w:val="19"/>
          <w:lang w:eastAsia="pl-PL"/>
        </w:rPr>
        <w:t>30</w:t>
      </w:r>
      <w:r w:rsidR="006B715E" w:rsidRPr="00A70D1B">
        <w:rPr>
          <w:rFonts w:eastAsia="Times New Roman" w:cs="Times New Roman"/>
          <w:szCs w:val="19"/>
          <w:lang w:eastAsia="pl-PL"/>
        </w:rPr>
        <w:t xml:space="preserve"> </w:t>
      </w:r>
      <w:r w:rsidR="008F0ACB" w:rsidRPr="00A70D1B">
        <w:rPr>
          <w:rFonts w:eastAsia="Times New Roman" w:cs="Times New Roman"/>
          <w:szCs w:val="19"/>
          <w:lang w:eastAsia="pl-PL"/>
        </w:rPr>
        <w:t xml:space="preserve">tys. </w:t>
      </w:r>
      <w:r w:rsidR="004B40F3" w:rsidRPr="00A70D1B">
        <w:rPr>
          <w:rFonts w:eastAsia="Times New Roman" w:cs="Times New Roman"/>
          <w:szCs w:val="19"/>
          <w:lang w:eastAsia="pl-PL"/>
        </w:rPr>
        <w:t xml:space="preserve">osób </w:t>
      </w:r>
      <w:r w:rsidR="0076517F" w:rsidRPr="00A70D1B">
        <w:rPr>
          <w:rFonts w:eastAsia="Times New Roman" w:cs="Times New Roman"/>
          <w:szCs w:val="19"/>
          <w:lang w:eastAsia="pl-PL"/>
        </w:rPr>
        <w:t xml:space="preserve">(tj. </w:t>
      </w:r>
      <w:r w:rsidR="00980B8E" w:rsidRPr="00A70D1B">
        <w:rPr>
          <w:rFonts w:eastAsia="Times New Roman" w:cs="Times New Roman"/>
          <w:szCs w:val="19"/>
          <w:lang w:eastAsia="pl-PL"/>
        </w:rPr>
        <w:t>93,2</w:t>
      </w:r>
      <w:r w:rsidR="0076517F" w:rsidRPr="00A70D1B">
        <w:rPr>
          <w:rFonts w:eastAsia="Times New Roman" w:cs="Times New Roman"/>
          <w:szCs w:val="19"/>
          <w:lang w:eastAsia="pl-PL"/>
        </w:rPr>
        <w:t xml:space="preserve">%) </w:t>
      </w:r>
      <w:r w:rsidR="008F0ACB" w:rsidRPr="00A70D1B">
        <w:rPr>
          <w:rFonts w:eastAsia="Times New Roman" w:cs="Times New Roman"/>
          <w:szCs w:val="19"/>
          <w:lang w:eastAsia="pl-PL"/>
        </w:rPr>
        <w:t xml:space="preserve">wykonywało pracę w pełnym wymiarze czasu, natomiast </w:t>
      </w:r>
      <w:r w:rsidR="00CD3EE5" w:rsidRPr="00A70D1B">
        <w:rPr>
          <w:rFonts w:eastAsia="Times New Roman" w:cs="Times New Roman"/>
          <w:szCs w:val="19"/>
          <w:lang w:eastAsia="pl-PL"/>
        </w:rPr>
        <w:t>1</w:t>
      </w:r>
      <w:r w:rsidR="00772E57" w:rsidRPr="00A70D1B">
        <w:rPr>
          <w:rFonts w:eastAsia="Times New Roman" w:cs="Times New Roman"/>
          <w:szCs w:val="19"/>
          <w:lang w:eastAsia="pl-PL"/>
        </w:rPr>
        <w:t> </w:t>
      </w:r>
      <w:r w:rsidR="00C44CFE" w:rsidRPr="00A70D1B">
        <w:rPr>
          <w:rFonts w:eastAsia="Times New Roman" w:cs="Times New Roman"/>
          <w:szCs w:val="19"/>
          <w:lang w:eastAsia="pl-PL"/>
        </w:rPr>
        <w:t>1</w:t>
      </w:r>
      <w:r w:rsidR="007C4467" w:rsidRPr="00A70D1B">
        <w:rPr>
          <w:rFonts w:eastAsia="Times New Roman" w:cs="Times New Roman"/>
          <w:szCs w:val="19"/>
          <w:lang w:eastAsia="pl-PL"/>
        </w:rPr>
        <w:t>76</w:t>
      </w:r>
      <w:r w:rsidR="00772E57" w:rsidRPr="00A70D1B">
        <w:rPr>
          <w:rFonts w:eastAsia="Times New Roman" w:cs="Times New Roman"/>
          <w:szCs w:val="19"/>
          <w:lang w:eastAsia="pl-PL"/>
        </w:rPr>
        <w:t> </w:t>
      </w:r>
      <w:r w:rsidR="008F0ACB" w:rsidRPr="00A70D1B">
        <w:rPr>
          <w:rFonts w:eastAsia="Times New Roman" w:cs="Times New Roman"/>
          <w:szCs w:val="19"/>
          <w:lang w:eastAsia="pl-PL"/>
        </w:rPr>
        <w:t xml:space="preserve">tys. </w:t>
      </w:r>
      <w:r w:rsidR="0076517F" w:rsidRPr="00A70D1B">
        <w:rPr>
          <w:rFonts w:eastAsia="Times New Roman" w:cs="Times New Roman"/>
          <w:szCs w:val="19"/>
          <w:lang w:eastAsia="pl-PL"/>
        </w:rPr>
        <w:t>(tj. 6,</w:t>
      </w:r>
      <w:r w:rsidR="007C4467" w:rsidRPr="00A70D1B">
        <w:rPr>
          <w:rFonts w:eastAsia="Times New Roman" w:cs="Times New Roman"/>
          <w:szCs w:val="19"/>
          <w:lang w:eastAsia="pl-PL"/>
        </w:rPr>
        <w:t>8</w:t>
      </w:r>
      <w:r w:rsidR="0076517F" w:rsidRPr="00A70D1B">
        <w:rPr>
          <w:rFonts w:eastAsia="Times New Roman" w:cs="Times New Roman"/>
          <w:szCs w:val="19"/>
          <w:lang w:eastAsia="pl-PL"/>
        </w:rPr>
        <w:t xml:space="preserve">%) </w:t>
      </w:r>
      <w:r w:rsidR="008F0ACB" w:rsidRPr="00A70D1B">
        <w:rPr>
          <w:rFonts w:eastAsia="Times New Roman" w:cs="Times New Roman"/>
          <w:szCs w:val="19"/>
          <w:lang w:eastAsia="pl-PL"/>
        </w:rPr>
        <w:t>pracowało w niepełnym wymiarze</w:t>
      </w:r>
      <w:r w:rsidR="00C44AC5" w:rsidRPr="00A70D1B">
        <w:rPr>
          <w:rFonts w:eastAsia="Times New Roman" w:cs="Times New Roman"/>
          <w:szCs w:val="19"/>
          <w:lang w:eastAsia="pl-PL"/>
        </w:rPr>
        <w:t>,</w:t>
      </w:r>
      <w:r w:rsidR="008F0ACB" w:rsidRPr="00A70D1B">
        <w:rPr>
          <w:rFonts w:eastAsia="Times New Roman" w:cs="Times New Roman"/>
          <w:szCs w:val="19"/>
          <w:lang w:eastAsia="pl-PL"/>
        </w:rPr>
        <w:t xml:space="preserve"> </w:t>
      </w:r>
    </w:p>
    <w:p w14:paraId="6E0A4825" w14:textId="75B1A4BD" w:rsidR="008F0ACB" w:rsidRPr="00A70D1B" w:rsidRDefault="00C44AC5" w:rsidP="00772E57">
      <w:pPr>
        <w:pStyle w:val="Akapitzlist"/>
        <w:numPr>
          <w:ilvl w:val="0"/>
          <w:numId w:val="9"/>
        </w:numPr>
        <w:spacing w:line="288" w:lineRule="auto"/>
        <w:ind w:left="426" w:hanging="357"/>
        <w:rPr>
          <w:rFonts w:eastAsia="Times New Roman" w:cs="Times New Roman"/>
          <w:szCs w:val="19"/>
          <w:lang w:eastAsia="pl-PL"/>
        </w:rPr>
      </w:pPr>
      <w:r w:rsidRPr="00A70D1B">
        <w:rPr>
          <w:rFonts w:eastAsia="Times New Roman" w:cs="Times New Roman"/>
          <w:szCs w:val="19"/>
          <w:lang w:eastAsia="pl-PL"/>
        </w:rPr>
        <w:t>ś</w:t>
      </w:r>
      <w:r w:rsidR="008F0ACB" w:rsidRPr="00A70D1B">
        <w:rPr>
          <w:rFonts w:eastAsia="Times New Roman" w:cs="Times New Roman"/>
          <w:szCs w:val="19"/>
          <w:lang w:eastAsia="pl-PL"/>
        </w:rPr>
        <w:t>rednia liczba godzin przepracowanych w</w:t>
      </w:r>
      <w:r w:rsidR="00F22DA5" w:rsidRPr="00A70D1B">
        <w:rPr>
          <w:rFonts w:eastAsia="Times New Roman" w:cs="Times New Roman"/>
          <w:szCs w:val="19"/>
          <w:lang w:eastAsia="pl-PL"/>
        </w:rPr>
        <w:t xml:space="preserve"> </w:t>
      </w:r>
      <w:r w:rsidR="008F0ACB" w:rsidRPr="00A70D1B">
        <w:rPr>
          <w:rFonts w:eastAsia="Times New Roman" w:cs="Times New Roman"/>
          <w:szCs w:val="19"/>
          <w:lang w:eastAsia="pl-PL"/>
        </w:rPr>
        <w:t>badanym tygodniu w</w:t>
      </w:r>
      <w:r w:rsidR="00F22DA5" w:rsidRPr="00A70D1B">
        <w:rPr>
          <w:rFonts w:eastAsia="Times New Roman" w:cs="Times New Roman"/>
          <w:szCs w:val="19"/>
          <w:lang w:eastAsia="pl-PL"/>
        </w:rPr>
        <w:t xml:space="preserve"> </w:t>
      </w:r>
      <w:r w:rsidR="008F0ACB" w:rsidRPr="00A70D1B">
        <w:rPr>
          <w:rFonts w:eastAsia="Times New Roman" w:cs="Times New Roman"/>
          <w:szCs w:val="19"/>
          <w:lang w:eastAsia="pl-PL"/>
        </w:rPr>
        <w:t>głównym miejscu pracy wyn</w:t>
      </w:r>
      <w:r w:rsidR="00260874" w:rsidRPr="00A70D1B">
        <w:rPr>
          <w:rFonts w:eastAsia="Times New Roman" w:cs="Times New Roman"/>
          <w:szCs w:val="19"/>
          <w:lang w:eastAsia="pl-PL"/>
        </w:rPr>
        <w:t>iosła</w:t>
      </w:r>
      <w:r w:rsidR="008F0ACB" w:rsidRPr="00A70D1B">
        <w:rPr>
          <w:rFonts w:eastAsia="Times New Roman" w:cs="Times New Roman"/>
          <w:szCs w:val="19"/>
          <w:lang w:eastAsia="pl-PL"/>
        </w:rPr>
        <w:t xml:space="preserve"> </w:t>
      </w:r>
      <w:r w:rsidR="00C44CFE" w:rsidRPr="00A70D1B">
        <w:rPr>
          <w:rFonts w:eastAsia="Times New Roman" w:cs="Times New Roman"/>
          <w:szCs w:val="19"/>
          <w:lang w:eastAsia="pl-PL"/>
        </w:rPr>
        <w:t>3</w:t>
      </w:r>
      <w:r w:rsidR="007C4467" w:rsidRPr="00A70D1B">
        <w:rPr>
          <w:rFonts w:eastAsia="Times New Roman" w:cs="Times New Roman"/>
          <w:szCs w:val="19"/>
          <w:lang w:eastAsia="pl-PL"/>
        </w:rPr>
        <w:t>8,2</w:t>
      </w:r>
      <w:r w:rsidR="008F0ACB" w:rsidRPr="00A70D1B">
        <w:rPr>
          <w:rFonts w:eastAsia="Times New Roman" w:cs="Times New Roman"/>
          <w:szCs w:val="19"/>
          <w:lang w:eastAsia="pl-PL"/>
        </w:rPr>
        <w:t xml:space="preserve"> godzin</w:t>
      </w:r>
      <w:r w:rsidR="007C4467" w:rsidRPr="00A70D1B">
        <w:rPr>
          <w:rFonts w:eastAsia="Times New Roman" w:cs="Times New Roman"/>
          <w:szCs w:val="19"/>
          <w:lang w:eastAsia="pl-PL"/>
        </w:rPr>
        <w:t>y</w:t>
      </w:r>
      <w:r w:rsidRPr="00A70D1B">
        <w:rPr>
          <w:rFonts w:eastAsia="Times New Roman" w:cs="Times New Roman"/>
          <w:szCs w:val="19"/>
          <w:lang w:eastAsia="pl-PL"/>
        </w:rPr>
        <w:t>,</w:t>
      </w:r>
    </w:p>
    <w:p w14:paraId="3DFDF3EF" w14:textId="0A0A2127" w:rsidR="00413DD8" w:rsidRPr="00A70D1B" w:rsidRDefault="004141B3" w:rsidP="00772E57">
      <w:pPr>
        <w:pStyle w:val="Akapitzlist"/>
        <w:numPr>
          <w:ilvl w:val="0"/>
          <w:numId w:val="9"/>
        </w:numPr>
        <w:spacing w:line="288" w:lineRule="auto"/>
        <w:ind w:left="426" w:hanging="357"/>
        <w:rPr>
          <w:rFonts w:eastAsia="Times New Roman" w:cs="Times New Roman"/>
          <w:szCs w:val="19"/>
          <w:lang w:eastAsia="pl-PL"/>
        </w:rPr>
      </w:pPr>
      <w:r w:rsidRPr="00A70D1B">
        <w:rPr>
          <w:rFonts w:eastAsia="Times New Roman" w:cs="Times New Roman"/>
          <w:szCs w:val="19"/>
          <w:lang w:eastAsia="pl-PL"/>
        </w:rPr>
        <w:t xml:space="preserve">w ogólnej liczbie pracujących </w:t>
      </w:r>
      <w:r w:rsidR="00C44AC5" w:rsidRPr="00A70D1B">
        <w:rPr>
          <w:rFonts w:eastAsia="Times New Roman" w:cs="Times New Roman"/>
          <w:szCs w:val="19"/>
          <w:lang w:eastAsia="pl-PL"/>
        </w:rPr>
        <w:t>u</w:t>
      </w:r>
      <w:r w:rsidR="00F64C46" w:rsidRPr="00A70D1B">
        <w:rPr>
          <w:rFonts w:eastAsia="Times New Roman" w:cs="Times New Roman"/>
          <w:szCs w:val="19"/>
          <w:lang w:eastAsia="pl-PL"/>
        </w:rPr>
        <w:t>dział pracowników zatrudnionych w firmach/</w:t>
      </w:r>
      <w:r w:rsidR="008A06EF" w:rsidRPr="00A70D1B">
        <w:rPr>
          <w:rFonts w:eastAsia="Times New Roman" w:cs="Times New Roman"/>
          <w:szCs w:val="19"/>
          <w:lang w:eastAsia="pl-PL"/>
        </w:rPr>
        <w:t xml:space="preserve"> </w:t>
      </w:r>
      <w:r w:rsidR="00F64C46" w:rsidRPr="00A70D1B">
        <w:rPr>
          <w:rFonts w:eastAsia="Times New Roman" w:cs="Times New Roman"/>
          <w:szCs w:val="19"/>
          <w:lang w:eastAsia="pl-PL"/>
        </w:rPr>
        <w:t>instytucjach publicznych lub u prywatnego pracodawcy wyn</w:t>
      </w:r>
      <w:r w:rsidR="00260874" w:rsidRPr="00A70D1B">
        <w:rPr>
          <w:rFonts w:eastAsia="Times New Roman" w:cs="Times New Roman"/>
          <w:szCs w:val="19"/>
          <w:lang w:eastAsia="pl-PL"/>
        </w:rPr>
        <w:t>iósł</w:t>
      </w:r>
      <w:r w:rsidR="00F64C46" w:rsidRPr="00A70D1B">
        <w:rPr>
          <w:rFonts w:eastAsia="Times New Roman" w:cs="Times New Roman"/>
          <w:szCs w:val="19"/>
          <w:lang w:eastAsia="pl-PL"/>
        </w:rPr>
        <w:t xml:space="preserve"> </w:t>
      </w:r>
      <w:r w:rsidR="00BE3839" w:rsidRPr="00A70D1B">
        <w:rPr>
          <w:rFonts w:eastAsia="Times New Roman" w:cs="Times New Roman"/>
          <w:szCs w:val="19"/>
          <w:lang w:eastAsia="pl-PL"/>
        </w:rPr>
        <w:t>80,</w:t>
      </w:r>
      <w:r w:rsidR="007C4467" w:rsidRPr="00A70D1B">
        <w:rPr>
          <w:rFonts w:eastAsia="Times New Roman" w:cs="Times New Roman"/>
          <w:szCs w:val="19"/>
          <w:lang w:eastAsia="pl-PL"/>
        </w:rPr>
        <w:t>8</w:t>
      </w:r>
      <w:r w:rsidR="00F64C46" w:rsidRPr="00A70D1B">
        <w:rPr>
          <w:rFonts w:eastAsia="Times New Roman" w:cs="Times New Roman"/>
          <w:szCs w:val="19"/>
          <w:lang w:eastAsia="pl-PL"/>
        </w:rPr>
        <w:t>% (13</w:t>
      </w:r>
      <w:r w:rsidR="00AB5096" w:rsidRPr="00A70D1B">
        <w:rPr>
          <w:rFonts w:eastAsia="Times New Roman" w:cs="Times New Roman"/>
          <w:szCs w:val="19"/>
          <w:lang w:eastAsia="pl-PL"/>
        </w:rPr>
        <w:t> </w:t>
      </w:r>
      <w:r w:rsidR="007C4467" w:rsidRPr="00A70D1B">
        <w:rPr>
          <w:rFonts w:eastAsia="Times New Roman" w:cs="Times New Roman"/>
          <w:szCs w:val="19"/>
          <w:lang w:eastAsia="pl-PL"/>
        </w:rPr>
        <w:t>907</w:t>
      </w:r>
      <w:r w:rsidR="00F64C46" w:rsidRPr="00A70D1B">
        <w:rPr>
          <w:rFonts w:eastAsia="Times New Roman" w:cs="Times New Roman"/>
          <w:szCs w:val="19"/>
          <w:lang w:eastAsia="pl-PL"/>
        </w:rPr>
        <w:t xml:space="preserve"> tys. osób)</w:t>
      </w:r>
      <w:r w:rsidR="00C44AC5" w:rsidRPr="00A70D1B">
        <w:rPr>
          <w:rFonts w:eastAsia="Times New Roman" w:cs="Times New Roman"/>
          <w:szCs w:val="19"/>
          <w:lang w:eastAsia="pl-PL"/>
        </w:rPr>
        <w:t>,</w:t>
      </w:r>
      <w:r w:rsidR="00F64C46" w:rsidRPr="00A70D1B">
        <w:rPr>
          <w:rFonts w:eastAsia="Times New Roman" w:cs="Times New Roman"/>
          <w:szCs w:val="19"/>
          <w:lang w:eastAsia="pl-PL"/>
        </w:rPr>
        <w:t xml:space="preserve"> </w:t>
      </w:r>
      <w:r w:rsidR="00A77899" w:rsidRPr="00A70D1B">
        <w:rPr>
          <w:rFonts w:eastAsia="Times New Roman" w:cs="Times New Roman"/>
          <w:szCs w:val="19"/>
          <w:lang w:eastAsia="pl-PL"/>
        </w:rPr>
        <w:t>pracujących na własny rachunek</w:t>
      </w:r>
      <w:r w:rsidRPr="00A70D1B">
        <w:rPr>
          <w:rFonts w:eastAsia="Times New Roman" w:cs="Times New Roman"/>
          <w:szCs w:val="19"/>
          <w:lang w:eastAsia="pl-PL"/>
        </w:rPr>
        <w:t xml:space="preserve"> </w:t>
      </w:r>
      <w:r w:rsidR="00260874" w:rsidRPr="00A70D1B">
        <w:rPr>
          <w:rFonts w:eastAsia="Times New Roman" w:cs="Times New Roman"/>
          <w:szCs w:val="19"/>
          <w:lang w:eastAsia="pl-PL"/>
        </w:rPr>
        <w:t xml:space="preserve">– </w:t>
      </w:r>
      <w:r w:rsidR="00457FD1" w:rsidRPr="00A70D1B">
        <w:rPr>
          <w:rFonts w:eastAsia="Times New Roman" w:cs="Times New Roman"/>
          <w:szCs w:val="19"/>
          <w:lang w:eastAsia="pl-PL"/>
        </w:rPr>
        <w:t>1</w:t>
      </w:r>
      <w:r w:rsidR="000708BE" w:rsidRPr="00A70D1B">
        <w:rPr>
          <w:rFonts w:eastAsia="Times New Roman" w:cs="Times New Roman"/>
          <w:szCs w:val="19"/>
          <w:lang w:eastAsia="pl-PL"/>
        </w:rPr>
        <w:t>8,</w:t>
      </w:r>
      <w:r w:rsidR="007C4467" w:rsidRPr="00A70D1B">
        <w:rPr>
          <w:rFonts w:eastAsia="Times New Roman" w:cs="Times New Roman"/>
          <w:szCs w:val="19"/>
          <w:lang w:eastAsia="pl-PL"/>
        </w:rPr>
        <w:t>4</w:t>
      </w:r>
      <w:r w:rsidR="00FC46A9" w:rsidRPr="00A70D1B">
        <w:rPr>
          <w:rFonts w:eastAsia="Times New Roman" w:cs="Times New Roman"/>
          <w:szCs w:val="19"/>
          <w:lang w:eastAsia="pl-PL"/>
        </w:rPr>
        <w:t>%</w:t>
      </w:r>
      <w:r w:rsidR="00C44AC5" w:rsidRPr="00A70D1B">
        <w:rPr>
          <w:rFonts w:eastAsia="Times New Roman" w:cs="Times New Roman"/>
          <w:szCs w:val="19"/>
          <w:lang w:eastAsia="pl-PL"/>
        </w:rPr>
        <w:t xml:space="preserve">, a </w:t>
      </w:r>
      <w:r w:rsidR="008F0ACB" w:rsidRPr="00A70D1B">
        <w:rPr>
          <w:rFonts w:eastAsia="Times New Roman" w:cs="Times New Roman"/>
          <w:szCs w:val="19"/>
          <w:lang w:eastAsia="pl-PL"/>
        </w:rPr>
        <w:t xml:space="preserve">pomagających </w:t>
      </w:r>
      <w:r w:rsidR="0059362A" w:rsidRPr="00A70D1B">
        <w:rPr>
          <w:rFonts w:eastAsia="Times New Roman" w:cs="Times New Roman"/>
          <w:szCs w:val="19"/>
          <w:lang w:eastAsia="pl-PL"/>
        </w:rPr>
        <w:t xml:space="preserve">bezpłatnie </w:t>
      </w:r>
      <w:r w:rsidR="008F0ACB" w:rsidRPr="00A70D1B">
        <w:rPr>
          <w:rFonts w:eastAsia="Times New Roman" w:cs="Times New Roman"/>
          <w:szCs w:val="19"/>
          <w:lang w:eastAsia="pl-PL"/>
        </w:rPr>
        <w:t xml:space="preserve">członków rodzin </w:t>
      </w:r>
      <w:r w:rsidR="00260874" w:rsidRPr="00A70D1B">
        <w:rPr>
          <w:rFonts w:eastAsia="Times New Roman" w:cs="Times New Roman"/>
          <w:szCs w:val="19"/>
          <w:lang w:eastAsia="pl-PL"/>
        </w:rPr>
        <w:t xml:space="preserve">– </w:t>
      </w:r>
      <w:r w:rsidR="00AB5096" w:rsidRPr="00A70D1B">
        <w:rPr>
          <w:rFonts w:eastAsia="Times New Roman" w:cs="Times New Roman"/>
          <w:szCs w:val="19"/>
          <w:lang w:eastAsia="pl-PL"/>
        </w:rPr>
        <w:t>0</w:t>
      </w:r>
      <w:r w:rsidR="0066314E" w:rsidRPr="00A70D1B">
        <w:rPr>
          <w:rFonts w:eastAsia="Times New Roman" w:cs="Times New Roman"/>
          <w:szCs w:val="19"/>
          <w:lang w:eastAsia="pl-PL"/>
        </w:rPr>
        <w:t>,</w:t>
      </w:r>
      <w:r w:rsidR="000708BE" w:rsidRPr="00A70D1B">
        <w:rPr>
          <w:rFonts w:eastAsia="Times New Roman" w:cs="Times New Roman"/>
          <w:szCs w:val="19"/>
          <w:lang w:eastAsia="pl-PL"/>
        </w:rPr>
        <w:t>8</w:t>
      </w:r>
      <w:r w:rsidR="00FC46A9" w:rsidRPr="00A70D1B">
        <w:rPr>
          <w:rFonts w:eastAsia="Times New Roman" w:cs="Times New Roman"/>
          <w:szCs w:val="19"/>
          <w:lang w:eastAsia="pl-PL"/>
        </w:rPr>
        <w:t xml:space="preserve">%, </w:t>
      </w:r>
      <w:r w:rsidR="00E34013" w:rsidRPr="00A70D1B">
        <w:rPr>
          <w:rFonts w:eastAsia="Times New Roman" w:cs="Times New Roman"/>
          <w:szCs w:val="19"/>
          <w:lang w:eastAsia="pl-PL"/>
        </w:rPr>
        <w:t xml:space="preserve">przy czym zdecydowanie większy udział </w:t>
      </w:r>
      <w:r w:rsidR="00413DD8" w:rsidRPr="00A70D1B">
        <w:rPr>
          <w:rFonts w:eastAsia="Times New Roman" w:cs="Times New Roman"/>
          <w:szCs w:val="19"/>
          <w:lang w:eastAsia="pl-PL"/>
        </w:rPr>
        <w:t>pracujących na własny rachunek</w:t>
      </w:r>
      <w:r w:rsidR="001A2826" w:rsidRPr="00A70D1B">
        <w:rPr>
          <w:rFonts w:eastAsia="Times New Roman" w:cs="Times New Roman"/>
          <w:szCs w:val="19"/>
          <w:lang w:eastAsia="pl-PL"/>
        </w:rPr>
        <w:t xml:space="preserve"> </w:t>
      </w:r>
      <w:r w:rsidR="00E34013" w:rsidRPr="00A70D1B">
        <w:rPr>
          <w:rFonts w:eastAsia="Times New Roman" w:cs="Times New Roman"/>
          <w:szCs w:val="19"/>
          <w:lang w:eastAsia="pl-PL"/>
        </w:rPr>
        <w:t>odnotowuje się</w:t>
      </w:r>
      <w:r w:rsidR="00413DD8" w:rsidRPr="00A70D1B">
        <w:rPr>
          <w:rFonts w:eastAsia="Times New Roman" w:cs="Times New Roman"/>
          <w:szCs w:val="19"/>
          <w:lang w:eastAsia="pl-PL"/>
        </w:rPr>
        <w:t xml:space="preserve"> wśród mężczyzn (</w:t>
      </w:r>
      <w:r w:rsidR="001A2826" w:rsidRPr="00A70D1B">
        <w:rPr>
          <w:rFonts w:eastAsia="Times New Roman" w:cs="Times New Roman"/>
          <w:szCs w:val="19"/>
          <w:lang w:eastAsia="pl-PL"/>
        </w:rPr>
        <w:t>23,2</w:t>
      </w:r>
      <w:r w:rsidR="00413DD8" w:rsidRPr="00A70D1B">
        <w:rPr>
          <w:rFonts w:eastAsia="Times New Roman" w:cs="Times New Roman"/>
          <w:szCs w:val="19"/>
          <w:lang w:eastAsia="pl-PL"/>
        </w:rPr>
        <w:t>%) niż kobiet (1</w:t>
      </w:r>
      <w:r w:rsidR="001A2826" w:rsidRPr="00A70D1B">
        <w:rPr>
          <w:rFonts w:eastAsia="Times New Roman" w:cs="Times New Roman"/>
          <w:szCs w:val="19"/>
          <w:lang w:eastAsia="pl-PL"/>
        </w:rPr>
        <w:t>2,6</w:t>
      </w:r>
      <w:r w:rsidR="00413DD8" w:rsidRPr="00A70D1B">
        <w:rPr>
          <w:rFonts w:eastAsia="Times New Roman" w:cs="Times New Roman"/>
          <w:szCs w:val="19"/>
          <w:lang w:eastAsia="pl-PL"/>
        </w:rPr>
        <w:t xml:space="preserve">%), </w:t>
      </w:r>
      <w:r w:rsidR="00E34013" w:rsidRPr="00A70D1B">
        <w:rPr>
          <w:rFonts w:eastAsia="Times New Roman" w:cs="Times New Roman"/>
          <w:szCs w:val="19"/>
          <w:lang w:eastAsia="pl-PL"/>
        </w:rPr>
        <w:t>natomiast</w:t>
      </w:r>
      <w:r w:rsidR="00881DEC" w:rsidRPr="00A70D1B">
        <w:rPr>
          <w:rFonts w:eastAsia="Times New Roman" w:cs="Times New Roman"/>
          <w:szCs w:val="19"/>
          <w:lang w:eastAsia="pl-PL"/>
        </w:rPr>
        <w:t xml:space="preserve"> zatrudnionych </w:t>
      </w:r>
      <w:r w:rsidR="00881DEC" w:rsidRPr="00A70D1B">
        <w:rPr>
          <w:rFonts w:eastAsia="Times New Roman" w:cs="Times New Roman"/>
          <w:szCs w:val="19"/>
          <w:lang w:eastAsia="pl-PL"/>
        </w:rPr>
        <w:lastRenderedPageBreak/>
        <w:t>u</w:t>
      </w:r>
      <w:r w:rsidR="00772E57" w:rsidRPr="00A70D1B">
        <w:rPr>
          <w:rFonts w:eastAsia="Times New Roman" w:cs="Times New Roman"/>
          <w:szCs w:val="19"/>
          <w:lang w:eastAsia="pl-PL"/>
        </w:rPr>
        <w:t> </w:t>
      </w:r>
      <w:r w:rsidR="00881DEC" w:rsidRPr="00A70D1B">
        <w:rPr>
          <w:rFonts w:eastAsia="Times New Roman" w:cs="Times New Roman"/>
          <w:szCs w:val="19"/>
          <w:lang w:eastAsia="pl-PL"/>
        </w:rPr>
        <w:t>państwowego bądź prywatnego pracodawcy</w:t>
      </w:r>
      <w:r w:rsidR="005E1040" w:rsidRPr="00A70D1B">
        <w:rPr>
          <w:rFonts w:eastAsia="Times New Roman" w:cs="Times New Roman"/>
          <w:szCs w:val="19"/>
          <w:lang w:eastAsia="pl-PL"/>
        </w:rPr>
        <w:t>,</w:t>
      </w:r>
      <w:r w:rsidR="00881DEC" w:rsidRPr="00A70D1B">
        <w:rPr>
          <w:rFonts w:eastAsia="Times New Roman" w:cs="Times New Roman"/>
          <w:szCs w:val="19"/>
          <w:lang w:eastAsia="pl-PL"/>
        </w:rPr>
        <w:t xml:space="preserve"> </w:t>
      </w:r>
      <w:r w:rsidR="00E34013" w:rsidRPr="00A70D1B">
        <w:rPr>
          <w:rFonts w:eastAsia="Times New Roman" w:cs="Times New Roman"/>
          <w:szCs w:val="19"/>
          <w:lang w:eastAsia="pl-PL"/>
        </w:rPr>
        <w:t>wśród</w:t>
      </w:r>
      <w:r w:rsidR="00881DEC" w:rsidRPr="00A70D1B">
        <w:rPr>
          <w:rFonts w:eastAsia="Times New Roman" w:cs="Times New Roman"/>
          <w:szCs w:val="19"/>
          <w:lang w:eastAsia="pl-PL"/>
        </w:rPr>
        <w:t xml:space="preserve"> kobiet (86,3%) niż mężczyzn (7</w:t>
      </w:r>
      <w:r w:rsidR="009A17BD" w:rsidRPr="00A70D1B">
        <w:rPr>
          <w:rFonts w:eastAsia="Times New Roman" w:cs="Times New Roman"/>
          <w:szCs w:val="19"/>
          <w:lang w:eastAsia="pl-PL"/>
        </w:rPr>
        <w:t>6,2</w:t>
      </w:r>
      <w:r w:rsidR="00881DEC" w:rsidRPr="00A70D1B">
        <w:rPr>
          <w:rFonts w:eastAsia="Times New Roman" w:cs="Times New Roman"/>
          <w:szCs w:val="19"/>
          <w:lang w:eastAsia="pl-PL"/>
        </w:rPr>
        <w:t>%)</w:t>
      </w:r>
      <w:r w:rsidR="00E34013" w:rsidRPr="00A70D1B">
        <w:rPr>
          <w:rFonts w:eastAsia="Times New Roman" w:cs="Times New Roman"/>
          <w:szCs w:val="19"/>
          <w:lang w:eastAsia="pl-PL"/>
        </w:rPr>
        <w:t>,</w:t>
      </w:r>
    </w:p>
    <w:p w14:paraId="66E11122" w14:textId="6F7E0E4C" w:rsidR="00C44AC5" w:rsidRPr="00A70D1B" w:rsidRDefault="00C44AC5" w:rsidP="00772E57">
      <w:pPr>
        <w:pStyle w:val="Akapitzlist"/>
        <w:numPr>
          <w:ilvl w:val="0"/>
          <w:numId w:val="9"/>
        </w:numPr>
        <w:spacing w:line="288" w:lineRule="auto"/>
        <w:ind w:left="426" w:hanging="357"/>
        <w:rPr>
          <w:rFonts w:eastAsia="Times New Roman" w:cs="Times New Roman"/>
          <w:szCs w:val="19"/>
          <w:lang w:eastAsia="pl-PL"/>
        </w:rPr>
      </w:pPr>
      <w:r w:rsidRPr="00A70D1B">
        <w:rPr>
          <w:rFonts w:eastAsia="Times New Roman" w:cs="Times New Roman"/>
          <w:szCs w:val="19"/>
          <w:lang w:eastAsia="pl-PL"/>
        </w:rPr>
        <w:t>z</w:t>
      </w:r>
      <w:r w:rsidR="008F0ACB" w:rsidRPr="00A70D1B">
        <w:rPr>
          <w:rFonts w:eastAsia="Times New Roman" w:cs="Times New Roman"/>
          <w:szCs w:val="19"/>
          <w:lang w:eastAsia="pl-PL"/>
        </w:rPr>
        <w:t>decydowana większość pracowników zatrudnionych w firmach/instytucjach publicznych lub u</w:t>
      </w:r>
      <w:r w:rsidR="00123B77" w:rsidRPr="00A70D1B">
        <w:rPr>
          <w:rFonts w:eastAsia="Times New Roman" w:cs="Times New Roman"/>
          <w:szCs w:val="19"/>
          <w:lang w:eastAsia="pl-PL"/>
        </w:rPr>
        <w:t xml:space="preserve"> </w:t>
      </w:r>
      <w:r w:rsidR="008F0ACB" w:rsidRPr="00A70D1B">
        <w:rPr>
          <w:rFonts w:eastAsia="Times New Roman" w:cs="Times New Roman"/>
          <w:szCs w:val="19"/>
          <w:lang w:eastAsia="pl-PL"/>
        </w:rPr>
        <w:t>prywatnego pracodawcy wykonywała swoją pracę w oparciu o</w:t>
      </w:r>
      <w:r w:rsidR="00C86969" w:rsidRPr="00A70D1B">
        <w:rPr>
          <w:rFonts w:eastAsia="Times New Roman" w:cs="Times New Roman"/>
          <w:szCs w:val="19"/>
          <w:lang w:eastAsia="pl-PL"/>
        </w:rPr>
        <w:t> </w:t>
      </w:r>
      <w:r w:rsidR="008F0ACB" w:rsidRPr="00A70D1B">
        <w:rPr>
          <w:rFonts w:eastAsia="Times New Roman" w:cs="Times New Roman"/>
          <w:szCs w:val="19"/>
          <w:lang w:eastAsia="pl-PL"/>
        </w:rPr>
        <w:t>umowę na czas nieokreślony (</w:t>
      </w:r>
      <w:r w:rsidR="00F16B22" w:rsidRPr="00A70D1B">
        <w:rPr>
          <w:rFonts w:eastAsia="Times New Roman" w:cs="Times New Roman"/>
          <w:szCs w:val="19"/>
          <w:lang w:eastAsia="pl-PL"/>
        </w:rPr>
        <w:t>8</w:t>
      </w:r>
      <w:r w:rsidR="007C4467" w:rsidRPr="00A70D1B">
        <w:rPr>
          <w:rFonts w:eastAsia="Times New Roman" w:cs="Times New Roman"/>
          <w:szCs w:val="19"/>
          <w:lang w:eastAsia="pl-PL"/>
        </w:rPr>
        <w:t>5,0</w:t>
      </w:r>
      <w:r w:rsidR="008F0ACB" w:rsidRPr="00A70D1B" w:rsidDel="00CB3101">
        <w:rPr>
          <w:rFonts w:eastAsia="Times New Roman" w:cs="Times New Roman"/>
          <w:szCs w:val="19"/>
          <w:lang w:eastAsia="pl-PL"/>
        </w:rPr>
        <w:t>%</w:t>
      </w:r>
      <w:r w:rsidR="008F0ACB" w:rsidRPr="00A70D1B">
        <w:rPr>
          <w:rFonts w:eastAsia="Times New Roman" w:cs="Times New Roman"/>
          <w:szCs w:val="19"/>
          <w:lang w:eastAsia="pl-PL"/>
        </w:rPr>
        <w:t>, tj. 11</w:t>
      </w:r>
      <w:r w:rsidR="0053214D" w:rsidRPr="00A70D1B">
        <w:rPr>
          <w:rFonts w:eastAsia="Times New Roman" w:cs="Times New Roman"/>
          <w:szCs w:val="19"/>
          <w:lang w:eastAsia="pl-PL"/>
        </w:rPr>
        <w:t> </w:t>
      </w:r>
      <w:r w:rsidR="007C4467" w:rsidRPr="00A70D1B">
        <w:rPr>
          <w:rFonts w:eastAsia="Times New Roman" w:cs="Times New Roman"/>
          <w:szCs w:val="19"/>
          <w:lang w:eastAsia="pl-PL"/>
        </w:rPr>
        <w:t>815</w:t>
      </w:r>
      <w:r w:rsidR="008F0ACB" w:rsidRPr="00A70D1B">
        <w:rPr>
          <w:rFonts w:eastAsia="Times New Roman" w:cs="Times New Roman"/>
          <w:szCs w:val="19"/>
          <w:lang w:eastAsia="pl-PL"/>
        </w:rPr>
        <w:t xml:space="preserve"> tys.</w:t>
      </w:r>
      <w:r w:rsidR="00C508DC" w:rsidRPr="00A70D1B">
        <w:rPr>
          <w:rFonts w:eastAsia="Times New Roman" w:cs="Times New Roman"/>
          <w:szCs w:val="19"/>
          <w:lang w:eastAsia="pl-PL"/>
        </w:rPr>
        <w:t xml:space="preserve"> osób</w:t>
      </w:r>
      <w:r w:rsidR="008F0ACB" w:rsidRPr="00A70D1B">
        <w:rPr>
          <w:rFonts w:eastAsia="Times New Roman" w:cs="Times New Roman"/>
          <w:szCs w:val="19"/>
          <w:lang w:eastAsia="pl-PL"/>
        </w:rPr>
        <w:t>)</w:t>
      </w:r>
      <w:r w:rsidRPr="00A70D1B">
        <w:rPr>
          <w:rFonts w:eastAsia="Times New Roman" w:cs="Times New Roman"/>
          <w:szCs w:val="19"/>
          <w:lang w:eastAsia="pl-PL"/>
        </w:rPr>
        <w:t>,</w:t>
      </w:r>
    </w:p>
    <w:p w14:paraId="635B40FB" w14:textId="4D1AD796" w:rsidR="008F0ACB" w:rsidRPr="00A70D1B" w:rsidRDefault="006C5E73" w:rsidP="00772E57">
      <w:pPr>
        <w:pStyle w:val="Akapitzlist"/>
        <w:numPr>
          <w:ilvl w:val="0"/>
          <w:numId w:val="9"/>
        </w:numPr>
        <w:spacing w:line="288" w:lineRule="auto"/>
        <w:ind w:left="426" w:hanging="357"/>
        <w:rPr>
          <w:rFonts w:eastAsia="Times New Roman" w:cs="Times New Roman"/>
          <w:szCs w:val="19"/>
          <w:lang w:eastAsia="pl-PL"/>
        </w:rPr>
      </w:pPr>
      <w:r w:rsidRPr="00A70D1B">
        <w:rPr>
          <w:rFonts w:eastAsia="Times New Roman" w:cs="Times New Roman"/>
          <w:szCs w:val="19"/>
          <w:lang w:eastAsia="pl-PL"/>
        </w:rPr>
        <w:t xml:space="preserve">sekcje, w których pracowało </w:t>
      </w:r>
      <w:r w:rsidR="00C44AC5" w:rsidRPr="00A70D1B">
        <w:rPr>
          <w:rFonts w:eastAsia="Times New Roman" w:cs="Times New Roman"/>
          <w:szCs w:val="19"/>
          <w:lang w:eastAsia="pl-PL"/>
        </w:rPr>
        <w:t>najwięcej osób</w:t>
      </w:r>
      <w:r w:rsidRPr="00A70D1B">
        <w:rPr>
          <w:rFonts w:eastAsia="Times New Roman" w:cs="Times New Roman"/>
          <w:szCs w:val="19"/>
          <w:lang w:eastAsia="pl-PL"/>
        </w:rPr>
        <w:t xml:space="preserve"> to: </w:t>
      </w:r>
      <w:r w:rsidR="00C44AC5" w:rsidRPr="00A70D1B">
        <w:rPr>
          <w:rFonts w:eastAsia="Times New Roman" w:cs="Times New Roman"/>
          <w:szCs w:val="19"/>
          <w:lang w:eastAsia="pl-PL"/>
        </w:rPr>
        <w:t>przetwórstw</w:t>
      </w:r>
      <w:r w:rsidRPr="00A70D1B">
        <w:rPr>
          <w:rFonts w:eastAsia="Times New Roman" w:cs="Times New Roman"/>
          <w:szCs w:val="19"/>
          <w:lang w:eastAsia="pl-PL"/>
        </w:rPr>
        <w:t>o</w:t>
      </w:r>
      <w:r w:rsidR="00C44AC5" w:rsidRPr="00A70D1B">
        <w:rPr>
          <w:rFonts w:eastAsia="Times New Roman" w:cs="Times New Roman"/>
          <w:szCs w:val="19"/>
          <w:lang w:eastAsia="pl-PL"/>
        </w:rPr>
        <w:t xml:space="preserve"> przemysło</w:t>
      </w:r>
      <w:r w:rsidRPr="00A70D1B">
        <w:rPr>
          <w:rFonts w:eastAsia="Times New Roman" w:cs="Times New Roman"/>
          <w:szCs w:val="19"/>
          <w:lang w:eastAsia="pl-PL"/>
        </w:rPr>
        <w:t>we</w:t>
      </w:r>
      <w:r w:rsidR="00C44AC5" w:rsidRPr="00A70D1B">
        <w:rPr>
          <w:rFonts w:eastAsia="Times New Roman" w:cs="Times New Roman"/>
          <w:szCs w:val="19"/>
          <w:lang w:eastAsia="pl-PL"/>
        </w:rPr>
        <w:t xml:space="preserve"> – </w:t>
      </w:r>
      <w:r w:rsidR="00F16B22" w:rsidRPr="00A70D1B">
        <w:rPr>
          <w:rFonts w:eastAsia="Times New Roman" w:cs="Times New Roman"/>
          <w:szCs w:val="19"/>
          <w:lang w:eastAsia="pl-PL"/>
        </w:rPr>
        <w:t>1</w:t>
      </w:r>
      <w:r w:rsidR="000C709F" w:rsidRPr="00A70D1B">
        <w:rPr>
          <w:rFonts w:eastAsia="Times New Roman" w:cs="Times New Roman"/>
          <w:szCs w:val="19"/>
          <w:lang w:eastAsia="pl-PL"/>
        </w:rPr>
        <w:t>9,</w:t>
      </w:r>
      <w:r w:rsidR="00E41DBA" w:rsidRPr="00A70D1B">
        <w:rPr>
          <w:rFonts w:eastAsia="Times New Roman" w:cs="Times New Roman"/>
          <w:szCs w:val="19"/>
          <w:lang w:eastAsia="pl-PL"/>
        </w:rPr>
        <w:t>2</w:t>
      </w:r>
      <w:r w:rsidR="009C7D15" w:rsidRPr="00A70D1B">
        <w:rPr>
          <w:rFonts w:eastAsia="Times New Roman" w:cs="Times New Roman"/>
          <w:szCs w:val="19"/>
          <w:lang w:eastAsia="pl-PL"/>
        </w:rPr>
        <w:t>% wszystkich pracujących</w:t>
      </w:r>
      <w:r w:rsidR="00C508DC" w:rsidRPr="00A70D1B">
        <w:rPr>
          <w:rFonts w:eastAsia="Times New Roman" w:cs="Times New Roman"/>
          <w:szCs w:val="19"/>
          <w:lang w:eastAsia="pl-PL"/>
        </w:rPr>
        <w:t xml:space="preserve"> (3 295 tys. osób)</w:t>
      </w:r>
      <w:r w:rsidR="00801FAA" w:rsidRPr="00A70D1B">
        <w:rPr>
          <w:rFonts w:eastAsia="Times New Roman" w:cs="Times New Roman"/>
          <w:szCs w:val="19"/>
          <w:lang w:eastAsia="pl-PL"/>
        </w:rPr>
        <w:t>,</w:t>
      </w:r>
      <w:r w:rsidR="00C44AC5" w:rsidRPr="00A70D1B">
        <w:rPr>
          <w:rFonts w:eastAsia="Times New Roman" w:cs="Times New Roman"/>
          <w:szCs w:val="19"/>
          <w:lang w:eastAsia="pl-PL"/>
        </w:rPr>
        <w:t xml:space="preserve"> hand</w:t>
      </w:r>
      <w:r w:rsidRPr="00A70D1B">
        <w:rPr>
          <w:rFonts w:eastAsia="Times New Roman" w:cs="Times New Roman"/>
          <w:szCs w:val="19"/>
          <w:lang w:eastAsia="pl-PL"/>
        </w:rPr>
        <w:t>el</w:t>
      </w:r>
      <w:r w:rsidR="00C44AC5" w:rsidRPr="00A70D1B">
        <w:rPr>
          <w:rFonts w:eastAsia="Times New Roman" w:cs="Times New Roman"/>
          <w:szCs w:val="19"/>
          <w:lang w:eastAsia="pl-PL"/>
        </w:rPr>
        <w:t xml:space="preserve"> hurtowy i detaliczny</w:t>
      </w:r>
      <w:r w:rsidR="00801FAA" w:rsidRPr="00A70D1B">
        <w:rPr>
          <w:rFonts w:eastAsia="Times New Roman" w:cs="Times New Roman"/>
          <w:szCs w:val="19"/>
          <w:lang w:eastAsia="pl-PL"/>
        </w:rPr>
        <w:t>; naprawa pojazdów samochodowych włączając motocykle</w:t>
      </w:r>
      <w:r w:rsidRPr="00A70D1B">
        <w:rPr>
          <w:rFonts w:eastAsia="Times New Roman" w:cs="Times New Roman"/>
          <w:szCs w:val="19"/>
          <w:lang w:eastAsia="pl-PL"/>
        </w:rPr>
        <w:t xml:space="preserve"> </w:t>
      </w:r>
      <w:r w:rsidR="008A2426" w:rsidRPr="00A70D1B">
        <w:rPr>
          <w:rFonts w:eastAsia="Times New Roman" w:cs="Times New Roman"/>
          <w:szCs w:val="19"/>
          <w:lang w:eastAsia="pl-PL"/>
        </w:rPr>
        <w:t>–</w:t>
      </w:r>
      <w:r w:rsidRPr="00A70D1B">
        <w:rPr>
          <w:rFonts w:eastAsia="Times New Roman" w:cs="Times New Roman"/>
          <w:szCs w:val="19"/>
          <w:lang w:eastAsia="pl-PL"/>
        </w:rPr>
        <w:t xml:space="preserve"> </w:t>
      </w:r>
      <w:r w:rsidR="008A2426" w:rsidRPr="00A70D1B">
        <w:rPr>
          <w:rFonts w:eastAsia="Times New Roman" w:cs="Times New Roman"/>
          <w:szCs w:val="19"/>
          <w:lang w:eastAsia="pl-PL"/>
        </w:rPr>
        <w:t>13,</w:t>
      </w:r>
      <w:r w:rsidR="00E41DBA" w:rsidRPr="00A70D1B">
        <w:rPr>
          <w:rFonts w:eastAsia="Times New Roman" w:cs="Times New Roman"/>
          <w:szCs w:val="19"/>
          <w:lang w:eastAsia="pl-PL"/>
        </w:rPr>
        <w:t>3</w:t>
      </w:r>
      <w:r w:rsidRPr="00A70D1B">
        <w:rPr>
          <w:rFonts w:eastAsia="Times New Roman" w:cs="Times New Roman"/>
          <w:szCs w:val="19"/>
          <w:lang w:eastAsia="pl-PL"/>
        </w:rPr>
        <w:t>% (2 </w:t>
      </w:r>
      <w:r w:rsidR="00E41DBA" w:rsidRPr="00A70D1B">
        <w:rPr>
          <w:rFonts w:eastAsia="Times New Roman" w:cs="Times New Roman"/>
          <w:szCs w:val="19"/>
          <w:lang w:eastAsia="pl-PL"/>
        </w:rPr>
        <w:t>291</w:t>
      </w:r>
      <w:r w:rsidRPr="00A70D1B">
        <w:rPr>
          <w:rFonts w:eastAsia="Times New Roman" w:cs="Times New Roman"/>
          <w:szCs w:val="19"/>
          <w:lang w:eastAsia="pl-PL"/>
        </w:rPr>
        <w:t xml:space="preserve"> tys.)</w:t>
      </w:r>
      <w:r w:rsidR="008A2426" w:rsidRPr="00A70D1B">
        <w:rPr>
          <w:rFonts w:eastAsia="Times New Roman" w:cs="Times New Roman"/>
          <w:szCs w:val="19"/>
          <w:lang w:eastAsia="pl-PL"/>
        </w:rPr>
        <w:t xml:space="preserve">, </w:t>
      </w:r>
      <w:r w:rsidR="0053214D" w:rsidRPr="00A70D1B">
        <w:rPr>
          <w:rFonts w:eastAsia="Times New Roman" w:cs="Times New Roman"/>
          <w:szCs w:val="19"/>
          <w:lang w:eastAsia="pl-PL"/>
        </w:rPr>
        <w:t>edukacj</w:t>
      </w:r>
      <w:r w:rsidRPr="00A70D1B">
        <w:rPr>
          <w:rFonts w:eastAsia="Times New Roman" w:cs="Times New Roman"/>
          <w:szCs w:val="19"/>
          <w:lang w:eastAsia="pl-PL"/>
        </w:rPr>
        <w:t>a</w:t>
      </w:r>
      <w:r w:rsidR="008A2426" w:rsidRPr="00A70D1B">
        <w:rPr>
          <w:rFonts w:eastAsia="Times New Roman" w:cs="Times New Roman"/>
          <w:szCs w:val="19"/>
          <w:lang w:eastAsia="pl-PL"/>
        </w:rPr>
        <w:t xml:space="preserve"> – </w:t>
      </w:r>
      <w:r w:rsidR="00E41DBA" w:rsidRPr="00A70D1B">
        <w:rPr>
          <w:rFonts w:eastAsia="Times New Roman" w:cs="Times New Roman"/>
          <w:szCs w:val="19"/>
          <w:lang w:eastAsia="pl-PL"/>
        </w:rPr>
        <w:t>7,9</w:t>
      </w:r>
      <w:r w:rsidR="008A2426" w:rsidRPr="00A70D1B">
        <w:rPr>
          <w:rFonts w:eastAsia="Times New Roman" w:cs="Times New Roman"/>
          <w:szCs w:val="19"/>
          <w:lang w:eastAsia="pl-PL"/>
        </w:rPr>
        <w:t>%</w:t>
      </w:r>
      <w:r w:rsidR="0053214D" w:rsidRPr="00A70D1B">
        <w:rPr>
          <w:rFonts w:eastAsia="Times New Roman" w:cs="Times New Roman"/>
          <w:szCs w:val="19"/>
          <w:lang w:eastAsia="pl-PL"/>
        </w:rPr>
        <w:t xml:space="preserve"> </w:t>
      </w:r>
      <w:r w:rsidR="00696F30" w:rsidRPr="00A70D1B">
        <w:rPr>
          <w:rFonts w:eastAsia="Times New Roman" w:cs="Times New Roman"/>
          <w:szCs w:val="19"/>
          <w:lang w:eastAsia="pl-PL"/>
        </w:rPr>
        <w:t>(1</w:t>
      </w:r>
      <w:r w:rsidR="00FF1894" w:rsidRPr="00A70D1B">
        <w:rPr>
          <w:rFonts w:eastAsia="Times New Roman" w:cs="Times New Roman"/>
          <w:szCs w:val="19"/>
          <w:lang w:eastAsia="pl-PL"/>
        </w:rPr>
        <w:t> </w:t>
      </w:r>
      <w:r w:rsidR="00696F30" w:rsidRPr="00A70D1B">
        <w:rPr>
          <w:rFonts w:eastAsia="Times New Roman" w:cs="Times New Roman"/>
          <w:szCs w:val="19"/>
          <w:lang w:eastAsia="pl-PL"/>
        </w:rPr>
        <w:t>3</w:t>
      </w:r>
      <w:r w:rsidR="00E41DBA" w:rsidRPr="00A70D1B">
        <w:rPr>
          <w:rFonts w:eastAsia="Times New Roman" w:cs="Times New Roman"/>
          <w:szCs w:val="19"/>
          <w:lang w:eastAsia="pl-PL"/>
        </w:rPr>
        <w:t>60</w:t>
      </w:r>
      <w:r w:rsidR="00C86969" w:rsidRPr="00A70D1B">
        <w:rPr>
          <w:rFonts w:eastAsia="Times New Roman" w:cs="Times New Roman"/>
          <w:szCs w:val="19"/>
          <w:lang w:eastAsia="pl-PL"/>
        </w:rPr>
        <w:t> </w:t>
      </w:r>
      <w:r w:rsidR="00696F30" w:rsidRPr="00A70D1B">
        <w:rPr>
          <w:rFonts w:eastAsia="Times New Roman" w:cs="Times New Roman"/>
          <w:szCs w:val="19"/>
          <w:lang w:eastAsia="pl-PL"/>
        </w:rPr>
        <w:t>tys.)</w:t>
      </w:r>
      <w:r w:rsidR="00801FAA" w:rsidRPr="00A70D1B">
        <w:rPr>
          <w:rFonts w:eastAsia="Times New Roman" w:cs="Times New Roman"/>
          <w:szCs w:val="19"/>
          <w:lang w:eastAsia="pl-PL"/>
        </w:rPr>
        <w:t xml:space="preserve"> oraz </w:t>
      </w:r>
      <w:r w:rsidR="008A2426" w:rsidRPr="00A70D1B">
        <w:rPr>
          <w:rFonts w:eastAsia="Times New Roman" w:cs="Times New Roman"/>
          <w:szCs w:val="19"/>
          <w:lang w:eastAsia="pl-PL"/>
        </w:rPr>
        <w:t>budownictwo – 7,</w:t>
      </w:r>
      <w:r w:rsidR="00E41DBA" w:rsidRPr="00A70D1B">
        <w:rPr>
          <w:rFonts w:eastAsia="Times New Roman" w:cs="Times New Roman"/>
          <w:szCs w:val="19"/>
          <w:lang w:eastAsia="pl-PL"/>
        </w:rPr>
        <w:t>6</w:t>
      </w:r>
      <w:r w:rsidR="008A2426" w:rsidRPr="00A70D1B">
        <w:rPr>
          <w:rFonts w:eastAsia="Times New Roman" w:cs="Times New Roman"/>
          <w:szCs w:val="19"/>
          <w:lang w:eastAsia="pl-PL"/>
        </w:rPr>
        <w:t>%</w:t>
      </w:r>
      <w:r w:rsidR="00696F30" w:rsidRPr="00A70D1B">
        <w:rPr>
          <w:rFonts w:eastAsia="Times New Roman" w:cs="Times New Roman"/>
          <w:szCs w:val="19"/>
          <w:lang w:eastAsia="pl-PL"/>
        </w:rPr>
        <w:t xml:space="preserve"> (1</w:t>
      </w:r>
      <w:r w:rsidR="00931EE2" w:rsidRPr="00A70D1B">
        <w:rPr>
          <w:rFonts w:eastAsia="Times New Roman" w:cs="Times New Roman"/>
          <w:szCs w:val="19"/>
          <w:lang w:eastAsia="pl-PL"/>
        </w:rPr>
        <w:t> </w:t>
      </w:r>
      <w:r w:rsidR="00E41DBA" w:rsidRPr="00A70D1B">
        <w:rPr>
          <w:rFonts w:eastAsia="Times New Roman" w:cs="Times New Roman"/>
          <w:szCs w:val="19"/>
          <w:lang w:eastAsia="pl-PL"/>
        </w:rPr>
        <w:t>315</w:t>
      </w:r>
      <w:r w:rsidR="00931EE2" w:rsidRPr="00A70D1B">
        <w:rPr>
          <w:rFonts w:eastAsia="Times New Roman" w:cs="Times New Roman"/>
          <w:szCs w:val="19"/>
          <w:lang w:eastAsia="pl-PL"/>
        </w:rPr>
        <w:t xml:space="preserve"> </w:t>
      </w:r>
      <w:r w:rsidR="00696F30" w:rsidRPr="00A70D1B">
        <w:rPr>
          <w:rFonts w:eastAsia="Times New Roman" w:cs="Times New Roman"/>
          <w:szCs w:val="19"/>
          <w:lang w:eastAsia="pl-PL"/>
        </w:rPr>
        <w:t>tys.).</w:t>
      </w:r>
    </w:p>
    <w:p w14:paraId="1F02C40A" w14:textId="0AE4E2D4" w:rsidR="00032DF1" w:rsidRPr="00A70D1B" w:rsidRDefault="00032DF1" w:rsidP="00A37E6B">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C34564" w:rsidRPr="00A70D1B">
        <w:rPr>
          <w:rFonts w:eastAsia="Times New Roman" w:cs="Times New Roman"/>
          <w:szCs w:val="19"/>
          <w:lang w:eastAsia="pl-PL"/>
        </w:rPr>
        <w:t>2</w:t>
      </w:r>
      <w:r w:rsidRPr="00A70D1B">
        <w:rPr>
          <w:rFonts w:eastAsia="Times New Roman" w:cs="Times New Roman"/>
          <w:szCs w:val="19"/>
          <w:lang w:eastAsia="pl-PL"/>
        </w:rPr>
        <w:t xml:space="preserve"> kwartale 202</w:t>
      </w:r>
      <w:r w:rsidR="000F35A7" w:rsidRPr="00A70D1B">
        <w:rPr>
          <w:rFonts w:eastAsia="Times New Roman" w:cs="Times New Roman"/>
          <w:szCs w:val="19"/>
          <w:lang w:eastAsia="pl-PL"/>
        </w:rPr>
        <w:t>4</w:t>
      </w:r>
      <w:r w:rsidRPr="00A70D1B">
        <w:rPr>
          <w:rFonts w:eastAsia="Times New Roman" w:cs="Times New Roman"/>
          <w:szCs w:val="19"/>
          <w:lang w:eastAsia="pl-PL"/>
        </w:rPr>
        <w:t xml:space="preserve"> r. największe </w:t>
      </w:r>
      <w:r w:rsidR="00A37E6B" w:rsidRPr="00A70D1B">
        <w:rPr>
          <w:rFonts w:eastAsia="Times New Roman" w:cs="Times New Roman"/>
          <w:szCs w:val="19"/>
          <w:lang w:eastAsia="pl-PL"/>
        </w:rPr>
        <w:t>wzrosty</w:t>
      </w:r>
      <w:r w:rsidRPr="00A70D1B">
        <w:rPr>
          <w:rFonts w:eastAsia="Times New Roman" w:cs="Times New Roman"/>
          <w:szCs w:val="19"/>
          <w:lang w:eastAsia="pl-PL"/>
        </w:rPr>
        <w:t xml:space="preserve"> liczby pracujących w porównaniu z poprzednim kwartałem odnotowano w </w:t>
      </w:r>
      <w:r w:rsidR="00A37E6B" w:rsidRPr="00A70D1B">
        <w:rPr>
          <w:rFonts w:eastAsia="Times New Roman" w:cs="Times New Roman"/>
          <w:szCs w:val="19"/>
          <w:lang w:eastAsia="pl-PL"/>
        </w:rPr>
        <w:t>edukacji</w:t>
      </w:r>
      <w:r w:rsidR="00CA4195" w:rsidRPr="00A70D1B">
        <w:rPr>
          <w:rFonts w:eastAsia="Times New Roman" w:cs="Times New Roman"/>
          <w:szCs w:val="19"/>
          <w:lang w:eastAsia="pl-PL"/>
        </w:rPr>
        <w:t xml:space="preserve"> (o 5</w:t>
      </w:r>
      <w:r w:rsidR="00A37E6B" w:rsidRPr="00A70D1B">
        <w:rPr>
          <w:rFonts w:eastAsia="Times New Roman" w:cs="Times New Roman"/>
          <w:szCs w:val="19"/>
          <w:lang w:eastAsia="pl-PL"/>
        </w:rPr>
        <w:t>0</w:t>
      </w:r>
      <w:r w:rsidR="00CA4195" w:rsidRPr="00A70D1B">
        <w:rPr>
          <w:rFonts w:eastAsia="Times New Roman" w:cs="Times New Roman"/>
          <w:szCs w:val="19"/>
          <w:lang w:eastAsia="pl-PL"/>
        </w:rPr>
        <w:t xml:space="preserve"> tys.</w:t>
      </w:r>
      <w:r w:rsidR="00C508DC" w:rsidRPr="00A70D1B">
        <w:rPr>
          <w:rFonts w:eastAsia="Times New Roman" w:cs="Times New Roman"/>
          <w:szCs w:val="19"/>
          <w:lang w:eastAsia="pl-PL"/>
        </w:rPr>
        <w:t xml:space="preserve"> osób</w:t>
      </w:r>
      <w:r w:rsidR="00CA4195" w:rsidRPr="00A70D1B">
        <w:rPr>
          <w:rFonts w:eastAsia="Times New Roman" w:cs="Times New Roman"/>
          <w:szCs w:val="19"/>
          <w:lang w:eastAsia="pl-PL"/>
        </w:rPr>
        <w:t>) oraz w</w:t>
      </w:r>
      <w:r w:rsidR="00A37E6B" w:rsidRPr="00A70D1B">
        <w:rPr>
          <w:rFonts w:eastAsia="Times New Roman" w:cs="Times New Roman"/>
          <w:szCs w:val="19"/>
          <w:lang w:eastAsia="pl-PL"/>
        </w:rPr>
        <w:t xml:space="preserve"> sekcji wytwarzanie i zaopatrywanie w</w:t>
      </w:r>
      <w:r w:rsidR="00B704FE" w:rsidRPr="00A70D1B">
        <w:rPr>
          <w:rFonts w:eastAsia="Times New Roman" w:cs="Times New Roman"/>
          <w:szCs w:val="19"/>
          <w:lang w:eastAsia="pl-PL"/>
        </w:rPr>
        <w:t> </w:t>
      </w:r>
      <w:r w:rsidR="00A37E6B" w:rsidRPr="00A70D1B">
        <w:rPr>
          <w:rFonts w:eastAsia="Times New Roman" w:cs="Times New Roman"/>
          <w:szCs w:val="19"/>
          <w:lang w:eastAsia="pl-PL"/>
        </w:rPr>
        <w:t>energię elektryczną, gaz, parę wodną, gorącą wodę i powietrze do układów klimatyzacyjnych</w:t>
      </w:r>
      <w:r w:rsidR="00CA4195" w:rsidRPr="00A70D1B">
        <w:rPr>
          <w:rFonts w:eastAsia="Times New Roman" w:cs="Times New Roman"/>
          <w:szCs w:val="19"/>
          <w:lang w:eastAsia="pl-PL"/>
        </w:rPr>
        <w:t xml:space="preserve"> (o </w:t>
      </w:r>
      <w:r w:rsidR="00A37E6B" w:rsidRPr="00A70D1B">
        <w:rPr>
          <w:rFonts w:eastAsia="Times New Roman" w:cs="Times New Roman"/>
          <w:szCs w:val="19"/>
          <w:lang w:eastAsia="pl-PL"/>
        </w:rPr>
        <w:t>43</w:t>
      </w:r>
      <w:r w:rsidR="00CA4195" w:rsidRPr="00A70D1B">
        <w:rPr>
          <w:rFonts w:eastAsia="Times New Roman" w:cs="Times New Roman"/>
          <w:szCs w:val="19"/>
          <w:lang w:eastAsia="pl-PL"/>
        </w:rPr>
        <w:t xml:space="preserve"> tys.). </w:t>
      </w:r>
      <w:r w:rsidRPr="00A70D1B">
        <w:rPr>
          <w:rFonts w:eastAsia="Times New Roman" w:cs="Times New Roman"/>
          <w:szCs w:val="19"/>
          <w:lang w:eastAsia="pl-PL"/>
        </w:rPr>
        <w:t xml:space="preserve">Największe </w:t>
      </w:r>
      <w:r w:rsidR="00A37E6B" w:rsidRPr="00A70D1B">
        <w:rPr>
          <w:rFonts w:eastAsia="Times New Roman" w:cs="Times New Roman"/>
          <w:szCs w:val="19"/>
          <w:lang w:eastAsia="pl-PL"/>
        </w:rPr>
        <w:t>spadki</w:t>
      </w:r>
      <w:r w:rsidRPr="00A70D1B">
        <w:rPr>
          <w:rFonts w:eastAsia="Times New Roman" w:cs="Times New Roman"/>
          <w:szCs w:val="19"/>
          <w:lang w:eastAsia="pl-PL"/>
        </w:rPr>
        <w:t xml:space="preserve"> dotyczyły natomiast </w:t>
      </w:r>
      <w:r w:rsidR="000F2F67" w:rsidRPr="00A70D1B">
        <w:rPr>
          <w:rFonts w:eastAsia="Times New Roman" w:cs="Times New Roman"/>
          <w:szCs w:val="19"/>
          <w:lang w:eastAsia="pl-PL"/>
        </w:rPr>
        <w:t xml:space="preserve">liczby </w:t>
      </w:r>
      <w:r w:rsidR="00F30CC6" w:rsidRPr="00A70D1B">
        <w:rPr>
          <w:rFonts w:eastAsia="Times New Roman" w:cs="Times New Roman"/>
          <w:szCs w:val="19"/>
          <w:lang w:eastAsia="pl-PL"/>
        </w:rPr>
        <w:t xml:space="preserve">pracujących </w:t>
      </w:r>
      <w:r w:rsidR="00CA4195" w:rsidRPr="00A70D1B">
        <w:rPr>
          <w:rFonts w:eastAsia="Times New Roman" w:cs="Times New Roman"/>
          <w:szCs w:val="19"/>
          <w:lang w:eastAsia="pl-PL"/>
        </w:rPr>
        <w:t>w</w:t>
      </w:r>
      <w:r w:rsidR="00C81191" w:rsidRPr="00A70D1B">
        <w:rPr>
          <w:rFonts w:eastAsia="Times New Roman" w:cs="Times New Roman"/>
          <w:szCs w:val="19"/>
          <w:lang w:eastAsia="pl-PL"/>
        </w:rPr>
        <w:t> </w:t>
      </w:r>
      <w:r w:rsidR="00A37E6B" w:rsidRPr="00A70D1B">
        <w:rPr>
          <w:rFonts w:eastAsia="Times New Roman" w:cs="Times New Roman"/>
          <w:szCs w:val="19"/>
          <w:lang w:eastAsia="pl-PL"/>
        </w:rPr>
        <w:t xml:space="preserve">sekcji rolnictwo, leśnictwo, łowiectwo i rybactwo </w:t>
      </w:r>
      <w:r w:rsidRPr="00A70D1B">
        <w:rPr>
          <w:rFonts w:eastAsia="Times New Roman" w:cs="Times New Roman"/>
          <w:szCs w:val="19"/>
          <w:lang w:eastAsia="pl-PL"/>
        </w:rPr>
        <w:t xml:space="preserve">(o </w:t>
      </w:r>
      <w:r w:rsidR="00A37E6B" w:rsidRPr="00A70D1B">
        <w:rPr>
          <w:rFonts w:eastAsia="Times New Roman" w:cs="Times New Roman"/>
          <w:szCs w:val="19"/>
          <w:lang w:eastAsia="pl-PL"/>
        </w:rPr>
        <w:t>56</w:t>
      </w:r>
      <w:r w:rsidRPr="00A70D1B">
        <w:rPr>
          <w:rFonts w:eastAsia="Times New Roman" w:cs="Times New Roman"/>
          <w:szCs w:val="19"/>
          <w:lang w:eastAsia="pl-PL"/>
        </w:rPr>
        <w:t xml:space="preserve"> tys.) oraz w </w:t>
      </w:r>
      <w:r w:rsidR="00CA4195" w:rsidRPr="00A70D1B">
        <w:rPr>
          <w:rFonts w:eastAsia="Times New Roman" w:cs="Times New Roman"/>
          <w:szCs w:val="19"/>
          <w:lang w:eastAsia="pl-PL"/>
        </w:rPr>
        <w:t xml:space="preserve">działalności w zakresie usług administrowania i działalności wspierającej </w:t>
      </w:r>
      <w:r w:rsidRPr="00A70D1B">
        <w:rPr>
          <w:rFonts w:eastAsia="Times New Roman" w:cs="Times New Roman"/>
          <w:szCs w:val="19"/>
          <w:lang w:eastAsia="pl-PL"/>
        </w:rPr>
        <w:t>(o</w:t>
      </w:r>
      <w:r w:rsidR="00076435" w:rsidRPr="00A70D1B">
        <w:rPr>
          <w:rFonts w:eastAsia="Times New Roman" w:cs="Times New Roman"/>
          <w:szCs w:val="19"/>
          <w:lang w:eastAsia="pl-PL"/>
        </w:rPr>
        <w:t> </w:t>
      </w:r>
      <w:r w:rsidR="00A37E6B" w:rsidRPr="00A70D1B">
        <w:rPr>
          <w:rFonts w:eastAsia="Times New Roman" w:cs="Times New Roman"/>
          <w:szCs w:val="19"/>
          <w:lang w:eastAsia="pl-PL"/>
        </w:rPr>
        <w:t>3</w:t>
      </w:r>
      <w:r w:rsidR="00CA4195" w:rsidRPr="00A70D1B">
        <w:rPr>
          <w:rFonts w:eastAsia="Times New Roman" w:cs="Times New Roman"/>
          <w:szCs w:val="19"/>
          <w:lang w:eastAsia="pl-PL"/>
        </w:rPr>
        <w:t>4</w:t>
      </w:r>
      <w:r w:rsidR="001D2D09" w:rsidRPr="00A70D1B">
        <w:rPr>
          <w:rFonts w:eastAsia="Times New Roman" w:cs="Times New Roman"/>
          <w:szCs w:val="19"/>
          <w:lang w:eastAsia="pl-PL"/>
        </w:rPr>
        <w:t> </w:t>
      </w:r>
      <w:r w:rsidRPr="00A70D1B">
        <w:rPr>
          <w:rFonts w:eastAsia="Times New Roman" w:cs="Times New Roman"/>
          <w:szCs w:val="19"/>
          <w:lang w:eastAsia="pl-PL"/>
        </w:rPr>
        <w:t xml:space="preserve">tys.). </w:t>
      </w:r>
    </w:p>
    <w:p w14:paraId="48276B01" w14:textId="41717580" w:rsidR="00143641" w:rsidRPr="00A70D1B" w:rsidRDefault="00032DF1" w:rsidP="00FD54A1">
      <w:pPr>
        <w:spacing w:line="288" w:lineRule="auto"/>
        <w:rPr>
          <w:rFonts w:eastAsia="Times New Roman" w:cs="Times New Roman"/>
          <w:szCs w:val="19"/>
          <w:lang w:eastAsia="pl-PL"/>
        </w:rPr>
      </w:pPr>
      <w:r w:rsidRPr="00A70D1B">
        <w:rPr>
          <w:rFonts w:eastAsia="Times New Roman" w:cs="Times New Roman"/>
          <w:szCs w:val="19"/>
          <w:lang w:eastAsia="pl-PL"/>
        </w:rPr>
        <w:t xml:space="preserve">W porównaniu z </w:t>
      </w:r>
      <w:r w:rsidR="00C82DD5" w:rsidRPr="00A70D1B">
        <w:rPr>
          <w:rFonts w:eastAsia="Times New Roman" w:cs="Times New Roman"/>
          <w:szCs w:val="19"/>
          <w:lang w:eastAsia="pl-PL"/>
        </w:rPr>
        <w:t>2</w:t>
      </w:r>
      <w:r w:rsidRPr="00A70D1B">
        <w:rPr>
          <w:rFonts w:eastAsia="Times New Roman" w:cs="Times New Roman"/>
          <w:szCs w:val="19"/>
          <w:lang w:eastAsia="pl-PL"/>
        </w:rPr>
        <w:t xml:space="preserve"> kwartałem 202</w:t>
      </w:r>
      <w:r w:rsidR="00CA4195" w:rsidRPr="00A70D1B">
        <w:rPr>
          <w:rFonts w:eastAsia="Times New Roman" w:cs="Times New Roman"/>
          <w:szCs w:val="19"/>
          <w:lang w:eastAsia="pl-PL"/>
        </w:rPr>
        <w:t>3</w:t>
      </w:r>
      <w:r w:rsidRPr="00A70D1B">
        <w:rPr>
          <w:rFonts w:eastAsia="Times New Roman" w:cs="Times New Roman"/>
          <w:szCs w:val="19"/>
          <w:lang w:eastAsia="pl-PL"/>
        </w:rPr>
        <w:t xml:space="preserve"> r. największ</w:t>
      </w:r>
      <w:r w:rsidR="00996E90" w:rsidRPr="00A70D1B">
        <w:rPr>
          <w:rFonts w:eastAsia="Times New Roman" w:cs="Times New Roman"/>
          <w:szCs w:val="19"/>
          <w:lang w:eastAsia="pl-PL"/>
        </w:rPr>
        <w:t>e</w:t>
      </w:r>
      <w:r w:rsidRPr="00A70D1B">
        <w:rPr>
          <w:rFonts w:eastAsia="Times New Roman" w:cs="Times New Roman"/>
          <w:szCs w:val="19"/>
          <w:lang w:eastAsia="pl-PL"/>
        </w:rPr>
        <w:t xml:space="preserve"> </w:t>
      </w:r>
      <w:r w:rsidR="00F16AFF" w:rsidRPr="00A70D1B">
        <w:rPr>
          <w:rFonts w:eastAsia="Times New Roman" w:cs="Times New Roman"/>
          <w:szCs w:val="19"/>
          <w:lang w:eastAsia="pl-PL"/>
        </w:rPr>
        <w:t>wzrost</w:t>
      </w:r>
      <w:r w:rsidR="00996E90" w:rsidRPr="00A70D1B">
        <w:rPr>
          <w:rFonts w:eastAsia="Times New Roman" w:cs="Times New Roman"/>
          <w:szCs w:val="19"/>
          <w:lang w:eastAsia="pl-PL"/>
        </w:rPr>
        <w:t>y</w:t>
      </w:r>
      <w:r w:rsidRPr="00A70D1B">
        <w:rPr>
          <w:rFonts w:eastAsia="Times New Roman" w:cs="Times New Roman"/>
          <w:szCs w:val="19"/>
          <w:lang w:eastAsia="pl-PL"/>
        </w:rPr>
        <w:t xml:space="preserve"> liczby pracujących wystąpił</w:t>
      </w:r>
      <w:r w:rsidR="00996E90" w:rsidRPr="00A70D1B">
        <w:rPr>
          <w:rFonts w:eastAsia="Times New Roman" w:cs="Times New Roman"/>
          <w:szCs w:val="19"/>
          <w:lang w:eastAsia="pl-PL"/>
        </w:rPr>
        <w:t>y</w:t>
      </w:r>
      <w:r w:rsidRPr="00A70D1B">
        <w:rPr>
          <w:rFonts w:eastAsia="Times New Roman" w:cs="Times New Roman"/>
          <w:szCs w:val="19"/>
          <w:lang w:eastAsia="pl-PL"/>
        </w:rPr>
        <w:t xml:space="preserve"> </w:t>
      </w:r>
      <w:r w:rsidR="00996E90" w:rsidRPr="00A70D1B">
        <w:rPr>
          <w:rFonts w:eastAsia="Times New Roman" w:cs="Times New Roman"/>
          <w:szCs w:val="19"/>
          <w:lang w:eastAsia="pl-PL"/>
        </w:rPr>
        <w:t>w </w:t>
      </w:r>
      <w:r w:rsidR="00F16AFF" w:rsidRPr="00A70D1B">
        <w:rPr>
          <w:rFonts w:eastAsia="Times New Roman" w:cs="Times New Roman"/>
          <w:szCs w:val="19"/>
          <w:lang w:eastAsia="pl-PL"/>
        </w:rPr>
        <w:t xml:space="preserve">przetwórstwie przemysłowym </w:t>
      </w:r>
      <w:r w:rsidR="00CA4195" w:rsidRPr="00A70D1B">
        <w:rPr>
          <w:rFonts w:eastAsia="Times New Roman" w:cs="Times New Roman"/>
          <w:szCs w:val="19"/>
          <w:lang w:eastAsia="pl-PL"/>
        </w:rPr>
        <w:t>(o 1</w:t>
      </w:r>
      <w:r w:rsidR="00F16AFF" w:rsidRPr="00A70D1B">
        <w:rPr>
          <w:rFonts w:eastAsia="Times New Roman" w:cs="Times New Roman"/>
          <w:szCs w:val="19"/>
          <w:lang w:eastAsia="pl-PL"/>
        </w:rPr>
        <w:t>22</w:t>
      </w:r>
      <w:r w:rsidR="00CA4195" w:rsidRPr="00A70D1B">
        <w:rPr>
          <w:rFonts w:eastAsia="Times New Roman" w:cs="Times New Roman"/>
          <w:szCs w:val="19"/>
          <w:lang w:eastAsia="pl-PL"/>
        </w:rPr>
        <w:t xml:space="preserve"> tys.</w:t>
      </w:r>
      <w:r w:rsidR="00C508DC" w:rsidRPr="00A70D1B">
        <w:rPr>
          <w:rFonts w:eastAsia="Times New Roman" w:cs="Times New Roman"/>
          <w:szCs w:val="19"/>
          <w:lang w:eastAsia="pl-PL"/>
        </w:rPr>
        <w:t xml:space="preserve"> osób</w:t>
      </w:r>
      <w:r w:rsidR="00CA4195" w:rsidRPr="00A70D1B">
        <w:rPr>
          <w:rFonts w:eastAsia="Times New Roman" w:cs="Times New Roman"/>
          <w:szCs w:val="19"/>
          <w:lang w:eastAsia="pl-PL"/>
        </w:rPr>
        <w:t xml:space="preserve">) oraz w </w:t>
      </w:r>
      <w:r w:rsidR="004A2672" w:rsidRPr="00A70D1B">
        <w:rPr>
          <w:rFonts w:eastAsia="Times New Roman" w:cs="Times New Roman"/>
          <w:szCs w:val="19"/>
          <w:lang w:eastAsia="pl-PL"/>
        </w:rPr>
        <w:t xml:space="preserve">działalności </w:t>
      </w:r>
      <w:r w:rsidR="00102D4C" w:rsidRPr="00A70D1B">
        <w:rPr>
          <w:rFonts w:eastAsia="Times New Roman" w:cs="Times New Roman"/>
          <w:szCs w:val="19"/>
          <w:lang w:eastAsia="pl-PL"/>
        </w:rPr>
        <w:t>profesjonalnej, naukowej i</w:t>
      </w:r>
      <w:r w:rsidR="00B704FE" w:rsidRPr="00A70D1B">
        <w:rPr>
          <w:rFonts w:eastAsia="Times New Roman" w:cs="Times New Roman"/>
          <w:szCs w:val="19"/>
          <w:lang w:eastAsia="pl-PL"/>
        </w:rPr>
        <w:t> </w:t>
      </w:r>
      <w:r w:rsidR="00102D4C" w:rsidRPr="00A70D1B">
        <w:rPr>
          <w:rFonts w:eastAsia="Times New Roman" w:cs="Times New Roman"/>
          <w:szCs w:val="19"/>
          <w:lang w:eastAsia="pl-PL"/>
        </w:rPr>
        <w:t>technicznej</w:t>
      </w:r>
      <w:r w:rsidR="00CA4195" w:rsidRPr="00A70D1B">
        <w:rPr>
          <w:rFonts w:eastAsia="Times New Roman" w:cs="Times New Roman"/>
          <w:szCs w:val="19"/>
          <w:lang w:eastAsia="pl-PL"/>
        </w:rPr>
        <w:t xml:space="preserve"> (o </w:t>
      </w:r>
      <w:r w:rsidR="00102D4C" w:rsidRPr="00A70D1B">
        <w:rPr>
          <w:rFonts w:eastAsia="Times New Roman" w:cs="Times New Roman"/>
          <w:szCs w:val="19"/>
          <w:lang w:eastAsia="pl-PL"/>
        </w:rPr>
        <w:t>83</w:t>
      </w:r>
      <w:r w:rsidR="00CA4195" w:rsidRPr="00A70D1B">
        <w:rPr>
          <w:rFonts w:eastAsia="Times New Roman" w:cs="Times New Roman"/>
          <w:szCs w:val="19"/>
          <w:lang w:eastAsia="pl-PL"/>
        </w:rPr>
        <w:t xml:space="preserve"> tys.)</w:t>
      </w:r>
      <w:r w:rsidRPr="00A70D1B">
        <w:rPr>
          <w:rFonts w:eastAsia="Times New Roman" w:cs="Times New Roman"/>
          <w:szCs w:val="19"/>
          <w:lang w:eastAsia="pl-PL"/>
        </w:rPr>
        <w:t>, zaś największ</w:t>
      </w:r>
      <w:r w:rsidR="00996E90" w:rsidRPr="00A70D1B">
        <w:rPr>
          <w:rFonts w:eastAsia="Times New Roman" w:cs="Times New Roman"/>
          <w:szCs w:val="19"/>
          <w:lang w:eastAsia="pl-PL"/>
        </w:rPr>
        <w:t>e</w:t>
      </w:r>
      <w:r w:rsidRPr="00A70D1B">
        <w:rPr>
          <w:rFonts w:eastAsia="Times New Roman" w:cs="Times New Roman"/>
          <w:szCs w:val="19"/>
          <w:lang w:eastAsia="pl-PL"/>
        </w:rPr>
        <w:t xml:space="preserve"> </w:t>
      </w:r>
      <w:r w:rsidR="00102D4C" w:rsidRPr="00A70D1B">
        <w:rPr>
          <w:rFonts w:eastAsia="Times New Roman" w:cs="Times New Roman"/>
          <w:szCs w:val="19"/>
          <w:lang w:eastAsia="pl-PL"/>
        </w:rPr>
        <w:t>spad</w:t>
      </w:r>
      <w:r w:rsidR="00996E90" w:rsidRPr="00A70D1B">
        <w:rPr>
          <w:rFonts w:eastAsia="Times New Roman" w:cs="Times New Roman"/>
          <w:szCs w:val="19"/>
          <w:lang w:eastAsia="pl-PL"/>
        </w:rPr>
        <w:t>ki</w:t>
      </w:r>
      <w:r w:rsidRPr="00A70D1B">
        <w:rPr>
          <w:rFonts w:eastAsia="Times New Roman" w:cs="Times New Roman"/>
          <w:szCs w:val="19"/>
          <w:lang w:eastAsia="pl-PL"/>
        </w:rPr>
        <w:t xml:space="preserve"> </w:t>
      </w:r>
      <w:r w:rsidR="005B75C7" w:rsidRPr="00A70D1B">
        <w:rPr>
          <w:rFonts w:eastAsia="Times New Roman" w:cs="Times New Roman"/>
          <w:szCs w:val="19"/>
          <w:lang w:eastAsia="pl-PL"/>
        </w:rPr>
        <w:t xml:space="preserve">– </w:t>
      </w:r>
      <w:r w:rsidRPr="00A70D1B">
        <w:rPr>
          <w:rFonts w:eastAsia="Times New Roman" w:cs="Times New Roman"/>
          <w:szCs w:val="19"/>
          <w:lang w:eastAsia="pl-PL"/>
        </w:rPr>
        <w:t>w</w:t>
      </w:r>
      <w:r w:rsidR="00076435" w:rsidRPr="00A70D1B">
        <w:rPr>
          <w:rFonts w:eastAsia="Times New Roman" w:cs="Times New Roman"/>
          <w:szCs w:val="19"/>
          <w:lang w:eastAsia="pl-PL"/>
        </w:rPr>
        <w:t>śród pracujących w</w:t>
      </w:r>
      <w:r w:rsidRPr="00A70D1B">
        <w:rPr>
          <w:rFonts w:eastAsia="Times New Roman" w:cs="Times New Roman"/>
          <w:szCs w:val="19"/>
          <w:lang w:eastAsia="pl-PL"/>
        </w:rPr>
        <w:t xml:space="preserve"> </w:t>
      </w:r>
      <w:r w:rsidR="00102D4C" w:rsidRPr="00A70D1B">
        <w:rPr>
          <w:rFonts w:eastAsia="Times New Roman" w:cs="Times New Roman"/>
          <w:szCs w:val="19"/>
          <w:lang w:eastAsia="pl-PL"/>
        </w:rPr>
        <w:t>rolnictwie, leśnictwie, łowiectwie i rybactwie</w:t>
      </w:r>
      <w:r w:rsidR="00CA4195" w:rsidRPr="00A70D1B">
        <w:rPr>
          <w:rFonts w:eastAsia="Times New Roman" w:cs="Times New Roman"/>
          <w:szCs w:val="19"/>
          <w:lang w:eastAsia="pl-PL"/>
        </w:rPr>
        <w:t xml:space="preserve"> (o </w:t>
      </w:r>
      <w:r w:rsidR="00102D4C" w:rsidRPr="00A70D1B">
        <w:rPr>
          <w:rFonts w:eastAsia="Times New Roman" w:cs="Times New Roman"/>
          <w:szCs w:val="19"/>
          <w:lang w:eastAsia="pl-PL"/>
        </w:rPr>
        <w:t>247</w:t>
      </w:r>
      <w:r w:rsidR="00CA4195" w:rsidRPr="00A70D1B">
        <w:rPr>
          <w:rFonts w:eastAsia="Times New Roman" w:cs="Times New Roman"/>
          <w:szCs w:val="19"/>
          <w:lang w:eastAsia="pl-PL"/>
        </w:rPr>
        <w:t xml:space="preserve"> tys.) </w:t>
      </w:r>
      <w:r w:rsidR="001D485B" w:rsidRPr="00A70D1B">
        <w:rPr>
          <w:rFonts w:eastAsia="Times New Roman" w:cs="Times New Roman"/>
          <w:szCs w:val="19"/>
          <w:lang w:eastAsia="pl-PL"/>
        </w:rPr>
        <w:t xml:space="preserve">oraz w sekcji </w:t>
      </w:r>
      <w:r w:rsidR="00102D4C" w:rsidRPr="00A70D1B">
        <w:rPr>
          <w:rFonts w:eastAsia="Times New Roman" w:cs="Times New Roman"/>
          <w:szCs w:val="19"/>
          <w:lang w:eastAsia="pl-PL"/>
        </w:rPr>
        <w:t>handel hurtowy i detaliczny; naprawa pojazdów samochodowych, włączając motocykle</w:t>
      </w:r>
      <w:r w:rsidR="001D485B" w:rsidRPr="00A70D1B">
        <w:rPr>
          <w:rFonts w:eastAsia="Times New Roman" w:cs="Times New Roman"/>
          <w:szCs w:val="19"/>
          <w:lang w:eastAsia="pl-PL"/>
        </w:rPr>
        <w:t xml:space="preserve"> (o 4</w:t>
      </w:r>
      <w:r w:rsidR="00102D4C" w:rsidRPr="00A70D1B">
        <w:rPr>
          <w:rFonts w:eastAsia="Times New Roman" w:cs="Times New Roman"/>
          <w:szCs w:val="19"/>
          <w:lang w:eastAsia="pl-PL"/>
        </w:rPr>
        <w:t>2</w:t>
      </w:r>
      <w:r w:rsidR="001D485B" w:rsidRPr="00A70D1B">
        <w:rPr>
          <w:rFonts w:eastAsia="Times New Roman" w:cs="Times New Roman"/>
          <w:szCs w:val="19"/>
          <w:lang w:eastAsia="pl-PL"/>
        </w:rPr>
        <w:t xml:space="preserve"> tys.).</w:t>
      </w:r>
    </w:p>
    <w:p w14:paraId="2B40E81F" w14:textId="7C384370" w:rsidR="00B20C43" w:rsidRPr="00A70D1B" w:rsidRDefault="0098000C" w:rsidP="003E2080">
      <w:pPr>
        <w:spacing w:line="288" w:lineRule="auto"/>
      </w:pPr>
      <w:r w:rsidRPr="00A70D1B">
        <w:rPr>
          <w:rFonts w:eastAsia="Times New Roman" w:cs="Times New Roman"/>
          <w:noProof/>
          <w:szCs w:val="19"/>
          <w:lang w:eastAsia="pl-PL"/>
        </w:rPr>
        <mc:AlternateContent>
          <mc:Choice Requires="wps">
            <w:drawing>
              <wp:anchor distT="45720" distB="45720" distL="114300" distR="114300" simplePos="0" relativeHeight="251765760" behindDoc="1" locked="0" layoutInCell="1" allowOverlap="1" wp14:anchorId="6AFB6283" wp14:editId="360C1FBC">
                <wp:simplePos x="0" y="0"/>
                <wp:positionH relativeFrom="column">
                  <wp:posOffset>5297805</wp:posOffset>
                </wp:positionH>
                <wp:positionV relativeFrom="paragraph">
                  <wp:posOffset>840105</wp:posOffset>
                </wp:positionV>
                <wp:extent cx="1630680" cy="904875"/>
                <wp:effectExtent l="0" t="0" r="0" b="0"/>
                <wp:wrapTight wrapText="bothSides">
                  <wp:wrapPolygon edited="0">
                    <wp:start x="757" y="0"/>
                    <wp:lineTo x="757" y="20918"/>
                    <wp:lineTo x="20692" y="20918"/>
                    <wp:lineTo x="20692" y="0"/>
                    <wp:lineTo x="757" y="0"/>
                  </wp:wrapPolygon>
                </wp:wrapTight>
                <wp:docPr id="30" name="Pole tekstowe 2" descr="W formie pracy zdalnej pracowało 10,2% ogółu pracując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904875"/>
                        </a:xfrm>
                        <a:prstGeom prst="rect">
                          <a:avLst/>
                        </a:prstGeom>
                        <a:noFill/>
                        <a:ln w="9525">
                          <a:noFill/>
                          <a:miter lim="800000"/>
                          <a:headEnd/>
                          <a:tailEnd/>
                        </a:ln>
                      </wps:spPr>
                      <wps:txbx>
                        <w:txbxContent>
                          <w:p w14:paraId="07D1D23C" w14:textId="54D0BF56" w:rsidR="00830EC6" w:rsidRPr="002A4789" w:rsidRDefault="00830EC6" w:rsidP="00EC542E">
                            <w:pPr>
                              <w:pStyle w:val="tekstzboku"/>
                            </w:pPr>
                            <w:r w:rsidRPr="00933D71">
                              <w:t xml:space="preserve">W formie pracy zdalnej pracowało </w:t>
                            </w:r>
                            <w:r w:rsidR="00416598">
                              <w:t>10,2</w:t>
                            </w:r>
                            <w:r w:rsidRPr="00933D71">
                              <w:t>%</w:t>
                            </w:r>
                            <w:r>
                              <w:t xml:space="preserve"> ogółu </w:t>
                            </w:r>
                            <w:r w:rsidRPr="00933D71">
                              <w:t>pracujących</w:t>
                            </w:r>
                          </w:p>
                          <w:p w14:paraId="177B00F8" w14:textId="77777777" w:rsidR="00830EC6" w:rsidRPr="00D616D2" w:rsidRDefault="00830EC6" w:rsidP="00070561">
                            <w:pPr>
                              <w:pStyle w:val="tekstzboku"/>
                              <w:spacing w:before="0"/>
                              <w:rPr>
                                <w:bCs w:val="0"/>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B6283" id="_x0000_s1032" type="#_x0000_t202" alt="W formie pracy zdalnej pracowało 10,2% ogółu pracujących" style="position:absolute;margin-left:417.15pt;margin-top:66.15pt;width:128.4pt;height:71.2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" filled="f" stroked="f">
                <v:textbox inset=",0">
                  <w:txbxContent>
                    <w:p w14:paraId="07D1D23C" w14:textId="54D0BF56" w:rsidR="00830EC6" w:rsidRPr="002A4789" w:rsidRDefault="00830EC6" w:rsidP="00EC542E">
                      <w:pPr>
                        <w:pStyle w:val="tekstzboku"/>
                      </w:pPr>
                      <w:r w:rsidRPr="00933D71">
                        <w:t xml:space="preserve">W formie pracy zdalnej pracowało </w:t>
                      </w:r>
                      <w:r w:rsidR="00416598">
                        <w:t>10,2</w:t>
                      </w:r>
                      <w:r w:rsidRPr="00933D71">
                        <w:t>%</w:t>
                      </w:r>
                      <w:r>
                        <w:t xml:space="preserve"> ogółu </w:t>
                      </w:r>
                      <w:r w:rsidRPr="00933D71">
                        <w:t>pracujących</w:t>
                      </w:r>
                    </w:p>
                    <w:p w14:paraId="177B00F8" w14:textId="77777777" w:rsidR="00830EC6" w:rsidRPr="00D616D2" w:rsidRDefault="00830EC6" w:rsidP="00070561">
                      <w:pPr>
                        <w:pStyle w:val="tekstzboku"/>
                        <w:spacing w:before="0"/>
                        <w:rPr>
                          <w:bCs w:val="0"/>
                        </w:rPr>
                      </w:pPr>
                    </w:p>
                  </w:txbxContent>
                </v:textbox>
                <w10:wrap type="tight"/>
              </v:shape>
            </w:pict>
          </mc:Fallback>
        </mc:AlternateContent>
      </w:r>
      <w:r w:rsidR="00B20C43" w:rsidRPr="00A70D1B">
        <w:rPr>
          <w:rFonts w:eastAsia="Times New Roman" w:cs="Times New Roman"/>
          <w:szCs w:val="19"/>
          <w:lang w:eastAsia="pl-PL"/>
        </w:rPr>
        <w:t xml:space="preserve">W </w:t>
      </w:r>
      <w:r w:rsidR="00A26BE4" w:rsidRPr="00A70D1B">
        <w:rPr>
          <w:rFonts w:eastAsia="Times New Roman" w:cs="Times New Roman"/>
          <w:szCs w:val="19"/>
          <w:lang w:eastAsia="pl-PL"/>
        </w:rPr>
        <w:t>2</w:t>
      </w:r>
      <w:r w:rsidR="00B20C43" w:rsidRPr="00A70D1B">
        <w:rPr>
          <w:rFonts w:eastAsia="Times New Roman" w:cs="Times New Roman"/>
          <w:szCs w:val="19"/>
          <w:lang w:eastAsia="pl-PL"/>
        </w:rPr>
        <w:t xml:space="preserve"> kwartale 202</w:t>
      </w:r>
      <w:r w:rsidR="000F35A7" w:rsidRPr="00A70D1B">
        <w:rPr>
          <w:rFonts w:eastAsia="Times New Roman" w:cs="Times New Roman"/>
          <w:szCs w:val="19"/>
          <w:lang w:eastAsia="pl-PL"/>
        </w:rPr>
        <w:t>4</w:t>
      </w:r>
      <w:r w:rsidR="00B20C43" w:rsidRPr="00A70D1B">
        <w:rPr>
          <w:rFonts w:eastAsia="Times New Roman" w:cs="Times New Roman"/>
          <w:szCs w:val="19"/>
          <w:lang w:eastAsia="pl-PL"/>
        </w:rPr>
        <w:t xml:space="preserve"> r. </w:t>
      </w:r>
      <w:r w:rsidR="000F35A7" w:rsidRPr="00A70D1B">
        <w:rPr>
          <w:rFonts w:eastAsia="Times New Roman" w:cs="Times New Roman"/>
          <w:szCs w:val="19"/>
          <w:lang w:eastAsia="pl-PL"/>
        </w:rPr>
        <w:t>8</w:t>
      </w:r>
      <w:r w:rsidR="00416598" w:rsidRPr="00A70D1B">
        <w:rPr>
          <w:rFonts w:eastAsia="Times New Roman" w:cs="Times New Roman"/>
          <w:szCs w:val="19"/>
          <w:lang w:eastAsia="pl-PL"/>
        </w:rPr>
        <w:t>39</w:t>
      </w:r>
      <w:r w:rsidR="00B20C43" w:rsidRPr="00A70D1B">
        <w:rPr>
          <w:rFonts w:eastAsia="Times New Roman" w:cs="Times New Roman"/>
          <w:szCs w:val="19"/>
          <w:lang w:eastAsia="pl-PL"/>
        </w:rPr>
        <w:t xml:space="preserve"> tys. osób posiadało pracę, ale jej nie wykonywało w badanym tygodniu, co stanowiło </w:t>
      </w:r>
      <w:r w:rsidR="00416598" w:rsidRPr="00A70D1B">
        <w:rPr>
          <w:rFonts w:eastAsia="Times New Roman" w:cs="Times New Roman"/>
          <w:szCs w:val="19"/>
          <w:lang w:eastAsia="pl-PL"/>
        </w:rPr>
        <w:t>4,9</w:t>
      </w:r>
      <w:r w:rsidR="00B20C43" w:rsidRPr="00A70D1B">
        <w:rPr>
          <w:rFonts w:eastAsia="Times New Roman" w:cs="Times New Roman"/>
          <w:szCs w:val="19"/>
          <w:lang w:eastAsia="pl-PL"/>
        </w:rPr>
        <w:t xml:space="preserve">% ogółu pracujących (analogiczna zbiorowość w poprzednim kwartale liczyła </w:t>
      </w:r>
      <w:r w:rsidR="00416598" w:rsidRPr="00A70D1B">
        <w:rPr>
          <w:rFonts w:eastAsia="Times New Roman" w:cs="Times New Roman"/>
          <w:szCs w:val="19"/>
          <w:lang w:eastAsia="pl-PL"/>
        </w:rPr>
        <w:t>804</w:t>
      </w:r>
      <w:r w:rsidR="00B20C43" w:rsidRPr="00A70D1B">
        <w:rPr>
          <w:rFonts w:eastAsia="Times New Roman" w:cs="Times New Roman"/>
          <w:szCs w:val="19"/>
          <w:lang w:eastAsia="pl-PL"/>
        </w:rPr>
        <w:t xml:space="preserve"> tys., tj. </w:t>
      </w:r>
      <w:r w:rsidR="00416598" w:rsidRPr="00A70D1B">
        <w:rPr>
          <w:rFonts w:eastAsia="Times New Roman" w:cs="Times New Roman"/>
          <w:szCs w:val="19"/>
          <w:lang w:eastAsia="pl-PL"/>
        </w:rPr>
        <w:t>4,7</w:t>
      </w:r>
      <w:r w:rsidR="00B20C43" w:rsidRPr="00A70D1B">
        <w:rPr>
          <w:rFonts w:eastAsia="Times New Roman" w:cs="Times New Roman"/>
          <w:szCs w:val="19"/>
          <w:lang w:eastAsia="pl-PL"/>
        </w:rPr>
        <w:t>%</w:t>
      </w:r>
      <w:r w:rsidR="00E93150" w:rsidRPr="00A70D1B">
        <w:rPr>
          <w:rFonts w:eastAsia="Times New Roman" w:cs="Times New Roman"/>
          <w:szCs w:val="19"/>
          <w:lang w:eastAsia="pl-PL"/>
        </w:rPr>
        <w:t xml:space="preserve">, </w:t>
      </w:r>
      <w:r w:rsidR="00D475C5" w:rsidRPr="00A70D1B">
        <w:rPr>
          <w:rFonts w:eastAsia="Times New Roman" w:cs="Times New Roman"/>
          <w:szCs w:val="19"/>
          <w:lang w:eastAsia="pl-PL"/>
        </w:rPr>
        <w:t xml:space="preserve">a </w:t>
      </w:r>
      <w:r w:rsidR="005D15BE" w:rsidRPr="00A70D1B">
        <w:rPr>
          <w:rFonts w:eastAsia="Times New Roman" w:cs="Times New Roman"/>
          <w:szCs w:val="19"/>
          <w:lang w:eastAsia="pl-PL"/>
        </w:rPr>
        <w:t>rok wcześniej</w:t>
      </w:r>
      <w:r w:rsidR="001554DC" w:rsidRPr="00A70D1B">
        <w:rPr>
          <w:rFonts w:eastAsia="Times New Roman" w:cs="Times New Roman"/>
          <w:szCs w:val="19"/>
          <w:lang w:eastAsia="pl-PL"/>
        </w:rPr>
        <w:t xml:space="preserve"> </w:t>
      </w:r>
      <w:r w:rsidR="00416598" w:rsidRPr="00A70D1B">
        <w:rPr>
          <w:rFonts w:eastAsia="Times New Roman" w:cs="Times New Roman"/>
          <w:szCs w:val="19"/>
          <w:lang w:eastAsia="pl-PL"/>
        </w:rPr>
        <w:t>861</w:t>
      </w:r>
      <w:r w:rsidR="00E93150" w:rsidRPr="00A70D1B">
        <w:rPr>
          <w:rFonts w:eastAsia="Times New Roman" w:cs="Times New Roman"/>
          <w:szCs w:val="19"/>
          <w:lang w:eastAsia="pl-PL"/>
        </w:rPr>
        <w:t xml:space="preserve"> tys., tj. </w:t>
      </w:r>
      <w:r w:rsidR="00416598" w:rsidRPr="00A70D1B">
        <w:rPr>
          <w:rFonts w:eastAsia="Times New Roman" w:cs="Times New Roman"/>
          <w:szCs w:val="19"/>
          <w:lang w:eastAsia="pl-PL"/>
        </w:rPr>
        <w:t>5,0</w:t>
      </w:r>
      <w:r w:rsidR="00E93150" w:rsidRPr="00A70D1B">
        <w:rPr>
          <w:rFonts w:eastAsia="Times New Roman" w:cs="Times New Roman"/>
          <w:szCs w:val="19"/>
          <w:lang w:eastAsia="pl-PL"/>
        </w:rPr>
        <w:t>%</w:t>
      </w:r>
      <w:r w:rsidR="00B20C43" w:rsidRPr="00A70D1B">
        <w:rPr>
          <w:rFonts w:eastAsia="Times New Roman" w:cs="Times New Roman"/>
          <w:szCs w:val="19"/>
          <w:lang w:eastAsia="pl-PL"/>
        </w:rPr>
        <w:t xml:space="preserve">). </w:t>
      </w:r>
      <w:r w:rsidR="004A2D30" w:rsidRPr="00A70D1B">
        <w:rPr>
          <w:rFonts w:eastAsia="Times New Roman" w:cs="Times New Roman"/>
          <w:szCs w:val="19"/>
          <w:lang w:eastAsia="pl-PL"/>
        </w:rPr>
        <w:t xml:space="preserve">Najczęstszymi przyczynami niewykonywania pracy były choroba własna oraz urlop </w:t>
      </w:r>
      <w:r w:rsidR="005D0F0E" w:rsidRPr="00A70D1B">
        <w:rPr>
          <w:rFonts w:eastAsia="Times New Roman" w:cs="Times New Roman"/>
          <w:szCs w:val="19"/>
          <w:lang w:eastAsia="pl-PL"/>
        </w:rPr>
        <w:t>płatny, bezpłatny</w:t>
      </w:r>
      <w:r w:rsidR="004A2D30" w:rsidRPr="00A70D1B">
        <w:rPr>
          <w:rFonts w:eastAsia="Times New Roman" w:cs="Times New Roman"/>
          <w:szCs w:val="19"/>
          <w:lang w:eastAsia="pl-PL"/>
        </w:rPr>
        <w:t xml:space="preserve"> bądź </w:t>
      </w:r>
      <w:r w:rsidR="005D0F0E" w:rsidRPr="00A70D1B">
        <w:rPr>
          <w:rFonts w:eastAsia="Times New Roman" w:cs="Times New Roman"/>
          <w:szCs w:val="19"/>
          <w:lang w:eastAsia="pl-PL"/>
        </w:rPr>
        <w:t>okolicznościowy</w:t>
      </w:r>
      <w:r w:rsidR="004A2D30" w:rsidRPr="00A70D1B">
        <w:rPr>
          <w:rFonts w:eastAsia="Times New Roman" w:cs="Times New Roman"/>
          <w:szCs w:val="19"/>
          <w:lang w:eastAsia="pl-PL"/>
        </w:rPr>
        <w:t xml:space="preserve"> – stanowiły one</w:t>
      </w:r>
      <w:r w:rsidR="00715C73" w:rsidRPr="00A70D1B">
        <w:rPr>
          <w:rFonts w:eastAsia="Times New Roman" w:cs="Times New Roman"/>
          <w:szCs w:val="19"/>
          <w:lang w:eastAsia="pl-PL"/>
        </w:rPr>
        <w:t xml:space="preserve"> </w:t>
      </w:r>
      <w:r w:rsidR="00912A2F" w:rsidRPr="00A70D1B">
        <w:rPr>
          <w:rFonts w:eastAsia="Times New Roman" w:cs="Times New Roman"/>
          <w:szCs w:val="19"/>
          <w:lang w:eastAsia="pl-PL"/>
        </w:rPr>
        <w:t xml:space="preserve">łącznie </w:t>
      </w:r>
      <w:r w:rsidR="00416598" w:rsidRPr="00A70D1B">
        <w:rPr>
          <w:rFonts w:eastAsia="Times New Roman" w:cs="Times New Roman"/>
          <w:szCs w:val="19"/>
          <w:lang w:eastAsia="pl-PL"/>
        </w:rPr>
        <w:t>65,9</w:t>
      </w:r>
      <w:r w:rsidR="004A2D30" w:rsidRPr="00A70D1B">
        <w:rPr>
          <w:rFonts w:eastAsia="Times New Roman" w:cs="Times New Roman"/>
          <w:szCs w:val="19"/>
          <w:lang w:eastAsia="pl-PL"/>
        </w:rPr>
        <w:t>% wszystkich przyczyn nieobecności.</w:t>
      </w:r>
    </w:p>
    <w:p w14:paraId="0244E3D7" w14:textId="3A896A4F" w:rsidR="0076074A" w:rsidRPr="00A70D1B" w:rsidRDefault="00C85746" w:rsidP="00B704FE">
      <w:pPr>
        <w:spacing w:after="0" w:line="288" w:lineRule="auto"/>
        <w:rPr>
          <w:rFonts w:eastAsia="Times New Roman" w:cs="Times New Roman"/>
          <w:szCs w:val="19"/>
          <w:lang w:eastAsia="pl-PL"/>
        </w:rPr>
      </w:pPr>
      <w:r w:rsidRPr="00A70D1B">
        <w:rPr>
          <w:rFonts w:eastAsia="Times New Roman" w:cs="Times New Roman"/>
          <w:szCs w:val="19"/>
          <w:lang w:eastAsia="pl-PL"/>
        </w:rPr>
        <w:t>L</w:t>
      </w:r>
      <w:r w:rsidR="00070561" w:rsidRPr="00A70D1B">
        <w:rPr>
          <w:rFonts w:eastAsia="Times New Roman" w:cs="Times New Roman"/>
          <w:szCs w:val="19"/>
          <w:lang w:eastAsia="pl-PL"/>
        </w:rPr>
        <w:t>iczba osób wykonujących swoją pracę w</w:t>
      </w:r>
      <w:r w:rsidR="00FF7A16" w:rsidRPr="00A70D1B">
        <w:rPr>
          <w:rFonts w:eastAsia="Times New Roman" w:cs="Times New Roman"/>
          <w:szCs w:val="19"/>
          <w:lang w:eastAsia="pl-PL"/>
        </w:rPr>
        <w:t xml:space="preserve"> </w:t>
      </w:r>
      <w:r w:rsidR="00070561" w:rsidRPr="00A70D1B">
        <w:rPr>
          <w:rFonts w:eastAsia="Times New Roman" w:cs="Times New Roman"/>
          <w:szCs w:val="19"/>
          <w:lang w:eastAsia="pl-PL"/>
        </w:rPr>
        <w:t>domu</w:t>
      </w:r>
      <w:r w:rsidR="001F5C8D" w:rsidRPr="00A70D1B">
        <w:rPr>
          <w:rStyle w:val="Odwoanieprzypisudolnego"/>
          <w:rFonts w:eastAsia="Times New Roman" w:cs="Times New Roman"/>
          <w:szCs w:val="19"/>
          <w:lang w:eastAsia="pl-PL"/>
        </w:rPr>
        <w:footnoteReference w:id="4"/>
      </w:r>
      <w:r w:rsidR="00070561" w:rsidRPr="00A70D1B">
        <w:rPr>
          <w:rFonts w:eastAsia="Times New Roman" w:cs="Times New Roman"/>
          <w:szCs w:val="19"/>
          <w:lang w:eastAsia="pl-PL"/>
        </w:rPr>
        <w:t xml:space="preserve">, zwykle lub czasami, wyniosła </w:t>
      </w:r>
      <w:r w:rsidR="00943CCB" w:rsidRPr="00A70D1B">
        <w:rPr>
          <w:rFonts w:eastAsia="Times New Roman" w:cs="Times New Roman"/>
          <w:szCs w:val="19"/>
          <w:lang w:eastAsia="pl-PL"/>
        </w:rPr>
        <w:t>2</w:t>
      </w:r>
      <w:r w:rsidR="00A55DF3" w:rsidRPr="00A70D1B">
        <w:rPr>
          <w:rFonts w:eastAsia="Times New Roman" w:cs="Times New Roman"/>
          <w:szCs w:val="19"/>
          <w:lang w:eastAsia="pl-PL"/>
        </w:rPr>
        <w:t> </w:t>
      </w:r>
      <w:r w:rsidR="00416598" w:rsidRPr="00A70D1B">
        <w:rPr>
          <w:rFonts w:eastAsia="Times New Roman" w:cs="Times New Roman"/>
          <w:szCs w:val="19"/>
          <w:lang w:eastAsia="pl-PL"/>
        </w:rPr>
        <w:t>707</w:t>
      </w:r>
      <w:r w:rsidR="00070561" w:rsidRPr="00A70D1B">
        <w:rPr>
          <w:rFonts w:eastAsia="Times New Roman" w:cs="Times New Roman"/>
          <w:szCs w:val="19"/>
          <w:lang w:eastAsia="pl-PL"/>
        </w:rPr>
        <w:t xml:space="preserve"> tys.</w:t>
      </w:r>
      <w:r w:rsidR="00380BCB" w:rsidRPr="00A70D1B">
        <w:rPr>
          <w:rFonts w:eastAsia="Times New Roman" w:cs="Times New Roman"/>
          <w:szCs w:val="19"/>
          <w:lang w:eastAsia="pl-PL"/>
        </w:rPr>
        <w:t xml:space="preserve"> osób</w:t>
      </w:r>
      <w:r w:rsidR="00B44FB1" w:rsidRPr="00A70D1B">
        <w:rPr>
          <w:rFonts w:eastAsia="Times New Roman" w:cs="Times New Roman"/>
          <w:szCs w:val="19"/>
          <w:lang w:eastAsia="pl-PL"/>
        </w:rPr>
        <w:t>,</w:t>
      </w:r>
      <w:r w:rsidR="00070561" w:rsidRPr="00A70D1B">
        <w:rPr>
          <w:rFonts w:eastAsia="Times New Roman" w:cs="Times New Roman"/>
          <w:szCs w:val="19"/>
          <w:lang w:eastAsia="pl-PL"/>
        </w:rPr>
        <w:t xml:space="preserve"> co stanowiło </w:t>
      </w:r>
      <w:r w:rsidR="00E57C9D" w:rsidRPr="00A70D1B">
        <w:rPr>
          <w:rFonts w:eastAsia="Times New Roman" w:cs="Times New Roman"/>
          <w:szCs w:val="19"/>
          <w:lang w:eastAsia="pl-PL"/>
        </w:rPr>
        <w:t>1</w:t>
      </w:r>
      <w:r w:rsidR="00F872B8" w:rsidRPr="00A70D1B">
        <w:rPr>
          <w:rFonts w:eastAsia="Times New Roman" w:cs="Times New Roman"/>
          <w:szCs w:val="19"/>
          <w:lang w:eastAsia="pl-PL"/>
        </w:rPr>
        <w:t>5,</w:t>
      </w:r>
      <w:r w:rsidR="00416598" w:rsidRPr="00A70D1B">
        <w:rPr>
          <w:rFonts w:eastAsia="Times New Roman" w:cs="Times New Roman"/>
          <w:szCs w:val="19"/>
          <w:lang w:eastAsia="pl-PL"/>
        </w:rPr>
        <w:t>7</w:t>
      </w:r>
      <w:r w:rsidR="00070561" w:rsidRPr="00A70D1B">
        <w:rPr>
          <w:rFonts w:eastAsia="Times New Roman" w:cs="Times New Roman"/>
          <w:szCs w:val="19"/>
          <w:lang w:eastAsia="pl-PL"/>
        </w:rPr>
        <w:t>% wszystkich pracujących</w:t>
      </w:r>
      <w:r w:rsidR="00C44AC5" w:rsidRPr="00A70D1B">
        <w:rPr>
          <w:rFonts w:eastAsia="Times New Roman" w:cs="Times New Roman"/>
          <w:szCs w:val="19"/>
          <w:lang w:eastAsia="pl-PL"/>
        </w:rPr>
        <w:t>.</w:t>
      </w:r>
      <w:r w:rsidR="00070561" w:rsidRPr="00A70D1B">
        <w:rPr>
          <w:rFonts w:eastAsia="Times New Roman" w:cs="Times New Roman"/>
          <w:szCs w:val="19"/>
          <w:lang w:eastAsia="pl-PL"/>
        </w:rPr>
        <w:t xml:space="preserve"> W</w:t>
      </w:r>
      <w:r w:rsidR="00FF7A16" w:rsidRPr="00A70D1B">
        <w:rPr>
          <w:rFonts w:eastAsia="Times New Roman" w:cs="Times New Roman"/>
          <w:szCs w:val="19"/>
          <w:lang w:eastAsia="pl-PL"/>
        </w:rPr>
        <w:t xml:space="preserve"> </w:t>
      </w:r>
      <w:r w:rsidR="00070561" w:rsidRPr="00A70D1B">
        <w:rPr>
          <w:rFonts w:eastAsia="Times New Roman" w:cs="Times New Roman"/>
          <w:szCs w:val="19"/>
          <w:lang w:eastAsia="pl-PL"/>
        </w:rPr>
        <w:t>formie pracy zdalnej</w:t>
      </w:r>
      <w:r w:rsidR="001F5C8D" w:rsidRPr="00A70D1B">
        <w:rPr>
          <w:rStyle w:val="Odwoanieprzypisudolnego"/>
          <w:rFonts w:eastAsia="Times New Roman" w:cs="Times New Roman"/>
          <w:szCs w:val="19"/>
          <w:lang w:eastAsia="pl-PL"/>
        </w:rPr>
        <w:footnoteReference w:id="5"/>
      </w:r>
      <w:r w:rsidR="00070561" w:rsidRPr="00A70D1B">
        <w:rPr>
          <w:rFonts w:eastAsia="Times New Roman" w:cs="Times New Roman"/>
          <w:szCs w:val="19"/>
          <w:lang w:eastAsia="pl-PL"/>
        </w:rPr>
        <w:t xml:space="preserve"> (nie jest tu uwzględniane miejsce wykonywania pracy) swoje obowiązki zawodowe wykonywało</w:t>
      </w:r>
      <w:r w:rsidR="00634CF9" w:rsidRPr="00A70D1B">
        <w:rPr>
          <w:rFonts w:eastAsia="Times New Roman" w:cs="Times New Roman"/>
          <w:szCs w:val="19"/>
          <w:lang w:eastAsia="pl-PL"/>
        </w:rPr>
        <w:t xml:space="preserve"> zwykle lub czasami</w:t>
      </w:r>
      <w:r w:rsidR="00070561" w:rsidRPr="00A70D1B">
        <w:rPr>
          <w:rFonts w:eastAsia="Times New Roman" w:cs="Times New Roman"/>
          <w:szCs w:val="19"/>
          <w:lang w:eastAsia="pl-PL"/>
        </w:rPr>
        <w:t xml:space="preserve"> </w:t>
      </w:r>
      <w:r w:rsidR="00E57C9D" w:rsidRPr="00A70D1B">
        <w:rPr>
          <w:rFonts w:eastAsia="Times New Roman" w:cs="Times New Roman"/>
          <w:szCs w:val="19"/>
          <w:lang w:eastAsia="pl-PL"/>
        </w:rPr>
        <w:t>1</w:t>
      </w:r>
      <w:r w:rsidR="00A55DF3" w:rsidRPr="00A70D1B">
        <w:rPr>
          <w:rFonts w:eastAsia="Times New Roman" w:cs="Times New Roman"/>
          <w:szCs w:val="19"/>
          <w:lang w:eastAsia="pl-PL"/>
        </w:rPr>
        <w:t> </w:t>
      </w:r>
      <w:r w:rsidR="00416598" w:rsidRPr="00A70D1B">
        <w:rPr>
          <w:rFonts w:eastAsia="Times New Roman" w:cs="Times New Roman"/>
          <w:szCs w:val="19"/>
          <w:lang w:eastAsia="pl-PL"/>
        </w:rPr>
        <w:t>756</w:t>
      </w:r>
      <w:r w:rsidR="00634CF9" w:rsidRPr="00A70D1B">
        <w:rPr>
          <w:rFonts w:eastAsia="Times New Roman" w:cs="Times New Roman"/>
          <w:szCs w:val="19"/>
          <w:lang w:eastAsia="pl-PL"/>
        </w:rPr>
        <w:t xml:space="preserve"> </w:t>
      </w:r>
      <w:r w:rsidR="00070561" w:rsidRPr="00A70D1B">
        <w:rPr>
          <w:rFonts w:eastAsia="Times New Roman" w:cs="Times New Roman"/>
          <w:szCs w:val="19"/>
          <w:lang w:eastAsia="pl-PL"/>
        </w:rPr>
        <w:t>tys.</w:t>
      </w:r>
      <w:r w:rsidR="00554952" w:rsidRPr="00A70D1B">
        <w:rPr>
          <w:rFonts w:eastAsia="Times New Roman" w:cs="Times New Roman"/>
          <w:szCs w:val="19"/>
          <w:lang w:eastAsia="pl-PL"/>
        </w:rPr>
        <w:t>, tj.</w:t>
      </w:r>
      <w:r w:rsidR="00070561" w:rsidRPr="00A70D1B">
        <w:rPr>
          <w:rFonts w:eastAsia="Times New Roman" w:cs="Times New Roman"/>
          <w:szCs w:val="19"/>
          <w:lang w:eastAsia="pl-PL"/>
        </w:rPr>
        <w:t xml:space="preserve"> </w:t>
      </w:r>
      <w:r w:rsidR="00416598" w:rsidRPr="00A70D1B">
        <w:rPr>
          <w:rFonts w:eastAsia="Times New Roman" w:cs="Times New Roman"/>
          <w:szCs w:val="19"/>
          <w:lang w:eastAsia="pl-PL"/>
        </w:rPr>
        <w:t>10,2</w:t>
      </w:r>
      <w:r w:rsidR="00070561" w:rsidRPr="00A70D1B">
        <w:rPr>
          <w:rFonts w:eastAsia="Times New Roman" w:cs="Times New Roman"/>
          <w:szCs w:val="19"/>
          <w:lang w:eastAsia="pl-PL"/>
        </w:rPr>
        <w:t>% wszystkich pracujących</w:t>
      </w:r>
      <w:r w:rsidR="00DC201F" w:rsidRPr="00A70D1B">
        <w:rPr>
          <w:rFonts w:eastAsia="Times New Roman" w:cs="Times New Roman"/>
          <w:szCs w:val="19"/>
          <w:lang w:eastAsia="pl-PL"/>
        </w:rPr>
        <w:t>.</w:t>
      </w:r>
    </w:p>
    <w:p w14:paraId="7F1469B0" w14:textId="0F8296E7" w:rsidR="0010408A" w:rsidRPr="00A70D1B" w:rsidRDefault="004E7C89" w:rsidP="005508BA">
      <w:pPr>
        <w:spacing w:before="0" w:after="0" w:line="240" w:lineRule="auto"/>
        <w:rPr>
          <w:rFonts w:eastAsia="Times New Roman" w:cs="Times New Roman"/>
          <w:szCs w:val="19"/>
          <w:lang w:eastAsia="pl-PL"/>
        </w:rPr>
      </w:pPr>
      <w:r w:rsidRPr="00A70D1B">
        <w:rPr>
          <w:noProof/>
          <w:color w:val="001D77"/>
          <w:lang w:eastAsia="pl-PL"/>
        </w:rPr>
        <mc:AlternateContent>
          <mc:Choice Requires="wps">
            <w:drawing>
              <wp:anchor distT="45720" distB="45720" distL="114300" distR="114300" simplePos="0" relativeHeight="251767808" behindDoc="0" locked="0" layoutInCell="1" allowOverlap="1" wp14:anchorId="02666F58" wp14:editId="3AA4CA0D">
                <wp:simplePos x="0" y="0"/>
                <wp:positionH relativeFrom="margin">
                  <wp:align>left</wp:align>
                </wp:positionH>
                <wp:positionV relativeFrom="paragraph">
                  <wp:posOffset>156845</wp:posOffset>
                </wp:positionV>
                <wp:extent cx="2204085" cy="1152525"/>
                <wp:effectExtent l="0" t="0" r="5715" b="9525"/>
                <wp:wrapSquare wrapText="bothSides"/>
                <wp:docPr id="18" name="Pole tekstowe 2" descr="Stopa bezrobocia osób w wieku 15-89 lat - 2,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52525"/>
                        </a:xfrm>
                        <a:prstGeom prst="roundRect">
                          <a:avLst/>
                        </a:prstGeom>
                        <a:solidFill>
                          <a:srgbClr val="001D77"/>
                        </a:solidFill>
                        <a:ln w="9525">
                          <a:noFill/>
                          <a:miter lim="800000"/>
                          <a:headEnd/>
                          <a:tailEnd/>
                        </a:ln>
                      </wps:spPr>
                      <wps:txbx>
                        <w:txbxContent>
                          <w:p w14:paraId="2507F487" w14:textId="02BB526D" w:rsidR="00830EC6" w:rsidRPr="00E71364" w:rsidRDefault="00416598" w:rsidP="00577E10">
                            <w:pPr>
                              <w:autoSpaceDE w:val="0"/>
                              <w:autoSpaceDN w:val="0"/>
                              <w:adjustRightInd w:val="0"/>
                              <w:spacing w:before="0" w:after="0" w:line="240" w:lineRule="auto"/>
                              <w:jc w:val="center"/>
                              <w:rPr>
                                <w:rFonts w:ascii="Fira Sans SemiBold" w:hAnsi="Fira Sans SemiBold"/>
                                <w:color w:val="FFFFFF" w:themeColor="background1"/>
                                <w:sz w:val="60"/>
                                <w:szCs w:val="60"/>
                              </w:rPr>
                            </w:pPr>
                            <w:r>
                              <w:rPr>
                                <w:rStyle w:val="WartowskanikaZnak"/>
                                <w:color w:val="auto"/>
                                <w:sz w:val="72"/>
                                <w:szCs w:val="72"/>
                              </w:rPr>
                              <w:t>2,7</w:t>
                            </w:r>
                            <w:r w:rsidR="00830EC6" w:rsidRPr="00CE4896">
                              <w:rPr>
                                <w:rStyle w:val="WartowskanikaZnak"/>
                                <w:color w:val="auto"/>
                                <w:sz w:val="72"/>
                                <w:szCs w:val="72"/>
                              </w:rPr>
                              <w:t>%</w:t>
                            </w:r>
                          </w:p>
                          <w:p w14:paraId="3D3CA361" w14:textId="77777777" w:rsidR="00830EC6" w:rsidRPr="007D605C" w:rsidRDefault="00830EC6" w:rsidP="00577E10">
                            <w:pPr>
                              <w:pStyle w:val="Opiswskanika"/>
                              <w:spacing w:before="120"/>
                              <w:jc w:val="center"/>
                              <w:rPr>
                                <w:sz w:val="18"/>
                                <w:szCs w:val="20"/>
                              </w:rPr>
                            </w:pPr>
                            <w:r>
                              <w:t>Stopa bezrobocia osób w wieku 15-89 lat</w:t>
                            </w:r>
                          </w:p>
                          <w:p w14:paraId="5A548CE3" w14:textId="77777777" w:rsidR="00830EC6" w:rsidRDefault="00830E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2666F58" id="_x0000_s1033" alt="Stopa bezrobocia osób w wieku 15-89 lat - 2,7%&#10;" style="position:absolute;margin-left:0;margin-top:12.35pt;width:173.55pt;height:90.75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" fillcolor="#001d77" stroked="f">
                <v:stroke joinstyle="miter"/>
                <v:textbox>
                  <w:txbxContent>
                    <w:p w14:paraId="2507F487" w14:textId="02BB526D" w:rsidR="00830EC6" w:rsidRPr="00E71364" w:rsidRDefault="00416598" w:rsidP="00577E10">
                      <w:pPr>
                        <w:autoSpaceDE w:val="0"/>
                        <w:autoSpaceDN w:val="0"/>
                        <w:adjustRightInd w:val="0"/>
                        <w:spacing w:before="0" w:after="0" w:line="240" w:lineRule="auto"/>
                        <w:jc w:val="center"/>
                        <w:rPr>
                          <w:rFonts w:ascii="Fira Sans SemiBold" w:hAnsi="Fira Sans SemiBold"/>
                          <w:color w:val="FFFFFF" w:themeColor="background1"/>
                          <w:sz w:val="60"/>
                          <w:szCs w:val="60"/>
                        </w:rPr>
                      </w:pPr>
                      <w:r>
                        <w:rPr>
                          <w:rStyle w:val="WartowskanikaZnak"/>
                          <w:color w:val="auto"/>
                          <w:sz w:val="72"/>
                          <w:szCs w:val="72"/>
                        </w:rPr>
                        <w:t>2,7</w:t>
                      </w:r>
                      <w:r w:rsidR="00830EC6" w:rsidRPr="00CE4896">
                        <w:rPr>
                          <w:rStyle w:val="WartowskanikaZnak"/>
                          <w:color w:val="auto"/>
                          <w:sz w:val="72"/>
                          <w:szCs w:val="72"/>
                        </w:rPr>
                        <w:t>%</w:t>
                      </w:r>
                    </w:p>
                    <w:p w14:paraId="3D3CA361" w14:textId="77777777" w:rsidR="00830EC6" w:rsidRPr="007D605C" w:rsidRDefault="00830EC6" w:rsidP="00577E10">
                      <w:pPr>
                        <w:pStyle w:val="Opiswskanika"/>
                        <w:spacing w:before="120"/>
                        <w:jc w:val="center"/>
                        <w:rPr>
                          <w:sz w:val="18"/>
                          <w:szCs w:val="20"/>
                        </w:rPr>
                      </w:pPr>
                      <w:r>
                        <w:t>Stopa bezrobocia osób w wieku 15-89 lat</w:t>
                      </w:r>
                    </w:p>
                    <w:p w14:paraId="5A548CE3" w14:textId="77777777" w:rsidR="00830EC6" w:rsidRDefault="00830EC6"/>
                  </w:txbxContent>
                </v:textbox>
                <w10:wrap type="square" anchorx="margin"/>
              </v:roundrect>
            </w:pict>
          </mc:Fallback>
        </mc:AlternateContent>
      </w:r>
    </w:p>
    <w:p w14:paraId="31EC6D98" w14:textId="30871D0F" w:rsidR="00B704FE" w:rsidRPr="00A70D1B" w:rsidRDefault="00070561" w:rsidP="00B704FE">
      <w:pPr>
        <w:pStyle w:val="Lead"/>
        <w:spacing w:before="0"/>
      </w:pPr>
      <w:r w:rsidRPr="00A70D1B">
        <w:t xml:space="preserve">Osoby bezrobotne stanowiły w </w:t>
      </w:r>
      <w:r w:rsidR="00416598" w:rsidRPr="00A70D1B">
        <w:t>2</w:t>
      </w:r>
      <w:r w:rsidRPr="00A70D1B">
        <w:t xml:space="preserve"> kw</w:t>
      </w:r>
      <w:r w:rsidR="00B35283" w:rsidRPr="00A70D1B">
        <w:t xml:space="preserve">artale </w:t>
      </w:r>
      <w:r w:rsidRPr="00A70D1B">
        <w:t>202</w:t>
      </w:r>
      <w:r w:rsidR="00310ABE" w:rsidRPr="00A70D1B">
        <w:t>4</w:t>
      </w:r>
      <w:r w:rsidRPr="00A70D1B">
        <w:t xml:space="preserve"> r. </w:t>
      </w:r>
      <w:r w:rsidR="00416598" w:rsidRPr="00A70D1B">
        <w:t>2,7</w:t>
      </w:r>
      <w:r w:rsidRPr="00A70D1B">
        <w:t xml:space="preserve">% ludności aktywnej zawodowo w wieku </w:t>
      </w:r>
      <w:r w:rsidR="00335F47" w:rsidRPr="00A70D1B">
        <w:br/>
      </w:r>
      <w:r w:rsidRPr="00A70D1B">
        <w:t>15</w:t>
      </w:r>
      <w:r w:rsidR="005B75C7" w:rsidRPr="00A70D1B">
        <w:t>-</w:t>
      </w:r>
      <w:r w:rsidRPr="00A70D1B">
        <w:t>89</w:t>
      </w:r>
      <w:r w:rsidR="00573B10" w:rsidRPr="00A70D1B">
        <w:t> </w:t>
      </w:r>
      <w:r w:rsidRPr="00A70D1B">
        <w:t>lat</w:t>
      </w:r>
      <w:r w:rsidR="004A71F1" w:rsidRPr="00A70D1B">
        <w:t>.</w:t>
      </w:r>
      <w:r w:rsidRPr="00A70D1B">
        <w:t xml:space="preserve"> </w:t>
      </w:r>
      <w:r w:rsidR="000436E6" w:rsidRPr="00A70D1B">
        <w:t xml:space="preserve">Natężenie bezrobocia (mierzone stopą bezrobocia) </w:t>
      </w:r>
      <w:r w:rsidR="00416598" w:rsidRPr="00A70D1B">
        <w:t>zmniejszyło się w porównaniu z</w:t>
      </w:r>
      <w:r w:rsidR="00E41577" w:rsidRPr="00A70D1B">
        <w:t> </w:t>
      </w:r>
      <w:r w:rsidR="00416598" w:rsidRPr="00A70D1B">
        <w:t>1</w:t>
      </w:r>
      <w:r w:rsidR="00D33AB8" w:rsidRPr="00A70D1B">
        <w:t> </w:t>
      </w:r>
      <w:r w:rsidR="00416598" w:rsidRPr="00A70D1B">
        <w:t>kwartałem 2024 r. (o 0,4 p. proc.), ale zwiększyło się w nie</w:t>
      </w:r>
      <w:r w:rsidR="00A44658" w:rsidRPr="00A70D1B">
        <w:t>znacznym</w:t>
      </w:r>
      <w:r w:rsidR="00416598" w:rsidRPr="00A70D1B">
        <w:t xml:space="preserve"> stopniu w </w:t>
      </w:r>
      <w:r w:rsidR="00D33AB8" w:rsidRPr="00A70D1B">
        <w:t>stosunku</w:t>
      </w:r>
      <w:r w:rsidR="00416598" w:rsidRPr="00A70D1B">
        <w:t xml:space="preserve"> do 2</w:t>
      </w:r>
      <w:r w:rsidR="00D33AB8" w:rsidRPr="00A70D1B">
        <w:t> </w:t>
      </w:r>
      <w:r w:rsidR="00416598" w:rsidRPr="00A70D1B">
        <w:t>kwartału 2023 r. (o 0,1 p. proc.)</w:t>
      </w:r>
      <w:r w:rsidR="00852EAD" w:rsidRPr="00A70D1B">
        <w:t xml:space="preserve">. </w:t>
      </w:r>
      <w:r w:rsidR="000436E6" w:rsidRPr="00A70D1B">
        <w:t xml:space="preserve">Stopa </w:t>
      </w:r>
      <w:r w:rsidR="007F440F" w:rsidRPr="00A70D1B">
        <w:t xml:space="preserve">bezrobocia </w:t>
      </w:r>
      <w:r w:rsidR="00D81413" w:rsidRPr="00A70D1B">
        <w:t xml:space="preserve">wśród mężczyzn i kobiet </w:t>
      </w:r>
      <w:r w:rsidR="003E2475" w:rsidRPr="00A70D1B">
        <w:t>był</w:t>
      </w:r>
      <w:r w:rsidR="000436E6" w:rsidRPr="00A70D1B">
        <w:t>a</w:t>
      </w:r>
      <w:r w:rsidR="00FD5F37" w:rsidRPr="00A70D1B">
        <w:t xml:space="preserve"> </w:t>
      </w:r>
      <w:r w:rsidR="00852EAD" w:rsidRPr="00A70D1B">
        <w:t xml:space="preserve">na tym samym poziomie </w:t>
      </w:r>
      <w:r w:rsidR="00C15707" w:rsidRPr="00A70D1B">
        <w:t>i wyniosła</w:t>
      </w:r>
      <w:r w:rsidR="00852EAD" w:rsidRPr="00A70D1B">
        <w:t xml:space="preserve"> 2,7%.</w:t>
      </w:r>
      <w:r w:rsidR="00B704FE" w:rsidRPr="00A70D1B">
        <w:t xml:space="preserve">    </w:t>
      </w:r>
    </w:p>
    <w:p w14:paraId="7F5C9122" w14:textId="1E11F0CF" w:rsidR="00D62410" w:rsidRPr="00A70D1B" w:rsidRDefault="00F05502" w:rsidP="00B85272">
      <w:pPr>
        <w:pStyle w:val="Nagwek1"/>
        <w:spacing w:before="240"/>
        <w:rPr>
          <w:rFonts w:ascii="Fira Sans" w:hAnsi="Fira Sans"/>
          <w:b/>
          <w:szCs w:val="19"/>
        </w:rPr>
      </w:pPr>
      <w:r w:rsidRPr="00A70D1B">
        <w:rPr>
          <w:noProof/>
          <w:color w:val="C00000"/>
          <w:szCs w:val="19"/>
        </w:rPr>
        <mc:AlternateContent>
          <mc:Choice Requires="wps">
            <w:drawing>
              <wp:anchor distT="45720" distB="45720" distL="114300" distR="114300" simplePos="0" relativeHeight="251830272" behindDoc="1" locked="0" layoutInCell="1" allowOverlap="1" wp14:anchorId="1BE88400" wp14:editId="462ABC3B">
                <wp:simplePos x="0" y="0"/>
                <wp:positionH relativeFrom="column">
                  <wp:posOffset>5341620</wp:posOffset>
                </wp:positionH>
                <wp:positionV relativeFrom="paragraph">
                  <wp:posOffset>234950</wp:posOffset>
                </wp:positionV>
                <wp:extent cx="1645920" cy="1203960"/>
                <wp:effectExtent l="0" t="0" r="0" b="0"/>
                <wp:wrapTight wrapText="bothSides">
                  <wp:wrapPolygon edited="0">
                    <wp:start x="750" y="0"/>
                    <wp:lineTo x="750" y="21190"/>
                    <wp:lineTo x="20750" y="21190"/>
                    <wp:lineTo x="20750" y="0"/>
                    <wp:lineTo x="750" y="0"/>
                  </wp:wrapPolygon>
                </wp:wrapTight>
                <wp:docPr id="4" name="Pole tekstowe 2" descr="Liczba osób bezrobotnych była niższa w porównaniu z ubiegłym kwartałem, ale wyższa w stosunku do  analogicznego okresu poprzedniego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03960"/>
                        </a:xfrm>
                        <a:prstGeom prst="rect">
                          <a:avLst/>
                        </a:prstGeom>
                        <a:noFill/>
                        <a:ln w="9525">
                          <a:noFill/>
                          <a:miter lim="800000"/>
                          <a:headEnd/>
                          <a:tailEnd/>
                        </a:ln>
                      </wps:spPr>
                      <wps:txbx>
                        <w:txbxContent>
                          <w:p w14:paraId="40857DD2" w14:textId="6634D0C0" w:rsidR="00830EC6" w:rsidRPr="00D616D2" w:rsidRDefault="00830EC6" w:rsidP="00C87D58">
                            <w:pPr>
                              <w:pStyle w:val="tekstzboku"/>
                              <w:spacing w:before="0"/>
                              <w:rPr>
                                <w:bCs w:val="0"/>
                              </w:rPr>
                            </w:pPr>
                            <w:r w:rsidRPr="00AE1382">
                              <w:rPr>
                                <w:bCs w:val="0"/>
                              </w:rPr>
                              <w:t>Licz</w:t>
                            </w:r>
                            <w:r>
                              <w:rPr>
                                <w:bCs w:val="0"/>
                              </w:rPr>
                              <w:t>ba</w:t>
                            </w:r>
                            <w:r w:rsidRPr="00AE1382">
                              <w:rPr>
                                <w:bCs w:val="0"/>
                              </w:rPr>
                              <w:t xml:space="preserve"> osób bezrobotnych </w:t>
                            </w:r>
                            <w:r>
                              <w:rPr>
                                <w:bCs w:val="0"/>
                              </w:rPr>
                              <w:t xml:space="preserve">była </w:t>
                            </w:r>
                            <w:r w:rsidR="00A75B65">
                              <w:rPr>
                                <w:bCs w:val="0"/>
                              </w:rPr>
                              <w:t>niższa</w:t>
                            </w:r>
                            <w:r>
                              <w:rPr>
                                <w:bCs w:val="0"/>
                              </w:rPr>
                              <w:t xml:space="preserve"> </w:t>
                            </w:r>
                            <w:r w:rsidRPr="00AE1382">
                              <w:rPr>
                                <w:bCs w:val="0"/>
                              </w:rPr>
                              <w:t>w</w:t>
                            </w:r>
                            <w:r>
                              <w:rPr>
                                <w:bCs w:val="0"/>
                              </w:rPr>
                              <w:t> porównaniu z </w:t>
                            </w:r>
                            <w:r w:rsidR="008870A5">
                              <w:rPr>
                                <w:bCs w:val="0"/>
                              </w:rPr>
                              <w:t xml:space="preserve">ubiegłym kwartałem, </w:t>
                            </w:r>
                            <w:r w:rsidR="00A75B65">
                              <w:rPr>
                                <w:bCs w:val="0"/>
                              </w:rPr>
                              <w:t xml:space="preserve">ale wyższa w stosunku do </w:t>
                            </w:r>
                            <w:r w:rsidR="008870A5">
                              <w:rPr>
                                <w:bCs w:val="0"/>
                              </w:rPr>
                              <w:t xml:space="preserve"> analogiczn</w:t>
                            </w:r>
                            <w:r w:rsidR="00A75B65">
                              <w:rPr>
                                <w:bCs w:val="0"/>
                              </w:rPr>
                              <w:t>ego</w:t>
                            </w:r>
                            <w:r w:rsidR="008870A5">
                              <w:rPr>
                                <w:bCs w:val="0"/>
                              </w:rPr>
                              <w:t xml:space="preserve"> okres</w:t>
                            </w:r>
                            <w:r w:rsidR="00A75B65">
                              <w:rPr>
                                <w:bCs w:val="0"/>
                              </w:rPr>
                              <w:t xml:space="preserve">u </w:t>
                            </w:r>
                            <w:r w:rsidR="008870A5">
                              <w:rPr>
                                <w:bCs w:val="0"/>
                              </w:rPr>
                              <w:t>poprzedniego roku</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88400" id="_x0000_s1034" type="#_x0000_t202" alt="Liczba osób bezrobotnych była niższa w porównaniu z ubiegłym kwartałem, ale wyższa w stosunku do  analogicznego okresu poprzedniego roku" style="position:absolute;margin-left:420.6pt;margin-top:18.5pt;width:129.6pt;height:94.8pt;z-index:-25148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" filled="f" stroked="f">
                <v:textbox inset=",0">
                  <w:txbxContent>
                    <w:p w14:paraId="40857DD2" w14:textId="6634D0C0" w:rsidR="00830EC6" w:rsidRPr="00D616D2" w:rsidRDefault="00830EC6" w:rsidP="00C87D58">
                      <w:pPr>
                        <w:pStyle w:val="tekstzboku"/>
                        <w:spacing w:before="0"/>
                        <w:rPr>
                          <w:bCs w:val="0"/>
                        </w:rPr>
                      </w:pPr>
                      <w:r w:rsidRPr="00AE1382">
                        <w:rPr>
                          <w:bCs w:val="0"/>
                        </w:rPr>
                        <w:t>Licz</w:t>
                      </w:r>
                      <w:r>
                        <w:rPr>
                          <w:bCs w:val="0"/>
                        </w:rPr>
                        <w:t>ba</w:t>
                      </w:r>
                      <w:r w:rsidRPr="00AE1382">
                        <w:rPr>
                          <w:bCs w:val="0"/>
                        </w:rPr>
                        <w:t xml:space="preserve"> osób bezrobotnych </w:t>
                      </w:r>
                      <w:r>
                        <w:rPr>
                          <w:bCs w:val="0"/>
                        </w:rPr>
                        <w:t xml:space="preserve">była </w:t>
                      </w:r>
                      <w:r w:rsidR="00A75B65">
                        <w:rPr>
                          <w:bCs w:val="0"/>
                        </w:rPr>
                        <w:t>niższa</w:t>
                      </w:r>
                      <w:r>
                        <w:rPr>
                          <w:bCs w:val="0"/>
                        </w:rPr>
                        <w:t xml:space="preserve"> </w:t>
                      </w:r>
                      <w:r w:rsidRPr="00AE1382">
                        <w:rPr>
                          <w:bCs w:val="0"/>
                        </w:rPr>
                        <w:t>w</w:t>
                      </w:r>
                      <w:r>
                        <w:rPr>
                          <w:bCs w:val="0"/>
                        </w:rPr>
                        <w:t> porównaniu z </w:t>
                      </w:r>
                      <w:r w:rsidR="008870A5">
                        <w:rPr>
                          <w:bCs w:val="0"/>
                        </w:rPr>
                        <w:t xml:space="preserve">ubiegłym kwartałem, </w:t>
                      </w:r>
                      <w:r w:rsidR="00A75B65">
                        <w:rPr>
                          <w:bCs w:val="0"/>
                        </w:rPr>
                        <w:t xml:space="preserve">ale wyższa w stosunku do </w:t>
                      </w:r>
                      <w:r w:rsidR="008870A5">
                        <w:rPr>
                          <w:bCs w:val="0"/>
                        </w:rPr>
                        <w:t xml:space="preserve"> analogiczn</w:t>
                      </w:r>
                      <w:r w:rsidR="00A75B65">
                        <w:rPr>
                          <w:bCs w:val="0"/>
                        </w:rPr>
                        <w:t>ego</w:t>
                      </w:r>
                      <w:r w:rsidR="008870A5">
                        <w:rPr>
                          <w:bCs w:val="0"/>
                        </w:rPr>
                        <w:t xml:space="preserve"> okres</w:t>
                      </w:r>
                      <w:r w:rsidR="00A75B65">
                        <w:rPr>
                          <w:bCs w:val="0"/>
                        </w:rPr>
                        <w:t xml:space="preserve">u </w:t>
                      </w:r>
                      <w:r w:rsidR="008870A5">
                        <w:rPr>
                          <w:bCs w:val="0"/>
                        </w:rPr>
                        <w:t>poprzedniego roku</w:t>
                      </w:r>
                    </w:p>
                  </w:txbxContent>
                </v:textbox>
                <w10:wrap type="tight"/>
              </v:shape>
            </w:pict>
          </mc:Fallback>
        </mc:AlternateContent>
      </w:r>
      <w:r w:rsidR="00D62410" w:rsidRPr="00A70D1B">
        <w:rPr>
          <w:rFonts w:ascii="Fira Sans" w:hAnsi="Fira Sans"/>
          <w:b/>
          <w:szCs w:val="19"/>
        </w:rPr>
        <w:t xml:space="preserve">Bezrobotni </w:t>
      </w:r>
      <w:r w:rsidR="00ED1D82" w:rsidRPr="00A70D1B">
        <w:rPr>
          <w:rFonts w:ascii="Fira Sans" w:hAnsi="Fira Sans"/>
          <w:b/>
          <w:szCs w:val="19"/>
        </w:rPr>
        <w:t xml:space="preserve">w wieku 15-74 lata </w:t>
      </w:r>
      <w:r w:rsidR="00D62410" w:rsidRPr="00A70D1B">
        <w:rPr>
          <w:rFonts w:ascii="Fira Sans" w:hAnsi="Fira Sans"/>
          <w:b/>
          <w:szCs w:val="19"/>
        </w:rPr>
        <w:t>według BAEL</w:t>
      </w:r>
      <w:r w:rsidR="005D1913" w:rsidRPr="00A70D1B">
        <w:rPr>
          <w:rFonts w:ascii="Fira Sans" w:hAnsi="Fira Sans"/>
          <w:b/>
          <w:szCs w:val="19"/>
        </w:rPr>
        <w:t xml:space="preserve"> </w:t>
      </w:r>
    </w:p>
    <w:p w14:paraId="21D9B9F6" w14:textId="58314600" w:rsidR="00B704FE" w:rsidRPr="00A70D1B" w:rsidRDefault="00D62410" w:rsidP="00B704FE">
      <w:pPr>
        <w:spacing w:before="240" w:line="288" w:lineRule="auto"/>
        <w:rPr>
          <w:rFonts w:eastAsia="Times New Roman" w:cs="Times New Roman"/>
          <w:szCs w:val="19"/>
          <w:lang w:eastAsia="pl-PL"/>
        </w:rPr>
      </w:pPr>
      <w:r w:rsidRPr="00A70D1B">
        <w:rPr>
          <w:rFonts w:eastAsia="Times New Roman" w:cs="Times New Roman"/>
          <w:szCs w:val="19"/>
          <w:lang w:eastAsia="pl-PL"/>
        </w:rPr>
        <w:t xml:space="preserve">W </w:t>
      </w:r>
      <w:r w:rsidR="00852EAD" w:rsidRPr="00A70D1B">
        <w:rPr>
          <w:rFonts w:eastAsia="Times New Roman" w:cs="Times New Roman"/>
          <w:szCs w:val="19"/>
          <w:lang w:eastAsia="pl-PL"/>
        </w:rPr>
        <w:t>2</w:t>
      </w:r>
      <w:r w:rsidRPr="00A70D1B">
        <w:rPr>
          <w:rFonts w:eastAsia="Times New Roman" w:cs="Times New Roman"/>
          <w:szCs w:val="19"/>
          <w:lang w:eastAsia="pl-PL"/>
        </w:rPr>
        <w:t xml:space="preserve"> kwartale 202</w:t>
      </w:r>
      <w:r w:rsidR="00D62586" w:rsidRPr="00A70D1B">
        <w:rPr>
          <w:rFonts w:eastAsia="Times New Roman" w:cs="Times New Roman"/>
          <w:szCs w:val="19"/>
          <w:lang w:eastAsia="pl-PL"/>
        </w:rPr>
        <w:t xml:space="preserve">4 </w:t>
      </w:r>
      <w:r w:rsidRPr="00A70D1B">
        <w:rPr>
          <w:rFonts w:eastAsia="Times New Roman" w:cs="Times New Roman"/>
          <w:szCs w:val="19"/>
          <w:lang w:eastAsia="pl-PL"/>
        </w:rPr>
        <w:t>r. populacja osób bezrobotnych w wieku 15</w:t>
      </w:r>
      <w:r w:rsidR="005B75C7" w:rsidRPr="00A70D1B">
        <w:rPr>
          <w:rFonts w:eastAsia="Times New Roman" w:cs="Times New Roman"/>
          <w:szCs w:val="19"/>
          <w:lang w:eastAsia="pl-PL"/>
        </w:rPr>
        <w:t>-</w:t>
      </w:r>
      <w:r w:rsidRPr="00A70D1B">
        <w:rPr>
          <w:rFonts w:eastAsia="Times New Roman" w:cs="Times New Roman"/>
          <w:szCs w:val="19"/>
          <w:lang w:eastAsia="pl-PL"/>
        </w:rPr>
        <w:t xml:space="preserve">74 lata </w:t>
      </w:r>
      <w:r w:rsidR="005332B2" w:rsidRPr="00A70D1B">
        <w:rPr>
          <w:rFonts w:eastAsia="Times New Roman" w:cs="Times New Roman"/>
          <w:szCs w:val="19"/>
          <w:lang w:eastAsia="pl-PL"/>
        </w:rPr>
        <w:t xml:space="preserve">kształtowała się na poziomie </w:t>
      </w:r>
      <w:r w:rsidR="00852EAD" w:rsidRPr="00A70D1B">
        <w:rPr>
          <w:rFonts w:eastAsia="Times New Roman" w:cs="Times New Roman"/>
          <w:szCs w:val="19"/>
          <w:lang w:eastAsia="pl-PL"/>
        </w:rPr>
        <w:t>472</w:t>
      </w:r>
      <w:r w:rsidRPr="00A70D1B">
        <w:rPr>
          <w:rFonts w:eastAsia="Times New Roman" w:cs="Times New Roman"/>
          <w:szCs w:val="19"/>
          <w:lang w:eastAsia="pl-PL"/>
        </w:rPr>
        <w:t xml:space="preserve"> tys. </w:t>
      </w:r>
      <w:r w:rsidR="002D7A94" w:rsidRPr="00A70D1B">
        <w:rPr>
          <w:rFonts w:eastAsia="Times New Roman" w:cs="Times New Roman"/>
          <w:szCs w:val="19"/>
          <w:lang w:eastAsia="pl-PL"/>
        </w:rPr>
        <w:t>i </w:t>
      </w:r>
      <w:r w:rsidR="005332B2" w:rsidRPr="00A70D1B">
        <w:rPr>
          <w:rFonts w:eastAsia="Times New Roman" w:cs="Times New Roman"/>
          <w:szCs w:val="19"/>
          <w:lang w:eastAsia="pl-PL"/>
        </w:rPr>
        <w:t xml:space="preserve">była </w:t>
      </w:r>
      <w:r w:rsidR="00852EAD" w:rsidRPr="00A70D1B">
        <w:rPr>
          <w:rFonts w:eastAsia="Times New Roman" w:cs="Times New Roman"/>
          <w:szCs w:val="19"/>
          <w:lang w:eastAsia="pl-PL"/>
        </w:rPr>
        <w:t>niższa</w:t>
      </w:r>
      <w:r w:rsidR="005332B2" w:rsidRPr="00A70D1B">
        <w:rPr>
          <w:rFonts w:eastAsia="Times New Roman" w:cs="Times New Roman"/>
          <w:szCs w:val="19"/>
          <w:lang w:eastAsia="pl-PL"/>
        </w:rPr>
        <w:t xml:space="preserve"> niż w </w:t>
      </w:r>
      <w:r w:rsidR="00852EAD" w:rsidRPr="00A70D1B">
        <w:rPr>
          <w:rFonts w:eastAsia="Times New Roman" w:cs="Times New Roman"/>
          <w:szCs w:val="19"/>
          <w:lang w:eastAsia="pl-PL"/>
        </w:rPr>
        <w:t>1</w:t>
      </w:r>
      <w:r w:rsidR="005332B2" w:rsidRPr="00A70D1B">
        <w:rPr>
          <w:rFonts w:eastAsia="Times New Roman" w:cs="Times New Roman"/>
          <w:szCs w:val="19"/>
          <w:lang w:eastAsia="pl-PL"/>
        </w:rPr>
        <w:t xml:space="preserve"> kwartale 202</w:t>
      </w:r>
      <w:r w:rsidR="00852EAD" w:rsidRPr="00A70D1B">
        <w:rPr>
          <w:rFonts w:eastAsia="Times New Roman" w:cs="Times New Roman"/>
          <w:szCs w:val="19"/>
          <w:lang w:eastAsia="pl-PL"/>
        </w:rPr>
        <w:t>4</w:t>
      </w:r>
      <w:r w:rsidR="005332B2" w:rsidRPr="00A70D1B">
        <w:rPr>
          <w:rFonts w:eastAsia="Times New Roman" w:cs="Times New Roman"/>
          <w:szCs w:val="19"/>
          <w:lang w:eastAsia="pl-PL"/>
        </w:rPr>
        <w:t xml:space="preserve"> r.</w:t>
      </w:r>
      <w:r w:rsidR="002D7A94" w:rsidRPr="00A70D1B">
        <w:rPr>
          <w:rFonts w:eastAsia="Times New Roman" w:cs="Times New Roman"/>
          <w:szCs w:val="19"/>
          <w:lang w:eastAsia="pl-PL"/>
        </w:rPr>
        <w:t xml:space="preserve"> – o </w:t>
      </w:r>
      <w:r w:rsidR="00852EAD" w:rsidRPr="00A70D1B">
        <w:rPr>
          <w:rFonts w:eastAsia="Times New Roman" w:cs="Times New Roman"/>
          <w:szCs w:val="19"/>
          <w:lang w:eastAsia="pl-PL"/>
        </w:rPr>
        <w:t>87</w:t>
      </w:r>
      <w:r w:rsidR="002D7A94" w:rsidRPr="00A70D1B">
        <w:rPr>
          <w:rFonts w:eastAsia="Times New Roman" w:cs="Times New Roman"/>
          <w:szCs w:val="19"/>
          <w:lang w:eastAsia="pl-PL"/>
        </w:rPr>
        <w:t xml:space="preserve"> tys.</w:t>
      </w:r>
      <w:r w:rsidR="004B40F3" w:rsidRPr="00A70D1B">
        <w:rPr>
          <w:rFonts w:eastAsia="Times New Roman" w:cs="Times New Roman"/>
          <w:szCs w:val="19"/>
          <w:lang w:eastAsia="pl-PL"/>
        </w:rPr>
        <w:t xml:space="preserve"> osób</w:t>
      </w:r>
      <w:r w:rsidR="002D7A94" w:rsidRPr="00A70D1B">
        <w:rPr>
          <w:rFonts w:eastAsia="Times New Roman" w:cs="Times New Roman"/>
          <w:szCs w:val="19"/>
          <w:lang w:eastAsia="pl-PL"/>
        </w:rPr>
        <w:t xml:space="preserve">, tj. o </w:t>
      </w:r>
      <w:r w:rsidR="00A75B65" w:rsidRPr="00A70D1B">
        <w:rPr>
          <w:rFonts w:eastAsia="Times New Roman" w:cs="Times New Roman"/>
          <w:szCs w:val="19"/>
          <w:lang w:eastAsia="pl-PL"/>
        </w:rPr>
        <w:t>15,6</w:t>
      </w:r>
      <w:r w:rsidR="002D7A94" w:rsidRPr="00A70D1B">
        <w:rPr>
          <w:rFonts w:eastAsia="Times New Roman" w:cs="Times New Roman"/>
          <w:szCs w:val="19"/>
          <w:lang w:eastAsia="pl-PL"/>
        </w:rPr>
        <w:t xml:space="preserve">%, </w:t>
      </w:r>
      <w:r w:rsidR="00852EAD" w:rsidRPr="00A70D1B">
        <w:rPr>
          <w:rFonts w:eastAsia="Times New Roman" w:cs="Times New Roman"/>
          <w:szCs w:val="19"/>
          <w:lang w:eastAsia="pl-PL"/>
        </w:rPr>
        <w:t xml:space="preserve">ale wyższa niż </w:t>
      </w:r>
      <w:r w:rsidR="009D7F04" w:rsidRPr="00A70D1B">
        <w:rPr>
          <w:rFonts w:eastAsia="Times New Roman" w:cs="Times New Roman"/>
          <w:szCs w:val="19"/>
          <w:lang w:eastAsia="pl-PL"/>
        </w:rPr>
        <w:t>w</w:t>
      </w:r>
      <w:r w:rsidR="008D702C" w:rsidRPr="00A70D1B">
        <w:rPr>
          <w:rFonts w:eastAsia="Times New Roman" w:cs="Times New Roman"/>
          <w:szCs w:val="19"/>
          <w:lang w:eastAsia="pl-PL"/>
        </w:rPr>
        <w:t> </w:t>
      </w:r>
      <w:r w:rsidR="00852EAD" w:rsidRPr="00A70D1B">
        <w:rPr>
          <w:rFonts w:eastAsia="Times New Roman" w:cs="Times New Roman"/>
          <w:szCs w:val="19"/>
          <w:lang w:eastAsia="pl-PL"/>
        </w:rPr>
        <w:t xml:space="preserve">2 </w:t>
      </w:r>
      <w:r w:rsidR="005332B2" w:rsidRPr="00A70D1B">
        <w:rPr>
          <w:rFonts w:eastAsia="Times New Roman" w:cs="Times New Roman"/>
          <w:szCs w:val="19"/>
          <w:lang w:eastAsia="pl-PL"/>
        </w:rPr>
        <w:t>kwarta</w:t>
      </w:r>
      <w:r w:rsidR="004F3AAB" w:rsidRPr="00A70D1B">
        <w:rPr>
          <w:rFonts w:eastAsia="Times New Roman" w:cs="Times New Roman"/>
          <w:szCs w:val="19"/>
          <w:lang w:eastAsia="pl-PL"/>
        </w:rPr>
        <w:t>le</w:t>
      </w:r>
      <w:r w:rsidR="005332B2" w:rsidRPr="00A70D1B">
        <w:rPr>
          <w:rFonts w:eastAsia="Times New Roman" w:cs="Times New Roman"/>
          <w:szCs w:val="19"/>
          <w:lang w:eastAsia="pl-PL"/>
        </w:rPr>
        <w:t xml:space="preserve"> 202</w:t>
      </w:r>
      <w:r w:rsidR="00D62586" w:rsidRPr="00A70D1B">
        <w:rPr>
          <w:rFonts w:eastAsia="Times New Roman" w:cs="Times New Roman"/>
          <w:szCs w:val="19"/>
          <w:lang w:eastAsia="pl-PL"/>
        </w:rPr>
        <w:t>3</w:t>
      </w:r>
      <w:r w:rsidR="005332B2" w:rsidRPr="00A70D1B">
        <w:rPr>
          <w:rFonts w:eastAsia="Times New Roman" w:cs="Times New Roman"/>
          <w:szCs w:val="19"/>
          <w:lang w:eastAsia="pl-PL"/>
        </w:rPr>
        <w:t xml:space="preserve"> r.</w:t>
      </w:r>
      <w:r w:rsidR="002D7A94" w:rsidRPr="00A70D1B">
        <w:rPr>
          <w:rFonts w:eastAsia="Times New Roman" w:cs="Times New Roman"/>
          <w:szCs w:val="19"/>
          <w:lang w:eastAsia="pl-PL"/>
        </w:rPr>
        <w:t xml:space="preserve"> – o </w:t>
      </w:r>
      <w:r w:rsidR="00A75B65" w:rsidRPr="00A70D1B">
        <w:rPr>
          <w:rFonts w:eastAsia="Times New Roman" w:cs="Times New Roman"/>
          <w:szCs w:val="19"/>
          <w:lang w:eastAsia="pl-PL"/>
        </w:rPr>
        <w:t>18</w:t>
      </w:r>
      <w:r w:rsidR="002D7A94" w:rsidRPr="00A70D1B">
        <w:rPr>
          <w:rFonts w:eastAsia="Times New Roman" w:cs="Times New Roman"/>
          <w:szCs w:val="19"/>
          <w:lang w:eastAsia="pl-PL"/>
        </w:rPr>
        <w:t xml:space="preserve"> tys., tj. o </w:t>
      </w:r>
      <w:r w:rsidR="00A75B65" w:rsidRPr="00A70D1B">
        <w:rPr>
          <w:rFonts w:eastAsia="Times New Roman" w:cs="Times New Roman"/>
          <w:szCs w:val="19"/>
          <w:lang w:eastAsia="pl-PL"/>
        </w:rPr>
        <w:t>4,0</w:t>
      </w:r>
      <w:r w:rsidR="002D7A94" w:rsidRPr="00A70D1B">
        <w:rPr>
          <w:rFonts w:eastAsia="Times New Roman" w:cs="Times New Roman"/>
          <w:szCs w:val="19"/>
          <w:lang w:eastAsia="pl-PL"/>
        </w:rPr>
        <w:t>%.</w:t>
      </w:r>
      <w:r w:rsidR="0076074A" w:rsidRPr="00A70D1B">
        <w:rPr>
          <w:rFonts w:eastAsia="Times New Roman" w:cs="Times New Roman"/>
          <w:szCs w:val="19"/>
          <w:lang w:eastAsia="pl-PL"/>
        </w:rPr>
        <w:t xml:space="preserve"> </w:t>
      </w:r>
    </w:p>
    <w:p w14:paraId="1D38C1E3" w14:textId="08571058" w:rsidR="00524398" w:rsidRPr="00A70D1B" w:rsidRDefault="0076074A" w:rsidP="00B704FE">
      <w:pPr>
        <w:spacing w:before="0" w:line="288" w:lineRule="auto"/>
        <w:rPr>
          <w:rFonts w:eastAsia="Times New Roman" w:cs="Times New Roman"/>
          <w:szCs w:val="19"/>
          <w:lang w:eastAsia="pl-PL"/>
        </w:rPr>
      </w:pPr>
      <w:r w:rsidRPr="00A70D1B">
        <w:rPr>
          <w:rFonts w:eastAsia="Times New Roman" w:cs="Times New Roman"/>
          <w:szCs w:val="19"/>
          <w:lang w:eastAsia="pl-PL"/>
        </w:rPr>
        <w:t xml:space="preserve">Więcej niż połowa zbiorowości bezrobotnych w </w:t>
      </w:r>
      <w:r w:rsidR="00F05502" w:rsidRPr="00A70D1B">
        <w:rPr>
          <w:rFonts w:eastAsia="Times New Roman" w:cs="Times New Roman"/>
          <w:szCs w:val="19"/>
          <w:lang w:eastAsia="pl-PL"/>
        </w:rPr>
        <w:t xml:space="preserve">2 </w:t>
      </w:r>
      <w:r w:rsidRPr="00A70D1B">
        <w:rPr>
          <w:rFonts w:eastAsia="Times New Roman" w:cs="Times New Roman"/>
          <w:szCs w:val="19"/>
          <w:lang w:eastAsia="pl-PL"/>
        </w:rPr>
        <w:t>kwartale 202</w:t>
      </w:r>
      <w:r w:rsidR="00D62586" w:rsidRPr="00A70D1B">
        <w:rPr>
          <w:rFonts w:eastAsia="Times New Roman" w:cs="Times New Roman"/>
          <w:szCs w:val="19"/>
          <w:lang w:eastAsia="pl-PL"/>
        </w:rPr>
        <w:t>4</w:t>
      </w:r>
      <w:r w:rsidRPr="00A70D1B">
        <w:rPr>
          <w:rFonts w:eastAsia="Times New Roman" w:cs="Times New Roman"/>
          <w:szCs w:val="19"/>
          <w:lang w:eastAsia="pl-PL"/>
        </w:rPr>
        <w:t xml:space="preserve"> r. to mężczyźni – </w:t>
      </w:r>
      <w:r w:rsidR="00852EAD" w:rsidRPr="00A70D1B">
        <w:rPr>
          <w:rFonts w:eastAsia="Times New Roman" w:cs="Times New Roman"/>
          <w:szCs w:val="19"/>
          <w:lang w:eastAsia="pl-PL"/>
        </w:rPr>
        <w:t>54,0</w:t>
      </w:r>
      <w:r w:rsidRPr="00A70D1B">
        <w:rPr>
          <w:rFonts w:eastAsia="Times New Roman" w:cs="Times New Roman"/>
          <w:szCs w:val="19"/>
          <w:lang w:eastAsia="pl-PL"/>
        </w:rPr>
        <w:t>%, tj.</w:t>
      </w:r>
      <w:r w:rsidR="002C0B09" w:rsidRPr="00A70D1B">
        <w:rPr>
          <w:rFonts w:eastAsia="Times New Roman" w:cs="Times New Roman"/>
          <w:szCs w:val="19"/>
          <w:lang w:eastAsia="pl-PL"/>
        </w:rPr>
        <w:t> </w:t>
      </w:r>
      <w:r w:rsidRPr="00A70D1B">
        <w:rPr>
          <w:rFonts w:eastAsia="Times New Roman" w:cs="Times New Roman"/>
          <w:szCs w:val="19"/>
          <w:lang w:eastAsia="pl-PL"/>
        </w:rPr>
        <w:t>2</w:t>
      </w:r>
      <w:r w:rsidR="00852EAD" w:rsidRPr="00A70D1B">
        <w:rPr>
          <w:rFonts w:eastAsia="Times New Roman" w:cs="Times New Roman"/>
          <w:szCs w:val="19"/>
          <w:lang w:eastAsia="pl-PL"/>
        </w:rPr>
        <w:t>55</w:t>
      </w:r>
      <w:r w:rsidRPr="00A70D1B">
        <w:rPr>
          <w:rFonts w:eastAsia="Times New Roman" w:cs="Times New Roman"/>
          <w:szCs w:val="19"/>
          <w:lang w:eastAsia="pl-PL"/>
        </w:rPr>
        <w:t> tys.</w:t>
      </w:r>
      <w:r w:rsidR="0026102F" w:rsidRPr="00A70D1B">
        <w:rPr>
          <w:rFonts w:eastAsia="Times New Roman" w:cs="Times New Roman"/>
          <w:szCs w:val="19"/>
          <w:lang w:eastAsia="pl-PL"/>
        </w:rPr>
        <w:t xml:space="preserve"> osób.</w:t>
      </w:r>
      <w:r w:rsidRPr="00A70D1B">
        <w:rPr>
          <w:rFonts w:eastAsia="Times New Roman" w:cs="Times New Roman"/>
          <w:szCs w:val="19"/>
          <w:lang w:eastAsia="pl-PL"/>
        </w:rPr>
        <w:t xml:space="preserve"> </w:t>
      </w:r>
      <w:r w:rsidR="00071758" w:rsidRPr="00A70D1B">
        <w:rPr>
          <w:rFonts w:eastAsia="Times New Roman" w:cs="Times New Roman"/>
          <w:szCs w:val="19"/>
          <w:lang w:eastAsia="pl-PL"/>
        </w:rPr>
        <w:t>B</w:t>
      </w:r>
      <w:r w:rsidRPr="00A70D1B">
        <w:rPr>
          <w:rFonts w:eastAsia="Times New Roman" w:cs="Times New Roman"/>
          <w:szCs w:val="19"/>
          <w:lang w:eastAsia="pl-PL"/>
        </w:rPr>
        <w:t xml:space="preserve">ezrobotni w miastach stanowili </w:t>
      </w:r>
      <w:r w:rsidR="00852EAD" w:rsidRPr="00A70D1B">
        <w:rPr>
          <w:rFonts w:eastAsia="Times New Roman" w:cs="Times New Roman"/>
          <w:szCs w:val="19"/>
          <w:lang w:eastAsia="pl-PL"/>
        </w:rPr>
        <w:t>62,1</w:t>
      </w:r>
      <w:r w:rsidRPr="00A70D1B">
        <w:rPr>
          <w:rFonts w:eastAsia="Times New Roman" w:cs="Times New Roman"/>
          <w:szCs w:val="19"/>
          <w:lang w:eastAsia="pl-PL"/>
        </w:rPr>
        <w:t>% ogółu bezrobotnych</w:t>
      </w:r>
      <w:r w:rsidR="00C72EE0" w:rsidRPr="00A70D1B">
        <w:rPr>
          <w:rFonts w:eastAsia="Times New Roman" w:cs="Times New Roman"/>
          <w:szCs w:val="19"/>
          <w:lang w:eastAsia="pl-PL"/>
        </w:rPr>
        <w:t>,</w:t>
      </w:r>
      <w:r w:rsidRPr="00A70D1B">
        <w:rPr>
          <w:rFonts w:eastAsia="Times New Roman" w:cs="Times New Roman"/>
          <w:szCs w:val="19"/>
          <w:lang w:eastAsia="pl-PL"/>
        </w:rPr>
        <w:t xml:space="preserve"> tj. </w:t>
      </w:r>
      <w:r w:rsidR="00852EAD" w:rsidRPr="00A70D1B">
        <w:rPr>
          <w:rFonts w:eastAsia="Times New Roman" w:cs="Times New Roman"/>
          <w:szCs w:val="19"/>
          <w:lang w:eastAsia="pl-PL"/>
        </w:rPr>
        <w:t>293</w:t>
      </w:r>
      <w:r w:rsidR="00A3032F" w:rsidRPr="00A70D1B">
        <w:rPr>
          <w:rFonts w:eastAsia="Times New Roman" w:cs="Times New Roman"/>
          <w:szCs w:val="19"/>
          <w:lang w:eastAsia="pl-PL"/>
        </w:rPr>
        <w:t xml:space="preserve"> </w:t>
      </w:r>
      <w:r w:rsidRPr="00A70D1B">
        <w:rPr>
          <w:rFonts w:eastAsia="Times New Roman" w:cs="Times New Roman"/>
          <w:szCs w:val="19"/>
          <w:lang w:eastAsia="pl-PL"/>
        </w:rPr>
        <w:t xml:space="preserve">tys., co jest </w:t>
      </w:r>
      <w:r w:rsidR="00852EAD" w:rsidRPr="00A70D1B">
        <w:rPr>
          <w:rFonts w:eastAsia="Times New Roman" w:cs="Times New Roman"/>
          <w:szCs w:val="19"/>
          <w:lang w:eastAsia="pl-PL"/>
        </w:rPr>
        <w:t>wyższym</w:t>
      </w:r>
      <w:r w:rsidRPr="00A70D1B">
        <w:rPr>
          <w:rFonts w:eastAsia="Times New Roman" w:cs="Times New Roman"/>
          <w:szCs w:val="19"/>
          <w:lang w:eastAsia="pl-PL"/>
        </w:rPr>
        <w:t xml:space="preserve"> odsetkiem niż udział ludności miast w</w:t>
      </w:r>
      <w:r w:rsidR="007B4191" w:rsidRPr="00A70D1B">
        <w:rPr>
          <w:rFonts w:eastAsia="Times New Roman" w:cs="Times New Roman"/>
          <w:szCs w:val="19"/>
          <w:lang w:eastAsia="pl-PL"/>
        </w:rPr>
        <w:t> </w:t>
      </w:r>
      <w:r w:rsidRPr="00A70D1B">
        <w:rPr>
          <w:rFonts w:eastAsia="Times New Roman" w:cs="Times New Roman"/>
          <w:szCs w:val="19"/>
          <w:lang w:eastAsia="pl-PL"/>
        </w:rPr>
        <w:t xml:space="preserve">populacji Polski (60%). </w:t>
      </w:r>
    </w:p>
    <w:p w14:paraId="6B68A2DF" w14:textId="46A79681" w:rsidR="007203BB" w:rsidRPr="00A70D1B" w:rsidRDefault="0008392C" w:rsidP="0008392C">
      <w:pPr>
        <w:spacing w:line="288" w:lineRule="auto"/>
        <w:rPr>
          <w:rFonts w:eastAsia="Times New Roman" w:cs="Times New Roman"/>
          <w:szCs w:val="19"/>
          <w:lang w:eastAsia="pl-PL"/>
        </w:rPr>
      </w:pPr>
      <w:r w:rsidRPr="00A70D1B">
        <w:rPr>
          <w:rFonts w:eastAsia="Times New Roman" w:cs="Times New Roman"/>
          <w:szCs w:val="19"/>
          <w:lang w:eastAsia="pl-PL"/>
        </w:rPr>
        <w:lastRenderedPageBreak/>
        <w:t xml:space="preserve">Warto </w:t>
      </w:r>
      <w:r w:rsidR="001A0020" w:rsidRPr="00A70D1B">
        <w:rPr>
          <w:rFonts w:eastAsia="Times New Roman" w:cs="Times New Roman"/>
          <w:szCs w:val="19"/>
          <w:lang w:eastAsia="pl-PL"/>
        </w:rPr>
        <w:t>również</w:t>
      </w:r>
      <w:r w:rsidRPr="00A70D1B">
        <w:rPr>
          <w:rFonts w:eastAsia="Times New Roman" w:cs="Times New Roman"/>
          <w:szCs w:val="19"/>
          <w:lang w:eastAsia="pl-PL"/>
        </w:rPr>
        <w:t xml:space="preserve"> zauważyć, że procentowy udział bezrobotnych </w:t>
      </w:r>
      <w:r w:rsidR="00BA5ABB" w:rsidRPr="00A70D1B">
        <w:rPr>
          <w:rFonts w:eastAsia="Times New Roman" w:cs="Times New Roman"/>
          <w:szCs w:val="19"/>
          <w:lang w:eastAsia="pl-PL"/>
        </w:rPr>
        <w:t>wśród ogółu</w:t>
      </w:r>
      <w:r w:rsidRPr="00A70D1B">
        <w:rPr>
          <w:rFonts w:eastAsia="Times New Roman" w:cs="Times New Roman"/>
          <w:szCs w:val="19"/>
          <w:lang w:eastAsia="pl-PL"/>
        </w:rPr>
        <w:t xml:space="preserve"> ludności w wieku </w:t>
      </w:r>
      <w:r w:rsidR="000D6B9D" w:rsidRPr="00A70D1B">
        <w:rPr>
          <w:rFonts w:eastAsia="Times New Roman" w:cs="Times New Roman"/>
          <w:szCs w:val="19"/>
          <w:lang w:eastAsia="pl-PL"/>
        </w:rPr>
        <w:br/>
      </w:r>
      <w:r w:rsidRPr="00A70D1B">
        <w:rPr>
          <w:rFonts w:eastAsia="Times New Roman" w:cs="Times New Roman"/>
          <w:szCs w:val="19"/>
          <w:lang w:eastAsia="pl-PL"/>
        </w:rPr>
        <w:t xml:space="preserve">15-89 lat </w:t>
      </w:r>
      <w:r w:rsidR="00BA5ABB" w:rsidRPr="00A70D1B">
        <w:rPr>
          <w:rFonts w:eastAsia="Times New Roman" w:cs="Times New Roman"/>
          <w:szCs w:val="19"/>
          <w:lang w:eastAsia="pl-PL"/>
        </w:rPr>
        <w:t xml:space="preserve">w </w:t>
      </w:r>
      <w:proofErr w:type="spellStart"/>
      <w:r w:rsidR="00BA5ABB" w:rsidRPr="00A70D1B">
        <w:rPr>
          <w:rFonts w:eastAsia="Times New Roman" w:cs="Times New Roman"/>
          <w:szCs w:val="19"/>
          <w:lang w:eastAsia="pl-PL"/>
        </w:rPr>
        <w:t>podzbiorowościach</w:t>
      </w:r>
      <w:proofErr w:type="spellEnd"/>
      <w:r w:rsidR="00BA5ABB" w:rsidRPr="00A70D1B">
        <w:rPr>
          <w:rFonts w:eastAsia="Times New Roman" w:cs="Times New Roman"/>
          <w:szCs w:val="19"/>
          <w:lang w:eastAsia="pl-PL"/>
        </w:rPr>
        <w:t xml:space="preserve"> </w:t>
      </w:r>
      <w:r w:rsidRPr="00A70D1B">
        <w:rPr>
          <w:rFonts w:eastAsia="Times New Roman" w:cs="Times New Roman"/>
          <w:szCs w:val="19"/>
          <w:lang w:eastAsia="pl-PL"/>
        </w:rPr>
        <w:t>według płci, jak i miejsca zamieszkania osiąga podobne wartości mieszczące się w granicach od 1,</w:t>
      </w:r>
      <w:r w:rsidR="00852EAD" w:rsidRPr="00A70D1B">
        <w:rPr>
          <w:rFonts w:eastAsia="Times New Roman" w:cs="Times New Roman"/>
          <w:szCs w:val="19"/>
          <w:lang w:eastAsia="pl-PL"/>
        </w:rPr>
        <w:t>4</w:t>
      </w:r>
      <w:r w:rsidRPr="00A70D1B">
        <w:rPr>
          <w:rFonts w:eastAsia="Times New Roman" w:cs="Times New Roman"/>
          <w:szCs w:val="19"/>
          <w:lang w:eastAsia="pl-PL"/>
        </w:rPr>
        <w:t xml:space="preserve">% do </w:t>
      </w:r>
      <w:r w:rsidR="00852EAD" w:rsidRPr="00A70D1B">
        <w:rPr>
          <w:rFonts w:eastAsia="Times New Roman" w:cs="Times New Roman"/>
          <w:szCs w:val="19"/>
          <w:lang w:eastAsia="pl-PL"/>
        </w:rPr>
        <w:t>1,8</w:t>
      </w:r>
      <w:r w:rsidRPr="00A70D1B">
        <w:rPr>
          <w:rFonts w:eastAsia="Times New Roman" w:cs="Times New Roman"/>
          <w:szCs w:val="19"/>
          <w:lang w:eastAsia="pl-PL"/>
        </w:rPr>
        <w:t xml:space="preserve">%. </w:t>
      </w:r>
    </w:p>
    <w:p w14:paraId="3013BD0D" w14:textId="20418908" w:rsidR="007203BB" w:rsidRPr="00A70D1B" w:rsidRDefault="00852EAD" w:rsidP="007203BB">
      <w:pPr>
        <w:tabs>
          <w:tab w:val="left" w:pos="993"/>
        </w:tabs>
        <w:spacing w:before="0" w:line="276" w:lineRule="auto"/>
        <w:rPr>
          <w:rFonts w:eastAsia="Times New Roman" w:cs="Times New Roman"/>
          <w:b/>
          <w:szCs w:val="19"/>
          <w:lang w:eastAsia="pl-PL"/>
        </w:rPr>
      </w:pPr>
      <w:r w:rsidRPr="00A70D1B">
        <w:rPr>
          <w:noProof/>
          <w:szCs w:val="19"/>
          <w:lang w:eastAsia="pl-PL"/>
        </w:rPr>
        <w:drawing>
          <wp:anchor distT="0" distB="0" distL="114300" distR="114300" simplePos="0" relativeHeight="251955200" behindDoc="0" locked="0" layoutInCell="1" allowOverlap="1" wp14:anchorId="6F7FFEAC" wp14:editId="7CFEF209">
            <wp:simplePos x="0" y="0"/>
            <wp:positionH relativeFrom="margin">
              <wp:align>left</wp:align>
            </wp:positionH>
            <wp:positionV relativeFrom="paragraph">
              <wp:posOffset>159385</wp:posOffset>
            </wp:positionV>
            <wp:extent cx="5126013" cy="2344420"/>
            <wp:effectExtent l="0" t="0" r="0" b="0"/>
            <wp:wrapSquare wrapText="bothSides"/>
            <wp:docPr id="39" name="Obraz 39" descr="Wykres prezentuje bezrobotnych w wieku 15-74 lata i stopę bezrobocia osób w wieku 15-89 lat od 1 kwartału 2021 r. do 2 kwartału 2024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6013" cy="2344420"/>
                    </a:xfrm>
                    <a:prstGeom prst="rect">
                      <a:avLst/>
                    </a:prstGeom>
                    <a:noFill/>
                  </pic:spPr>
                </pic:pic>
              </a:graphicData>
            </a:graphic>
            <wp14:sizeRelH relativeFrom="page">
              <wp14:pctWidth>0</wp14:pctWidth>
            </wp14:sizeRelH>
            <wp14:sizeRelV relativeFrom="page">
              <wp14:pctHeight>0</wp14:pctHeight>
            </wp14:sizeRelV>
          </wp:anchor>
        </w:drawing>
      </w:r>
      <w:r w:rsidR="007203BB" w:rsidRPr="00A70D1B">
        <w:rPr>
          <w:rFonts w:eastAsia="Times New Roman" w:cs="Times New Roman"/>
          <w:b/>
          <w:szCs w:val="19"/>
          <w:lang w:eastAsia="pl-PL"/>
        </w:rPr>
        <w:t>Wykres 5.</w:t>
      </w:r>
      <w:r w:rsidR="007203BB" w:rsidRPr="00A70D1B">
        <w:rPr>
          <w:rFonts w:eastAsia="Times New Roman" w:cs="Times New Roman"/>
          <w:b/>
          <w:szCs w:val="19"/>
          <w:lang w:eastAsia="pl-PL"/>
        </w:rPr>
        <w:tab/>
      </w:r>
      <w:r w:rsidR="007203BB" w:rsidRPr="00A70D1B">
        <w:rPr>
          <w:b/>
          <w:shd w:val="clear" w:color="auto" w:fill="FFFFFF"/>
        </w:rPr>
        <w:t>Bezrobotni</w:t>
      </w:r>
      <w:r w:rsidR="007203BB" w:rsidRPr="00A70D1B">
        <w:rPr>
          <w:rFonts w:eastAsia="Times New Roman" w:cs="Times New Roman"/>
          <w:b/>
          <w:szCs w:val="19"/>
          <w:lang w:eastAsia="pl-PL"/>
        </w:rPr>
        <w:t xml:space="preserve"> w wieku 15-74 lata i stopa bezrobocia osób w wieku 15-89 lat</w:t>
      </w:r>
    </w:p>
    <w:p w14:paraId="434ED9ED" w14:textId="4CCEB000" w:rsidR="009A4B11" w:rsidRPr="00A70D1B" w:rsidRDefault="009A4B11" w:rsidP="000E3CEC">
      <w:pPr>
        <w:spacing w:before="240" w:line="288" w:lineRule="auto"/>
        <w:rPr>
          <w:szCs w:val="19"/>
        </w:rPr>
      </w:pPr>
      <w:r w:rsidRPr="00A70D1B">
        <w:rPr>
          <w:szCs w:val="19"/>
        </w:rPr>
        <w:t xml:space="preserve">W </w:t>
      </w:r>
      <w:r w:rsidR="00744A01" w:rsidRPr="00A70D1B">
        <w:rPr>
          <w:szCs w:val="19"/>
        </w:rPr>
        <w:t>porównaniu z poprzednim kwartałem</w:t>
      </w:r>
      <w:r w:rsidRPr="00A70D1B">
        <w:rPr>
          <w:szCs w:val="19"/>
        </w:rPr>
        <w:t xml:space="preserve"> </w:t>
      </w:r>
      <w:r w:rsidR="00744A01" w:rsidRPr="00A70D1B">
        <w:rPr>
          <w:szCs w:val="19"/>
        </w:rPr>
        <w:t>spadek</w:t>
      </w:r>
      <w:r w:rsidRPr="00A70D1B">
        <w:rPr>
          <w:szCs w:val="19"/>
        </w:rPr>
        <w:t xml:space="preserve"> liczby </w:t>
      </w:r>
      <w:r w:rsidR="00744A01" w:rsidRPr="00A70D1B">
        <w:rPr>
          <w:szCs w:val="19"/>
        </w:rPr>
        <w:t>bezrobotnych</w:t>
      </w:r>
      <w:r w:rsidRPr="00A70D1B">
        <w:rPr>
          <w:szCs w:val="19"/>
        </w:rPr>
        <w:t xml:space="preserve"> nastąpił w obu grupach wyróżnionych ze względu na płeć, jednak wśród kobiet był on zdecydowanie wyższy (o </w:t>
      </w:r>
      <w:r w:rsidR="00744A01" w:rsidRPr="00A70D1B">
        <w:rPr>
          <w:szCs w:val="19"/>
        </w:rPr>
        <w:t>57</w:t>
      </w:r>
      <w:r w:rsidRPr="00A70D1B">
        <w:rPr>
          <w:szCs w:val="19"/>
        </w:rPr>
        <w:t xml:space="preserve"> tys.</w:t>
      </w:r>
      <w:r w:rsidR="004B40F3" w:rsidRPr="00A70D1B">
        <w:rPr>
          <w:szCs w:val="19"/>
        </w:rPr>
        <w:t xml:space="preserve"> osób</w:t>
      </w:r>
      <w:r w:rsidRPr="00A70D1B">
        <w:rPr>
          <w:szCs w:val="19"/>
        </w:rPr>
        <w:t xml:space="preserve">, tj. o </w:t>
      </w:r>
      <w:r w:rsidR="00744A01" w:rsidRPr="00A70D1B">
        <w:rPr>
          <w:szCs w:val="19"/>
        </w:rPr>
        <w:t>20,7</w:t>
      </w:r>
      <w:r w:rsidRPr="00A70D1B">
        <w:rPr>
          <w:szCs w:val="19"/>
        </w:rPr>
        <w:t xml:space="preserve">%) niż wśród mężczyzn (o </w:t>
      </w:r>
      <w:r w:rsidR="00744A01" w:rsidRPr="00A70D1B">
        <w:rPr>
          <w:szCs w:val="19"/>
        </w:rPr>
        <w:t>29</w:t>
      </w:r>
      <w:r w:rsidRPr="00A70D1B">
        <w:rPr>
          <w:szCs w:val="19"/>
        </w:rPr>
        <w:t xml:space="preserve"> tys., tj. o </w:t>
      </w:r>
      <w:r w:rsidR="00744A01" w:rsidRPr="00A70D1B">
        <w:rPr>
          <w:szCs w:val="19"/>
        </w:rPr>
        <w:t>10,2</w:t>
      </w:r>
      <w:r w:rsidRPr="00A70D1B">
        <w:rPr>
          <w:szCs w:val="19"/>
        </w:rPr>
        <w:t xml:space="preserve">%). Biorąc pod uwagę miejsce zamieszkania </w:t>
      </w:r>
      <w:r w:rsidR="00744A01" w:rsidRPr="00A70D1B">
        <w:rPr>
          <w:szCs w:val="19"/>
        </w:rPr>
        <w:t>spadek</w:t>
      </w:r>
      <w:r w:rsidRPr="00A70D1B">
        <w:rPr>
          <w:szCs w:val="19"/>
        </w:rPr>
        <w:t xml:space="preserve"> obserwowano zarówno wśród mieszkańców wsi, jak i miast, przy czym na wsi był on znacznie większy (odpowiednio o </w:t>
      </w:r>
      <w:r w:rsidR="00744A01" w:rsidRPr="00A70D1B">
        <w:rPr>
          <w:szCs w:val="19"/>
        </w:rPr>
        <w:t>58</w:t>
      </w:r>
      <w:r w:rsidRPr="00A70D1B">
        <w:rPr>
          <w:szCs w:val="19"/>
        </w:rPr>
        <w:t xml:space="preserve"> tys., tj. o 2</w:t>
      </w:r>
      <w:r w:rsidR="00744A01" w:rsidRPr="00A70D1B">
        <w:rPr>
          <w:szCs w:val="19"/>
        </w:rPr>
        <w:t>4,5</w:t>
      </w:r>
      <w:r w:rsidRPr="00A70D1B">
        <w:rPr>
          <w:szCs w:val="19"/>
        </w:rPr>
        <w:t xml:space="preserve">% i o </w:t>
      </w:r>
      <w:r w:rsidR="00744A01" w:rsidRPr="00A70D1B">
        <w:rPr>
          <w:szCs w:val="19"/>
        </w:rPr>
        <w:t>29</w:t>
      </w:r>
      <w:r w:rsidRPr="00A70D1B">
        <w:rPr>
          <w:szCs w:val="19"/>
        </w:rPr>
        <w:t xml:space="preserve"> tys., tj. o </w:t>
      </w:r>
      <w:r w:rsidR="00744A01" w:rsidRPr="00A70D1B">
        <w:rPr>
          <w:szCs w:val="19"/>
        </w:rPr>
        <w:t>9,0</w:t>
      </w:r>
      <w:r w:rsidRPr="00A70D1B">
        <w:rPr>
          <w:szCs w:val="19"/>
        </w:rPr>
        <w:t>%).</w:t>
      </w:r>
    </w:p>
    <w:p w14:paraId="04709576" w14:textId="0A9B881A" w:rsidR="000162CD" w:rsidRPr="00A70D1B" w:rsidRDefault="00310ABE" w:rsidP="00702143">
      <w:pPr>
        <w:spacing w:before="60" w:after="0" w:line="288" w:lineRule="auto"/>
        <w:rPr>
          <w:szCs w:val="19"/>
        </w:rPr>
      </w:pPr>
      <w:r w:rsidRPr="00A70D1B">
        <w:rPr>
          <w:szCs w:val="19"/>
        </w:rPr>
        <w:t xml:space="preserve">Wzrost </w:t>
      </w:r>
      <w:r w:rsidR="000C4DE7" w:rsidRPr="00A70D1B">
        <w:rPr>
          <w:szCs w:val="19"/>
        </w:rPr>
        <w:t xml:space="preserve">liczby osób bezrobotnych </w:t>
      </w:r>
      <w:bookmarkStart w:id="4" w:name="_Hlk167353784"/>
      <w:r w:rsidR="003E7B30" w:rsidRPr="00A70D1B">
        <w:rPr>
          <w:szCs w:val="19"/>
        </w:rPr>
        <w:t xml:space="preserve">w porównaniu z </w:t>
      </w:r>
      <w:r w:rsidR="00B4468B" w:rsidRPr="00A70D1B">
        <w:rPr>
          <w:szCs w:val="19"/>
        </w:rPr>
        <w:t>2</w:t>
      </w:r>
      <w:r w:rsidR="003E7B30" w:rsidRPr="00A70D1B">
        <w:rPr>
          <w:szCs w:val="19"/>
        </w:rPr>
        <w:t xml:space="preserve"> kwartałem 2023 r.</w:t>
      </w:r>
      <w:r w:rsidR="000C4DE7" w:rsidRPr="00A70D1B">
        <w:rPr>
          <w:szCs w:val="19"/>
        </w:rPr>
        <w:t xml:space="preserve"> </w:t>
      </w:r>
      <w:bookmarkEnd w:id="4"/>
      <w:r w:rsidR="00506BA4" w:rsidRPr="00A70D1B">
        <w:rPr>
          <w:szCs w:val="19"/>
        </w:rPr>
        <w:t xml:space="preserve">wynikał przede wszystkim ze </w:t>
      </w:r>
      <w:r w:rsidR="000162CD" w:rsidRPr="00A70D1B">
        <w:rPr>
          <w:szCs w:val="19"/>
        </w:rPr>
        <w:t>wzrostu</w:t>
      </w:r>
      <w:r w:rsidR="005E7321" w:rsidRPr="00A70D1B">
        <w:rPr>
          <w:szCs w:val="19"/>
        </w:rPr>
        <w:t xml:space="preserve"> liczebności</w:t>
      </w:r>
      <w:r w:rsidR="000C4DE7" w:rsidRPr="00A70D1B">
        <w:rPr>
          <w:szCs w:val="19"/>
        </w:rPr>
        <w:t xml:space="preserve"> </w:t>
      </w:r>
      <w:r w:rsidR="00D2357A" w:rsidRPr="00A70D1B">
        <w:rPr>
          <w:szCs w:val="19"/>
        </w:rPr>
        <w:t>tej populacji</w:t>
      </w:r>
      <w:r w:rsidR="002F5C8E" w:rsidRPr="00A70D1B">
        <w:rPr>
          <w:szCs w:val="19"/>
        </w:rPr>
        <w:t xml:space="preserve"> wśród </w:t>
      </w:r>
      <w:r w:rsidR="00B4468B" w:rsidRPr="00A70D1B">
        <w:rPr>
          <w:szCs w:val="19"/>
        </w:rPr>
        <w:t>mężczyzn</w:t>
      </w:r>
      <w:r w:rsidR="002F5C8E" w:rsidRPr="00A70D1B">
        <w:rPr>
          <w:szCs w:val="19"/>
        </w:rPr>
        <w:t xml:space="preserve"> (o </w:t>
      </w:r>
      <w:r w:rsidR="00B4468B" w:rsidRPr="00A70D1B">
        <w:rPr>
          <w:szCs w:val="19"/>
        </w:rPr>
        <w:t>19</w:t>
      </w:r>
      <w:r w:rsidR="000C4DE7" w:rsidRPr="00A70D1B">
        <w:rPr>
          <w:szCs w:val="19"/>
        </w:rPr>
        <w:t xml:space="preserve"> tys.</w:t>
      </w:r>
      <w:r w:rsidR="004B40F3" w:rsidRPr="00A70D1B">
        <w:rPr>
          <w:szCs w:val="19"/>
        </w:rPr>
        <w:t xml:space="preserve"> osób</w:t>
      </w:r>
      <w:r w:rsidR="000C4DE7" w:rsidRPr="00A70D1B">
        <w:rPr>
          <w:szCs w:val="19"/>
        </w:rPr>
        <w:t xml:space="preserve">, tj. o </w:t>
      </w:r>
      <w:r w:rsidR="00B4468B" w:rsidRPr="00A70D1B">
        <w:rPr>
          <w:szCs w:val="19"/>
        </w:rPr>
        <w:t>8,1</w:t>
      </w:r>
      <w:r w:rsidR="002F5C8E" w:rsidRPr="00A70D1B">
        <w:rPr>
          <w:szCs w:val="19"/>
        </w:rPr>
        <w:t>%)</w:t>
      </w:r>
      <w:r w:rsidR="000162CD" w:rsidRPr="00A70D1B">
        <w:rPr>
          <w:szCs w:val="19"/>
        </w:rPr>
        <w:t xml:space="preserve">, </w:t>
      </w:r>
      <w:r w:rsidR="0025596E" w:rsidRPr="00A70D1B">
        <w:rPr>
          <w:szCs w:val="19"/>
        </w:rPr>
        <w:t xml:space="preserve">podczas gdy </w:t>
      </w:r>
      <w:r w:rsidR="00B4468B" w:rsidRPr="00A70D1B">
        <w:rPr>
          <w:szCs w:val="19"/>
        </w:rPr>
        <w:t xml:space="preserve">wśród kobiet nie odnotowano zmiany. </w:t>
      </w:r>
      <w:r w:rsidR="00D2357A" w:rsidRPr="00A70D1B">
        <w:rPr>
          <w:szCs w:val="19"/>
        </w:rPr>
        <w:t xml:space="preserve">Wśród osób bezrobotnych wyróżnionych </w:t>
      </w:r>
      <w:r w:rsidR="002F5C8E" w:rsidRPr="00A70D1B">
        <w:rPr>
          <w:szCs w:val="19"/>
        </w:rPr>
        <w:t xml:space="preserve">według miejsca </w:t>
      </w:r>
      <w:r w:rsidR="00D2357A" w:rsidRPr="00A70D1B">
        <w:rPr>
          <w:szCs w:val="19"/>
        </w:rPr>
        <w:t xml:space="preserve">zamieszkania </w:t>
      </w:r>
      <w:r w:rsidR="000162CD" w:rsidRPr="00A70D1B">
        <w:rPr>
          <w:szCs w:val="19"/>
        </w:rPr>
        <w:t xml:space="preserve">wzrost </w:t>
      </w:r>
      <w:r w:rsidR="009D7F04" w:rsidRPr="00A70D1B">
        <w:rPr>
          <w:szCs w:val="19"/>
        </w:rPr>
        <w:t xml:space="preserve">w analizowanym okresie </w:t>
      </w:r>
      <w:r w:rsidR="000162CD" w:rsidRPr="00A70D1B">
        <w:rPr>
          <w:szCs w:val="19"/>
        </w:rPr>
        <w:t xml:space="preserve">wystąpił wśród mieszkańców </w:t>
      </w:r>
      <w:r w:rsidR="00B4468B" w:rsidRPr="00A70D1B">
        <w:rPr>
          <w:szCs w:val="19"/>
        </w:rPr>
        <w:t>miast</w:t>
      </w:r>
      <w:r w:rsidR="000162CD" w:rsidRPr="00A70D1B">
        <w:rPr>
          <w:szCs w:val="19"/>
        </w:rPr>
        <w:t xml:space="preserve"> (o</w:t>
      </w:r>
      <w:r w:rsidR="00476AD4" w:rsidRPr="00A70D1B">
        <w:rPr>
          <w:szCs w:val="19"/>
        </w:rPr>
        <w:t> </w:t>
      </w:r>
      <w:r w:rsidR="000162CD" w:rsidRPr="00A70D1B">
        <w:rPr>
          <w:szCs w:val="19"/>
        </w:rPr>
        <w:t>2</w:t>
      </w:r>
      <w:r w:rsidR="00B4468B" w:rsidRPr="00A70D1B">
        <w:rPr>
          <w:szCs w:val="19"/>
        </w:rPr>
        <w:t>2</w:t>
      </w:r>
      <w:r w:rsidR="00476AD4" w:rsidRPr="00A70D1B">
        <w:rPr>
          <w:szCs w:val="19"/>
        </w:rPr>
        <w:t> </w:t>
      </w:r>
      <w:r w:rsidR="000162CD" w:rsidRPr="00A70D1B">
        <w:rPr>
          <w:szCs w:val="19"/>
        </w:rPr>
        <w:t xml:space="preserve">tys., tj. o </w:t>
      </w:r>
      <w:r w:rsidR="00B4468B" w:rsidRPr="00A70D1B">
        <w:rPr>
          <w:szCs w:val="19"/>
        </w:rPr>
        <w:t>8,1</w:t>
      </w:r>
      <w:r w:rsidR="000162CD" w:rsidRPr="00A70D1B">
        <w:rPr>
          <w:szCs w:val="19"/>
        </w:rPr>
        <w:t>%)</w:t>
      </w:r>
      <w:r w:rsidR="00B4468B" w:rsidRPr="00A70D1B">
        <w:rPr>
          <w:szCs w:val="19"/>
        </w:rPr>
        <w:t xml:space="preserve">, a wśród mieszkańców wsi </w:t>
      </w:r>
      <w:r w:rsidR="00383403" w:rsidRPr="00A70D1B">
        <w:rPr>
          <w:szCs w:val="19"/>
        </w:rPr>
        <w:t xml:space="preserve">odnotowano </w:t>
      </w:r>
      <w:r w:rsidR="00B4468B" w:rsidRPr="00A70D1B">
        <w:rPr>
          <w:szCs w:val="19"/>
        </w:rPr>
        <w:t xml:space="preserve">niewielki spadek </w:t>
      </w:r>
      <w:r w:rsidR="00F22847" w:rsidRPr="00A70D1B">
        <w:rPr>
          <w:szCs w:val="19"/>
        </w:rPr>
        <w:t>(</w:t>
      </w:r>
      <w:r w:rsidR="00B4468B" w:rsidRPr="00A70D1B">
        <w:rPr>
          <w:szCs w:val="19"/>
        </w:rPr>
        <w:t>o 4 tys., tj. o</w:t>
      </w:r>
      <w:r w:rsidR="00383403" w:rsidRPr="00A70D1B">
        <w:rPr>
          <w:szCs w:val="19"/>
        </w:rPr>
        <w:t> </w:t>
      </w:r>
      <w:r w:rsidR="00B4468B" w:rsidRPr="00A70D1B">
        <w:rPr>
          <w:szCs w:val="19"/>
        </w:rPr>
        <w:t>2,2%</w:t>
      </w:r>
      <w:r w:rsidR="00F22847" w:rsidRPr="00A70D1B">
        <w:rPr>
          <w:szCs w:val="19"/>
        </w:rPr>
        <w:t>)</w:t>
      </w:r>
      <w:r w:rsidR="00B4468B" w:rsidRPr="00A70D1B">
        <w:rPr>
          <w:szCs w:val="19"/>
        </w:rPr>
        <w:t>.</w:t>
      </w:r>
    </w:p>
    <w:p w14:paraId="7E557607" w14:textId="7C360121" w:rsidR="005D6434" w:rsidRPr="00A70D1B" w:rsidRDefault="00187B85" w:rsidP="006F3653">
      <w:pPr>
        <w:spacing w:line="288" w:lineRule="auto"/>
        <w:rPr>
          <w:rFonts w:eastAsia="Times New Roman" w:cs="Times New Roman"/>
          <w:szCs w:val="19"/>
          <w:lang w:eastAsia="pl-PL"/>
        </w:rPr>
      </w:pPr>
      <w:r w:rsidRPr="00A70D1B">
        <w:rPr>
          <w:rFonts w:eastAsia="Times New Roman" w:cs="Times New Roman"/>
          <w:szCs w:val="19"/>
          <w:lang w:eastAsia="pl-PL"/>
        </w:rPr>
        <w:t>W 2 kwartale 2024 r. stopa bezrobocia wyniosła 2,7% i była niższa od notowanej w</w:t>
      </w:r>
      <w:r w:rsidR="00C21124" w:rsidRPr="00A70D1B">
        <w:rPr>
          <w:rFonts w:eastAsia="Times New Roman" w:cs="Times New Roman"/>
          <w:szCs w:val="19"/>
          <w:lang w:eastAsia="pl-PL"/>
        </w:rPr>
        <w:t xml:space="preserve"> 1 kwartale 2024 r. – o 0,4 p. proc., ale </w:t>
      </w:r>
      <w:r w:rsidR="00A44658" w:rsidRPr="00A70D1B">
        <w:rPr>
          <w:rFonts w:eastAsia="Times New Roman" w:cs="Times New Roman"/>
          <w:szCs w:val="19"/>
          <w:lang w:eastAsia="pl-PL"/>
        </w:rPr>
        <w:t>w nieznacznym stopniu</w:t>
      </w:r>
      <w:r w:rsidR="00C21124" w:rsidRPr="00A70D1B">
        <w:rPr>
          <w:rFonts w:eastAsia="Times New Roman" w:cs="Times New Roman"/>
          <w:szCs w:val="19"/>
          <w:lang w:eastAsia="pl-PL"/>
        </w:rPr>
        <w:t xml:space="preserve"> wyższa od obserwowanej w 2 kwartale 2023 r. – o 0,1 p. proc. </w:t>
      </w:r>
      <w:r w:rsidR="00673C40" w:rsidRPr="00A70D1B">
        <w:rPr>
          <w:rFonts w:eastAsia="Times New Roman" w:cs="Times New Roman"/>
          <w:szCs w:val="19"/>
          <w:lang w:eastAsia="pl-PL"/>
        </w:rPr>
        <w:t>Zarówno wśród mężczyzn, jak i kobiet osiągnęła tą samą wartość, tj.</w:t>
      </w:r>
      <w:r w:rsidR="00154BCE" w:rsidRPr="00A70D1B">
        <w:rPr>
          <w:rFonts w:eastAsia="Times New Roman" w:cs="Times New Roman"/>
          <w:szCs w:val="19"/>
          <w:lang w:eastAsia="pl-PL"/>
        </w:rPr>
        <w:t> </w:t>
      </w:r>
      <w:r w:rsidR="00673C40" w:rsidRPr="00A70D1B">
        <w:rPr>
          <w:rFonts w:eastAsia="Times New Roman" w:cs="Times New Roman"/>
          <w:szCs w:val="19"/>
          <w:lang w:eastAsia="pl-PL"/>
        </w:rPr>
        <w:t>2,7%</w:t>
      </w:r>
      <w:r w:rsidR="005D6434" w:rsidRPr="00A70D1B">
        <w:rPr>
          <w:rFonts w:eastAsia="Times New Roman" w:cs="Times New Roman"/>
          <w:szCs w:val="19"/>
          <w:lang w:eastAsia="pl-PL"/>
        </w:rPr>
        <w:t>.</w:t>
      </w:r>
    </w:p>
    <w:p w14:paraId="223201CA" w14:textId="3FEDADDC" w:rsidR="006F3653" w:rsidRPr="00A70D1B" w:rsidRDefault="005D6434" w:rsidP="006F3653">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8D227C" w:rsidRPr="00A70D1B">
        <w:rPr>
          <w:rFonts w:eastAsia="Times New Roman" w:cs="Times New Roman"/>
          <w:szCs w:val="19"/>
          <w:lang w:eastAsia="pl-PL"/>
        </w:rPr>
        <w:t xml:space="preserve">porównaniu z ub. kwartałem </w:t>
      </w:r>
      <w:r w:rsidR="00383403" w:rsidRPr="00A70D1B">
        <w:rPr>
          <w:rFonts w:eastAsia="Times New Roman" w:cs="Times New Roman"/>
          <w:szCs w:val="19"/>
          <w:lang w:eastAsia="pl-PL"/>
        </w:rPr>
        <w:t>spadek natężeni</w:t>
      </w:r>
      <w:r w:rsidRPr="00A70D1B">
        <w:rPr>
          <w:rFonts w:eastAsia="Times New Roman" w:cs="Times New Roman"/>
          <w:szCs w:val="19"/>
          <w:lang w:eastAsia="pl-PL"/>
        </w:rPr>
        <w:t>a</w:t>
      </w:r>
      <w:r w:rsidR="00383403" w:rsidRPr="00A70D1B">
        <w:rPr>
          <w:rFonts w:eastAsia="Times New Roman" w:cs="Times New Roman"/>
          <w:szCs w:val="19"/>
          <w:lang w:eastAsia="pl-PL"/>
        </w:rPr>
        <w:t xml:space="preserve"> bezrobocia był większy </w:t>
      </w:r>
      <w:r w:rsidR="00673C40" w:rsidRPr="00A70D1B">
        <w:rPr>
          <w:rFonts w:eastAsia="Times New Roman" w:cs="Times New Roman"/>
          <w:szCs w:val="19"/>
          <w:lang w:eastAsia="pl-PL"/>
        </w:rPr>
        <w:t xml:space="preserve">wśród kobiet </w:t>
      </w:r>
      <w:r w:rsidR="00383403" w:rsidRPr="00A70D1B">
        <w:rPr>
          <w:rFonts w:eastAsia="Times New Roman" w:cs="Times New Roman"/>
          <w:szCs w:val="19"/>
          <w:lang w:eastAsia="pl-PL"/>
        </w:rPr>
        <w:t>(</w:t>
      </w:r>
      <w:r w:rsidR="00673C40" w:rsidRPr="00A70D1B">
        <w:rPr>
          <w:rFonts w:eastAsia="Times New Roman" w:cs="Times New Roman"/>
          <w:szCs w:val="19"/>
          <w:lang w:eastAsia="pl-PL"/>
        </w:rPr>
        <w:t>o</w:t>
      </w:r>
      <w:r w:rsidR="00210C1B" w:rsidRPr="00A70D1B">
        <w:rPr>
          <w:rFonts w:eastAsia="Times New Roman" w:cs="Times New Roman"/>
          <w:szCs w:val="19"/>
          <w:lang w:eastAsia="pl-PL"/>
        </w:rPr>
        <w:t> </w:t>
      </w:r>
      <w:r w:rsidR="00673C40" w:rsidRPr="00A70D1B">
        <w:rPr>
          <w:rFonts w:eastAsia="Times New Roman" w:cs="Times New Roman"/>
          <w:szCs w:val="19"/>
          <w:lang w:eastAsia="pl-PL"/>
        </w:rPr>
        <w:t>0,7</w:t>
      </w:r>
      <w:r w:rsidR="00210C1B" w:rsidRPr="00A70D1B">
        <w:rPr>
          <w:rFonts w:eastAsia="Times New Roman" w:cs="Times New Roman"/>
          <w:szCs w:val="19"/>
          <w:lang w:eastAsia="pl-PL"/>
        </w:rPr>
        <w:t> </w:t>
      </w:r>
      <w:r w:rsidR="00673C40" w:rsidRPr="00A70D1B">
        <w:rPr>
          <w:rFonts w:eastAsia="Times New Roman" w:cs="Times New Roman"/>
          <w:szCs w:val="19"/>
          <w:lang w:eastAsia="pl-PL"/>
        </w:rPr>
        <w:t>p. proc.</w:t>
      </w:r>
      <w:r w:rsidR="00383403" w:rsidRPr="00A70D1B">
        <w:rPr>
          <w:rFonts w:eastAsia="Times New Roman" w:cs="Times New Roman"/>
          <w:szCs w:val="19"/>
          <w:lang w:eastAsia="pl-PL"/>
        </w:rPr>
        <w:t>)</w:t>
      </w:r>
      <w:r w:rsidR="00673C40" w:rsidRPr="00A70D1B">
        <w:rPr>
          <w:rFonts w:eastAsia="Times New Roman" w:cs="Times New Roman"/>
          <w:szCs w:val="19"/>
          <w:lang w:eastAsia="pl-PL"/>
        </w:rPr>
        <w:t xml:space="preserve">, </w:t>
      </w:r>
      <w:r w:rsidR="00383403" w:rsidRPr="00A70D1B">
        <w:rPr>
          <w:rFonts w:eastAsia="Times New Roman" w:cs="Times New Roman"/>
          <w:szCs w:val="19"/>
          <w:lang w:eastAsia="pl-PL"/>
        </w:rPr>
        <w:t xml:space="preserve">niż </w:t>
      </w:r>
      <w:r w:rsidR="00673C40" w:rsidRPr="00A70D1B">
        <w:rPr>
          <w:rFonts w:eastAsia="Times New Roman" w:cs="Times New Roman"/>
          <w:szCs w:val="19"/>
          <w:lang w:eastAsia="pl-PL"/>
        </w:rPr>
        <w:t xml:space="preserve">wśród mężczyzn </w:t>
      </w:r>
      <w:r w:rsidR="00383403" w:rsidRPr="00A70D1B">
        <w:rPr>
          <w:rFonts w:eastAsia="Times New Roman" w:cs="Times New Roman"/>
          <w:szCs w:val="19"/>
          <w:lang w:eastAsia="pl-PL"/>
        </w:rPr>
        <w:t>(</w:t>
      </w:r>
      <w:r w:rsidR="00673C40" w:rsidRPr="00A70D1B">
        <w:rPr>
          <w:rFonts w:eastAsia="Times New Roman" w:cs="Times New Roman"/>
          <w:szCs w:val="19"/>
          <w:lang w:eastAsia="pl-PL"/>
        </w:rPr>
        <w:t>o</w:t>
      </w:r>
      <w:r w:rsidR="00E41577" w:rsidRPr="00A70D1B">
        <w:rPr>
          <w:rFonts w:eastAsia="Times New Roman" w:cs="Times New Roman"/>
          <w:szCs w:val="19"/>
          <w:lang w:eastAsia="pl-PL"/>
        </w:rPr>
        <w:t> </w:t>
      </w:r>
      <w:r w:rsidR="00673C40" w:rsidRPr="00A70D1B">
        <w:rPr>
          <w:rFonts w:eastAsia="Times New Roman" w:cs="Times New Roman"/>
          <w:szCs w:val="19"/>
          <w:lang w:eastAsia="pl-PL"/>
        </w:rPr>
        <w:t>0,3 p. proc.</w:t>
      </w:r>
      <w:r w:rsidR="00383403" w:rsidRPr="00A70D1B">
        <w:rPr>
          <w:rFonts w:eastAsia="Times New Roman" w:cs="Times New Roman"/>
          <w:szCs w:val="19"/>
          <w:lang w:eastAsia="pl-PL"/>
        </w:rPr>
        <w:t>).</w:t>
      </w:r>
      <w:r w:rsidR="00673C40" w:rsidRPr="00A70D1B">
        <w:rPr>
          <w:rFonts w:eastAsia="Times New Roman" w:cs="Times New Roman"/>
          <w:szCs w:val="19"/>
          <w:lang w:eastAsia="pl-PL"/>
        </w:rPr>
        <w:t xml:space="preserve"> </w:t>
      </w:r>
      <w:r w:rsidR="00E73A37" w:rsidRPr="00A70D1B">
        <w:rPr>
          <w:rFonts w:eastAsia="Times New Roman" w:cs="Times New Roman"/>
          <w:szCs w:val="19"/>
          <w:lang w:eastAsia="pl-PL"/>
        </w:rPr>
        <w:t>Biorąc pod uwagę miejsce zamieszkania, spadek stopy bezrobocia wystąpił zarówno wśród mieszkańców wsi – o</w:t>
      </w:r>
      <w:r w:rsidR="00B60128" w:rsidRPr="00A70D1B">
        <w:rPr>
          <w:rFonts w:eastAsia="Times New Roman" w:cs="Times New Roman"/>
          <w:szCs w:val="19"/>
          <w:lang w:eastAsia="pl-PL"/>
        </w:rPr>
        <w:t> </w:t>
      </w:r>
      <w:r w:rsidR="00E73A37" w:rsidRPr="00A70D1B">
        <w:rPr>
          <w:rFonts w:eastAsia="Times New Roman" w:cs="Times New Roman"/>
          <w:szCs w:val="19"/>
          <w:lang w:eastAsia="pl-PL"/>
        </w:rPr>
        <w:t>0,8</w:t>
      </w:r>
      <w:r w:rsidR="00B60128" w:rsidRPr="00A70D1B">
        <w:rPr>
          <w:rFonts w:eastAsia="Times New Roman" w:cs="Times New Roman"/>
          <w:szCs w:val="19"/>
          <w:lang w:eastAsia="pl-PL"/>
        </w:rPr>
        <w:t> </w:t>
      </w:r>
      <w:r w:rsidR="00E73A37" w:rsidRPr="00A70D1B">
        <w:rPr>
          <w:rFonts w:eastAsia="Times New Roman" w:cs="Times New Roman"/>
          <w:szCs w:val="19"/>
          <w:lang w:eastAsia="pl-PL"/>
        </w:rPr>
        <w:t>p.</w:t>
      </w:r>
      <w:r w:rsidR="00B60128" w:rsidRPr="00A70D1B">
        <w:rPr>
          <w:rFonts w:eastAsia="Times New Roman" w:cs="Times New Roman"/>
          <w:szCs w:val="19"/>
          <w:lang w:eastAsia="pl-PL"/>
        </w:rPr>
        <w:t> </w:t>
      </w:r>
      <w:r w:rsidR="00E73A37" w:rsidRPr="00A70D1B">
        <w:rPr>
          <w:rFonts w:eastAsia="Times New Roman" w:cs="Times New Roman"/>
          <w:szCs w:val="19"/>
          <w:lang w:eastAsia="pl-PL"/>
        </w:rPr>
        <w:t>proc</w:t>
      </w:r>
      <w:r w:rsidR="00383403" w:rsidRPr="00A70D1B">
        <w:rPr>
          <w:rFonts w:eastAsia="Times New Roman" w:cs="Times New Roman"/>
          <w:szCs w:val="19"/>
          <w:lang w:eastAsia="pl-PL"/>
        </w:rPr>
        <w:t>.</w:t>
      </w:r>
      <w:r w:rsidR="00E73A37" w:rsidRPr="00A70D1B">
        <w:rPr>
          <w:rFonts w:eastAsia="Times New Roman" w:cs="Times New Roman"/>
          <w:szCs w:val="19"/>
          <w:lang w:eastAsia="pl-PL"/>
        </w:rPr>
        <w:t>, jak i</w:t>
      </w:r>
      <w:r w:rsidR="00154BCE" w:rsidRPr="00A70D1B">
        <w:rPr>
          <w:rFonts w:eastAsia="Times New Roman" w:cs="Times New Roman"/>
          <w:szCs w:val="19"/>
          <w:lang w:eastAsia="pl-PL"/>
        </w:rPr>
        <w:t> </w:t>
      </w:r>
      <w:r w:rsidR="00E73A37" w:rsidRPr="00A70D1B">
        <w:rPr>
          <w:rFonts w:eastAsia="Times New Roman" w:cs="Times New Roman"/>
          <w:szCs w:val="19"/>
          <w:lang w:eastAsia="pl-PL"/>
        </w:rPr>
        <w:t xml:space="preserve">mieszkańców miast – o 0,3 p. proc. </w:t>
      </w:r>
    </w:p>
    <w:p w14:paraId="428BD5E7" w14:textId="391EA3ED" w:rsidR="00262345" w:rsidRPr="00A70D1B" w:rsidRDefault="006A25E2" w:rsidP="00262345">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E772E9" w:rsidRPr="00A70D1B">
        <w:rPr>
          <w:szCs w:val="19"/>
        </w:rPr>
        <w:t xml:space="preserve">porównaniu z </w:t>
      </w:r>
      <w:r w:rsidR="00E73A37" w:rsidRPr="00A70D1B">
        <w:rPr>
          <w:szCs w:val="19"/>
        </w:rPr>
        <w:t>2</w:t>
      </w:r>
      <w:r w:rsidR="00E772E9" w:rsidRPr="00A70D1B">
        <w:rPr>
          <w:szCs w:val="19"/>
        </w:rPr>
        <w:t xml:space="preserve"> kwartałem 2023 r. </w:t>
      </w:r>
      <w:r w:rsidRPr="00A70D1B">
        <w:rPr>
          <w:rFonts w:eastAsia="Times New Roman" w:cs="Times New Roman"/>
          <w:szCs w:val="19"/>
          <w:lang w:eastAsia="pl-PL"/>
        </w:rPr>
        <w:t>stop</w:t>
      </w:r>
      <w:r w:rsidR="0074406D" w:rsidRPr="00A70D1B">
        <w:rPr>
          <w:rFonts w:eastAsia="Times New Roman" w:cs="Times New Roman"/>
          <w:szCs w:val="19"/>
          <w:lang w:eastAsia="pl-PL"/>
        </w:rPr>
        <w:t>a</w:t>
      </w:r>
      <w:r w:rsidR="007476FD" w:rsidRPr="00A70D1B">
        <w:rPr>
          <w:rFonts w:eastAsia="Times New Roman" w:cs="Times New Roman"/>
          <w:szCs w:val="19"/>
          <w:lang w:eastAsia="pl-PL"/>
        </w:rPr>
        <w:t xml:space="preserve"> bezrobocia</w:t>
      </w:r>
      <w:r w:rsidR="0005623E" w:rsidRPr="00A70D1B">
        <w:rPr>
          <w:rFonts w:eastAsia="Times New Roman" w:cs="Times New Roman"/>
          <w:szCs w:val="19"/>
          <w:lang w:eastAsia="pl-PL"/>
        </w:rPr>
        <w:t xml:space="preserve"> </w:t>
      </w:r>
      <w:r w:rsidR="00524ECB" w:rsidRPr="00A70D1B">
        <w:rPr>
          <w:rFonts w:eastAsia="Times New Roman" w:cs="Times New Roman"/>
          <w:szCs w:val="19"/>
          <w:lang w:eastAsia="pl-PL"/>
        </w:rPr>
        <w:t xml:space="preserve">wśród mężczyzn </w:t>
      </w:r>
      <w:r w:rsidR="0005623E" w:rsidRPr="00A70D1B">
        <w:rPr>
          <w:rFonts w:eastAsia="Times New Roman" w:cs="Times New Roman"/>
          <w:szCs w:val="19"/>
          <w:lang w:eastAsia="pl-PL"/>
        </w:rPr>
        <w:t xml:space="preserve">wzrosła </w:t>
      </w:r>
      <w:r w:rsidR="0074406D" w:rsidRPr="00A70D1B">
        <w:rPr>
          <w:rFonts w:eastAsia="Times New Roman" w:cs="Times New Roman"/>
          <w:szCs w:val="19"/>
          <w:lang w:eastAsia="pl-PL"/>
        </w:rPr>
        <w:t>o</w:t>
      </w:r>
      <w:r w:rsidR="0062472F" w:rsidRPr="00A70D1B">
        <w:rPr>
          <w:rFonts w:eastAsia="Times New Roman" w:cs="Times New Roman"/>
          <w:szCs w:val="19"/>
          <w:lang w:eastAsia="pl-PL"/>
        </w:rPr>
        <w:t> </w:t>
      </w:r>
      <w:r w:rsidR="0074406D" w:rsidRPr="00A70D1B">
        <w:rPr>
          <w:rFonts w:eastAsia="Times New Roman" w:cs="Times New Roman"/>
          <w:szCs w:val="19"/>
          <w:lang w:eastAsia="pl-PL"/>
        </w:rPr>
        <w:t>0,</w:t>
      </w:r>
      <w:r w:rsidR="00E73A37" w:rsidRPr="00A70D1B">
        <w:rPr>
          <w:rFonts w:eastAsia="Times New Roman" w:cs="Times New Roman"/>
          <w:szCs w:val="19"/>
          <w:lang w:eastAsia="pl-PL"/>
        </w:rPr>
        <w:t>2</w:t>
      </w:r>
      <w:r w:rsidR="00E41577" w:rsidRPr="00A70D1B">
        <w:rPr>
          <w:rFonts w:eastAsia="Times New Roman" w:cs="Times New Roman"/>
          <w:szCs w:val="19"/>
          <w:lang w:eastAsia="pl-PL"/>
        </w:rPr>
        <w:t> </w:t>
      </w:r>
      <w:r w:rsidR="0074406D" w:rsidRPr="00A70D1B">
        <w:rPr>
          <w:rFonts w:eastAsia="Times New Roman" w:cs="Times New Roman"/>
          <w:szCs w:val="19"/>
          <w:lang w:eastAsia="pl-PL"/>
        </w:rPr>
        <w:t>p.</w:t>
      </w:r>
      <w:r w:rsidR="00E41577" w:rsidRPr="00A70D1B">
        <w:rPr>
          <w:rFonts w:eastAsia="Times New Roman" w:cs="Times New Roman"/>
          <w:szCs w:val="19"/>
          <w:lang w:eastAsia="pl-PL"/>
        </w:rPr>
        <w:t> </w:t>
      </w:r>
      <w:r w:rsidR="0074406D" w:rsidRPr="00A70D1B">
        <w:rPr>
          <w:rFonts w:eastAsia="Times New Roman" w:cs="Times New Roman"/>
          <w:szCs w:val="19"/>
          <w:lang w:eastAsia="pl-PL"/>
        </w:rPr>
        <w:t xml:space="preserve">proc., </w:t>
      </w:r>
      <w:r w:rsidR="00E535F7" w:rsidRPr="00A70D1B">
        <w:rPr>
          <w:rFonts w:eastAsia="Times New Roman" w:cs="Times New Roman"/>
          <w:szCs w:val="19"/>
          <w:lang w:eastAsia="pl-PL"/>
        </w:rPr>
        <w:t xml:space="preserve">a wśród </w:t>
      </w:r>
      <w:r w:rsidR="005F117A" w:rsidRPr="00A70D1B">
        <w:rPr>
          <w:rFonts w:eastAsia="Times New Roman" w:cs="Times New Roman"/>
          <w:szCs w:val="19"/>
          <w:lang w:eastAsia="pl-PL"/>
        </w:rPr>
        <w:t>kobiet</w:t>
      </w:r>
      <w:r w:rsidR="00E535F7" w:rsidRPr="00A70D1B">
        <w:rPr>
          <w:rFonts w:eastAsia="Times New Roman" w:cs="Times New Roman"/>
          <w:szCs w:val="19"/>
          <w:lang w:eastAsia="pl-PL"/>
        </w:rPr>
        <w:t xml:space="preserve"> </w:t>
      </w:r>
      <w:r w:rsidR="0005623E" w:rsidRPr="00A70D1B">
        <w:rPr>
          <w:rFonts w:eastAsia="Times New Roman" w:cs="Times New Roman"/>
          <w:szCs w:val="19"/>
          <w:lang w:eastAsia="pl-PL"/>
        </w:rPr>
        <w:t>pozostała na tym samym poziomie</w:t>
      </w:r>
      <w:r w:rsidR="00E535F7" w:rsidRPr="00A70D1B">
        <w:rPr>
          <w:rFonts w:eastAsia="Times New Roman" w:cs="Times New Roman"/>
          <w:szCs w:val="19"/>
          <w:lang w:eastAsia="pl-PL"/>
        </w:rPr>
        <w:t xml:space="preserve">. </w:t>
      </w:r>
      <w:r w:rsidR="00552BCA" w:rsidRPr="00A70D1B">
        <w:rPr>
          <w:rFonts w:eastAsia="Times New Roman" w:cs="Times New Roman"/>
          <w:szCs w:val="19"/>
          <w:lang w:eastAsia="pl-PL"/>
        </w:rPr>
        <w:t xml:space="preserve">Biorąc pod uwagę miejsce zamieszkania </w:t>
      </w:r>
      <w:r w:rsidR="00E772E9" w:rsidRPr="00A70D1B">
        <w:rPr>
          <w:rFonts w:eastAsia="Times New Roman" w:cs="Times New Roman"/>
          <w:szCs w:val="19"/>
          <w:lang w:eastAsia="pl-PL"/>
        </w:rPr>
        <w:t xml:space="preserve">jej </w:t>
      </w:r>
      <w:r w:rsidR="00E535F7" w:rsidRPr="00A70D1B">
        <w:rPr>
          <w:rFonts w:eastAsia="Times New Roman" w:cs="Times New Roman"/>
          <w:szCs w:val="19"/>
          <w:lang w:eastAsia="pl-PL"/>
        </w:rPr>
        <w:t>wzrost</w:t>
      </w:r>
      <w:r w:rsidR="00254E2B" w:rsidRPr="00A70D1B">
        <w:rPr>
          <w:rFonts w:eastAsia="Times New Roman" w:cs="Times New Roman"/>
          <w:szCs w:val="19"/>
          <w:lang w:eastAsia="pl-PL"/>
        </w:rPr>
        <w:t xml:space="preserve"> odnotowano wśród mieszkańców </w:t>
      </w:r>
      <w:r w:rsidR="00E73A37" w:rsidRPr="00A70D1B">
        <w:rPr>
          <w:rFonts w:eastAsia="Times New Roman" w:cs="Times New Roman"/>
          <w:szCs w:val="19"/>
          <w:lang w:eastAsia="pl-PL"/>
        </w:rPr>
        <w:t>miast</w:t>
      </w:r>
      <w:r w:rsidR="00254E2B" w:rsidRPr="00A70D1B">
        <w:rPr>
          <w:rFonts w:eastAsia="Times New Roman" w:cs="Times New Roman"/>
          <w:szCs w:val="19"/>
          <w:lang w:eastAsia="pl-PL"/>
        </w:rPr>
        <w:t xml:space="preserve"> </w:t>
      </w:r>
      <w:r w:rsidR="00886167" w:rsidRPr="00A70D1B">
        <w:rPr>
          <w:rFonts w:eastAsia="Times New Roman" w:cs="Times New Roman"/>
          <w:szCs w:val="19"/>
          <w:lang w:eastAsia="pl-PL"/>
        </w:rPr>
        <w:t xml:space="preserve">– </w:t>
      </w:r>
      <w:r w:rsidR="00254E2B" w:rsidRPr="00A70D1B">
        <w:rPr>
          <w:rFonts w:eastAsia="Times New Roman" w:cs="Times New Roman"/>
          <w:szCs w:val="19"/>
          <w:lang w:eastAsia="pl-PL"/>
        </w:rPr>
        <w:t>o 0,</w:t>
      </w:r>
      <w:r w:rsidR="00E73A37" w:rsidRPr="00A70D1B">
        <w:rPr>
          <w:rFonts w:eastAsia="Times New Roman" w:cs="Times New Roman"/>
          <w:szCs w:val="19"/>
          <w:lang w:eastAsia="pl-PL"/>
        </w:rPr>
        <w:t>2</w:t>
      </w:r>
      <w:r w:rsidR="00254E2B" w:rsidRPr="00A70D1B">
        <w:rPr>
          <w:rFonts w:eastAsia="Times New Roman" w:cs="Times New Roman"/>
          <w:szCs w:val="19"/>
          <w:lang w:eastAsia="pl-PL"/>
        </w:rPr>
        <w:t xml:space="preserve"> p. proc</w:t>
      </w:r>
      <w:r w:rsidR="00886167" w:rsidRPr="00A70D1B">
        <w:rPr>
          <w:rFonts w:eastAsia="Times New Roman" w:cs="Times New Roman"/>
          <w:szCs w:val="19"/>
          <w:lang w:eastAsia="pl-PL"/>
        </w:rPr>
        <w:t>.,</w:t>
      </w:r>
      <w:r w:rsidR="00254E2B" w:rsidRPr="00A70D1B">
        <w:rPr>
          <w:rFonts w:eastAsia="Times New Roman" w:cs="Times New Roman"/>
          <w:szCs w:val="19"/>
          <w:lang w:eastAsia="pl-PL"/>
        </w:rPr>
        <w:t xml:space="preserve"> </w:t>
      </w:r>
      <w:r w:rsidR="00E73A37" w:rsidRPr="00A70D1B">
        <w:rPr>
          <w:rFonts w:eastAsia="Times New Roman" w:cs="Times New Roman"/>
          <w:szCs w:val="19"/>
          <w:lang w:eastAsia="pl-PL"/>
        </w:rPr>
        <w:t>a</w:t>
      </w:r>
      <w:r w:rsidR="00E41577" w:rsidRPr="00A70D1B">
        <w:rPr>
          <w:rFonts w:eastAsia="Times New Roman" w:cs="Times New Roman"/>
          <w:szCs w:val="19"/>
          <w:lang w:eastAsia="pl-PL"/>
        </w:rPr>
        <w:t> </w:t>
      </w:r>
      <w:r w:rsidR="00E73A37" w:rsidRPr="00A70D1B">
        <w:rPr>
          <w:rFonts w:eastAsia="Times New Roman" w:cs="Times New Roman"/>
          <w:szCs w:val="19"/>
          <w:lang w:eastAsia="pl-PL"/>
        </w:rPr>
        <w:t>wśród mieszkańców wsi pozostała na poziomie obserwowanym w 2 kwartale 2023 r.</w:t>
      </w:r>
    </w:p>
    <w:p w14:paraId="7D043955" w14:textId="03D36088" w:rsidR="00262345" w:rsidRPr="00A70D1B" w:rsidRDefault="00262345" w:rsidP="00262345">
      <w:pPr>
        <w:spacing w:after="0" w:line="288" w:lineRule="auto"/>
        <w:rPr>
          <w:rFonts w:eastAsia="Times New Roman" w:cs="Times New Roman"/>
          <w:szCs w:val="19"/>
          <w:lang w:eastAsia="pl-PL"/>
        </w:rPr>
      </w:pPr>
      <w:r w:rsidRPr="00A70D1B">
        <w:rPr>
          <w:noProof/>
          <w:lang w:eastAsia="pl-PL"/>
        </w:rPr>
        <mc:AlternateContent>
          <mc:Choice Requires="wps">
            <w:drawing>
              <wp:anchor distT="45720" distB="45720" distL="114300" distR="114300" simplePos="0" relativeHeight="251840512" behindDoc="1" locked="0" layoutInCell="1" allowOverlap="1" wp14:anchorId="7F13CC26" wp14:editId="73B6657B">
                <wp:simplePos x="0" y="0"/>
                <wp:positionH relativeFrom="page">
                  <wp:posOffset>5768616</wp:posOffset>
                </wp:positionH>
                <wp:positionV relativeFrom="paragraph">
                  <wp:posOffset>-2181</wp:posOffset>
                </wp:positionV>
                <wp:extent cx="1714500" cy="2057400"/>
                <wp:effectExtent l="0" t="0" r="0" b="0"/>
                <wp:wrapTight wrapText="bothSides">
                  <wp:wrapPolygon edited="0">
                    <wp:start x="720" y="0"/>
                    <wp:lineTo x="720" y="21400"/>
                    <wp:lineTo x="20640" y="21400"/>
                    <wp:lineTo x="20640" y="0"/>
                    <wp:lineTo x="720" y="0"/>
                  </wp:wrapPolygon>
                </wp:wrapTight>
                <wp:docPr id="19" name="Pole tekstowe 2" descr="Podobnie jak we wcześniejszych okresach, najwyższa stopa bezrobocia dotyczyła osób najmłodszych, tj. w wieku &#10;15-24 lata, przy czym jej wartość zmalała w porównaniu do poprzedniego kwartału, jak i w odniesieniu do analogicznego kwartału 2023 rok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57400"/>
                        </a:xfrm>
                        <a:prstGeom prst="rect">
                          <a:avLst/>
                        </a:prstGeom>
                        <a:noFill/>
                        <a:ln w="9525">
                          <a:noFill/>
                          <a:miter lim="800000"/>
                          <a:headEnd/>
                          <a:tailEnd/>
                        </a:ln>
                      </wps:spPr>
                      <wps:txbx>
                        <w:txbxContent>
                          <w:p w14:paraId="0752F3F5" w14:textId="61435949" w:rsidR="00830EC6" w:rsidRPr="00264F35" w:rsidRDefault="00830EC6" w:rsidP="00264F35">
                            <w:pPr>
                              <w:pStyle w:val="tekstzboku"/>
                              <w:spacing w:before="100" w:beforeAutospacing="1"/>
                            </w:pPr>
                            <w:r w:rsidRPr="00264F35">
                              <w:t xml:space="preserve">Podobnie jak we wcześniejszych okresach, najwyższa stopa bezrobocia dotyczyła osób </w:t>
                            </w:r>
                            <w:r w:rsidRPr="00545745">
                              <w:t>najmłodszych, tj. w</w:t>
                            </w:r>
                            <w:r>
                              <w:t xml:space="preserve"> wieku </w:t>
                            </w:r>
                            <w:r>
                              <w:br/>
                              <w:t xml:space="preserve">15-24 lata, </w:t>
                            </w:r>
                            <w:r w:rsidRPr="001C0D47">
                              <w:t>przy czym</w:t>
                            </w:r>
                            <w:r>
                              <w:t xml:space="preserve"> </w:t>
                            </w:r>
                            <w:r w:rsidR="00B55EDF">
                              <w:t>jej wartość zmalała</w:t>
                            </w:r>
                            <w:r w:rsidRPr="001C0D47">
                              <w:t xml:space="preserve"> </w:t>
                            </w:r>
                            <w:r w:rsidR="00E772E9">
                              <w:t>w</w:t>
                            </w:r>
                            <w:r w:rsidR="00610446">
                              <w:t> </w:t>
                            </w:r>
                            <w:r w:rsidR="00E772E9">
                              <w:t xml:space="preserve">porównaniu do poprzedniego </w:t>
                            </w:r>
                            <w:r>
                              <w:t xml:space="preserve">kwartału, </w:t>
                            </w:r>
                            <w:r w:rsidR="007525D7">
                              <w:t>jak i</w:t>
                            </w:r>
                            <w:r w:rsidR="002C0B09">
                              <w:t> </w:t>
                            </w:r>
                            <w:r w:rsidRPr="001C0D47">
                              <w:t>w</w:t>
                            </w:r>
                            <w:r w:rsidR="00156762">
                              <w:t> </w:t>
                            </w:r>
                            <w:r w:rsidR="00E772E9">
                              <w:t>odniesieniu do analogicznego kwartału 2023</w:t>
                            </w:r>
                            <w:r w:rsidR="004F376D">
                              <w:t> </w:t>
                            </w:r>
                            <w:r w:rsidRPr="001C0D47">
                              <w:t>roku</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3CC26" id="_x0000_s1035" type="#_x0000_t202" alt="Podobnie jak we wcześniejszych okresach, najwyższa stopa bezrobocia dotyczyła osób najmłodszych, tj. w wieku &#10;15-24 lata, przy czym jej wartość zmalała w porównaniu do poprzedniego kwartału, jak i w odniesieniu do analogicznego kwartału 2023 roku" style="position:absolute;margin-left:454.2pt;margin-top:-.15pt;width:135pt;height:162pt;z-index:-2514759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" filled="f" stroked="f">
                <v:textbox inset=",0">
                  <w:txbxContent>
                    <w:p w14:paraId="0752F3F5" w14:textId="61435949" w:rsidR="00830EC6" w:rsidRPr="00264F35" w:rsidRDefault="00830EC6" w:rsidP="00264F35">
                      <w:pPr>
                        <w:pStyle w:val="tekstzboku"/>
                        <w:spacing w:before="100" w:beforeAutospacing="1"/>
                      </w:pPr>
                      <w:r w:rsidRPr="00264F35">
                        <w:t xml:space="preserve">Podobnie jak we wcześniejszych okresach, najwyższa stopa bezrobocia dotyczyła osób </w:t>
                      </w:r>
                      <w:r w:rsidRPr="00545745">
                        <w:t>najmłodszych, tj. w</w:t>
                      </w:r>
                      <w:r>
                        <w:t xml:space="preserve"> wieku </w:t>
                      </w:r>
                      <w:r>
                        <w:br/>
                        <w:t xml:space="preserve">15-24 lata, </w:t>
                      </w:r>
                      <w:r w:rsidRPr="001C0D47">
                        <w:t>przy czym</w:t>
                      </w:r>
                      <w:r>
                        <w:t xml:space="preserve"> </w:t>
                      </w:r>
                      <w:r w:rsidR="00B55EDF">
                        <w:t>jej wartość zmalała</w:t>
                      </w:r>
                      <w:r w:rsidRPr="001C0D47">
                        <w:t xml:space="preserve"> </w:t>
                      </w:r>
                      <w:r w:rsidR="00E772E9">
                        <w:t>w</w:t>
                      </w:r>
                      <w:r w:rsidR="00610446">
                        <w:t> </w:t>
                      </w:r>
                      <w:r w:rsidR="00E772E9">
                        <w:t xml:space="preserve">porównaniu do poprzedniego </w:t>
                      </w:r>
                      <w:r>
                        <w:t xml:space="preserve">kwartału, </w:t>
                      </w:r>
                      <w:r w:rsidR="007525D7">
                        <w:t>jak i</w:t>
                      </w:r>
                      <w:r w:rsidR="002C0B09">
                        <w:t> </w:t>
                      </w:r>
                      <w:r w:rsidRPr="001C0D47">
                        <w:t>w</w:t>
                      </w:r>
                      <w:r w:rsidR="00156762">
                        <w:t> </w:t>
                      </w:r>
                      <w:r w:rsidR="00E772E9">
                        <w:t>odniesieniu do analogicznego kwartału 2023</w:t>
                      </w:r>
                      <w:r w:rsidR="004F376D">
                        <w:t> </w:t>
                      </w:r>
                      <w:r w:rsidRPr="001C0D47">
                        <w:t>roku</w:t>
                      </w:r>
                    </w:p>
                  </w:txbxContent>
                </v:textbox>
                <w10:wrap type="tight" anchorx="page"/>
              </v:shape>
            </w:pict>
          </mc:Fallback>
        </mc:AlternateContent>
      </w:r>
      <w:r w:rsidRPr="00A70D1B">
        <w:rPr>
          <w:rFonts w:eastAsia="Times New Roman" w:cs="Times New Roman"/>
          <w:szCs w:val="19"/>
          <w:lang w:eastAsia="pl-PL"/>
        </w:rPr>
        <w:t>Zmiany w poziomie stopy bezrobocia są zauważalne również przy uwzględnieniu podziału ludności według grup wieku.</w:t>
      </w:r>
    </w:p>
    <w:p w14:paraId="03011FBF" w14:textId="1B7B6D57" w:rsidR="00C840D6" w:rsidRPr="00A70D1B" w:rsidRDefault="00262345" w:rsidP="00C840D6">
      <w:pPr>
        <w:spacing w:before="0" w:after="0" w:line="288" w:lineRule="auto"/>
        <w:rPr>
          <w:rFonts w:eastAsia="Times New Roman" w:cs="Times New Roman"/>
          <w:szCs w:val="19"/>
          <w:lang w:eastAsia="pl-PL"/>
        </w:rPr>
      </w:pPr>
      <w:r w:rsidRPr="00A70D1B">
        <w:rPr>
          <w:rFonts w:eastAsia="Times New Roman" w:cs="Times New Roman"/>
          <w:szCs w:val="19"/>
          <w:lang w:eastAsia="pl-PL"/>
        </w:rPr>
        <w:t xml:space="preserve">Najwyższą stopę bezrobocia odnotowano wśród osób najmłodszych, tj. w grupie wieku </w:t>
      </w:r>
      <w:r w:rsidRPr="00A70D1B">
        <w:rPr>
          <w:rFonts w:eastAsia="Times New Roman" w:cs="Times New Roman"/>
          <w:szCs w:val="19"/>
          <w:lang w:eastAsia="pl-PL"/>
        </w:rPr>
        <w:br/>
        <w:t>15-24 lata – 9,3%. W tej grupie wieku wystąpił najwyższy w porównaniu z 1 kwartałem 2024 r. spadek stopy bezrobocia – o 2,5 p. proc. W pozostałych grupach wieku również odnotowano spad</w:t>
      </w:r>
      <w:r w:rsidR="00B60128" w:rsidRPr="00A70D1B">
        <w:rPr>
          <w:rFonts w:eastAsia="Times New Roman" w:cs="Times New Roman"/>
          <w:szCs w:val="19"/>
          <w:lang w:eastAsia="pl-PL"/>
        </w:rPr>
        <w:t>ki</w:t>
      </w:r>
      <w:r w:rsidRPr="00A70D1B">
        <w:rPr>
          <w:rFonts w:eastAsia="Times New Roman" w:cs="Times New Roman"/>
          <w:szCs w:val="19"/>
          <w:lang w:eastAsia="pl-PL"/>
        </w:rPr>
        <w:t xml:space="preserve"> od 0,7 p. proc dla osób w wieku 25-34 lata</w:t>
      </w:r>
      <w:r w:rsidR="00B60128" w:rsidRPr="00A70D1B">
        <w:rPr>
          <w:rFonts w:eastAsia="Times New Roman" w:cs="Times New Roman"/>
          <w:szCs w:val="19"/>
          <w:lang w:eastAsia="pl-PL"/>
        </w:rPr>
        <w:t>,</w:t>
      </w:r>
      <w:r w:rsidRPr="00A70D1B">
        <w:rPr>
          <w:rFonts w:eastAsia="Times New Roman" w:cs="Times New Roman"/>
          <w:szCs w:val="19"/>
          <w:lang w:eastAsia="pl-PL"/>
        </w:rPr>
        <w:t xml:space="preserve"> do 0,1 p. proc dla osób w wieku 45-89 lat. W odniesieniu do analogicznego kwartału poprzedniego roku spadek natężenia bezrobocia wystąpił wyłącznie wśród osób w wieku 15-24 lata – o 1,6 p. proc. W pozostałych analizowanych grupach nastąpiły </w:t>
      </w:r>
      <w:r w:rsidR="00B60128" w:rsidRPr="00A70D1B">
        <w:rPr>
          <w:rFonts w:eastAsia="Times New Roman" w:cs="Times New Roman"/>
          <w:szCs w:val="19"/>
          <w:lang w:eastAsia="pl-PL"/>
        </w:rPr>
        <w:t>wzrosty</w:t>
      </w:r>
      <w:r w:rsidRPr="00A70D1B">
        <w:rPr>
          <w:rFonts w:eastAsia="Times New Roman" w:cs="Times New Roman"/>
          <w:szCs w:val="19"/>
          <w:lang w:eastAsia="pl-PL"/>
        </w:rPr>
        <w:t xml:space="preserve"> wskaźnika (najwyższy o 0,5 p. proc. w grupie wieku 25-34 lata).</w:t>
      </w:r>
    </w:p>
    <w:p w14:paraId="17AACD30" w14:textId="41B0E529" w:rsidR="00B55EDF" w:rsidRPr="00A70D1B" w:rsidRDefault="00B55EDF" w:rsidP="00B55EDF">
      <w:pPr>
        <w:spacing w:after="0" w:line="288" w:lineRule="auto"/>
        <w:rPr>
          <w:rFonts w:eastAsia="Times New Roman" w:cs="Times New Roman"/>
          <w:szCs w:val="19"/>
          <w:lang w:eastAsia="pl-PL"/>
        </w:rPr>
      </w:pPr>
      <w:r w:rsidRPr="00A70D1B">
        <w:rPr>
          <w:noProof/>
          <w:lang w:eastAsia="pl-PL"/>
        </w:rPr>
        <w:lastRenderedPageBreak/>
        <mc:AlternateContent>
          <mc:Choice Requires="wps">
            <w:drawing>
              <wp:anchor distT="45720" distB="45720" distL="114300" distR="114300" simplePos="0" relativeHeight="251942912" behindDoc="1" locked="0" layoutInCell="1" allowOverlap="1" wp14:anchorId="0FD8480D" wp14:editId="4DD640E2">
                <wp:simplePos x="0" y="0"/>
                <wp:positionH relativeFrom="column">
                  <wp:posOffset>5325110</wp:posOffset>
                </wp:positionH>
                <wp:positionV relativeFrom="paragraph">
                  <wp:posOffset>792480</wp:posOffset>
                </wp:positionV>
                <wp:extent cx="1725295" cy="1041400"/>
                <wp:effectExtent l="0" t="0" r="0" b="6350"/>
                <wp:wrapTight wrapText="bothSides">
                  <wp:wrapPolygon edited="0">
                    <wp:start x="715" y="0"/>
                    <wp:lineTo x="715" y="21337"/>
                    <wp:lineTo x="20749" y="21337"/>
                    <wp:lineTo x="20749" y="0"/>
                    <wp:lineTo x="715" y="0"/>
                  </wp:wrapPolygon>
                </wp:wrapTight>
                <wp:docPr id="13" name="Pole tekstowe 2" descr="Bezrobocie w najwyższym stopniu dotykało osoby posiadające najniższy poziom wykształce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1400"/>
                        </a:xfrm>
                        <a:prstGeom prst="rect">
                          <a:avLst/>
                        </a:prstGeom>
                        <a:noFill/>
                        <a:ln w="9525">
                          <a:noFill/>
                          <a:miter lim="800000"/>
                          <a:headEnd/>
                          <a:tailEnd/>
                        </a:ln>
                      </wps:spPr>
                      <wps:txbx>
                        <w:txbxContent>
                          <w:p w14:paraId="7A21B0FC" w14:textId="77777777" w:rsidR="00B55EDF" w:rsidRPr="00DB6754" w:rsidRDefault="00B55EDF" w:rsidP="00B55EDF">
                            <w:pPr>
                              <w:pStyle w:val="tekstzboku"/>
                              <w:spacing w:before="100" w:beforeAutospacing="1"/>
                            </w:pPr>
                            <w:r w:rsidRPr="00933D71">
                              <w:t>Bezrobocie w najwyższym stopniu dotykało osoby posiadające najniższy poziom wykształcenia</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8480D" id="_x0000_s1036" type="#_x0000_t202" alt="Bezrobocie w najwyższym stopniu dotykało osoby posiadające najniższy poziom wykształcenia" style="position:absolute;margin-left:419.3pt;margin-top:62.4pt;width:135.85pt;height:82pt;z-index:-25137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" filled="f" stroked="f">
                <v:textbox inset=",0">
                  <w:txbxContent>
                    <w:p w14:paraId="7A21B0FC" w14:textId="77777777" w:rsidR="00B55EDF" w:rsidRPr="00DB6754" w:rsidRDefault="00B55EDF" w:rsidP="00B55EDF">
                      <w:pPr>
                        <w:pStyle w:val="tekstzboku"/>
                        <w:spacing w:before="100" w:beforeAutospacing="1"/>
                      </w:pPr>
                      <w:r w:rsidRPr="00933D71">
                        <w:t>Bezrobocie w najwyższym stopniu dotykało osoby posiadające najniższy poziom wykształcenia</w:t>
                      </w:r>
                    </w:p>
                  </w:txbxContent>
                </v:textbox>
                <w10:wrap type="tight"/>
              </v:shape>
            </w:pict>
          </mc:Fallback>
        </mc:AlternateContent>
      </w:r>
      <w:r w:rsidRPr="00A70D1B">
        <w:rPr>
          <w:rFonts w:eastAsia="Times New Roman" w:cs="Times New Roman"/>
          <w:szCs w:val="19"/>
          <w:lang w:eastAsia="pl-PL"/>
        </w:rPr>
        <w:t xml:space="preserve">Analizując natężenie bezrobocia według poziomu wykształcenia osób bezrobotnych należy zauważyć, że w najlepszej sytuacji nadal pozostają osoby z wykształceniem wyższym – stopa bezrobocia w tej grupie jest najniższa </w:t>
      </w:r>
      <w:r w:rsidR="00C44BDC" w:rsidRPr="00A70D1B">
        <w:rPr>
          <w:rFonts w:eastAsia="Times New Roman" w:cs="Times New Roman"/>
          <w:szCs w:val="19"/>
          <w:lang w:eastAsia="pl-PL"/>
        </w:rPr>
        <w:t xml:space="preserve">– </w:t>
      </w:r>
      <w:r w:rsidRPr="00A70D1B">
        <w:rPr>
          <w:rFonts w:eastAsia="Times New Roman" w:cs="Times New Roman"/>
          <w:szCs w:val="19"/>
          <w:lang w:eastAsia="pl-PL"/>
        </w:rPr>
        <w:t xml:space="preserve">w </w:t>
      </w:r>
      <w:r w:rsidR="00D9477E" w:rsidRPr="00A70D1B">
        <w:rPr>
          <w:rFonts w:eastAsia="Times New Roman" w:cs="Times New Roman"/>
          <w:szCs w:val="19"/>
          <w:lang w:eastAsia="pl-PL"/>
        </w:rPr>
        <w:t>2</w:t>
      </w:r>
      <w:r w:rsidRPr="00A70D1B">
        <w:rPr>
          <w:rFonts w:eastAsia="Times New Roman" w:cs="Times New Roman"/>
          <w:szCs w:val="19"/>
          <w:lang w:eastAsia="pl-PL"/>
        </w:rPr>
        <w:t xml:space="preserve"> kwartale 2024 r. wyniosła </w:t>
      </w:r>
      <w:r w:rsidR="00D9477E" w:rsidRPr="00A70D1B">
        <w:rPr>
          <w:rFonts w:eastAsia="Times New Roman" w:cs="Times New Roman"/>
          <w:szCs w:val="19"/>
          <w:lang w:eastAsia="pl-PL"/>
        </w:rPr>
        <w:t>1,2</w:t>
      </w:r>
      <w:r w:rsidRPr="00A70D1B">
        <w:rPr>
          <w:rFonts w:eastAsia="Times New Roman" w:cs="Times New Roman"/>
          <w:szCs w:val="19"/>
          <w:lang w:eastAsia="pl-PL"/>
        </w:rPr>
        <w:t xml:space="preserve">%. Dla osób posiadających wykształcenie policealne </w:t>
      </w:r>
      <w:r w:rsidR="00CF6406" w:rsidRPr="00A70D1B">
        <w:rPr>
          <w:rFonts w:eastAsia="Times New Roman" w:cs="Times New Roman"/>
          <w:szCs w:val="19"/>
          <w:lang w:eastAsia="pl-PL"/>
        </w:rPr>
        <w:t>lub</w:t>
      </w:r>
      <w:r w:rsidRPr="00A70D1B">
        <w:rPr>
          <w:rFonts w:eastAsia="Times New Roman" w:cs="Times New Roman"/>
          <w:szCs w:val="19"/>
          <w:lang w:eastAsia="pl-PL"/>
        </w:rPr>
        <w:t xml:space="preserve"> średnie zawodowe/branżowe</w:t>
      </w:r>
      <w:r w:rsidR="00466D0A" w:rsidRPr="00A70D1B">
        <w:rPr>
          <w:rFonts w:eastAsia="Times New Roman" w:cs="Times New Roman"/>
          <w:szCs w:val="19"/>
          <w:lang w:eastAsia="pl-PL"/>
        </w:rPr>
        <w:t>,</w:t>
      </w:r>
      <w:r w:rsidRPr="00A70D1B">
        <w:rPr>
          <w:rFonts w:eastAsia="Times New Roman" w:cs="Times New Roman"/>
          <w:szCs w:val="19"/>
          <w:lang w:eastAsia="pl-PL"/>
        </w:rPr>
        <w:t xml:space="preserve"> stopa bezrobocia w </w:t>
      </w:r>
      <w:r w:rsidR="00D9477E" w:rsidRPr="00A70D1B">
        <w:rPr>
          <w:rFonts w:eastAsia="Times New Roman" w:cs="Times New Roman"/>
          <w:szCs w:val="19"/>
          <w:lang w:eastAsia="pl-PL"/>
        </w:rPr>
        <w:t>2</w:t>
      </w:r>
      <w:r w:rsidRPr="00A70D1B">
        <w:rPr>
          <w:rFonts w:eastAsia="Times New Roman" w:cs="Times New Roman"/>
          <w:szCs w:val="19"/>
          <w:lang w:eastAsia="pl-PL"/>
        </w:rPr>
        <w:t xml:space="preserve"> kwartale. 2024 r. ukształtowała się na poziomie </w:t>
      </w:r>
      <w:r w:rsidR="00D9477E" w:rsidRPr="00A70D1B">
        <w:rPr>
          <w:rFonts w:eastAsia="Times New Roman" w:cs="Times New Roman"/>
          <w:szCs w:val="19"/>
          <w:lang w:eastAsia="pl-PL"/>
        </w:rPr>
        <w:t>2,8</w:t>
      </w:r>
      <w:r w:rsidRPr="00A70D1B">
        <w:rPr>
          <w:rFonts w:eastAsia="Times New Roman" w:cs="Times New Roman"/>
          <w:szCs w:val="19"/>
          <w:lang w:eastAsia="pl-PL"/>
        </w:rPr>
        <w:t xml:space="preserve">%, a dla posiadających wykształcenie zasadnicze zawodowe/branżowe – na poziomie </w:t>
      </w:r>
      <w:r w:rsidR="00D9477E" w:rsidRPr="00A70D1B">
        <w:rPr>
          <w:rFonts w:eastAsia="Times New Roman" w:cs="Times New Roman"/>
          <w:szCs w:val="19"/>
          <w:lang w:eastAsia="pl-PL"/>
        </w:rPr>
        <w:t>3,5</w:t>
      </w:r>
      <w:r w:rsidRPr="00A70D1B">
        <w:rPr>
          <w:rFonts w:eastAsia="Times New Roman" w:cs="Times New Roman"/>
          <w:szCs w:val="19"/>
          <w:lang w:eastAsia="pl-PL"/>
        </w:rPr>
        <w:t xml:space="preserve">%. Nieco wyższą stopę bezrobocia niż dla absolwentów szkół zawodowych, odnotowuje się wśród osób z wykształceniem średnim ogólnokształcącym – w </w:t>
      </w:r>
      <w:r w:rsidR="00D9477E" w:rsidRPr="00A70D1B">
        <w:rPr>
          <w:rFonts w:eastAsia="Times New Roman" w:cs="Times New Roman"/>
          <w:szCs w:val="19"/>
          <w:lang w:eastAsia="pl-PL"/>
        </w:rPr>
        <w:t>2</w:t>
      </w:r>
      <w:r w:rsidRPr="00A70D1B">
        <w:rPr>
          <w:rFonts w:eastAsia="Times New Roman" w:cs="Times New Roman"/>
          <w:szCs w:val="19"/>
          <w:lang w:eastAsia="pl-PL"/>
        </w:rPr>
        <w:t xml:space="preserve"> kwartale 2024 r. wyniosła ona </w:t>
      </w:r>
      <w:r w:rsidR="00D9477E" w:rsidRPr="00A70D1B">
        <w:rPr>
          <w:rFonts w:eastAsia="Times New Roman" w:cs="Times New Roman"/>
          <w:szCs w:val="19"/>
          <w:lang w:eastAsia="pl-PL"/>
        </w:rPr>
        <w:t>4,2</w:t>
      </w:r>
      <w:r w:rsidRPr="00A70D1B">
        <w:rPr>
          <w:rFonts w:eastAsia="Times New Roman" w:cs="Times New Roman"/>
          <w:szCs w:val="19"/>
          <w:lang w:eastAsia="pl-PL"/>
        </w:rPr>
        <w:t>%. Natomiast najwyższą stopą bezrobocia charakteryzują się osoby z najniższym poziomem wykształcenia, tj. z</w:t>
      </w:r>
      <w:r w:rsidR="0062472F" w:rsidRPr="00A70D1B">
        <w:rPr>
          <w:rFonts w:eastAsia="Times New Roman" w:cs="Times New Roman"/>
          <w:szCs w:val="19"/>
          <w:lang w:eastAsia="pl-PL"/>
        </w:rPr>
        <w:t> </w:t>
      </w:r>
      <w:r w:rsidRPr="00A70D1B">
        <w:rPr>
          <w:rFonts w:eastAsia="Times New Roman" w:cs="Times New Roman"/>
          <w:szCs w:val="19"/>
          <w:lang w:eastAsia="pl-PL"/>
        </w:rPr>
        <w:t xml:space="preserve">wykształceniem gimnazjalnym lub niższym, w </w:t>
      </w:r>
      <w:r w:rsidR="00D9477E" w:rsidRPr="00A70D1B">
        <w:rPr>
          <w:rFonts w:eastAsia="Times New Roman" w:cs="Times New Roman"/>
          <w:szCs w:val="19"/>
          <w:lang w:eastAsia="pl-PL"/>
        </w:rPr>
        <w:t>2</w:t>
      </w:r>
      <w:r w:rsidRPr="00A70D1B">
        <w:rPr>
          <w:rFonts w:eastAsia="Times New Roman" w:cs="Times New Roman"/>
          <w:szCs w:val="19"/>
          <w:lang w:eastAsia="pl-PL"/>
        </w:rPr>
        <w:t xml:space="preserve"> kwartale 2024 r. wyniosła ona </w:t>
      </w:r>
      <w:r w:rsidR="00D9477E" w:rsidRPr="00A70D1B">
        <w:rPr>
          <w:rFonts w:eastAsia="Times New Roman" w:cs="Times New Roman"/>
          <w:szCs w:val="19"/>
          <w:lang w:eastAsia="pl-PL"/>
        </w:rPr>
        <w:t>9,0</w:t>
      </w:r>
      <w:r w:rsidRPr="00A70D1B">
        <w:rPr>
          <w:rFonts w:eastAsia="Times New Roman" w:cs="Times New Roman"/>
          <w:szCs w:val="19"/>
          <w:lang w:eastAsia="pl-PL"/>
        </w:rPr>
        <w:t>%.</w:t>
      </w:r>
    </w:p>
    <w:p w14:paraId="4455EBD6" w14:textId="34EBB129" w:rsidR="00AC0A03" w:rsidRPr="00A70D1B" w:rsidRDefault="00B55EDF" w:rsidP="00610830">
      <w:pPr>
        <w:spacing w:before="0" w:after="0" w:line="288" w:lineRule="auto"/>
        <w:rPr>
          <w:rFonts w:eastAsia="Times New Roman" w:cs="Times New Roman"/>
          <w:szCs w:val="19"/>
          <w:lang w:eastAsia="pl-PL"/>
        </w:rPr>
      </w:pPr>
      <w:r w:rsidRPr="00A70D1B">
        <w:rPr>
          <w:rFonts w:eastAsia="Times New Roman" w:cs="Times New Roman"/>
          <w:szCs w:val="19"/>
          <w:lang w:eastAsia="pl-PL"/>
        </w:rPr>
        <w:t xml:space="preserve">W porównaniu z </w:t>
      </w:r>
      <w:r w:rsidR="00E277BA" w:rsidRPr="00A70D1B">
        <w:rPr>
          <w:rFonts w:eastAsia="Times New Roman" w:cs="Times New Roman"/>
          <w:szCs w:val="19"/>
          <w:lang w:eastAsia="pl-PL"/>
        </w:rPr>
        <w:t>1</w:t>
      </w:r>
      <w:r w:rsidRPr="00A70D1B">
        <w:rPr>
          <w:rFonts w:eastAsia="Times New Roman" w:cs="Times New Roman"/>
          <w:szCs w:val="19"/>
          <w:lang w:eastAsia="pl-PL"/>
        </w:rPr>
        <w:t xml:space="preserve"> kwartałem 202</w:t>
      </w:r>
      <w:r w:rsidR="0073349F" w:rsidRPr="00A70D1B">
        <w:rPr>
          <w:rFonts w:eastAsia="Times New Roman" w:cs="Times New Roman"/>
          <w:szCs w:val="19"/>
          <w:lang w:eastAsia="pl-PL"/>
        </w:rPr>
        <w:t>4</w:t>
      </w:r>
      <w:r w:rsidRPr="00A70D1B">
        <w:rPr>
          <w:rFonts w:eastAsia="Times New Roman" w:cs="Times New Roman"/>
          <w:szCs w:val="19"/>
          <w:lang w:eastAsia="pl-PL"/>
        </w:rPr>
        <w:t xml:space="preserve"> r. stopa bezrobocia </w:t>
      </w:r>
      <w:r w:rsidR="003D1045" w:rsidRPr="00A70D1B">
        <w:rPr>
          <w:rFonts w:eastAsia="Times New Roman" w:cs="Times New Roman"/>
          <w:szCs w:val="19"/>
          <w:lang w:eastAsia="pl-PL"/>
        </w:rPr>
        <w:t>zwiększyła</w:t>
      </w:r>
      <w:r w:rsidRPr="00A70D1B">
        <w:rPr>
          <w:rFonts w:eastAsia="Times New Roman" w:cs="Times New Roman"/>
          <w:szCs w:val="19"/>
          <w:lang w:eastAsia="pl-PL"/>
        </w:rPr>
        <w:t xml:space="preserve"> się </w:t>
      </w:r>
      <w:r w:rsidR="00EA25B1" w:rsidRPr="00A70D1B">
        <w:rPr>
          <w:rFonts w:eastAsia="Times New Roman" w:cs="Times New Roman"/>
          <w:szCs w:val="19"/>
          <w:lang w:eastAsia="pl-PL"/>
        </w:rPr>
        <w:t xml:space="preserve">jedynie </w:t>
      </w:r>
      <w:r w:rsidRPr="00A70D1B">
        <w:rPr>
          <w:rFonts w:eastAsia="Times New Roman" w:cs="Times New Roman"/>
          <w:szCs w:val="19"/>
          <w:lang w:eastAsia="pl-PL"/>
        </w:rPr>
        <w:t xml:space="preserve">wśród osób </w:t>
      </w:r>
      <w:r w:rsidR="00551B1E" w:rsidRPr="00A70D1B">
        <w:rPr>
          <w:rFonts w:eastAsia="Times New Roman" w:cs="Times New Roman"/>
          <w:szCs w:val="19"/>
          <w:lang w:eastAsia="pl-PL"/>
        </w:rPr>
        <w:t>posiadających najniższ</w:t>
      </w:r>
      <w:r w:rsidR="0073349F" w:rsidRPr="00A70D1B">
        <w:rPr>
          <w:rFonts w:eastAsia="Times New Roman" w:cs="Times New Roman"/>
          <w:szCs w:val="19"/>
          <w:lang w:eastAsia="pl-PL"/>
        </w:rPr>
        <w:t>y</w:t>
      </w:r>
      <w:r w:rsidR="00551B1E" w:rsidRPr="00A70D1B">
        <w:rPr>
          <w:rFonts w:eastAsia="Times New Roman" w:cs="Times New Roman"/>
          <w:szCs w:val="19"/>
          <w:lang w:eastAsia="pl-PL"/>
        </w:rPr>
        <w:t xml:space="preserve"> poziom </w:t>
      </w:r>
      <w:r w:rsidRPr="00A70D1B">
        <w:rPr>
          <w:rFonts w:eastAsia="Times New Roman" w:cs="Times New Roman"/>
          <w:szCs w:val="19"/>
          <w:lang w:eastAsia="pl-PL"/>
        </w:rPr>
        <w:t>wykształceni</w:t>
      </w:r>
      <w:r w:rsidR="00551B1E" w:rsidRPr="00A70D1B">
        <w:rPr>
          <w:rFonts w:eastAsia="Times New Roman" w:cs="Times New Roman"/>
          <w:szCs w:val="19"/>
          <w:lang w:eastAsia="pl-PL"/>
        </w:rPr>
        <w:t>a</w:t>
      </w:r>
      <w:r w:rsidR="00147C13" w:rsidRPr="00A70D1B">
        <w:rPr>
          <w:rFonts w:eastAsia="Times New Roman" w:cs="Times New Roman"/>
          <w:szCs w:val="19"/>
          <w:lang w:eastAsia="pl-PL"/>
        </w:rPr>
        <w:t>,</w:t>
      </w:r>
      <w:r w:rsidR="0073349F" w:rsidRPr="00A70D1B">
        <w:rPr>
          <w:rFonts w:eastAsia="Times New Roman" w:cs="Times New Roman"/>
          <w:szCs w:val="19"/>
          <w:lang w:eastAsia="pl-PL"/>
        </w:rPr>
        <w:t xml:space="preserve"> tj. </w:t>
      </w:r>
      <w:r w:rsidR="00FA6A03" w:rsidRPr="00A70D1B">
        <w:rPr>
          <w:rFonts w:eastAsia="Times New Roman" w:cs="Times New Roman"/>
          <w:szCs w:val="19"/>
          <w:lang w:eastAsia="pl-PL"/>
        </w:rPr>
        <w:t xml:space="preserve">z wykształceniem </w:t>
      </w:r>
      <w:r w:rsidRPr="00A70D1B">
        <w:rPr>
          <w:rFonts w:eastAsia="Times New Roman" w:cs="Times New Roman"/>
          <w:szCs w:val="19"/>
          <w:lang w:eastAsia="pl-PL"/>
        </w:rPr>
        <w:t>gimnazjaln</w:t>
      </w:r>
      <w:r w:rsidR="00FA6A03" w:rsidRPr="00A70D1B">
        <w:rPr>
          <w:rFonts w:eastAsia="Times New Roman" w:cs="Times New Roman"/>
          <w:szCs w:val="19"/>
          <w:lang w:eastAsia="pl-PL"/>
        </w:rPr>
        <w:t>ym</w:t>
      </w:r>
      <w:r w:rsidRPr="00A70D1B">
        <w:rPr>
          <w:rFonts w:eastAsia="Times New Roman" w:cs="Times New Roman"/>
          <w:szCs w:val="19"/>
          <w:lang w:eastAsia="pl-PL"/>
        </w:rPr>
        <w:t xml:space="preserve"> lub niższ</w:t>
      </w:r>
      <w:r w:rsidR="00FA6A03" w:rsidRPr="00A70D1B">
        <w:rPr>
          <w:rFonts w:eastAsia="Times New Roman" w:cs="Times New Roman"/>
          <w:szCs w:val="19"/>
          <w:lang w:eastAsia="pl-PL"/>
        </w:rPr>
        <w:t>ym</w:t>
      </w:r>
      <w:r w:rsidRPr="00A70D1B">
        <w:rPr>
          <w:rFonts w:eastAsia="Times New Roman" w:cs="Times New Roman"/>
          <w:szCs w:val="19"/>
          <w:lang w:eastAsia="pl-PL"/>
        </w:rPr>
        <w:t xml:space="preserve"> </w:t>
      </w:r>
      <w:r w:rsidR="0073349F" w:rsidRPr="00A70D1B">
        <w:rPr>
          <w:rFonts w:eastAsia="Times New Roman" w:cs="Times New Roman"/>
          <w:szCs w:val="19"/>
          <w:lang w:eastAsia="pl-PL"/>
        </w:rPr>
        <w:t xml:space="preserve">– wzrost o 1,8 p. proc. </w:t>
      </w:r>
      <w:r w:rsidR="00551B1E" w:rsidRPr="00A70D1B">
        <w:rPr>
          <w:rFonts w:eastAsia="Times New Roman" w:cs="Times New Roman"/>
          <w:szCs w:val="19"/>
          <w:lang w:eastAsia="pl-PL"/>
        </w:rPr>
        <w:t>W</w:t>
      </w:r>
      <w:r w:rsidR="0073349F" w:rsidRPr="00A70D1B">
        <w:rPr>
          <w:rFonts w:eastAsia="Times New Roman" w:cs="Times New Roman"/>
          <w:szCs w:val="19"/>
          <w:lang w:eastAsia="pl-PL"/>
        </w:rPr>
        <w:t>śród pozostałych osób wyodrębnionych ze względu na poziom wykształcenia stopa bezrobocia zmniejszyła się w granicach od 1,2 p. proc. u osób z</w:t>
      </w:r>
      <w:r w:rsidR="00E41577" w:rsidRPr="00A70D1B">
        <w:rPr>
          <w:rFonts w:eastAsia="Times New Roman" w:cs="Times New Roman"/>
          <w:szCs w:val="19"/>
          <w:lang w:eastAsia="pl-PL"/>
        </w:rPr>
        <w:t> </w:t>
      </w:r>
      <w:r w:rsidR="0073349F" w:rsidRPr="00A70D1B">
        <w:rPr>
          <w:rFonts w:eastAsia="Times New Roman" w:cs="Times New Roman"/>
          <w:szCs w:val="19"/>
          <w:lang w:eastAsia="pl-PL"/>
        </w:rPr>
        <w:t>wykształceniem policealnym lub średnim zawodowym/branżowym</w:t>
      </w:r>
      <w:r w:rsidR="00147C13" w:rsidRPr="00A70D1B">
        <w:rPr>
          <w:rFonts w:eastAsia="Times New Roman" w:cs="Times New Roman"/>
          <w:szCs w:val="19"/>
          <w:lang w:eastAsia="pl-PL"/>
        </w:rPr>
        <w:t>,</w:t>
      </w:r>
      <w:r w:rsidR="0073349F" w:rsidRPr="00A70D1B">
        <w:rPr>
          <w:rFonts w:eastAsia="Times New Roman" w:cs="Times New Roman"/>
          <w:szCs w:val="19"/>
          <w:lang w:eastAsia="pl-PL"/>
        </w:rPr>
        <w:t xml:space="preserve"> do 0,1 p. proc. u osób z</w:t>
      </w:r>
      <w:r w:rsidR="00E41577" w:rsidRPr="00A70D1B">
        <w:rPr>
          <w:rFonts w:eastAsia="Times New Roman" w:cs="Times New Roman"/>
          <w:szCs w:val="19"/>
          <w:lang w:eastAsia="pl-PL"/>
        </w:rPr>
        <w:t> </w:t>
      </w:r>
      <w:r w:rsidR="0073349F" w:rsidRPr="00A70D1B">
        <w:rPr>
          <w:rFonts w:eastAsia="Times New Roman" w:cs="Times New Roman"/>
          <w:szCs w:val="19"/>
          <w:lang w:eastAsia="pl-PL"/>
        </w:rPr>
        <w:t>wykształceniem wyższym.</w:t>
      </w:r>
      <w:r w:rsidR="00AC0A03" w:rsidRPr="00A70D1B">
        <w:rPr>
          <w:rFonts w:eastAsia="Times New Roman" w:cs="Times New Roman"/>
          <w:szCs w:val="19"/>
          <w:lang w:eastAsia="pl-PL"/>
        </w:rPr>
        <w:t xml:space="preserve"> </w:t>
      </w:r>
    </w:p>
    <w:p w14:paraId="7FFA6232" w14:textId="0840ED1C" w:rsidR="0015567E" w:rsidRPr="00A70D1B" w:rsidRDefault="00551B1E" w:rsidP="00610830">
      <w:pPr>
        <w:spacing w:before="0" w:after="0" w:line="288" w:lineRule="auto"/>
        <w:rPr>
          <w:rFonts w:eastAsia="Times New Roman" w:cs="Times New Roman"/>
          <w:szCs w:val="19"/>
          <w:lang w:eastAsia="pl-PL"/>
        </w:rPr>
      </w:pPr>
      <w:r w:rsidRPr="00A70D1B">
        <w:rPr>
          <w:rFonts w:eastAsia="Times New Roman" w:cs="Times New Roman"/>
          <w:szCs w:val="19"/>
          <w:lang w:eastAsia="pl-PL"/>
        </w:rPr>
        <w:t xml:space="preserve">W porównaniu z </w:t>
      </w:r>
      <w:r w:rsidR="0073349F" w:rsidRPr="00A70D1B">
        <w:rPr>
          <w:rFonts w:eastAsia="Times New Roman" w:cs="Times New Roman"/>
          <w:szCs w:val="19"/>
          <w:lang w:eastAsia="pl-PL"/>
        </w:rPr>
        <w:t>2</w:t>
      </w:r>
      <w:r w:rsidRPr="00A70D1B">
        <w:rPr>
          <w:rFonts w:eastAsia="Times New Roman" w:cs="Times New Roman"/>
          <w:szCs w:val="19"/>
          <w:lang w:eastAsia="pl-PL"/>
        </w:rPr>
        <w:t xml:space="preserve"> kwartałem 2023 r</w:t>
      </w:r>
      <w:r w:rsidR="00291269" w:rsidRPr="00A70D1B">
        <w:rPr>
          <w:rFonts w:eastAsia="Times New Roman" w:cs="Times New Roman"/>
          <w:szCs w:val="19"/>
          <w:lang w:eastAsia="pl-PL"/>
        </w:rPr>
        <w:t>.</w:t>
      </w:r>
      <w:r w:rsidRPr="00A70D1B" w:rsidDel="00551B1E">
        <w:rPr>
          <w:rFonts w:eastAsia="Times New Roman" w:cs="Times New Roman"/>
          <w:szCs w:val="19"/>
          <w:lang w:eastAsia="pl-PL"/>
        </w:rPr>
        <w:t xml:space="preserve"> </w:t>
      </w:r>
      <w:r w:rsidR="00B55EDF" w:rsidRPr="00A70D1B">
        <w:rPr>
          <w:rFonts w:eastAsia="Times New Roman" w:cs="Times New Roman"/>
          <w:szCs w:val="19"/>
          <w:lang w:eastAsia="pl-PL"/>
        </w:rPr>
        <w:t>natężenie bezrobocia zmniejszyło się tylko wśród osób z</w:t>
      </w:r>
      <w:r w:rsidR="00F05F07" w:rsidRPr="00A70D1B">
        <w:rPr>
          <w:rFonts w:eastAsia="Times New Roman" w:cs="Times New Roman"/>
          <w:szCs w:val="19"/>
          <w:lang w:eastAsia="pl-PL"/>
        </w:rPr>
        <w:t> </w:t>
      </w:r>
      <w:r w:rsidR="00B55EDF" w:rsidRPr="00A70D1B">
        <w:rPr>
          <w:rFonts w:eastAsia="Times New Roman" w:cs="Times New Roman"/>
          <w:szCs w:val="19"/>
          <w:lang w:eastAsia="pl-PL"/>
        </w:rPr>
        <w:t>wykszta</w:t>
      </w:r>
      <w:r w:rsidR="00C44BDC" w:rsidRPr="00A70D1B">
        <w:rPr>
          <w:rFonts w:eastAsia="Times New Roman" w:cs="Times New Roman"/>
          <w:szCs w:val="19"/>
          <w:lang w:eastAsia="pl-PL"/>
        </w:rPr>
        <w:t>ł</w:t>
      </w:r>
      <w:r w:rsidR="00B55EDF" w:rsidRPr="00A70D1B">
        <w:rPr>
          <w:rFonts w:eastAsia="Times New Roman" w:cs="Times New Roman"/>
          <w:szCs w:val="19"/>
          <w:lang w:eastAsia="pl-PL"/>
        </w:rPr>
        <w:t xml:space="preserve">ceniem </w:t>
      </w:r>
      <w:r w:rsidR="0073349F" w:rsidRPr="00A70D1B">
        <w:rPr>
          <w:rFonts w:eastAsia="Times New Roman" w:cs="Times New Roman"/>
          <w:szCs w:val="19"/>
          <w:lang w:eastAsia="pl-PL"/>
        </w:rPr>
        <w:t xml:space="preserve">zasadniczym zawodowym/branżowym </w:t>
      </w:r>
      <w:r w:rsidR="00B55EDF" w:rsidRPr="00A70D1B">
        <w:rPr>
          <w:rFonts w:eastAsia="Times New Roman" w:cs="Times New Roman"/>
          <w:szCs w:val="19"/>
          <w:lang w:eastAsia="pl-PL"/>
        </w:rPr>
        <w:t xml:space="preserve">(o 0,2 p. proc.), w pozostałych grupach osób bezrobotnych </w:t>
      </w:r>
      <w:r w:rsidR="0073349F" w:rsidRPr="00A70D1B">
        <w:rPr>
          <w:rFonts w:eastAsia="Times New Roman" w:cs="Times New Roman"/>
          <w:szCs w:val="19"/>
          <w:lang w:eastAsia="pl-PL"/>
        </w:rPr>
        <w:t>według poziomu wykształcenia,</w:t>
      </w:r>
      <w:r w:rsidR="00466D0A" w:rsidRPr="00A70D1B">
        <w:rPr>
          <w:rFonts w:eastAsia="Times New Roman" w:cs="Times New Roman"/>
          <w:szCs w:val="19"/>
          <w:lang w:eastAsia="pl-PL"/>
        </w:rPr>
        <w:t xml:space="preserve"> </w:t>
      </w:r>
      <w:r w:rsidR="00B55EDF" w:rsidRPr="00A70D1B">
        <w:rPr>
          <w:rFonts w:eastAsia="Times New Roman" w:cs="Times New Roman"/>
          <w:szCs w:val="19"/>
          <w:lang w:eastAsia="pl-PL"/>
        </w:rPr>
        <w:t>stopa bezrobocia wzrosła (od 0,1</w:t>
      </w:r>
      <w:r w:rsidR="00E41577" w:rsidRPr="00A70D1B">
        <w:rPr>
          <w:rFonts w:eastAsia="Times New Roman" w:cs="Times New Roman"/>
          <w:szCs w:val="19"/>
          <w:lang w:eastAsia="pl-PL"/>
        </w:rPr>
        <w:t> </w:t>
      </w:r>
      <w:r w:rsidR="00B55EDF" w:rsidRPr="00A70D1B">
        <w:rPr>
          <w:rFonts w:eastAsia="Times New Roman" w:cs="Times New Roman"/>
          <w:szCs w:val="19"/>
          <w:lang w:eastAsia="pl-PL"/>
        </w:rPr>
        <w:t xml:space="preserve">p. proc. wśród osób z wykształceniem </w:t>
      </w:r>
      <w:r w:rsidR="0073349F" w:rsidRPr="00A70D1B">
        <w:rPr>
          <w:rFonts w:eastAsia="Times New Roman" w:cs="Times New Roman"/>
          <w:szCs w:val="19"/>
          <w:lang w:eastAsia="pl-PL"/>
        </w:rPr>
        <w:t>wyższym i średnim ogólnokształcącym</w:t>
      </w:r>
      <w:r w:rsidR="00B55EDF" w:rsidRPr="00A70D1B">
        <w:rPr>
          <w:rFonts w:eastAsia="Times New Roman" w:cs="Times New Roman"/>
          <w:szCs w:val="19"/>
          <w:lang w:eastAsia="pl-PL"/>
        </w:rPr>
        <w:t xml:space="preserve"> do </w:t>
      </w:r>
      <w:r w:rsidR="0073349F" w:rsidRPr="00A70D1B">
        <w:rPr>
          <w:rFonts w:eastAsia="Times New Roman" w:cs="Times New Roman"/>
          <w:szCs w:val="19"/>
          <w:lang w:eastAsia="pl-PL"/>
        </w:rPr>
        <w:t>2,0</w:t>
      </w:r>
      <w:r w:rsidR="002C0B09" w:rsidRPr="00A70D1B">
        <w:rPr>
          <w:rFonts w:eastAsia="Times New Roman" w:cs="Times New Roman"/>
          <w:szCs w:val="19"/>
          <w:lang w:eastAsia="pl-PL"/>
        </w:rPr>
        <w:t> </w:t>
      </w:r>
      <w:r w:rsidR="00B55EDF" w:rsidRPr="00A70D1B">
        <w:rPr>
          <w:rFonts w:eastAsia="Times New Roman" w:cs="Times New Roman"/>
          <w:szCs w:val="19"/>
          <w:lang w:eastAsia="pl-PL"/>
        </w:rPr>
        <w:t>p.</w:t>
      </w:r>
      <w:r w:rsidR="002C0B09" w:rsidRPr="00A70D1B">
        <w:rPr>
          <w:rFonts w:eastAsia="Times New Roman" w:cs="Times New Roman"/>
          <w:szCs w:val="19"/>
          <w:lang w:eastAsia="pl-PL"/>
        </w:rPr>
        <w:t> </w:t>
      </w:r>
      <w:r w:rsidR="00B55EDF" w:rsidRPr="00A70D1B">
        <w:rPr>
          <w:rFonts w:eastAsia="Times New Roman" w:cs="Times New Roman"/>
          <w:szCs w:val="19"/>
          <w:lang w:eastAsia="pl-PL"/>
        </w:rPr>
        <w:t xml:space="preserve">proc. wśród osób z wykształceniem </w:t>
      </w:r>
      <w:r w:rsidR="0073349F" w:rsidRPr="00A70D1B">
        <w:rPr>
          <w:rFonts w:eastAsia="Times New Roman" w:cs="Times New Roman"/>
          <w:szCs w:val="19"/>
          <w:lang w:eastAsia="pl-PL"/>
        </w:rPr>
        <w:t>gimnazjalnym lub niższym</w:t>
      </w:r>
      <w:r w:rsidR="000F3922" w:rsidRPr="00A70D1B">
        <w:rPr>
          <w:rFonts w:eastAsia="Times New Roman" w:cs="Times New Roman"/>
          <w:szCs w:val="19"/>
          <w:lang w:eastAsia="pl-PL"/>
        </w:rPr>
        <w:t>)</w:t>
      </w:r>
      <w:r w:rsidR="0073349F" w:rsidRPr="00A70D1B">
        <w:rPr>
          <w:rFonts w:eastAsia="Times New Roman" w:cs="Times New Roman"/>
          <w:szCs w:val="19"/>
          <w:lang w:eastAsia="pl-PL"/>
        </w:rPr>
        <w:t>.</w:t>
      </w:r>
    </w:p>
    <w:p w14:paraId="2B98B4A3" w14:textId="309B8812" w:rsidR="00545745" w:rsidRPr="00A70D1B" w:rsidRDefault="00E23488" w:rsidP="00B1254B">
      <w:pPr>
        <w:spacing w:line="288" w:lineRule="auto"/>
        <w:rPr>
          <w:rFonts w:eastAsia="Times New Roman" w:cs="Times New Roman"/>
          <w:szCs w:val="19"/>
          <w:lang w:eastAsia="pl-PL"/>
        </w:rPr>
      </w:pPr>
      <w:r w:rsidRPr="00A70D1B">
        <w:rPr>
          <w:rFonts w:eastAsia="Times New Roman" w:cs="Times New Roman"/>
          <w:szCs w:val="19"/>
          <w:lang w:eastAsia="pl-PL"/>
        </w:rPr>
        <w:t>Każda osoba bezrobotna została zaliczona do jednej z czterech kategorii</w:t>
      </w:r>
      <w:r w:rsidR="00B55EDF" w:rsidRPr="00A70D1B">
        <w:rPr>
          <w:rFonts w:eastAsia="Times New Roman" w:cs="Times New Roman"/>
          <w:szCs w:val="19"/>
          <w:lang w:eastAsia="pl-PL"/>
        </w:rPr>
        <w:t xml:space="preserve"> wydzielonych z</w:t>
      </w:r>
      <w:r w:rsidR="00702143" w:rsidRPr="00A70D1B">
        <w:rPr>
          <w:rFonts w:eastAsia="Times New Roman" w:cs="Times New Roman"/>
          <w:szCs w:val="19"/>
          <w:lang w:eastAsia="pl-PL"/>
        </w:rPr>
        <w:t> </w:t>
      </w:r>
      <w:r w:rsidR="00B55EDF" w:rsidRPr="00A70D1B">
        <w:rPr>
          <w:rFonts w:eastAsia="Times New Roman" w:cs="Times New Roman"/>
          <w:szCs w:val="19"/>
          <w:lang w:eastAsia="pl-PL"/>
        </w:rPr>
        <w:t>uwagi na przyczynę napływu do bezrobocia</w:t>
      </w:r>
      <w:r w:rsidRPr="00A70D1B">
        <w:rPr>
          <w:rFonts w:eastAsia="Times New Roman" w:cs="Times New Roman"/>
          <w:szCs w:val="19"/>
          <w:lang w:eastAsia="pl-PL"/>
        </w:rPr>
        <w:t xml:space="preserve">. </w:t>
      </w:r>
      <w:r w:rsidR="0076074A" w:rsidRPr="00A70D1B">
        <w:rPr>
          <w:rFonts w:eastAsia="Times New Roman" w:cs="Times New Roman"/>
          <w:szCs w:val="19"/>
          <w:lang w:eastAsia="pl-PL"/>
        </w:rPr>
        <w:t>N</w:t>
      </w:r>
      <w:r w:rsidR="003E212F" w:rsidRPr="00A70D1B">
        <w:rPr>
          <w:rFonts w:eastAsia="Times New Roman" w:cs="Times New Roman"/>
          <w:szCs w:val="19"/>
          <w:lang w:eastAsia="pl-PL"/>
        </w:rPr>
        <w:t>ajwiększą populację stanowi</w:t>
      </w:r>
      <w:r w:rsidR="0076074A" w:rsidRPr="00A70D1B">
        <w:rPr>
          <w:rFonts w:eastAsia="Times New Roman" w:cs="Times New Roman"/>
          <w:szCs w:val="19"/>
          <w:lang w:eastAsia="pl-PL"/>
        </w:rPr>
        <w:t>li bezrobotni</w:t>
      </w:r>
      <w:r w:rsidR="003E212F" w:rsidRPr="00A70D1B">
        <w:rPr>
          <w:rFonts w:eastAsia="Times New Roman" w:cs="Times New Roman"/>
          <w:szCs w:val="19"/>
          <w:lang w:eastAsia="pl-PL"/>
        </w:rPr>
        <w:t>, któr</w:t>
      </w:r>
      <w:r w:rsidR="0076074A" w:rsidRPr="00A70D1B">
        <w:rPr>
          <w:rFonts w:eastAsia="Times New Roman" w:cs="Times New Roman"/>
          <w:szCs w:val="19"/>
          <w:lang w:eastAsia="pl-PL"/>
        </w:rPr>
        <w:t>zy</w:t>
      </w:r>
      <w:r w:rsidR="003E212F" w:rsidRPr="00A70D1B">
        <w:rPr>
          <w:rFonts w:eastAsia="Times New Roman" w:cs="Times New Roman"/>
          <w:szCs w:val="19"/>
          <w:lang w:eastAsia="pl-PL"/>
        </w:rPr>
        <w:t xml:space="preserve"> straci</w:t>
      </w:r>
      <w:r w:rsidR="0076074A" w:rsidRPr="00A70D1B">
        <w:rPr>
          <w:rFonts w:eastAsia="Times New Roman" w:cs="Times New Roman"/>
          <w:szCs w:val="19"/>
          <w:lang w:eastAsia="pl-PL"/>
        </w:rPr>
        <w:t>li</w:t>
      </w:r>
      <w:r w:rsidR="003E212F" w:rsidRPr="00A70D1B">
        <w:rPr>
          <w:rFonts w:eastAsia="Times New Roman" w:cs="Times New Roman"/>
          <w:szCs w:val="19"/>
          <w:lang w:eastAsia="pl-PL"/>
        </w:rPr>
        <w:t xml:space="preserve"> pracę </w:t>
      </w:r>
      <w:r w:rsidR="00BB533F" w:rsidRPr="00A70D1B">
        <w:rPr>
          <w:rFonts w:eastAsia="Times New Roman" w:cs="Times New Roman"/>
          <w:szCs w:val="19"/>
          <w:lang w:eastAsia="pl-PL"/>
        </w:rPr>
        <w:t>tzn. osoby</w:t>
      </w:r>
      <w:r w:rsidR="003E253F" w:rsidRPr="00A70D1B">
        <w:rPr>
          <w:rFonts w:eastAsia="Times New Roman" w:cs="Times New Roman"/>
          <w:szCs w:val="19"/>
          <w:lang w:eastAsia="pl-PL"/>
        </w:rPr>
        <w:t>,</w:t>
      </w:r>
      <w:r w:rsidR="00BB533F" w:rsidRPr="00A70D1B">
        <w:rPr>
          <w:rFonts w:eastAsia="Times New Roman" w:cs="Times New Roman"/>
          <w:szCs w:val="19"/>
          <w:lang w:eastAsia="pl-PL"/>
        </w:rPr>
        <w:t xml:space="preserve"> które odeszły z ostatniego miejsca pracy </w:t>
      </w:r>
      <w:r w:rsidR="00147C13" w:rsidRPr="00A70D1B">
        <w:rPr>
          <w:rFonts w:eastAsia="Times New Roman" w:cs="Times New Roman"/>
          <w:szCs w:val="19"/>
          <w:lang w:eastAsia="pl-PL"/>
        </w:rPr>
        <w:t xml:space="preserve">w ciągu ostatnich 3 miesięcy </w:t>
      </w:r>
      <w:r w:rsidR="00BB533F" w:rsidRPr="00A70D1B">
        <w:rPr>
          <w:rFonts w:eastAsia="Times New Roman" w:cs="Times New Roman"/>
          <w:szCs w:val="19"/>
          <w:lang w:eastAsia="pl-PL"/>
        </w:rPr>
        <w:t xml:space="preserve">nie z własnej inicjatywy </w:t>
      </w:r>
      <w:r w:rsidR="003E212F" w:rsidRPr="00A70D1B">
        <w:rPr>
          <w:rFonts w:eastAsia="Times New Roman" w:cs="Times New Roman"/>
          <w:szCs w:val="19"/>
          <w:lang w:eastAsia="pl-PL"/>
        </w:rPr>
        <w:t>(</w:t>
      </w:r>
      <w:r w:rsidR="00063066" w:rsidRPr="00A70D1B">
        <w:rPr>
          <w:rFonts w:eastAsia="Times New Roman" w:cs="Times New Roman"/>
          <w:szCs w:val="19"/>
          <w:lang w:eastAsia="pl-PL"/>
        </w:rPr>
        <w:t>4</w:t>
      </w:r>
      <w:r w:rsidR="00852EAD" w:rsidRPr="00A70D1B">
        <w:rPr>
          <w:rFonts w:eastAsia="Times New Roman" w:cs="Times New Roman"/>
          <w:szCs w:val="19"/>
          <w:lang w:eastAsia="pl-PL"/>
        </w:rPr>
        <w:t>1,9</w:t>
      </w:r>
      <w:r w:rsidR="003E212F" w:rsidRPr="00A70D1B">
        <w:rPr>
          <w:rFonts w:eastAsia="Times New Roman" w:cs="Times New Roman"/>
          <w:szCs w:val="19"/>
          <w:lang w:eastAsia="pl-PL"/>
        </w:rPr>
        <w:t xml:space="preserve">%, tj. </w:t>
      </w:r>
      <w:r w:rsidR="00852EAD" w:rsidRPr="00A70D1B">
        <w:rPr>
          <w:rFonts w:eastAsia="Times New Roman" w:cs="Times New Roman"/>
          <w:szCs w:val="19"/>
          <w:lang w:eastAsia="pl-PL"/>
        </w:rPr>
        <w:t>198</w:t>
      </w:r>
      <w:r w:rsidR="0062149F" w:rsidRPr="00A70D1B">
        <w:rPr>
          <w:rFonts w:eastAsia="Times New Roman" w:cs="Times New Roman"/>
          <w:szCs w:val="19"/>
          <w:lang w:eastAsia="pl-PL"/>
        </w:rPr>
        <w:t xml:space="preserve"> </w:t>
      </w:r>
      <w:r w:rsidR="003E212F" w:rsidRPr="00A70D1B">
        <w:rPr>
          <w:rFonts w:eastAsia="Times New Roman" w:cs="Times New Roman"/>
          <w:szCs w:val="19"/>
          <w:lang w:eastAsia="pl-PL"/>
        </w:rPr>
        <w:t>tys.</w:t>
      </w:r>
      <w:r w:rsidR="004B40F3" w:rsidRPr="00A70D1B">
        <w:rPr>
          <w:rFonts w:eastAsia="Times New Roman" w:cs="Times New Roman"/>
          <w:szCs w:val="19"/>
          <w:lang w:eastAsia="pl-PL"/>
        </w:rPr>
        <w:t xml:space="preserve"> osób</w:t>
      </w:r>
      <w:r w:rsidR="003E212F" w:rsidRPr="00A70D1B">
        <w:rPr>
          <w:rFonts w:eastAsia="Times New Roman" w:cs="Times New Roman"/>
          <w:szCs w:val="19"/>
          <w:lang w:eastAsia="pl-PL"/>
        </w:rPr>
        <w:t xml:space="preserve">). Udział </w:t>
      </w:r>
      <w:r w:rsidR="0076074A" w:rsidRPr="00A70D1B">
        <w:rPr>
          <w:rFonts w:eastAsia="Times New Roman" w:cs="Times New Roman"/>
          <w:szCs w:val="19"/>
          <w:lang w:eastAsia="pl-PL"/>
        </w:rPr>
        <w:t>bezrobotnych</w:t>
      </w:r>
      <w:r w:rsidR="003E212F" w:rsidRPr="00A70D1B">
        <w:rPr>
          <w:rFonts w:eastAsia="Times New Roman" w:cs="Times New Roman"/>
          <w:szCs w:val="19"/>
          <w:lang w:eastAsia="pl-PL"/>
        </w:rPr>
        <w:t xml:space="preserve"> </w:t>
      </w:r>
      <w:r w:rsidR="00BB533F" w:rsidRPr="00A70D1B">
        <w:rPr>
          <w:rFonts w:eastAsia="Times New Roman" w:cs="Times New Roman"/>
          <w:szCs w:val="19"/>
          <w:lang w:eastAsia="pl-PL"/>
        </w:rPr>
        <w:t xml:space="preserve">mających zamiar powrócić do pracy po przerwie </w:t>
      </w:r>
      <w:r w:rsidR="000D6B9D" w:rsidRPr="00A70D1B">
        <w:rPr>
          <w:rFonts w:eastAsia="Times New Roman" w:cs="Times New Roman"/>
          <w:szCs w:val="19"/>
          <w:lang w:eastAsia="pl-PL"/>
        </w:rPr>
        <w:t>(</w:t>
      </w:r>
      <w:r w:rsidR="002A70DF" w:rsidRPr="00A70D1B">
        <w:rPr>
          <w:rFonts w:eastAsia="Times New Roman" w:cs="Times New Roman"/>
          <w:szCs w:val="19"/>
          <w:lang w:eastAsia="pl-PL"/>
        </w:rPr>
        <w:t xml:space="preserve">trwającej </w:t>
      </w:r>
      <w:r w:rsidR="003E212F" w:rsidRPr="00A70D1B">
        <w:rPr>
          <w:rFonts w:eastAsia="Times New Roman" w:cs="Times New Roman"/>
          <w:szCs w:val="19"/>
          <w:lang w:eastAsia="pl-PL"/>
        </w:rPr>
        <w:t>dłużej niż 3</w:t>
      </w:r>
      <w:r w:rsidR="000D6B9D" w:rsidRPr="00A70D1B">
        <w:rPr>
          <w:rFonts w:eastAsia="Times New Roman" w:cs="Times New Roman"/>
          <w:szCs w:val="19"/>
          <w:lang w:eastAsia="pl-PL"/>
        </w:rPr>
        <w:t> </w:t>
      </w:r>
      <w:r w:rsidR="003E212F" w:rsidRPr="00A70D1B">
        <w:rPr>
          <w:rFonts w:eastAsia="Times New Roman" w:cs="Times New Roman"/>
          <w:szCs w:val="19"/>
          <w:lang w:eastAsia="pl-PL"/>
        </w:rPr>
        <w:t xml:space="preserve">miesiące) wyniósł </w:t>
      </w:r>
      <w:r w:rsidR="0062149F" w:rsidRPr="00A70D1B">
        <w:rPr>
          <w:rFonts w:eastAsia="Times New Roman" w:cs="Times New Roman"/>
          <w:szCs w:val="19"/>
          <w:lang w:eastAsia="pl-PL"/>
        </w:rPr>
        <w:t>2</w:t>
      </w:r>
      <w:r w:rsidR="00852EAD" w:rsidRPr="00A70D1B">
        <w:rPr>
          <w:rFonts w:eastAsia="Times New Roman" w:cs="Times New Roman"/>
          <w:szCs w:val="19"/>
          <w:lang w:eastAsia="pl-PL"/>
        </w:rPr>
        <w:t>8,1</w:t>
      </w:r>
      <w:r w:rsidR="003E212F" w:rsidRPr="00A70D1B">
        <w:rPr>
          <w:rFonts w:eastAsia="Times New Roman" w:cs="Times New Roman"/>
          <w:szCs w:val="19"/>
          <w:lang w:eastAsia="pl-PL"/>
        </w:rPr>
        <w:t>%</w:t>
      </w:r>
      <w:r w:rsidR="00466D0A" w:rsidRPr="00A70D1B">
        <w:rPr>
          <w:rFonts w:eastAsia="Times New Roman" w:cs="Times New Roman"/>
          <w:szCs w:val="19"/>
          <w:lang w:eastAsia="pl-PL"/>
        </w:rPr>
        <w:t xml:space="preserve"> (</w:t>
      </w:r>
      <w:r w:rsidR="000D6B9D" w:rsidRPr="00A70D1B">
        <w:rPr>
          <w:rFonts w:eastAsia="Times New Roman" w:cs="Times New Roman"/>
          <w:szCs w:val="19"/>
          <w:lang w:eastAsia="pl-PL"/>
        </w:rPr>
        <w:t>tj.</w:t>
      </w:r>
      <w:r w:rsidR="002C0B09" w:rsidRPr="00A70D1B">
        <w:rPr>
          <w:rFonts w:eastAsia="Times New Roman" w:cs="Times New Roman"/>
          <w:szCs w:val="19"/>
          <w:lang w:eastAsia="pl-PL"/>
        </w:rPr>
        <w:t> </w:t>
      </w:r>
      <w:r w:rsidR="0062149F" w:rsidRPr="00A70D1B">
        <w:rPr>
          <w:rFonts w:eastAsia="Times New Roman" w:cs="Times New Roman"/>
          <w:szCs w:val="19"/>
          <w:lang w:eastAsia="pl-PL"/>
        </w:rPr>
        <w:t>1</w:t>
      </w:r>
      <w:r w:rsidR="00610830" w:rsidRPr="00A70D1B">
        <w:rPr>
          <w:rFonts w:eastAsia="Times New Roman" w:cs="Times New Roman"/>
          <w:szCs w:val="19"/>
          <w:lang w:eastAsia="pl-PL"/>
        </w:rPr>
        <w:t>3</w:t>
      </w:r>
      <w:r w:rsidR="00852EAD" w:rsidRPr="00A70D1B">
        <w:rPr>
          <w:rFonts w:eastAsia="Times New Roman" w:cs="Times New Roman"/>
          <w:szCs w:val="19"/>
          <w:lang w:eastAsia="pl-PL"/>
        </w:rPr>
        <w:t>3</w:t>
      </w:r>
      <w:r w:rsidR="00702143" w:rsidRPr="00A70D1B">
        <w:rPr>
          <w:rFonts w:eastAsia="Times New Roman" w:cs="Times New Roman"/>
          <w:szCs w:val="19"/>
          <w:lang w:eastAsia="pl-PL"/>
        </w:rPr>
        <w:t> </w:t>
      </w:r>
      <w:r w:rsidR="003E212F" w:rsidRPr="00A70D1B">
        <w:rPr>
          <w:rFonts w:eastAsia="Times New Roman" w:cs="Times New Roman"/>
          <w:szCs w:val="19"/>
          <w:lang w:eastAsia="pl-PL"/>
        </w:rPr>
        <w:t>tys.</w:t>
      </w:r>
      <w:r w:rsidR="00524CE4" w:rsidRPr="00A70D1B">
        <w:rPr>
          <w:rFonts w:eastAsia="Times New Roman" w:cs="Times New Roman"/>
          <w:szCs w:val="19"/>
          <w:lang w:eastAsia="pl-PL"/>
        </w:rPr>
        <w:t>)</w:t>
      </w:r>
      <w:r w:rsidR="003E212F" w:rsidRPr="00A70D1B">
        <w:rPr>
          <w:rFonts w:eastAsia="Times New Roman" w:cs="Times New Roman"/>
          <w:szCs w:val="19"/>
          <w:lang w:eastAsia="pl-PL"/>
        </w:rPr>
        <w:t xml:space="preserve">, </w:t>
      </w:r>
      <w:r w:rsidR="00893FD6" w:rsidRPr="00A70D1B">
        <w:rPr>
          <w:rFonts w:eastAsia="Times New Roman" w:cs="Times New Roman"/>
          <w:szCs w:val="19"/>
          <w:lang w:eastAsia="pl-PL"/>
        </w:rPr>
        <w:t>przy czym wś</w:t>
      </w:r>
      <w:r w:rsidR="00F05F07" w:rsidRPr="00A70D1B">
        <w:rPr>
          <w:rFonts w:eastAsia="Times New Roman" w:cs="Times New Roman"/>
          <w:szCs w:val="19"/>
          <w:lang w:eastAsia="pl-PL"/>
        </w:rPr>
        <w:t>r</w:t>
      </w:r>
      <w:r w:rsidR="00893FD6" w:rsidRPr="00A70D1B">
        <w:rPr>
          <w:rFonts w:eastAsia="Times New Roman" w:cs="Times New Roman"/>
          <w:szCs w:val="19"/>
          <w:lang w:eastAsia="pl-PL"/>
        </w:rPr>
        <w:t>ód kobiet udział ten był znacznie wyższy niż wśród mężczyzn i wyniósł odpowiednio:</w:t>
      </w:r>
      <w:r w:rsidR="00F05F07" w:rsidRPr="00A70D1B">
        <w:rPr>
          <w:rFonts w:eastAsia="Times New Roman" w:cs="Times New Roman"/>
          <w:szCs w:val="19"/>
          <w:lang w:eastAsia="pl-PL"/>
        </w:rPr>
        <w:t xml:space="preserve"> 3</w:t>
      </w:r>
      <w:r w:rsidR="00443152" w:rsidRPr="00A70D1B">
        <w:rPr>
          <w:rFonts w:eastAsia="Times New Roman" w:cs="Times New Roman"/>
          <w:szCs w:val="19"/>
          <w:lang w:eastAsia="pl-PL"/>
        </w:rPr>
        <w:t>3,</w:t>
      </w:r>
      <w:r w:rsidR="00334C14" w:rsidRPr="00A70D1B">
        <w:rPr>
          <w:rFonts w:eastAsia="Times New Roman" w:cs="Times New Roman"/>
          <w:szCs w:val="19"/>
          <w:lang w:eastAsia="pl-PL"/>
        </w:rPr>
        <w:t>8</w:t>
      </w:r>
      <w:r w:rsidR="00F05F07" w:rsidRPr="00A70D1B">
        <w:rPr>
          <w:rFonts w:eastAsia="Times New Roman" w:cs="Times New Roman"/>
          <w:szCs w:val="19"/>
          <w:lang w:eastAsia="pl-PL"/>
        </w:rPr>
        <w:t xml:space="preserve">% i </w:t>
      </w:r>
      <w:r w:rsidR="00443152" w:rsidRPr="00A70D1B">
        <w:rPr>
          <w:rFonts w:eastAsia="Times New Roman" w:cs="Times New Roman"/>
          <w:szCs w:val="19"/>
          <w:lang w:eastAsia="pl-PL"/>
        </w:rPr>
        <w:t>23,</w:t>
      </w:r>
      <w:r w:rsidR="00334C14" w:rsidRPr="00A70D1B">
        <w:rPr>
          <w:rFonts w:eastAsia="Times New Roman" w:cs="Times New Roman"/>
          <w:szCs w:val="19"/>
          <w:lang w:eastAsia="pl-PL"/>
        </w:rPr>
        <w:t>2</w:t>
      </w:r>
      <w:r w:rsidR="00F05F07" w:rsidRPr="00A70D1B">
        <w:rPr>
          <w:rFonts w:eastAsia="Times New Roman" w:cs="Times New Roman"/>
          <w:szCs w:val="19"/>
          <w:lang w:eastAsia="pl-PL"/>
        </w:rPr>
        <w:t>%.</w:t>
      </w:r>
      <w:r w:rsidR="00893FD6" w:rsidRPr="00A70D1B">
        <w:rPr>
          <w:rFonts w:eastAsia="Times New Roman" w:cs="Times New Roman"/>
          <w:szCs w:val="19"/>
          <w:lang w:eastAsia="pl-PL"/>
        </w:rPr>
        <w:t xml:space="preserve"> B</w:t>
      </w:r>
      <w:r w:rsidR="00610830" w:rsidRPr="00A70D1B">
        <w:rPr>
          <w:rFonts w:eastAsia="Times New Roman" w:cs="Times New Roman"/>
          <w:szCs w:val="19"/>
          <w:lang w:eastAsia="pl-PL"/>
        </w:rPr>
        <w:t>ezrobotn</w:t>
      </w:r>
      <w:r w:rsidR="00B55EDF" w:rsidRPr="00A70D1B">
        <w:rPr>
          <w:rFonts w:eastAsia="Times New Roman" w:cs="Times New Roman"/>
          <w:szCs w:val="19"/>
          <w:lang w:eastAsia="pl-PL"/>
        </w:rPr>
        <w:t>i</w:t>
      </w:r>
      <w:r w:rsidR="00610830" w:rsidRPr="00A70D1B">
        <w:rPr>
          <w:rFonts w:eastAsia="Times New Roman" w:cs="Times New Roman"/>
          <w:szCs w:val="19"/>
          <w:lang w:eastAsia="pl-PL"/>
        </w:rPr>
        <w:t xml:space="preserve">, którzy zrezygnowali z pracy z własnej inicjatywy </w:t>
      </w:r>
      <w:r w:rsidR="00B55EDF" w:rsidRPr="00A70D1B">
        <w:rPr>
          <w:rFonts w:eastAsia="Times New Roman" w:cs="Times New Roman"/>
          <w:szCs w:val="19"/>
          <w:lang w:eastAsia="pl-PL"/>
        </w:rPr>
        <w:t xml:space="preserve">stanowili </w:t>
      </w:r>
      <w:r w:rsidR="00610830" w:rsidRPr="00A70D1B">
        <w:rPr>
          <w:rFonts w:eastAsia="Times New Roman" w:cs="Times New Roman"/>
          <w:szCs w:val="19"/>
          <w:lang w:eastAsia="pl-PL"/>
        </w:rPr>
        <w:t>1</w:t>
      </w:r>
      <w:r w:rsidR="00864828" w:rsidRPr="00A70D1B">
        <w:rPr>
          <w:rFonts w:eastAsia="Times New Roman" w:cs="Times New Roman"/>
          <w:szCs w:val="19"/>
          <w:lang w:eastAsia="pl-PL"/>
        </w:rPr>
        <w:t>6</w:t>
      </w:r>
      <w:r w:rsidR="00610830" w:rsidRPr="00A70D1B">
        <w:rPr>
          <w:rFonts w:eastAsia="Times New Roman" w:cs="Times New Roman"/>
          <w:szCs w:val="19"/>
          <w:lang w:eastAsia="pl-PL"/>
        </w:rPr>
        <w:t xml:space="preserve">,3% </w:t>
      </w:r>
      <w:r w:rsidR="00524CE4" w:rsidRPr="00A70D1B">
        <w:rPr>
          <w:rFonts w:eastAsia="Times New Roman" w:cs="Times New Roman"/>
          <w:szCs w:val="19"/>
          <w:lang w:eastAsia="pl-PL"/>
        </w:rPr>
        <w:t>(</w:t>
      </w:r>
      <w:r w:rsidR="00610830" w:rsidRPr="00A70D1B">
        <w:rPr>
          <w:rFonts w:eastAsia="Times New Roman" w:cs="Times New Roman"/>
          <w:szCs w:val="19"/>
          <w:lang w:eastAsia="pl-PL"/>
        </w:rPr>
        <w:t xml:space="preserve">tj. </w:t>
      </w:r>
      <w:r w:rsidR="00864828" w:rsidRPr="00A70D1B">
        <w:rPr>
          <w:rFonts w:eastAsia="Times New Roman" w:cs="Times New Roman"/>
          <w:szCs w:val="19"/>
          <w:lang w:eastAsia="pl-PL"/>
        </w:rPr>
        <w:t>77</w:t>
      </w:r>
      <w:r w:rsidR="00702143" w:rsidRPr="00A70D1B">
        <w:rPr>
          <w:rFonts w:eastAsia="Times New Roman" w:cs="Times New Roman"/>
          <w:szCs w:val="19"/>
          <w:lang w:eastAsia="pl-PL"/>
        </w:rPr>
        <w:t> </w:t>
      </w:r>
      <w:r w:rsidR="00610830" w:rsidRPr="00A70D1B">
        <w:rPr>
          <w:rFonts w:eastAsia="Times New Roman" w:cs="Times New Roman"/>
          <w:szCs w:val="19"/>
          <w:lang w:eastAsia="pl-PL"/>
        </w:rPr>
        <w:t>tys.</w:t>
      </w:r>
      <w:r w:rsidR="00524CE4" w:rsidRPr="00A70D1B">
        <w:rPr>
          <w:rFonts w:eastAsia="Times New Roman" w:cs="Times New Roman"/>
          <w:szCs w:val="19"/>
          <w:lang w:eastAsia="pl-PL"/>
        </w:rPr>
        <w:t>)</w:t>
      </w:r>
      <w:r w:rsidR="00610830" w:rsidRPr="00A70D1B">
        <w:rPr>
          <w:rFonts w:eastAsia="Times New Roman" w:cs="Times New Roman"/>
          <w:szCs w:val="19"/>
          <w:lang w:eastAsia="pl-PL"/>
        </w:rPr>
        <w:t xml:space="preserve">, a </w:t>
      </w:r>
      <w:r w:rsidR="00BB533F" w:rsidRPr="00A70D1B">
        <w:rPr>
          <w:rFonts w:eastAsia="Times New Roman" w:cs="Times New Roman"/>
          <w:szCs w:val="19"/>
          <w:lang w:eastAsia="pl-PL"/>
        </w:rPr>
        <w:t>bezrobotn</w:t>
      </w:r>
      <w:r w:rsidR="00B55EDF" w:rsidRPr="00A70D1B">
        <w:rPr>
          <w:rFonts w:eastAsia="Times New Roman" w:cs="Times New Roman"/>
          <w:szCs w:val="19"/>
          <w:lang w:eastAsia="pl-PL"/>
        </w:rPr>
        <w:t>i</w:t>
      </w:r>
      <w:r w:rsidR="00BB533F" w:rsidRPr="00A70D1B">
        <w:rPr>
          <w:rFonts w:eastAsia="Times New Roman" w:cs="Times New Roman"/>
          <w:szCs w:val="19"/>
          <w:lang w:eastAsia="pl-PL"/>
        </w:rPr>
        <w:t xml:space="preserve"> którzy poszukują pierwszej pracy</w:t>
      </w:r>
      <w:r w:rsidR="003E212F" w:rsidRPr="00A70D1B">
        <w:rPr>
          <w:rFonts w:eastAsia="Times New Roman" w:cs="Times New Roman"/>
          <w:szCs w:val="19"/>
          <w:lang w:eastAsia="pl-PL"/>
        </w:rPr>
        <w:t xml:space="preserve"> </w:t>
      </w:r>
      <w:r w:rsidR="007B46F0" w:rsidRPr="00A70D1B">
        <w:rPr>
          <w:rFonts w:eastAsia="Times New Roman" w:cs="Times New Roman"/>
          <w:szCs w:val="19"/>
          <w:lang w:eastAsia="pl-PL"/>
        </w:rPr>
        <w:t xml:space="preserve">– </w:t>
      </w:r>
      <w:r w:rsidR="00610830" w:rsidRPr="00A70D1B">
        <w:rPr>
          <w:rFonts w:eastAsia="Times New Roman" w:cs="Times New Roman"/>
          <w:szCs w:val="19"/>
          <w:lang w:eastAsia="pl-PL"/>
        </w:rPr>
        <w:t>1</w:t>
      </w:r>
      <w:r w:rsidR="00864828" w:rsidRPr="00A70D1B">
        <w:rPr>
          <w:rFonts w:eastAsia="Times New Roman" w:cs="Times New Roman"/>
          <w:szCs w:val="19"/>
          <w:lang w:eastAsia="pl-PL"/>
        </w:rPr>
        <w:t>3,7</w:t>
      </w:r>
      <w:r w:rsidR="007B46F0" w:rsidRPr="00A70D1B">
        <w:rPr>
          <w:rFonts w:eastAsia="Times New Roman" w:cs="Times New Roman"/>
          <w:szCs w:val="19"/>
          <w:lang w:eastAsia="pl-PL"/>
        </w:rPr>
        <w:t>%</w:t>
      </w:r>
      <w:r w:rsidR="000D6B9D" w:rsidRPr="00A70D1B">
        <w:rPr>
          <w:rFonts w:eastAsia="Times New Roman" w:cs="Times New Roman"/>
          <w:szCs w:val="19"/>
          <w:lang w:eastAsia="pl-PL"/>
        </w:rPr>
        <w:t xml:space="preserve"> </w:t>
      </w:r>
      <w:r w:rsidR="00524CE4" w:rsidRPr="00A70D1B">
        <w:rPr>
          <w:rFonts w:eastAsia="Times New Roman" w:cs="Times New Roman"/>
          <w:szCs w:val="19"/>
          <w:lang w:eastAsia="pl-PL"/>
        </w:rPr>
        <w:t>(</w:t>
      </w:r>
      <w:r w:rsidR="000D6B9D" w:rsidRPr="00A70D1B">
        <w:rPr>
          <w:rFonts w:eastAsia="Times New Roman" w:cs="Times New Roman"/>
          <w:szCs w:val="19"/>
          <w:lang w:eastAsia="pl-PL"/>
        </w:rPr>
        <w:t xml:space="preserve">tj. </w:t>
      </w:r>
      <w:r w:rsidR="00864828" w:rsidRPr="00A70D1B">
        <w:rPr>
          <w:rFonts w:eastAsia="Times New Roman" w:cs="Times New Roman"/>
          <w:szCs w:val="19"/>
          <w:lang w:eastAsia="pl-PL"/>
        </w:rPr>
        <w:t>65</w:t>
      </w:r>
      <w:r w:rsidR="0005623E" w:rsidRPr="00A70D1B">
        <w:rPr>
          <w:rFonts w:eastAsia="Times New Roman" w:cs="Times New Roman"/>
          <w:szCs w:val="19"/>
          <w:lang w:eastAsia="pl-PL"/>
        </w:rPr>
        <w:t> </w:t>
      </w:r>
      <w:r w:rsidR="007B46F0" w:rsidRPr="00A70D1B">
        <w:rPr>
          <w:rFonts w:eastAsia="Times New Roman" w:cs="Times New Roman"/>
          <w:szCs w:val="19"/>
          <w:lang w:eastAsia="pl-PL"/>
        </w:rPr>
        <w:t>tys.</w:t>
      </w:r>
      <w:r w:rsidR="00524CE4" w:rsidRPr="00A70D1B">
        <w:rPr>
          <w:rFonts w:eastAsia="Times New Roman" w:cs="Times New Roman"/>
          <w:szCs w:val="19"/>
          <w:lang w:eastAsia="pl-PL"/>
        </w:rPr>
        <w:t>).</w:t>
      </w:r>
      <w:r w:rsidR="0084167B" w:rsidRPr="00A70D1B">
        <w:rPr>
          <w:rFonts w:eastAsia="Times New Roman" w:cs="Times New Roman"/>
          <w:szCs w:val="19"/>
          <w:lang w:eastAsia="pl-PL"/>
        </w:rPr>
        <w:t xml:space="preserve"> </w:t>
      </w:r>
    </w:p>
    <w:p w14:paraId="02C35369" w14:textId="3601876E" w:rsidR="007E58F1" w:rsidRPr="00A70D1B" w:rsidRDefault="00942491" w:rsidP="00EC7C93">
      <w:pPr>
        <w:spacing w:line="276" w:lineRule="auto"/>
        <w:ind w:left="992" w:hanging="992"/>
        <w:rPr>
          <w:b/>
          <w:shd w:val="clear" w:color="auto" w:fill="FFFFFF"/>
        </w:rPr>
      </w:pPr>
      <w:r w:rsidRPr="00A70D1B">
        <w:rPr>
          <w:b/>
        </w:rPr>
        <w:t xml:space="preserve">Wykres </w:t>
      </w:r>
      <w:r w:rsidR="00E23488" w:rsidRPr="00A70D1B">
        <w:rPr>
          <w:b/>
        </w:rPr>
        <w:t>6</w:t>
      </w:r>
      <w:r w:rsidRPr="00A70D1B">
        <w:rPr>
          <w:b/>
        </w:rPr>
        <w:t>.</w:t>
      </w:r>
      <w:r w:rsidRPr="00A70D1B">
        <w:rPr>
          <w:shd w:val="clear" w:color="auto" w:fill="FFFFFF"/>
        </w:rPr>
        <w:tab/>
      </w:r>
      <w:r w:rsidRPr="00A70D1B">
        <w:rPr>
          <w:b/>
          <w:shd w:val="clear" w:color="auto" w:fill="FFFFFF"/>
        </w:rPr>
        <w:t>Struktura bezrobotnych</w:t>
      </w:r>
      <w:r w:rsidR="00A814FC" w:rsidRPr="00A70D1B">
        <w:rPr>
          <w:b/>
          <w:shd w:val="clear" w:color="auto" w:fill="FFFFFF"/>
        </w:rPr>
        <w:t xml:space="preserve"> </w:t>
      </w:r>
      <w:r w:rsidRPr="00A70D1B">
        <w:rPr>
          <w:b/>
          <w:shd w:val="clear" w:color="auto" w:fill="FFFFFF"/>
        </w:rPr>
        <w:t xml:space="preserve">według źródła napływu do bezrobocia </w:t>
      </w:r>
      <w:r w:rsidR="00864D08" w:rsidRPr="00A70D1B">
        <w:rPr>
          <w:b/>
          <w:shd w:val="clear" w:color="auto" w:fill="FFFFFF"/>
        </w:rPr>
        <w:br/>
      </w:r>
      <w:r w:rsidRPr="00A70D1B">
        <w:rPr>
          <w:b/>
          <w:shd w:val="clear" w:color="auto" w:fill="FFFFFF"/>
        </w:rPr>
        <w:t xml:space="preserve">w </w:t>
      </w:r>
      <w:r w:rsidR="00852EAD" w:rsidRPr="00A70D1B">
        <w:rPr>
          <w:b/>
          <w:shd w:val="clear" w:color="auto" w:fill="FFFFFF"/>
        </w:rPr>
        <w:t>2</w:t>
      </w:r>
      <w:r w:rsidRPr="00A70D1B">
        <w:rPr>
          <w:b/>
          <w:shd w:val="clear" w:color="auto" w:fill="FFFFFF"/>
        </w:rPr>
        <w:t xml:space="preserve"> kwartale 202</w:t>
      </w:r>
      <w:r w:rsidR="005D7525" w:rsidRPr="00A70D1B">
        <w:rPr>
          <w:b/>
          <w:shd w:val="clear" w:color="auto" w:fill="FFFFFF"/>
        </w:rPr>
        <w:t>4</w:t>
      </w:r>
      <w:r w:rsidR="00A814FC" w:rsidRPr="00A70D1B">
        <w:rPr>
          <w:b/>
          <w:shd w:val="clear" w:color="auto" w:fill="FFFFFF"/>
        </w:rPr>
        <w:t> </w:t>
      </w:r>
      <w:r w:rsidRPr="00A70D1B">
        <w:rPr>
          <w:b/>
          <w:shd w:val="clear" w:color="auto" w:fill="FFFFFF"/>
        </w:rPr>
        <w:t xml:space="preserve">r. </w:t>
      </w:r>
      <w:r w:rsidR="00D856A6" w:rsidRPr="00A70D1B">
        <w:rPr>
          <w:b/>
          <w:shd w:val="clear" w:color="auto" w:fill="FFFFFF"/>
        </w:rPr>
        <w:t>(w %)</w:t>
      </w:r>
      <w:r w:rsidR="00AD65BE" w:rsidRPr="00A70D1B">
        <w:rPr>
          <w:b/>
          <w:shd w:val="clear" w:color="auto" w:fill="FFFFFF"/>
        </w:rPr>
        <w:t xml:space="preserve">  </w:t>
      </w:r>
    </w:p>
    <w:p w14:paraId="0EB9D359" w14:textId="5FED844A" w:rsidR="00702143" w:rsidRPr="00A70D1B" w:rsidRDefault="00852EAD" w:rsidP="00852EAD">
      <w:pPr>
        <w:spacing w:before="0" w:after="0" w:line="276" w:lineRule="auto"/>
        <w:ind w:left="992" w:hanging="992"/>
        <w:rPr>
          <w:rFonts w:eastAsia="Times New Roman" w:cs="Times New Roman"/>
          <w:szCs w:val="19"/>
          <w:lang w:eastAsia="pl-PL"/>
        </w:rPr>
      </w:pPr>
      <w:r w:rsidRPr="00A70D1B">
        <w:rPr>
          <w:rFonts w:eastAsia="Times New Roman" w:cs="Times New Roman"/>
          <w:noProof/>
          <w:szCs w:val="19"/>
          <w:lang w:eastAsia="pl-PL"/>
        </w:rPr>
        <w:drawing>
          <wp:inline distT="0" distB="0" distL="0" distR="0" wp14:anchorId="0D9D8930" wp14:editId="754A5802">
            <wp:extent cx="4700270" cy="1884045"/>
            <wp:effectExtent l="0" t="0" r="5080" b="1905"/>
            <wp:docPr id="40" name="Obraz 40" descr="Wykres prezentuje strukturę bezrobotnych według źródła napływu do bezrobocia w 2 kwartale 2024 r. (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00270" cy="1884045"/>
                    </a:xfrm>
                    <a:prstGeom prst="rect">
                      <a:avLst/>
                    </a:prstGeom>
                    <a:noFill/>
                  </pic:spPr>
                </pic:pic>
              </a:graphicData>
            </a:graphic>
          </wp:inline>
        </w:drawing>
      </w:r>
    </w:p>
    <w:p w14:paraId="083F4B55" w14:textId="4D6B7BDA" w:rsidR="00545745" w:rsidRPr="00A70D1B" w:rsidRDefault="00A621A9" w:rsidP="00F06379">
      <w:pPr>
        <w:spacing w:before="240" w:line="288" w:lineRule="auto"/>
        <w:rPr>
          <w:rFonts w:eastAsia="Times New Roman" w:cs="Times New Roman"/>
          <w:szCs w:val="19"/>
          <w:lang w:eastAsia="pl-PL"/>
        </w:rPr>
      </w:pPr>
      <w:r w:rsidRPr="00A70D1B">
        <w:rPr>
          <w:noProof/>
          <w:lang w:eastAsia="pl-PL"/>
        </w:rPr>
        <mc:AlternateContent>
          <mc:Choice Requires="wps">
            <w:drawing>
              <wp:anchor distT="45720" distB="45720" distL="114300" distR="114300" simplePos="0" relativeHeight="251844608" behindDoc="1" locked="0" layoutInCell="1" allowOverlap="1" wp14:anchorId="22E3F0B4" wp14:editId="6963A5C2">
                <wp:simplePos x="0" y="0"/>
                <wp:positionH relativeFrom="page">
                  <wp:posOffset>5765648</wp:posOffset>
                </wp:positionH>
                <wp:positionV relativeFrom="paragraph">
                  <wp:posOffset>81678</wp:posOffset>
                </wp:positionV>
                <wp:extent cx="1637665" cy="832485"/>
                <wp:effectExtent l="0" t="0" r="0" b="5715"/>
                <wp:wrapTight wrapText="bothSides">
                  <wp:wrapPolygon edited="0">
                    <wp:start x="754" y="0"/>
                    <wp:lineTo x="754" y="21254"/>
                    <wp:lineTo x="20603" y="21254"/>
                    <wp:lineTo x="20603" y="0"/>
                    <wp:lineTo x="754" y="0"/>
                  </wp:wrapPolygon>
                </wp:wrapTight>
                <wp:docPr id="28" name="Pole tekstowe 2" descr="Przeciętny czas, od którego osoby bezrobotne poszukiwały pracy w 2 kwartale 2024 r. wyniósł 7,5 miesiąc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832485"/>
                        </a:xfrm>
                        <a:prstGeom prst="rect">
                          <a:avLst/>
                        </a:prstGeom>
                        <a:noFill/>
                        <a:ln w="9525">
                          <a:noFill/>
                          <a:miter lim="800000"/>
                          <a:headEnd/>
                          <a:tailEnd/>
                        </a:ln>
                      </wps:spPr>
                      <wps:txbx>
                        <w:txbxContent>
                          <w:p w14:paraId="5739F4E1" w14:textId="3BAD8A16" w:rsidR="00830EC6" w:rsidRPr="00DB6754" w:rsidRDefault="00830EC6" w:rsidP="00961E11">
                            <w:pPr>
                              <w:pStyle w:val="tekstzboku"/>
                              <w:spacing w:before="100" w:beforeAutospacing="1"/>
                            </w:pPr>
                            <w:r>
                              <w:rPr>
                                <w:szCs w:val="19"/>
                              </w:rPr>
                              <w:t>P</w:t>
                            </w:r>
                            <w:r w:rsidRPr="00E922B8">
                              <w:rPr>
                                <w:szCs w:val="19"/>
                              </w:rPr>
                              <w:t>rzeciętny czas</w:t>
                            </w:r>
                            <w:r>
                              <w:rPr>
                                <w:szCs w:val="19"/>
                              </w:rPr>
                              <w:t xml:space="preserve">, od którego osoby bezrobotne </w:t>
                            </w:r>
                            <w:r w:rsidRPr="00E922B8">
                              <w:rPr>
                                <w:szCs w:val="19"/>
                              </w:rPr>
                              <w:t>poszukiwa</w:t>
                            </w:r>
                            <w:r>
                              <w:rPr>
                                <w:szCs w:val="19"/>
                              </w:rPr>
                              <w:t>ły</w:t>
                            </w:r>
                            <w:r w:rsidRPr="00E922B8">
                              <w:rPr>
                                <w:szCs w:val="19"/>
                              </w:rPr>
                              <w:t xml:space="preserve"> pracy </w:t>
                            </w:r>
                            <w:r w:rsidR="00B55EDF">
                              <w:rPr>
                                <w:szCs w:val="19"/>
                              </w:rPr>
                              <w:t>w</w:t>
                            </w:r>
                            <w:r w:rsidR="00A621A9">
                              <w:rPr>
                                <w:szCs w:val="19"/>
                              </w:rPr>
                              <w:t> </w:t>
                            </w:r>
                            <w:r w:rsidR="007C5255">
                              <w:rPr>
                                <w:szCs w:val="19"/>
                              </w:rPr>
                              <w:t>2</w:t>
                            </w:r>
                            <w:r w:rsidR="00A621A9">
                              <w:rPr>
                                <w:szCs w:val="19"/>
                              </w:rPr>
                              <w:t> </w:t>
                            </w:r>
                            <w:r w:rsidR="00B55EDF">
                              <w:rPr>
                                <w:szCs w:val="19"/>
                              </w:rPr>
                              <w:t xml:space="preserve">kwartale 2024 r. </w:t>
                            </w:r>
                            <w:r w:rsidRPr="00E922B8">
                              <w:rPr>
                                <w:szCs w:val="19"/>
                              </w:rPr>
                              <w:t>wyn</w:t>
                            </w:r>
                            <w:r>
                              <w:rPr>
                                <w:szCs w:val="19"/>
                              </w:rPr>
                              <w:t>iósł</w:t>
                            </w:r>
                            <w:r w:rsidRPr="00E922B8">
                              <w:rPr>
                                <w:szCs w:val="19"/>
                              </w:rPr>
                              <w:t xml:space="preserve"> </w:t>
                            </w:r>
                            <w:r w:rsidR="00D505DC">
                              <w:rPr>
                                <w:szCs w:val="19"/>
                              </w:rPr>
                              <w:t>7,</w:t>
                            </w:r>
                            <w:r w:rsidR="007C5255">
                              <w:rPr>
                                <w:szCs w:val="19"/>
                              </w:rPr>
                              <w:t>5</w:t>
                            </w:r>
                            <w:r w:rsidRPr="00E922B8">
                              <w:rPr>
                                <w:szCs w:val="19"/>
                              </w:rPr>
                              <w:t xml:space="preserve"> miesiąca</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3F0B4" id="_x0000_s1037" type="#_x0000_t202" alt="Przeciętny czas, od którego osoby bezrobotne poszukiwały pracy w 2 kwartale 2024 r. wyniósł 7,5 miesiąca" style="position:absolute;margin-left:454pt;margin-top:6.45pt;width:128.95pt;height:65.55pt;z-index:-2514718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" filled="f" stroked="f">
                <v:textbox inset=",0">
                  <w:txbxContent>
                    <w:p w14:paraId="5739F4E1" w14:textId="3BAD8A16" w:rsidR="00830EC6" w:rsidRPr="00DB6754" w:rsidRDefault="00830EC6" w:rsidP="00961E11">
                      <w:pPr>
                        <w:pStyle w:val="tekstzboku"/>
                        <w:spacing w:before="100" w:beforeAutospacing="1"/>
                      </w:pPr>
                      <w:r>
                        <w:rPr>
                          <w:szCs w:val="19"/>
                        </w:rPr>
                        <w:t>P</w:t>
                      </w:r>
                      <w:r w:rsidRPr="00E922B8">
                        <w:rPr>
                          <w:szCs w:val="19"/>
                        </w:rPr>
                        <w:t>rzeciętny czas</w:t>
                      </w:r>
                      <w:r>
                        <w:rPr>
                          <w:szCs w:val="19"/>
                        </w:rPr>
                        <w:t xml:space="preserve">, od którego osoby bezrobotne </w:t>
                      </w:r>
                      <w:r w:rsidRPr="00E922B8">
                        <w:rPr>
                          <w:szCs w:val="19"/>
                        </w:rPr>
                        <w:t>poszukiwa</w:t>
                      </w:r>
                      <w:r>
                        <w:rPr>
                          <w:szCs w:val="19"/>
                        </w:rPr>
                        <w:t>ły</w:t>
                      </w:r>
                      <w:r w:rsidRPr="00E922B8">
                        <w:rPr>
                          <w:szCs w:val="19"/>
                        </w:rPr>
                        <w:t xml:space="preserve"> pracy </w:t>
                      </w:r>
                      <w:r w:rsidR="00B55EDF">
                        <w:rPr>
                          <w:szCs w:val="19"/>
                        </w:rPr>
                        <w:t>w</w:t>
                      </w:r>
                      <w:r w:rsidR="00A621A9">
                        <w:rPr>
                          <w:szCs w:val="19"/>
                        </w:rPr>
                        <w:t> </w:t>
                      </w:r>
                      <w:r w:rsidR="007C5255">
                        <w:rPr>
                          <w:szCs w:val="19"/>
                        </w:rPr>
                        <w:t>2</w:t>
                      </w:r>
                      <w:r w:rsidR="00A621A9">
                        <w:rPr>
                          <w:szCs w:val="19"/>
                        </w:rPr>
                        <w:t> </w:t>
                      </w:r>
                      <w:r w:rsidR="00B55EDF">
                        <w:rPr>
                          <w:szCs w:val="19"/>
                        </w:rPr>
                        <w:t xml:space="preserve">kwartale 2024 r. </w:t>
                      </w:r>
                      <w:r w:rsidRPr="00E922B8">
                        <w:rPr>
                          <w:szCs w:val="19"/>
                        </w:rPr>
                        <w:t>wyn</w:t>
                      </w:r>
                      <w:r>
                        <w:rPr>
                          <w:szCs w:val="19"/>
                        </w:rPr>
                        <w:t>iósł</w:t>
                      </w:r>
                      <w:r w:rsidRPr="00E922B8">
                        <w:rPr>
                          <w:szCs w:val="19"/>
                        </w:rPr>
                        <w:t xml:space="preserve"> </w:t>
                      </w:r>
                      <w:r w:rsidR="00D505DC">
                        <w:rPr>
                          <w:szCs w:val="19"/>
                        </w:rPr>
                        <w:t>7,</w:t>
                      </w:r>
                      <w:r w:rsidR="007C5255">
                        <w:rPr>
                          <w:szCs w:val="19"/>
                        </w:rPr>
                        <w:t>5</w:t>
                      </w:r>
                      <w:r w:rsidRPr="00E922B8">
                        <w:rPr>
                          <w:szCs w:val="19"/>
                        </w:rPr>
                        <w:t xml:space="preserve"> miesiąca</w:t>
                      </w:r>
                    </w:p>
                  </w:txbxContent>
                </v:textbox>
                <w10:wrap type="tight" anchorx="page"/>
              </v:shape>
            </w:pict>
          </mc:Fallback>
        </mc:AlternateContent>
      </w:r>
      <w:r w:rsidR="00E315FE" w:rsidRPr="00A70D1B">
        <w:rPr>
          <w:rFonts w:eastAsia="Times New Roman" w:cs="Times New Roman"/>
          <w:szCs w:val="19"/>
          <w:lang w:eastAsia="pl-PL"/>
        </w:rPr>
        <w:t xml:space="preserve">W </w:t>
      </w:r>
      <w:r w:rsidR="00443152" w:rsidRPr="00A70D1B">
        <w:rPr>
          <w:rFonts w:eastAsia="Times New Roman" w:cs="Times New Roman"/>
          <w:szCs w:val="19"/>
          <w:lang w:eastAsia="pl-PL"/>
        </w:rPr>
        <w:t>2</w:t>
      </w:r>
      <w:r w:rsidR="0062149F" w:rsidRPr="00A70D1B">
        <w:rPr>
          <w:rFonts w:eastAsia="Times New Roman" w:cs="Times New Roman"/>
          <w:szCs w:val="19"/>
          <w:lang w:eastAsia="pl-PL"/>
        </w:rPr>
        <w:t xml:space="preserve"> </w:t>
      </w:r>
      <w:r w:rsidR="003E212F" w:rsidRPr="00A70D1B">
        <w:rPr>
          <w:rFonts w:eastAsia="Times New Roman" w:cs="Times New Roman"/>
          <w:szCs w:val="19"/>
          <w:lang w:eastAsia="pl-PL"/>
        </w:rPr>
        <w:t>kwartale 202</w:t>
      </w:r>
      <w:r w:rsidR="005D7525" w:rsidRPr="00A70D1B">
        <w:rPr>
          <w:rFonts w:eastAsia="Times New Roman" w:cs="Times New Roman"/>
          <w:szCs w:val="19"/>
          <w:lang w:eastAsia="pl-PL"/>
        </w:rPr>
        <w:t>4</w:t>
      </w:r>
      <w:r w:rsidR="003E212F" w:rsidRPr="00A70D1B">
        <w:rPr>
          <w:rFonts w:eastAsia="Times New Roman" w:cs="Times New Roman"/>
          <w:szCs w:val="19"/>
          <w:lang w:eastAsia="pl-PL"/>
        </w:rPr>
        <w:t xml:space="preserve"> r.</w:t>
      </w:r>
      <w:r w:rsidR="00E315FE" w:rsidRPr="00A70D1B">
        <w:rPr>
          <w:rFonts w:eastAsia="Times New Roman" w:cs="Times New Roman"/>
          <w:szCs w:val="19"/>
          <w:lang w:eastAsia="pl-PL"/>
        </w:rPr>
        <w:t xml:space="preserve"> </w:t>
      </w:r>
      <w:r w:rsidR="00B5057A" w:rsidRPr="00A70D1B">
        <w:rPr>
          <w:rFonts w:eastAsia="Times New Roman" w:cs="Times New Roman"/>
          <w:szCs w:val="19"/>
          <w:lang w:eastAsia="pl-PL"/>
        </w:rPr>
        <w:t xml:space="preserve">osoby bezrobotne poszukiwały pracy </w:t>
      </w:r>
      <w:r w:rsidR="00E315FE" w:rsidRPr="00A70D1B">
        <w:rPr>
          <w:rFonts w:eastAsia="Times New Roman" w:cs="Times New Roman"/>
          <w:szCs w:val="19"/>
          <w:lang w:eastAsia="pl-PL"/>
        </w:rPr>
        <w:t>przeciętn</w:t>
      </w:r>
      <w:r w:rsidR="00B5057A" w:rsidRPr="00A70D1B">
        <w:rPr>
          <w:rFonts w:eastAsia="Times New Roman" w:cs="Times New Roman"/>
          <w:szCs w:val="19"/>
          <w:lang w:eastAsia="pl-PL"/>
        </w:rPr>
        <w:t>ie</w:t>
      </w:r>
      <w:r w:rsidR="00D61715" w:rsidRPr="00A70D1B">
        <w:rPr>
          <w:rStyle w:val="Odwoanieprzypisudolnego"/>
          <w:rFonts w:eastAsia="Times New Roman" w:cs="Times New Roman"/>
          <w:szCs w:val="19"/>
          <w:lang w:eastAsia="pl-PL"/>
        </w:rPr>
        <w:footnoteReference w:id="6"/>
      </w:r>
      <w:r w:rsidR="00E315FE" w:rsidRPr="00A70D1B">
        <w:rPr>
          <w:rFonts w:eastAsia="Times New Roman" w:cs="Times New Roman"/>
          <w:szCs w:val="19"/>
          <w:lang w:eastAsia="pl-PL"/>
        </w:rPr>
        <w:t xml:space="preserve"> </w:t>
      </w:r>
      <w:r w:rsidR="005D7525" w:rsidRPr="00A70D1B">
        <w:rPr>
          <w:rFonts w:eastAsia="Times New Roman" w:cs="Times New Roman"/>
          <w:szCs w:val="19"/>
          <w:lang w:eastAsia="pl-PL"/>
        </w:rPr>
        <w:t>7,</w:t>
      </w:r>
      <w:r w:rsidR="00443152" w:rsidRPr="00A70D1B">
        <w:rPr>
          <w:rFonts w:eastAsia="Times New Roman" w:cs="Times New Roman"/>
          <w:szCs w:val="19"/>
          <w:lang w:eastAsia="pl-PL"/>
        </w:rPr>
        <w:t>5</w:t>
      </w:r>
      <w:r w:rsidR="003A2BEE" w:rsidRPr="00A70D1B">
        <w:rPr>
          <w:rFonts w:eastAsia="Times New Roman" w:cs="Times New Roman"/>
          <w:szCs w:val="19"/>
          <w:lang w:eastAsia="pl-PL"/>
        </w:rPr>
        <w:t> </w:t>
      </w:r>
      <w:r w:rsidR="00E315FE" w:rsidRPr="00A70D1B">
        <w:rPr>
          <w:rFonts w:eastAsia="Times New Roman" w:cs="Times New Roman"/>
          <w:szCs w:val="19"/>
          <w:lang w:eastAsia="pl-PL"/>
        </w:rPr>
        <w:t>miesiąca (</w:t>
      </w:r>
      <w:r w:rsidR="00D727F9" w:rsidRPr="00A70D1B">
        <w:rPr>
          <w:rFonts w:eastAsia="Times New Roman" w:cs="Times New Roman"/>
          <w:szCs w:val="19"/>
          <w:lang w:eastAsia="pl-PL"/>
        </w:rPr>
        <w:t>w</w:t>
      </w:r>
      <w:r w:rsidR="00545745" w:rsidRPr="00A70D1B">
        <w:rPr>
          <w:rFonts w:eastAsia="Times New Roman" w:cs="Times New Roman"/>
          <w:szCs w:val="19"/>
          <w:lang w:eastAsia="pl-PL"/>
        </w:rPr>
        <w:t> </w:t>
      </w:r>
      <w:r w:rsidR="00D727F9" w:rsidRPr="00A70D1B">
        <w:rPr>
          <w:rFonts w:eastAsia="Times New Roman" w:cs="Times New Roman"/>
          <w:szCs w:val="19"/>
          <w:lang w:eastAsia="pl-PL"/>
        </w:rPr>
        <w:t xml:space="preserve">poprzednim </w:t>
      </w:r>
      <w:r w:rsidR="00E315FE" w:rsidRPr="00A70D1B">
        <w:rPr>
          <w:rFonts w:eastAsia="Times New Roman" w:cs="Times New Roman"/>
          <w:szCs w:val="19"/>
          <w:lang w:eastAsia="pl-PL"/>
        </w:rPr>
        <w:t>kwartale</w:t>
      </w:r>
      <w:r w:rsidR="003A2BEE" w:rsidRPr="00A70D1B">
        <w:rPr>
          <w:rFonts w:eastAsia="Times New Roman" w:cs="Times New Roman"/>
          <w:szCs w:val="19"/>
          <w:lang w:eastAsia="pl-PL"/>
        </w:rPr>
        <w:t xml:space="preserve"> </w:t>
      </w:r>
      <w:r w:rsidR="00443152" w:rsidRPr="00A70D1B">
        <w:rPr>
          <w:rFonts w:eastAsia="Times New Roman" w:cs="Times New Roman"/>
          <w:szCs w:val="19"/>
          <w:lang w:eastAsia="pl-PL"/>
        </w:rPr>
        <w:t>7,8</w:t>
      </w:r>
      <w:r w:rsidR="00D727F9" w:rsidRPr="00A70D1B">
        <w:rPr>
          <w:rFonts w:eastAsia="Times New Roman" w:cs="Times New Roman"/>
          <w:szCs w:val="19"/>
          <w:lang w:eastAsia="pl-PL"/>
        </w:rPr>
        <w:t xml:space="preserve"> miesiąca</w:t>
      </w:r>
      <w:r w:rsidR="003F23AC" w:rsidRPr="00A70D1B">
        <w:rPr>
          <w:rFonts w:eastAsia="Times New Roman" w:cs="Times New Roman"/>
          <w:szCs w:val="19"/>
          <w:lang w:eastAsia="pl-PL"/>
        </w:rPr>
        <w:t xml:space="preserve">, w </w:t>
      </w:r>
      <w:r w:rsidR="00443152" w:rsidRPr="00A70D1B">
        <w:rPr>
          <w:rFonts w:eastAsia="Times New Roman" w:cs="Times New Roman"/>
          <w:szCs w:val="19"/>
          <w:lang w:eastAsia="pl-PL"/>
        </w:rPr>
        <w:t>2</w:t>
      </w:r>
      <w:r w:rsidR="003A2BEE" w:rsidRPr="00A70D1B">
        <w:rPr>
          <w:rFonts w:eastAsia="Times New Roman" w:cs="Times New Roman"/>
          <w:szCs w:val="19"/>
          <w:lang w:eastAsia="pl-PL"/>
        </w:rPr>
        <w:t xml:space="preserve"> </w:t>
      </w:r>
      <w:r w:rsidR="003F23AC" w:rsidRPr="00A70D1B">
        <w:rPr>
          <w:rFonts w:eastAsia="Times New Roman" w:cs="Times New Roman"/>
          <w:szCs w:val="19"/>
          <w:lang w:eastAsia="pl-PL"/>
        </w:rPr>
        <w:t>kwartale 202</w:t>
      </w:r>
      <w:r w:rsidR="005D7525" w:rsidRPr="00A70D1B">
        <w:rPr>
          <w:rFonts w:eastAsia="Times New Roman" w:cs="Times New Roman"/>
          <w:szCs w:val="19"/>
          <w:lang w:eastAsia="pl-PL"/>
        </w:rPr>
        <w:t>3</w:t>
      </w:r>
      <w:r w:rsidR="003F23AC" w:rsidRPr="00A70D1B">
        <w:rPr>
          <w:rFonts w:eastAsia="Times New Roman" w:cs="Times New Roman"/>
          <w:szCs w:val="19"/>
          <w:lang w:eastAsia="pl-PL"/>
        </w:rPr>
        <w:t xml:space="preserve"> r. – </w:t>
      </w:r>
      <w:r w:rsidR="00443152" w:rsidRPr="00A70D1B">
        <w:rPr>
          <w:rFonts w:eastAsia="Times New Roman" w:cs="Times New Roman"/>
          <w:szCs w:val="19"/>
          <w:lang w:eastAsia="pl-PL"/>
        </w:rPr>
        <w:t>7,6</w:t>
      </w:r>
      <w:r w:rsidR="003F23AC" w:rsidRPr="00A70D1B">
        <w:rPr>
          <w:rFonts w:eastAsia="Times New Roman" w:cs="Times New Roman"/>
          <w:szCs w:val="19"/>
          <w:lang w:eastAsia="pl-PL"/>
        </w:rPr>
        <w:t xml:space="preserve"> miesiąca</w:t>
      </w:r>
      <w:r w:rsidR="00E315FE" w:rsidRPr="00A70D1B">
        <w:rPr>
          <w:rFonts w:eastAsia="Times New Roman" w:cs="Times New Roman"/>
          <w:szCs w:val="19"/>
          <w:lang w:eastAsia="pl-PL"/>
        </w:rPr>
        <w:t xml:space="preserve">). Najdłużej pracy </w:t>
      </w:r>
      <w:r w:rsidR="0058411C" w:rsidRPr="00A70D1B">
        <w:rPr>
          <w:rFonts w:eastAsia="Times New Roman" w:cs="Times New Roman"/>
          <w:szCs w:val="19"/>
          <w:lang w:eastAsia="pl-PL"/>
        </w:rPr>
        <w:t xml:space="preserve">przeciętnie </w:t>
      </w:r>
      <w:r w:rsidR="00E315FE" w:rsidRPr="00A70D1B">
        <w:rPr>
          <w:rFonts w:eastAsia="Times New Roman" w:cs="Times New Roman"/>
          <w:szCs w:val="19"/>
          <w:lang w:eastAsia="pl-PL"/>
        </w:rPr>
        <w:t>poszukiwały osoby</w:t>
      </w:r>
      <w:r w:rsidR="00971108" w:rsidRPr="00A70D1B">
        <w:rPr>
          <w:rFonts w:eastAsia="Times New Roman" w:cs="Times New Roman"/>
          <w:szCs w:val="19"/>
          <w:lang w:eastAsia="pl-PL"/>
        </w:rPr>
        <w:t xml:space="preserve"> </w:t>
      </w:r>
      <w:r w:rsidR="00E315FE" w:rsidRPr="00A70D1B">
        <w:rPr>
          <w:rFonts w:eastAsia="Times New Roman" w:cs="Times New Roman"/>
          <w:szCs w:val="19"/>
          <w:lang w:eastAsia="pl-PL"/>
        </w:rPr>
        <w:t xml:space="preserve">w wieku </w:t>
      </w:r>
      <w:r w:rsidR="005D7525" w:rsidRPr="00A70D1B">
        <w:rPr>
          <w:rFonts w:eastAsia="Times New Roman" w:cs="Times New Roman"/>
          <w:szCs w:val="19"/>
          <w:lang w:eastAsia="pl-PL"/>
        </w:rPr>
        <w:t>55-74</w:t>
      </w:r>
      <w:r w:rsidR="00D727F9" w:rsidRPr="00A70D1B">
        <w:rPr>
          <w:rFonts w:eastAsia="Times New Roman" w:cs="Times New Roman"/>
          <w:szCs w:val="19"/>
          <w:lang w:eastAsia="pl-PL"/>
        </w:rPr>
        <w:t xml:space="preserve"> lata</w:t>
      </w:r>
      <w:r w:rsidR="00E315FE" w:rsidRPr="00A70D1B">
        <w:rPr>
          <w:rFonts w:eastAsia="Times New Roman" w:cs="Times New Roman"/>
          <w:szCs w:val="19"/>
          <w:lang w:eastAsia="pl-PL"/>
        </w:rPr>
        <w:t xml:space="preserve"> (1</w:t>
      </w:r>
      <w:r w:rsidR="005F6C19" w:rsidRPr="00A70D1B">
        <w:rPr>
          <w:rFonts w:eastAsia="Times New Roman" w:cs="Times New Roman"/>
          <w:szCs w:val="19"/>
          <w:lang w:eastAsia="pl-PL"/>
        </w:rPr>
        <w:t>1,1</w:t>
      </w:r>
      <w:r w:rsidR="003A2BEE" w:rsidRPr="00A70D1B">
        <w:rPr>
          <w:rFonts w:eastAsia="Times New Roman" w:cs="Times New Roman"/>
          <w:szCs w:val="19"/>
          <w:lang w:eastAsia="pl-PL"/>
        </w:rPr>
        <w:t xml:space="preserve"> </w:t>
      </w:r>
      <w:r w:rsidR="00E315FE" w:rsidRPr="00A70D1B">
        <w:rPr>
          <w:rFonts w:eastAsia="Times New Roman" w:cs="Times New Roman"/>
          <w:szCs w:val="19"/>
          <w:lang w:eastAsia="pl-PL"/>
        </w:rPr>
        <w:t>miesiąca)</w:t>
      </w:r>
      <w:r w:rsidR="00AD6DAA" w:rsidRPr="00A70D1B">
        <w:rPr>
          <w:rFonts w:eastAsia="Times New Roman" w:cs="Times New Roman"/>
          <w:szCs w:val="19"/>
          <w:lang w:eastAsia="pl-PL"/>
        </w:rPr>
        <w:t xml:space="preserve"> </w:t>
      </w:r>
      <w:r w:rsidR="00AB729F" w:rsidRPr="00A70D1B">
        <w:rPr>
          <w:rFonts w:eastAsia="Times New Roman" w:cs="Times New Roman"/>
          <w:szCs w:val="19"/>
          <w:lang w:eastAsia="pl-PL"/>
        </w:rPr>
        <w:t xml:space="preserve">oraz w wieku </w:t>
      </w:r>
      <w:r w:rsidR="0018220D" w:rsidRPr="00A70D1B">
        <w:rPr>
          <w:rFonts w:eastAsia="Times New Roman" w:cs="Times New Roman"/>
          <w:szCs w:val="19"/>
          <w:lang w:eastAsia="pl-PL"/>
        </w:rPr>
        <w:t>35-44</w:t>
      </w:r>
      <w:r w:rsidR="00AB729F" w:rsidRPr="00A70D1B">
        <w:rPr>
          <w:rFonts w:eastAsia="Times New Roman" w:cs="Times New Roman"/>
          <w:szCs w:val="19"/>
          <w:lang w:eastAsia="pl-PL"/>
        </w:rPr>
        <w:t xml:space="preserve"> lata </w:t>
      </w:r>
      <w:r w:rsidR="00E315FE" w:rsidRPr="00A70D1B">
        <w:rPr>
          <w:rFonts w:eastAsia="Times New Roman" w:cs="Times New Roman"/>
          <w:szCs w:val="19"/>
          <w:lang w:eastAsia="pl-PL"/>
        </w:rPr>
        <w:t>(</w:t>
      </w:r>
      <w:r w:rsidR="0018220D" w:rsidRPr="00A70D1B">
        <w:rPr>
          <w:rFonts w:eastAsia="Times New Roman" w:cs="Times New Roman"/>
          <w:szCs w:val="19"/>
          <w:lang w:eastAsia="pl-PL"/>
        </w:rPr>
        <w:t>7,8</w:t>
      </w:r>
      <w:r w:rsidR="00693FFC" w:rsidRPr="00A70D1B">
        <w:rPr>
          <w:rFonts w:eastAsia="Times New Roman" w:cs="Times New Roman"/>
          <w:szCs w:val="19"/>
          <w:lang w:eastAsia="pl-PL"/>
        </w:rPr>
        <w:t> </w:t>
      </w:r>
      <w:r w:rsidR="00E315FE" w:rsidRPr="00A70D1B">
        <w:rPr>
          <w:rFonts w:eastAsia="Times New Roman" w:cs="Times New Roman"/>
          <w:szCs w:val="19"/>
          <w:lang w:eastAsia="pl-PL"/>
        </w:rPr>
        <w:t>miesiąc</w:t>
      </w:r>
      <w:r w:rsidR="00AB729F" w:rsidRPr="00A70D1B">
        <w:rPr>
          <w:rFonts w:eastAsia="Times New Roman" w:cs="Times New Roman"/>
          <w:szCs w:val="19"/>
          <w:lang w:eastAsia="pl-PL"/>
        </w:rPr>
        <w:t>a)</w:t>
      </w:r>
      <w:r w:rsidR="0018220D" w:rsidRPr="00A70D1B">
        <w:rPr>
          <w:rFonts w:eastAsia="Times New Roman" w:cs="Times New Roman"/>
          <w:szCs w:val="19"/>
          <w:lang w:eastAsia="pl-PL"/>
        </w:rPr>
        <w:t xml:space="preserve"> i 45-54 lata (7,7 miesiąca),</w:t>
      </w:r>
      <w:r w:rsidR="00971108" w:rsidRPr="00A70D1B">
        <w:rPr>
          <w:rFonts w:eastAsia="Times New Roman" w:cs="Times New Roman"/>
          <w:szCs w:val="19"/>
          <w:lang w:eastAsia="pl-PL"/>
        </w:rPr>
        <w:t xml:space="preserve"> </w:t>
      </w:r>
      <w:r w:rsidR="00E315FE" w:rsidRPr="00A70D1B">
        <w:rPr>
          <w:rFonts w:eastAsia="Times New Roman" w:cs="Times New Roman"/>
          <w:szCs w:val="19"/>
          <w:lang w:eastAsia="pl-PL"/>
        </w:rPr>
        <w:t xml:space="preserve">najkrócej natomiast </w:t>
      </w:r>
      <w:r w:rsidR="00F05F07" w:rsidRPr="00A70D1B">
        <w:rPr>
          <w:rFonts w:eastAsia="Times New Roman" w:cs="Times New Roman"/>
          <w:szCs w:val="19"/>
          <w:lang w:eastAsia="pl-PL"/>
        </w:rPr>
        <w:t xml:space="preserve">– </w:t>
      </w:r>
      <w:r w:rsidR="00E315FE" w:rsidRPr="00A70D1B">
        <w:rPr>
          <w:rFonts w:eastAsia="Times New Roman" w:cs="Times New Roman"/>
          <w:szCs w:val="19"/>
          <w:lang w:eastAsia="pl-PL"/>
        </w:rPr>
        <w:t xml:space="preserve">osoby najmłodsze w wieku </w:t>
      </w:r>
      <w:r w:rsidR="00E41577" w:rsidRPr="00A70D1B">
        <w:rPr>
          <w:rFonts w:eastAsia="Times New Roman" w:cs="Times New Roman"/>
          <w:szCs w:val="19"/>
          <w:lang w:eastAsia="pl-PL"/>
        </w:rPr>
        <w:br/>
      </w:r>
      <w:r w:rsidR="0018220D" w:rsidRPr="00A70D1B">
        <w:rPr>
          <w:rFonts w:eastAsia="Times New Roman" w:cs="Times New Roman"/>
          <w:szCs w:val="19"/>
          <w:lang w:eastAsia="pl-PL"/>
        </w:rPr>
        <w:t>15-19</w:t>
      </w:r>
      <w:r w:rsidR="005D7525" w:rsidRPr="00A70D1B">
        <w:rPr>
          <w:rFonts w:eastAsia="Times New Roman" w:cs="Times New Roman"/>
          <w:szCs w:val="19"/>
          <w:lang w:eastAsia="pl-PL"/>
        </w:rPr>
        <w:t xml:space="preserve"> lat (</w:t>
      </w:r>
      <w:r w:rsidR="0018220D" w:rsidRPr="00A70D1B">
        <w:rPr>
          <w:rFonts w:eastAsia="Times New Roman" w:cs="Times New Roman"/>
          <w:szCs w:val="19"/>
          <w:lang w:eastAsia="pl-PL"/>
        </w:rPr>
        <w:t>4,3</w:t>
      </w:r>
      <w:r w:rsidR="005D7525" w:rsidRPr="00A70D1B">
        <w:rPr>
          <w:rFonts w:eastAsia="Times New Roman" w:cs="Times New Roman"/>
          <w:szCs w:val="19"/>
          <w:lang w:eastAsia="pl-PL"/>
        </w:rPr>
        <w:t xml:space="preserve"> miesiąca) oraz </w:t>
      </w:r>
      <w:r w:rsidR="0018220D" w:rsidRPr="00A70D1B">
        <w:rPr>
          <w:rFonts w:eastAsia="Times New Roman" w:cs="Times New Roman"/>
          <w:szCs w:val="19"/>
          <w:lang w:eastAsia="pl-PL"/>
        </w:rPr>
        <w:t>20-24</w:t>
      </w:r>
      <w:r w:rsidR="00E315FE" w:rsidRPr="00A70D1B">
        <w:rPr>
          <w:rFonts w:eastAsia="Times New Roman" w:cs="Times New Roman"/>
          <w:szCs w:val="19"/>
          <w:lang w:eastAsia="pl-PL"/>
        </w:rPr>
        <w:t xml:space="preserve"> lat</w:t>
      </w:r>
      <w:r w:rsidR="0018220D" w:rsidRPr="00A70D1B">
        <w:rPr>
          <w:rFonts w:eastAsia="Times New Roman" w:cs="Times New Roman"/>
          <w:szCs w:val="19"/>
          <w:lang w:eastAsia="pl-PL"/>
        </w:rPr>
        <w:t>a</w:t>
      </w:r>
      <w:r w:rsidR="00E315FE" w:rsidRPr="00A70D1B">
        <w:rPr>
          <w:rFonts w:eastAsia="Times New Roman" w:cs="Times New Roman"/>
          <w:szCs w:val="19"/>
          <w:lang w:eastAsia="pl-PL"/>
        </w:rPr>
        <w:t xml:space="preserve"> (</w:t>
      </w:r>
      <w:r w:rsidR="00525383" w:rsidRPr="00A70D1B">
        <w:rPr>
          <w:rFonts w:eastAsia="Times New Roman" w:cs="Times New Roman"/>
          <w:szCs w:val="19"/>
          <w:lang w:eastAsia="pl-PL"/>
        </w:rPr>
        <w:t>5,</w:t>
      </w:r>
      <w:r w:rsidR="0018220D" w:rsidRPr="00A70D1B">
        <w:rPr>
          <w:rFonts w:eastAsia="Times New Roman" w:cs="Times New Roman"/>
          <w:szCs w:val="19"/>
          <w:lang w:eastAsia="pl-PL"/>
        </w:rPr>
        <w:t>6</w:t>
      </w:r>
      <w:r w:rsidR="00DC5679" w:rsidRPr="00A70D1B">
        <w:rPr>
          <w:rFonts w:eastAsia="Times New Roman" w:cs="Times New Roman"/>
          <w:szCs w:val="19"/>
          <w:lang w:eastAsia="pl-PL"/>
        </w:rPr>
        <w:t> </w:t>
      </w:r>
      <w:r w:rsidR="00E315FE" w:rsidRPr="00A70D1B">
        <w:rPr>
          <w:rFonts w:eastAsia="Times New Roman" w:cs="Times New Roman"/>
          <w:szCs w:val="19"/>
          <w:lang w:eastAsia="pl-PL"/>
        </w:rPr>
        <w:t>miesiąca).</w:t>
      </w:r>
    </w:p>
    <w:p w14:paraId="10BFF316" w14:textId="52629F2D" w:rsidR="00860F41" w:rsidRPr="00A70D1B" w:rsidRDefault="00EB3B41" w:rsidP="00EB3B41">
      <w:pPr>
        <w:spacing w:before="0" w:after="160" w:line="259" w:lineRule="auto"/>
        <w:rPr>
          <w:rFonts w:eastAsia="Times New Roman" w:cs="Times New Roman"/>
          <w:szCs w:val="19"/>
          <w:lang w:eastAsia="pl-PL"/>
        </w:rPr>
      </w:pPr>
      <w:r w:rsidRPr="00A70D1B">
        <w:rPr>
          <w:noProof/>
          <w:lang w:eastAsia="pl-PL"/>
        </w:rPr>
        <w:lastRenderedPageBreak/>
        <mc:AlternateContent>
          <mc:Choice Requires="wps">
            <w:drawing>
              <wp:anchor distT="45720" distB="45720" distL="114300" distR="114300" simplePos="0" relativeHeight="251776000" behindDoc="0" locked="0" layoutInCell="1" allowOverlap="1" wp14:anchorId="1BB9A621" wp14:editId="03553800">
                <wp:simplePos x="0" y="0"/>
                <wp:positionH relativeFrom="margin">
                  <wp:align>left</wp:align>
                </wp:positionH>
                <wp:positionV relativeFrom="paragraph">
                  <wp:posOffset>29845</wp:posOffset>
                </wp:positionV>
                <wp:extent cx="2200275" cy="1384935"/>
                <wp:effectExtent l="0" t="0" r="9525" b="5715"/>
                <wp:wrapSquare wrapText="bothSides"/>
                <wp:docPr id="26" name="Pole tekstowe 2" descr="Udział osób biernych zawodowo wśród ogółu ludności w wieku 15–89 lat - 4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384935"/>
                        </a:xfrm>
                        <a:prstGeom prst="roundRect">
                          <a:avLst/>
                        </a:prstGeom>
                        <a:solidFill>
                          <a:srgbClr val="001D77"/>
                        </a:solidFill>
                        <a:ln w="9525">
                          <a:noFill/>
                          <a:miter lim="800000"/>
                          <a:headEnd/>
                          <a:tailEnd/>
                        </a:ln>
                      </wps:spPr>
                      <wps:txbx>
                        <w:txbxContent>
                          <w:p w14:paraId="3A880EC7" w14:textId="2EDAE675" w:rsidR="00830EC6" w:rsidRPr="00CE4896" w:rsidRDefault="00830EC6" w:rsidP="00577E10">
                            <w:pPr>
                              <w:spacing w:after="0" w:line="240" w:lineRule="auto"/>
                              <w:jc w:val="center"/>
                              <w:rPr>
                                <w:rFonts w:ascii="Fira Sans SemiBold" w:hAnsi="Fira Sans SemiBold"/>
                                <w:color w:val="FFFFFF" w:themeColor="background1"/>
                                <w:sz w:val="72"/>
                              </w:rPr>
                            </w:pPr>
                            <w:r w:rsidRPr="00CE4896">
                              <w:rPr>
                                <w:rFonts w:ascii="Fira Sans SemiBold" w:hAnsi="Fira Sans SemiBold"/>
                                <w:color w:val="FFFFFF" w:themeColor="background1"/>
                                <w:sz w:val="72"/>
                              </w:rPr>
                              <w:t>4</w:t>
                            </w:r>
                            <w:r>
                              <w:rPr>
                                <w:rFonts w:ascii="Fira Sans SemiBold" w:hAnsi="Fira Sans SemiBold"/>
                                <w:color w:val="FFFFFF" w:themeColor="background1"/>
                                <w:sz w:val="72"/>
                              </w:rPr>
                              <w:t>1,</w:t>
                            </w:r>
                            <w:r w:rsidR="00F06379">
                              <w:rPr>
                                <w:rFonts w:ascii="Fira Sans SemiBold" w:hAnsi="Fira Sans SemiBold"/>
                                <w:color w:val="FFFFFF" w:themeColor="background1"/>
                                <w:sz w:val="72"/>
                              </w:rPr>
                              <w:t>7</w:t>
                            </w:r>
                            <w:r w:rsidRPr="00CE4896">
                              <w:rPr>
                                <w:rFonts w:ascii="Fira Sans SemiBold" w:hAnsi="Fira Sans SemiBold"/>
                                <w:color w:val="FFFFFF" w:themeColor="background1"/>
                                <w:sz w:val="72"/>
                              </w:rPr>
                              <w:t>%</w:t>
                            </w:r>
                          </w:p>
                          <w:p w14:paraId="10ABB818" w14:textId="77777777" w:rsidR="00830EC6" w:rsidRDefault="00830EC6" w:rsidP="00577E10">
                            <w:pPr>
                              <w:pStyle w:val="Opiswskanika"/>
                              <w:spacing w:before="120"/>
                              <w:jc w:val="center"/>
                            </w:pPr>
                            <w:r>
                              <w:t>Udział osób biernych zawodowo wśród ogółu ludności w wieku</w:t>
                            </w:r>
                          </w:p>
                          <w:p w14:paraId="26C2355B" w14:textId="77777777" w:rsidR="00830EC6" w:rsidRPr="00504397" w:rsidRDefault="00830EC6" w:rsidP="00577E10">
                            <w:pPr>
                              <w:pStyle w:val="Opiswskanika"/>
                              <w:jc w:val="center"/>
                              <w:rPr>
                                <w:sz w:val="18"/>
                                <w:szCs w:val="20"/>
                              </w:rPr>
                            </w:pPr>
                            <w:r>
                              <w:t>15-89 lat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B9A621" id="_x0000_s1038" alt="Udział osób biernych zawodowo wśród ogółu ludności w wieku 15–89 lat - 41,7%&#10;" style="position:absolute;margin-left:0;margin-top:2.35pt;width:173.25pt;height:109.05pt;z-index:251776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" fillcolor="#001d77" stroked="f">
                <v:stroke joinstyle="miter"/>
                <v:textbox>
                  <w:txbxContent>
                    <w:p w14:paraId="3A880EC7" w14:textId="2EDAE675" w:rsidR="00830EC6" w:rsidRPr="00CE4896" w:rsidRDefault="00830EC6" w:rsidP="00577E10">
                      <w:pPr>
                        <w:spacing w:after="0" w:line="240" w:lineRule="auto"/>
                        <w:jc w:val="center"/>
                        <w:rPr>
                          <w:rFonts w:ascii="Fira Sans SemiBold" w:hAnsi="Fira Sans SemiBold"/>
                          <w:color w:val="FFFFFF" w:themeColor="background1"/>
                          <w:sz w:val="72"/>
                        </w:rPr>
                      </w:pPr>
                      <w:r w:rsidRPr="00CE4896">
                        <w:rPr>
                          <w:rFonts w:ascii="Fira Sans SemiBold" w:hAnsi="Fira Sans SemiBold"/>
                          <w:color w:val="FFFFFF" w:themeColor="background1"/>
                          <w:sz w:val="72"/>
                        </w:rPr>
                        <w:t>4</w:t>
                      </w:r>
                      <w:r>
                        <w:rPr>
                          <w:rFonts w:ascii="Fira Sans SemiBold" w:hAnsi="Fira Sans SemiBold"/>
                          <w:color w:val="FFFFFF" w:themeColor="background1"/>
                          <w:sz w:val="72"/>
                        </w:rPr>
                        <w:t>1,</w:t>
                      </w:r>
                      <w:r w:rsidR="00F06379">
                        <w:rPr>
                          <w:rFonts w:ascii="Fira Sans SemiBold" w:hAnsi="Fira Sans SemiBold"/>
                          <w:color w:val="FFFFFF" w:themeColor="background1"/>
                          <w:sz w:val="72"/>
                        </w:rPr>
                        <w:t>7</w:t>
                      </w:r>
                      <w:r w:rsidRPr="00CE4896">
                        <w:rPr>
                          <w:rFonts w:ascii="Fira Sans SemiBold" w:hAnsi="Fira Sans SemiBold"/>
                          <w:color w:val="FFFFFF" w:themeColor="background1"/>
                          <w:sz w:val="72"/>
                        </w:rPr>
                        <w:t>%</w:t>
                      </w:r>
                    </w:p>
                    <w:p w14:paraId="10ABB818" w14:textId="77777777" w:rsidR="00830EC6" w:rsidRDefault="00830EC6" w:rsidP="00577E10">
                      <w:pPr>
                        <w:pStyle w:val="Opiswskanika"/>
                        <w:spacing w:before="120"/>
                        <w:jc w:val="center"/>
                      </w:pPr>
                      <w:r>
                        <w:t>Udział osób biernych zawodowo wśród ogółu ludności w wieku</w:t>
                      </w:r>
                    </w:p>
                    <w:p w14:paraId="26C2355B" w14:textId="77777777" w:rsidR="00830EC6" w:rsidRPr="00504397" w:rsidRDefault="00830EC6" w:rsidP="00577E10">
                      <w:pPr>
                        <w:pStyle w:val="Opiswskanika"/>
                        <w:jc w:val="center"/>
                        <w:rPr>
                          <w:sz w:val="18"/>
                          <w:szCs w:val="20"/>
                        </w:rPr>
                      </w:pPr>
                      <w:r>
                        <w:t>15-89 lat</w:t>
                      </w:r>
                    </w:p>
                  </w:txbxContent>
                </v:textbox>
                <w10:wrap type="square" anchorx="margin"/>
              </v:roundrect>
            </w:pict>
          </mc:Fallback>
        </mc:AlternateContent>
      </w:r>
    </w:p>
    <w:p w14:paraId="794FC1FD" w14:textId="279EA262" w:rsidR="00EB3B41" w:rsidRPr="00A70D1B" w:rsidRDefault="00E260E4" w:rsidP="00702143">
      <w:pPr>
        <w:pStyle w:val="Lead"/>
        <w:spacing w:before="0"/>
      </w:pPr>
      <w:r w:rsidRPr="00A70D1B">
        <w:t xml:space="preserve">Osoby bierne zawodowo stanowiły w </w:t>
      </w:r>
      <w:r w:rsidR="00F06379" w:rsidRPr="00A70D1B">
        <w:t>2</w:t>
      </w:r>
      <w:r w:rsidR="003A2BEE" w:rsidRPr="00A70D1B">
        <w:t xml:space="preserve"> </w:t>
      </w:r>
      <w:r w:rsidR="00E02C4B" w:rsidRPr="00A70D1B">
        <w:t>kwartale</w:t>
      </w:r>
      <w:r w:rsidRPr="00A70D1B">
        <w:t xml:space="preserve"> 202</w:t>
      </w:r>
      <w:r w:rsidR="00EC7C93" w:rsidRPr="00A70D1B">
        <w:t>4</w:t>
      </w:r>
      <w:r w:rsidRPr="00A70D1B">
        <w:t xml:space="preserve"> r. 4</w:t>
      </w:r>
      <w:r w:rsidR="00C45F69" w:rsidRPr="00A70D1B">
        <w:t>1,</w:t>
      </w:r>
      <w:r w:rsidR="00F06379" w:rsidRPr="00A70D1B">
        <w:t>7</w:t>
      </w:r>
      <w:r w:rsidRPr="00A70D1B">
        <w:t>% ogółu ludności w wieku 15</w:t>
      </w:r>
      <w:r w:rsidR="00947F92" w:rsidRPr="00A70D1B">
        <w:t>-</w:t>
      </w:r>
      <w:r w:rsidRPr="00A70D1B">
        <w:t>89 lat</w:t>
      </w:r>
      <w:r w:rsidR="00737D55" w:rsidRPr="00A70D1B">
        <w:t xml:space="preserve">. </w:t>
      </w:r>
      <w:r w:rsidRPr="00A70D1B">
        <w:t xml:space="preserve">Odsetek ten </w:t>
      </w:r>
      <w:r w:rsidR="00AD50F9" w:rsidRPr="00A70D1B">
        <w:t xml:space="preserve">kształtował się na </w:t>
      </w:r>
      <w:r w:rsidR="00EC7C93" w:rsidRPr="00A70D1B">
        <w:t>wyższym</w:t>
      </w:r>
      <w:r w:rsidR="003A2BEE" w:rsidRPr="00A70D1B">
        <w:t xml:space="preserve"> </w:t>
      </w:r>
      <w:r w:rsidR="00AD50F9" w:rsidRPr="00A70D1B">
        <w:t>poziomie</w:t>
      </w:r>
      <w:r w:rsidR="00580A28" w:rsidRPr="00A70D1B">
        <w:t xml:space="preserve"> w</w:t>
      </w:r>
      <w:r w:rsidR="008426E7" w:rsidRPr="00A70D1B">
        <w:t> </w:t>
      </w:r>
      <w:r w:rsidR="00580A28" w:rsidRPr="00A70D1B">
        <w:t xml:space="preserve">porównaniu </w:t>
      </w:r>
      <w:r w:rsidR="00CE4779" w:rsidRPr="00A70D1B">
        <w:t>z</w:t>
      </w:r>
      <w:r w:rsidR="00580A28" w:rsidRPr="00A70D1B">
        <w:t xml:space="preserve"> poprzedni</w:t>
      </w:r>
      <w:r w:rsidR="00CE4779" w:rsidRPr="00A70D1B">
        <w:t>m</w:t>
      </w:r>
      <w:r w:rsidR="00580A28" w:rsidRPr="00A70D1B">
        <w:t xml:space="preserve"> kwartał</w:t>
      </w:r>
      <w:r w:rsidR="00CE4779" w:rsidRPr="00A70D1B">
        <w:t>em</w:t>
      </w:r>
      <w:r w:rsidR="00214203" w:rsidRPr="00A70D1B">
        <w:t xml:space="preserve">, </w:t>
      </w:r>
      <w:r w:rsidR="00E67473" w:rsidRPr="00A70D1B">
        <w:t>jak i</w:t>
      </w:r>
      <w:r w:rsidR="00E41577" w:rsidRPr="00A70D1B">
        <w:t> </w:t>
      </w:r>
      <w:r w:rsidR="00A150BB" w:rsidRPr="00A70D1B">
        <w:t>w</w:t>
      </w:r>
      <w:r w:rsidR="00523EF6" w:rsidRPr="00A70D1B">
        <w:t> </w:t>
      </w:r>
      <w:r w:rsidR="00F42F26" w:rsidRPr="00A70D1B">
        <w:t>odniesieniu do</w:t>
      </w:r>
      <w:r w:rsidR="00571430" w:rsidRPr="00A70D1B">
        <w:t xml:space="preserve"> </w:t>
      </w:r>
      <w:r w:rsidR="00865A3F" w:rsidRPr="00A70D1B">
        <w:t>2</w:t>
      </w:r>
      <w:r w:rsidR="00E67473" w:rsidRPr="00A70D1B">
        <w:t xml:space="preserve"> </w:t>
      </w:r>
      <w:r w:rsidR="00F42F26" w:rsidRPr="00A70D1B">
        <w:t>kwartału 202</w:t>
      </w:r>
      <w:r w:rsidR="00EC7C93" w:rsidRPr="00A70D1B">
        <w:t>3</w:t>
      </w:r>
      <w:r w:rsidR="00571430" w:rsidRPr="00A70D1B">
        <w:t xml:space="preserve"> r</w:t>
      </w:r>
      <w:r w:rsidR="00F42F26" w:rsidRPr="00A70D1B">
        <w:t>.</w:t>
      </w:r>
      <w:r w:rsidR="00580A28" w:rsidRPr="00A70D1B">
        <w:t xml:space="preserve"> </w:t>
      </w:r>
      <w:r w:rsidR="00385E77" w:rsidRPr="00A70D1B">
        <w:t>(</w:t>
      </w:r>
      <w:r w:rsidR="00EC7C93" w:rsidRPr="00A70D1B">
        <w:t>wzrost</w:t>
      </w:r>
      <w:r w:rsidR="00580A28" w:rsidRPr="00A70D1B">
        <w:t xml:space="preserve"> </w:t>
      </w:r>
      <w:r w:rsidR="00865A3F" w:rsidRPr="00A70D1B">
        <w:t xml:space="preserve">po </w:t>
      </w:r>
      <w:r w:rsidR="00580A28" w:rsidRPr="00A70D1B">
        <w:t>0,</w:t>
      </w:r>
      <w:r w:rsidR="00865A3F" w:rsidRPr="00A70D1B">
        <w:t>2</w:t>
      </w:r>
      <w:r w:rsidR="00E67473" w:rsidRPr="00A70D1B">
        <w:t> </w:t>
      </w:r>
      <w:r w:rsidR="00E02C4B" w:rsidRPr="00A70D1B">
        <w:t>p.</w:t>
      </w:r>
      <w:r w:rsidR="00080B70" w:rsidRPr="00A70D1B">
        <w:t> </w:t>
      </w:r>
      <w:r w:rsidR="00E02C4B" w:rsidRPr="00A70D1B">
        <w:t>proc.</w:t>
      </w:r>
      <w:r w:rsidR="00580A28" w:rsidRPr="00A70D1B">
        <w:t xml:space="preserve">). </w:t>
      </w:r>
    </w:p>
    <w:p w14:paraId="496EE334" w14:textId="6351550B" w:rsidR="00702143" w:rsidRPr="00A70D1B" w:rsidRDefault="00702143" w:rsidP="00702143">
      <w:pPr>
        <w:pStyle w:val="Lead"/>
        <w:spacing w:before="0"/>
      </w:pPr>
    </w:p>
    <w:p w14:paraId="03D1F6C8" w14:textId="665148E1" w:rsidR="00524007" w:rsidRPr="00A70D1B" w:rsidRDefault="00524007" w:rsidP="00702143">
      <w:pPr>
        <w:pStyle w:val="Nagwek1"/>
        <w:spacing w:before="480"/>
        <w:rPr>
          <w:rFonts w:ascii="Fira Sans" w:hAnsi="Fira Sans"/>
          <w:b/>
          <w:szCs w:val="19"/>
        </w:rPr>
      </w:pPr>
      <w:r w:rsidRPr="00A70D1B">
        <w:rPr>
          <w:rFonts w:ascii="Fira Sans" w:hAnsi="Fira Sans"/>
          <w:b/>
          <w:szCs w:val="19"/>
        </w:rPr>
        <w:t>Osoby bierne zawodowo w wieku 15</w:t>
      </w:r>
      <w:r w:rsidR="00947F92" w:rsidRPr="00A70D1B">
        <w:rPr>
          <w:rFonts w:ascii="Fira Sans" w:hAnsi="Fira Sans"/>
          <w:b/>
          <w:szCs w:val="19"/>
        </w:rPr>
        <w:t>-</w:t>
      </w:r>
      <w:r w:rsidRPr="00A70D1B">
        <w:rPr>
          <w:rFonts w:ascii="Fira Sans" w:hAnsi="Fira Sans"/>
          <w:b/>
          <w:szCs w:val="19"/>
        </w:rPr>
        <w:t>89 lat według BAEL</w:t>
      </w:r>
    </w:p>
    <w:p w14:paraId="7C725CD8" w14:textId="73C7AB7D" w:rsidR="000E3CEC" w:rsidRPr="00A70D1B" w:rsidRDefault="00524007" w:rsidP="000E3CEC">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F06379" w:rsidRPr="00A70D1B">
        <w:rPr>
          <w:rFonts w:eastAsia="Times New Roman" w:cs="Times New Roman"/>
          <w:szCs w:val="19"/>
          <w:lang w:eastAsia="pl-PL"/>
        </w:rPr>
        <w:t>2</w:t>
      </w:r>
      <w:r w:rsidR="00E67473" w:rsidRPr="00A70D1B">
        <w:rPr>
          <w:rFonts w:eastAsia="Times New Roman" w:cs="Times New Roman"/>
          <w:szCs w:val="19"/>
          <w:lang w:eastAsia="pl-PL"/>
        </w:rPr>
        <w:t xml:space="preserve"> </w:t>
      </w:r>
      <w:r w:rsidRPr="00A70D1B">
        <w:rPr>
          <w:rFonts w:eastAsia="Times New Roman" w:cs="Times New Roman"/>
          <w:szCs w:val="19"/>
          <w:lang w:eastAsia="pl-PL"/>
        </w:rPr>
        <w:t>kwartale 202</w:t>
      </w:r>
      <w:r w:rsidR="00567193" w:rsidRPr="00A70D1B">
        <w:rPr>
          <w:rFonts w:eastAsia="Times New Roman" w:cs="Times New Roman"/>
          <w:szCs w:val="19"/>
          <w:lang w:eastAsia="pl-PL"/>
        </w:rPr>
        <w:t>4</w:t>
      </w:r>
      <w:r w:rsidRPr="00A70D1B">
        <w:rPr>
          <w:rFonts w:eastAsia="Times New Roman" w:cs="Times New Roman"/>
          <w:szCs w:val="19"/>
          <w:lang w:eastAsia="pl-PL"/>
        </w:rPr>
        <w:t xml:space="preserve"> r. populacja osób biernych zawodowo w wieku 15-89 lat </w:t>
      </w:r>
      <w:r w:rsidR="001623D6" w:rsidRPr="00A70D1B">
        <w:rPr>
          <w:rFonts w:eastAsia="Times New Roman" w:cs="Times New Roman"/>
          <w:szCs w:val="19"/>
          <w:lang w:eastAsia="pl-PL"/>
        </w:rPr>
        <w:t>wyn</w:t>
      </w:r>
      <w:r w:rsidR="004836EF" w:rsidRPr="00A70D1B">
        <w:rPr>
          <w:rFonts w:eastAsia="Times New Roman" w:cs="Times New Roman"/>
          <w:szCs w:val="19"/>
          <w:lang w:eastAsia="pl-PL"/>
        </w:rPr>
        <w:t>i</w:t>
      </w:r>
      <w:r w:rsidR="001623D6" w:rsidRPr="00A70D1B">
        <w:rPr>
          <w:rFonts w:eastAsia="Times New Roman" w:cs="Times New Roman"/>
          <w:szCs w:val="19"/>
          <w:lang w:eastAsia="pl-PL"/>
        </w:rPr>
        <w:t>osła</w:t>
      </w:r>
      <w:r w:rsidRPr="00A70D1B">
        <w:rPr>
          <w:rFonts w:eastAsia="Times New Roman" w:cs="Times New Roman"/>
          <w:szCs w:val="19"/>
          <w:lang w:eastAsia="pl-PL"/>
        </w:rPr>
        <w:t xml:space="preserve"> </w:t>
      </w:r>
      <w:r w:rsidR="00E67473" w:rsidRPr="00A70D1B">
        <w:rPr>
          <w:rFonts w:eastAsia="Times New Roman" w:cs="Times New Roman"/>
          <w:szCs w:val="19"/>
          <w:lang w:eastAsia="pl-PL"/>
        </w:rPr>
        <w:t>12</w:t>
      </w:r>
      <w:r w:rsidR="00D30D9E" w:rsidRPr="00A70D1B">
        <w:rPr>
          <w:rFonts w:eastAsia="Times New Roman" w:cs="Times New Roman"/>
          <w:szCs w:val="19"/>
          <w:lang w:eastAsia="pl-PL"/>
        </w:rPr>
        <w:t> </w:t>
      </w:r>
      <w:r w:rsidR="00567193" w:rsidRPr="00A70D1B">
        <w:rPr>
          <w:rFonts w:eastAsia="Times New Roman" w:cs="Times New Roman"/>
          <w:szCs w:val="19"/>
          <w:lang w:eastAsia="pl-PL"/>
        </w:rPr>
        <w:t>6</w:t>
      </w:r>
      <w:r w:rsidR="00F06379" w:rsidRPr="00A70D1B">
        <w:rPr>
          <w:rFonts w:eastAsia="Times New Roman" w:cs="Times New Roman"/>
          <w:szCs w:val="19"/>
          <w:lang w:eastAsia="pl-PL"/>
        </w:rPr>
        <w:t>67</w:t>
      </w:r>
      <w:r w:rsidR="008C7C8D" w:rsidRPr="00A70D1B">
        <w:rPr>
          <w:rFonts w:eastAsia="Times New Roman" w:cs="Times New Roman"/>
          <w:szCs w:val="19"/>
          <w:lang w:eastAsia="pl-PL"/>
        </w:rPr>
        <w:t> </w:t>
      </w:r>
      <w:r w:rsidRPr="00A70D1B">
        <w:rPr>
          <w:rFonts w:eastAsia="Times New Roman" w:cs="Times New Roman"/>
          <w:szCs w:val="19"/>
          <w:lang w:eastAsia="pl-PL"/>
        </w:rPr>
        <w:t xml:space="preserve">tys. </w:t>
      </w:r>
      <w:r w:rsidR="001623D6" w:rsidRPr="00A70D1B">
        <w:rPr>
          <w:rFonts w:eastAsia="Times New Roman" w:cs="Times New Roman"/>
          <w:szCs w:val="19"/>
          <w:lang w:eastAsia="pl-PL"/>
        </w:rPr>
        <w:t xml:space="preserve">i </w:t>
      </w:r>
      <w:r w:rsidR="00567193" w:rsidRPr="00A70D1B">
        <w:rPr>
          <w:rFonts w:eastAsia="Times New Roman" w:cs="Times New Roman"/>
          <w:szCs w:val="19"/>
          <w:lang w:eastAsia="pl-PL"/>
        </w:rPr>
        <w:t>była wyższa</w:t>
      </w:r>
      <w:r w:rsidR="00BB7663" w:rsidRPr="00A70D1B">
        <w:rPr>
          <w:rFonts w:eastAsia="Times New Roman" w:cs="Times New Roman"/>
          <w:szCs w:val="19"/>
          <w:lang w:eastAsia="pl-PL"/>
        </w:rPr>
        <w:t xml:space="preserve"> </w:t>
      </w:r>
      <w:r w:rsidR="00185797" w:rsidRPr="00A70D1B">
        <w:rPr>
          <w:rFonts w:eastAsia="Times New Roman" w:cs="Times New Roman"/>
          <w:szCs w:val="19"/>
          <w:lang w:eastAsia="pl-PL"/>
        </w:rPr>
        <w:t xml:space="preserve">w </w:t>
      </w:r>
      <w:r w:rsidR="00BB7663" w:rsidRPr="00A70D1B">
        <w:rPr>
          <w:rFonts w:eastAsia="Times New Roman" w:cs="Times New Roman"/>
          <w:szCs w:val="19"/>
          <w:lang w:eastAsia="pl-PL"/>
        </w:rPr>
        <w:t>odniesieniu</w:t>
      </w:r>
      <w:r w:rsidR="00185797" w:rsidRPr="00A70D1B">
        <w:rPr>
          <w:rFonts w:eastAsia="Times New Roman" w:cs="Times New Roman"/>
          <w:szCs w:val="19"/>
          <w:lang w:eastAsia="pl-PL"/>
        </w:rPr>
        <w:t xml:space="preserve"> do</w:t>
      </w:r>
      <w:r w:rsidR="001623D6" w:rsidRPr="00A70D1B">
        <w:rPr>
          <w:rFonts w:eastAsia="Times New Roman" w:cs="Times New Roman"/>
          <w:szCs w:val="19"/>
          <w:lang w:eastAsia="pl-PL"/>
        </w:rPr>
        <w:t xml:space="preserve"> </w:t>
      </w:r>
      <w:r w:rsidR="00865A3F" w:rsidRPr="00A70D1B">
        <w:rPr>
          <w:rFonts w:eastAsia="Times New Roman" w:cs="Times New Roman"/>
          <w:szCs w:val="19"/>
          <w:lang w:eastAsia="pl-PL"/>
        </w:rPr>
        <w:t>1</w:t>
      </w:r>
      <w:r w:rsidR="00E67473" w:rsidRPr="00A70D1B">
        <w:rPr>
          <w:rFonts w:eastAsia="Times New Roman" w:cs="Times New Roman"/>
          <w:szCs w:val="19"/>
          <w:lang w:eastAsia="pl-PL"/>
        </w:rPr>
        <w:t xml:space="preserve"> </w:t>
      </w:r>
      <w:r w:rsidR="001623D6" w:rsidRPr="00A70D1B">
        <w:rPr>
          <w:rFonts w:eastAsia="Times New Roman" w:cs="Times New Roman"/>
          <w:szCs w:val="19"/>
          <w:lang w:eastAsia="pl-PL"/>
        </w:rPr>
        <w:t>kwarta</w:t>
      </w:r>
      <w:r w:rsidR="00185797" w:rsidRPr="00A70D1B">
        <w:rPr>
          <w:rFonts w:eastAsia="Times New Roman" w:cs="Times New Roman"/>
          <w:szCs w:val="19"/>
          <w:lang w:eastAsia="pl-PL"/>
        </w:rPr>
        <w:t>łu</w:t>
      </w:r>
      <w:r w:rsidR="001623D6" w:rsidRPr="00A70D1B">
        <w:rPr>
          <w:rFonts w:eastAsia="Times New Roman" w:cs="Times New Roman"/>
          <w:szCs w:val="19"/>
          <w:lang w:eastAsia="pl-PL"/>
        </w:rPr>
        <w:t xml:space="preserve"> 202</w:t>
      </w:r>
      <w:r w:rsidR="00865A3F" w:rsidRPr="00A70D1B">
        <w:rPr>
          <w:rFonts w:eastAsia="Times New Roman" w:cs="Times New Roman"/>
          <w:szCs w:val="19"/>
          <w:lang w:eastAsia="pl-PL"/>
        </w:rPr>
        <w:t>4</w:t>
      </w:r>
      <w:r w:rsidR="001623D6" w:rsidRPr="00A70D1B">
        <w:rPr>
          <w:rFonts w:eastAsia="Times New Roman" w:cs="Times New Roman"/>
          <w:szCs w:val="19"/>
          <w:lang w:eastAsia="pl-PL"/>
        </w:rPr>
        <w:t xml:space="preserve"> r. </w:t>
      </w:r>
      <w:r w:rsidR="00185797" w:rsidRPr="00A70D1B">
        <w:rPr>
          <w:rFonts w:eastAsia="Times New Roman" w:cs="Times New Roman"/>
          <w:szCs w:val="19"/>
          <w:lang w:eastAsia="pl-PL"/>
        </w:rPr>
        <w:t xml:space="preserve">(o </w:t>
      </w:r>
      <w:r w:rsidR="00865A3F" w:rsidRPr="00A70D1B">
        <w:rPr>
          <w:rFonts w:eastAsia="Times New Roman" w:cs="Times New Roman"/>
          <w:szCs w:val="19"/>
          <w:lang w:eastAsia="pl-PL"/>
        </w:rPr>
        <w:t>67</w:t>
      </w:r>
      <w:r w:rsidR="00E67473" w:rsidRPr="00A70D1B">
        <w:rPr>
          <w:rFonts w:eastAsia="Times New Roman" w:cs="Times New Roman"/>
          <w:szCs w:val="19"/>
          <w:lang w:eastAsia="pl-PL"/>
        </w:rPr>
        <w:t xml:space="preserve"> </w:t>
      </w:r>
      <w:r w:rsidR="00185797" w:rsidRPr="00A70D1B">
        <w:rPr>
          <w:rFonts w:eastAsia="Times New Roman" w:cs="Times New Roman"/>
          <w:szCs w:val="19"/>
          <w:lang w:eastAsia="pl-PL"/>
        </w:rPr>
        <w:t>tys.</w:t>
      </w:r>
      <w:r w:rsidR="004B40F3" w:rsidRPr="00A70D1B">
        <w:rPr>
          <w:rFonts w:eastAsia="Times New Roman" w:cs="Times New Roman"/>
          <w:szCs w:val="19"/>
          <w:lang w:eastAsia="pl-PL"/>
        </w:rPr>
        <w:t xml:space="preserve"> osób</w:t>
      </w:r>
      <w:r w:rsidR="00185797" w:rsidRPr="00A70D1B">
        <w:rPr>
          <w:rFonts w:eastAsia="Times New Roman" w:cs="Times New Roman"/>
          <w:szCs w:val="19"/>
          <w:lang w:eastAsia="pl-PL"/>
        </w:rPr>
        <w:t>, tj. o</w:t>
      </w:r>
      <w:r w:rsidR="00080B70" w:rsidRPr="00A70D1B">
        <w:rPr>
          <w:rFonts w:eastAsia="Times New Roman" w:cs="Times New Roman"/>
          <w:szCs w:val="19"/>
          <w:lang w:eastAsia="pl-PL"/>
        </w:rPr>
        <w:t> </w:t>
      </w:r>
      <w:r w:rsidR="00185797" w:rsidRPr="00A70D1B">
        <w:rPr>
          <w:rFonts w:eastAsia="Times New Roman" w:cs="Times New Roman"/>
          <w:szCs w:val="19"/>
          <w:lang w:eastAsia="pl-PL"/>
        </w:rPr>
        <w:t>0,</w:t>
      </w:r>
      <w:r w:rsidR="00865A3F" w:rsidRPr="00A70D1B">
        <w:rPr>
          <w:rFonts w:eastAsia="Times New Roman" w:cs="Times New Roman"/>
          <w:szCs w:val="19"/>
          <w:lang w:eastAsia="pl-PL"/>
        </w:rPr>
        <w:t>5</w:t>
      </w:r>
      <w:r w:rsidR="00185797" w:rsidRPr="00A70D1B">
        <w:rPr>
          <w:rFonts w:eastAsia="Times New Roman" w:cs="Times New Roman"/>
          <w:szCs w:val="19"/>
          <w:lang w:eastAsia="pl-PL"/>
        </w:rPr>
        <w:t>%),</w:t>
      </w:r>
      <w:r w:rsidR="00AA6B7C" w:rsidRPr="00A70D1B">
        <w:rPr>
          <w:rFonts w:eastAsia="Times New Roman" w:cs="Times New Roman"/>
          <w:szCs w:val="19"/>
          <w:lang w:eastAsia="pl-PL"/>
        </w:rPr>
        <w:t xml:space="preserve"> </w:t>
      </w:r>
      <w:r w:rsidR="00E67473" w:rsidRPr="00A70D1B">
        <w:rPr>
          <w:rFonts w:eastAsia="Times New Roman" w:cs="Times New Roman"/>
          <w:szCs w:val="19"/>
          <w:lang w:eastAsia="pl-PL"/>
        </w:rPr>
        <w:t>jak i</w:t>
      </w:r>
      <w:r w:rsidR="00C81191" w:rsidRPr="00A70D1B">
        <w:rPr>
          <w:rFonts w:eastAsia="Times New Roman" w:cs="Times New Roman"/>
          <w:szCs w:val="19"/>
          <w:lang w:eastAsia="pl-PL"/>
        </w:rPr>
        <w:t> </w:t>
      </w:r>
      <w:r w:rsidR="00AA6B7C" w:rsidRPr="00A70D1B">
        <w:rPr>
          <w:rFonts w:eastAsia="Times New Roman" w:cs="Times New Roman"/>
          <w:szCs w:val="19"/>
          <w:lang w:eastAsia="pl-PL"/>
        </w:rPr>
        <w:t>w</w:t>
      </w:r>
      <w:r w:rsidR="00C81191" w:rsidRPr="00A70D1B">
        <w:rPr>
          <w:rFonts w:eastAsia="Times New Roman" w:cs="Times New Roman"/>
          <w:szCs w:val="19"/>
          <w:lang w:eastAsia="pl-PL"/>
        </w:rPr>
        <w:t> </w:t>
      </w:r>
      <w:r w:rsidR="00AA6B7C" w:rsidRPr="00A70D1B">
        <w:rPr>
          <w:rFonts w:eastAsia="Times New Roman" w:cs="Times New Roman"/>
          <w:szCs w:val="19"/>
          <w:lang w:eastAsia="pl-PL"/>
        </w:rPr>
        <w:t xml:space="preserve">porównaniu z </w:t>
      </w:r>
      <w:r w:rsidR="00865A3F" w:rsidRPr="00A70D1B">
        <w:rPr>
          <w:rFonts w:eastAsia="Times New Roman" w:cs="Times New Roman"/>
          <w:szCs w:val="19"/>
          <w:lang w:eastAsia="pl-PL"/>
        </w:rPr>
        <w:t>2</w:t>
      </w:r>
      <w:r w:rsidR="00E67473" w:rsidRPr="00A70D1B">
        <w:rPr>
          <w:rFonts w:eastAsia="Times New Roman" w:cs="Times New Roman"/>
          <w:szCs w:val="19"/>
          <w:lang w:eastAsia="pl-PL"/>
        </w:rPr>
        <w:t> </w:t>
      </w:r>
      <w:r w:rsidR="00185797" w:rsidRPr="00A70D1B">
        <w:rPr>
          <w:rFonts w:eastAsia="Times New Roman" w:cs="Times New Roman"/>
          <w:szCs w:val="19"/>
          <w:lang w:eastAsia="pl-PL"/>
        </w:rPr>
        <w:t>kwartał</w:t>
      </w:r>
      <w:r w:rsidR="00B4309F" w:rsidRPr="00A70D1B">
        <w:rPr>
          <w:rFonts w:eastAsia="Times New Roman" w:cs="Times New Roman"/>
          <w:szCs w:val="19"/>
          <w:lang w:eastAsia="pl-PL"/>
        </w:rPr>
        <w:t>em</w:t>
      </w:r>
      <w:r w:rsidR="00185797" w:rsidRPr="00A70D1B">
        <w:rPr>
          <w:rFonts w:eastAsia="Times New Roman" w:cs="Times New Roman"/>
          <w:szCs w:val="19"/>
          <w:lang w:eastAsia="pl-PL"/>
        </w:rPr>
        <w:t xml:space="preserve"> </w:t>
      </w:r>
      <w:r w:rsidR="002C483F" w:rsidRPr="00A70D1B">
        <w:rPr>
          <w:rFonts w:eastAsia="Times New Roman" w:cs="Times New Roman"/>
          <w:szCs w:val="19"/>
          <w:lang w:eastAsia="pl-PL"/>
        </w:rPr>
        <w:t>202</w:t>
      </w:r>
      <w:r w:rsidR="001D451B" w:rsidRPr="00A70D1B">
        <w:rPr>
          <w:rFonts w:eastAsia="Times New Roman" w:cs="Times New Roman"/>
          <w:szCs w:val="19"/>
          <w:lang w:eastAsia="pl-PL"/>
        </w:rPr>
        <w:t>3</w:t>
      </w:r>
      <w:r w:rsidR="002C483F" w:rsidRPr="00A70D1B">
        <w:rPr>
          <w:rFonts w:eastAsia="Times New Roman" w:cs="Times New Roman"/>
          <w:szCs w:val="19"/>
          <w:lang w:eastAsia="pl-PL"/>
        </w:rPr>
        <w:t xml:space="preserve"> r.</w:t>
      </w:r>
      <w:r w:rsidR="00185797" w:rsidRPr="00A70D1B">
        <w:rPr>
          <w:rFonts w:eastAsia="Times New Roman" w:cs="Times New Roman"/>
          <w:szCs w:val="19"/>
          <w:lang w:eastAsia="pl-PL"/>
        </w:rPr>
        <w:t xml:space="preserve"> </w:t>
      </w:r>
      <w:r w:rsidR="001D451B" w:rsidRPr="00A70D1B">
        <w:rPr>
          <w:rFonts w:eastAsia="Times New Roman" w:cs="Times New Roman"/>
          <w:szCs w:val="19"/>
          <w:lang w:eastAsia="pl-PL"/>
        </w:rPr>
        <w:t>(</w:t>
      </w:r>
      <w:r w:rsidR="00185797" w:rsidRPr="00A70D1B">
        <w:rPr>
          <w:rFonts w:eastAsia="Times New Roman" w:cs="Times New Roman"/>
          <w:szCs w:val="19"/>
          <w:lang w:eastAsia="pl-PL"/>
        </w:rPr>
        <w:t xml:space="preserve">o </w:t>
      </w:r>
      <w:r w:rsidR="00865A3F" w:rsidRPr="00A70D1B">
        <w:rPr>
          <w:rFonts w:eastAsia="Times New Roman" w:cs="Times New Roman"/>
          <w:szCs w:val="19"/>
          <w:lang w:eastAsia="pl-PL"/>
        </w:rPr>
        <w:t>59</w:t>
      </w:r>
      <w:r w:rsidR="00E67473" w:rsidRPr="00A70D1B">
        <w:rPr>
          <w:rFonts w:eastAsia="Times New Roman" w:cs="Times New Roman"/>
          <w:szCs w:val="19"/>
          <w:lang w:eastAsia="pl-PL"/>
        </w:rPr>
        <w:t xml:space="preserve"> </w:t>
      </w:r>
      <w:r w:rsidR="00185797" w:rsidRPr="00A70D1B">
        <w:rPr>
          <w:rFonts w:eastAsia="Times New Roman" w:cs="Times New Roman"/>
          <w:szCs w:val="19"/>
          <w:lang w:eastAsia="pl-PL"/>
        </w:rPr>
        <w:t xml:space="preserve">tys., tj. o </w:t>
      </w:r>
      <w:r w:rsidR="002C483F" w:rsidRPr="00A70D1B">
        <w:rPr>
          <w:rFonts w:eastAsia="Times New Roman" w:cs="Times New Roman"/>
          <w:szCs w:val="19"/>
          <w:lang w:eastAsia="pl-PL"/>
        </w:rPr>
        <w:t>0,</w:t>
      </w:r>
      <w:r w:rsidR="00865A3F" w:rsidRPr="00A70D1B">
        <w:rPr>
          <w:rFonts w:eastAsia="Times New Roman" w:cs="Times New Roman"/>
          <w:szCs w:val="19"/>
          <w:lang w:eastAsia="pl-PL"/>
        </w:rPr>
        <w:t>5</w:t>
      </w:r>
      <w:r w:rsidR="00185797" w:rsidRPr="00A70D1B">
        <w:rPr>
          <w:rFonts w:eastAsia="Times New Roman" w:cs="Times New Roman"/>
          <w:szCs w:val="19"/>
          <w:lang w:eastAsia="pl-PL"/>
        </w:rPr>
        <w:t>%)</w:t>
      </w:r>
      <w:r w:rsidR="002B4D65" w:rsidRPr="00A70D1B">
        <w:rPr>
          <w:rFonts w:eastAsia="Times New Roman" w:cs="Times New Roman"/>
          <w:szCs w:val="19"/>
          <w:lang w:eastAsia="pl-PL"/>
        </w:rPr>
        <w:t>.</w:t>
      </w:r>
      <w:r w:rsidR="000E3CEC" w:rsidRPr="00A70D1B">
        <w:rPr>
          <w:rFonts w:eastAsia="Times New Roman" w:cs="Times New Roman"/>
          <w:szCs w:val="19"/>
          <w:lang w:eastAsia="pl-PL"/>
        </w:rPr>
        <w:t xml:space="preserve"> </w:t>
      </w:r>
    </w:p>
    <w:p w14:paraId="4AAAA33F" w14:textId="7E99E9B2" w:rsidR="000E3CEC" w:rsidRPr="00A70D1B" w:rsidRDefault="001E2752" w:rsidP="000E3CEC">
      <w:pPr>
        <w:spacing w:line="288" w:lineRule="auto"/>
        <w:rPr>
          <w:rFonts w:eastAsia="Times New Roman" w:cs="Times New Roman"/>
          <w:szCs w:val="19"/>
          <w:lang w:eastAsia="pl-PL"/>
        </w:rPr>
      </w:pPr>
      <w:r w:rsidRPr="00A70D1B">
        <w:rPr>
          <w:rFonts w:eastAsia="Times New Roman" w:cs="Times New Roman"/>
          <w:noProof/>
          <w:szCs w:val="19"/>
          <w:lang w:eastAsia="pl-PL"/>
        </w:rPr>
        <mc:AlternateContent>
          <mc:Choice Requires="wps">
            <w:drawing>
              <wp:anchor distT="45720" distB="45720" distL="114300" distR="114300" simplePos="0" relativeHeight="251778048" behindDoc="1" locked="0" layoutInCell="1" allowOverlap="1" wp14:anchorId="73457021" wp14:editId="3FC3CD0C">
                <wp:simplePos x="0" y="0"/>
                <wp:positionH relativeFrom="column">
                  <wp:posOffset>5322105</wp:posOffset>
                </wp:positionH>
                <wp:positionV relativeFrom="paragraph">
                  <wp:posOffset>5933</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Kobiety nadal stanowią większość populacji biernych zawodow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39469B18" w14:textId="77777777" w:rsidR="00830EC6" w:rsidRPr="00527382" w:rsidRDefault="00830EC6" w:rsidP="00EC542E">
                            <w:pPr>
                              <w:pStyle w:val="tekstzboku"/>
                            </w:pPr>
                            <w:r w:rsidRPr="00E922B8">
                              <w:t>Kobiety nadal stanowią większość populacji biernych zawodowo</w:t>
                            </w:r>
                            <w:r>
                              <w:t xml:space="preserve"> </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457021" id="_x0000_s1039" type="#_x0000_t202" alt="Kobiety nadal stanowią większość populacji biernych zawodowo" style="position:absolute;margin-left:419.05pt;margin-top:.45pt;width:126.7pt;height:48.8pt;z-index:-251538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" filled="f" stroked="f">
                <v:textbox inset=",0">
                  <w:txbxContent>
                    <w:p w14:paraId="39469B18" w14:textId="77777777" w:rsidR="00830EC6" w:rsidRPr="00527382" w:rsidRDefault="00830EC6" w:rsidP="00EC542E">
                      <w:pPr>
                        <w:pStyle w:val="tekstzboku"/>
                      </w:pPr>
                      <w:r w:rsidRPr="00E922B8">
                        <w:t>Kobiety nadal stanowią większość populacji biernych zawodowo</w:t>
                      </w:r>
                      <w:r>
                        <w:t xml:space="preserve"> </w:t>
                      </w:r>
                    </w:p>
                  </w:txbxContent>
                </v:textbox>
                <w10:wrap type="tight"/>
              </v:shape>
            </w:pict>
          </mc:Fallback>
        </mc:AlternateContent>
      </w:r>
      <w:r w:rsidR="000E3CEC" w:rsidRPr="00A70D1B">
        <w:rPr>
          <w:rFonts w:eastAsia="Times New Roman" w:cs="Times New Roman"/>
          <w:szCs w:val="19"/>
          <w:lang w:eastAsia="pl-PL"/>
        </w:rPr>
        <w:t>Ponad połowę osób biernych zawodowo stanowiły kobiety – w analizowanej grupie wieku ich odsetek wyniósł 60,</w:t>
      </w:r>
      <w:r w:rsidR="00F06379" w:rsidRPr="00A70D1B">
        <w:rPr>
          <w:rFonts w:eastAsia="Times New Roman" w:cs="Times New Roman"/>
          <w:szCs w:val="19"/>
          <w:lang w:eastAsia="pl-PL"/>
        </w:rPr>
        <w:t>4</w:t>
      </w:r>
      <w:r w:rsidR="000E3CEC" w:rsidRPr="00A70D1B">
        <w:rPr>
          <w:rFonts w:eastAsia="Times New Roman" w:cs="Times New Roman"/>
          <w:szCs w:val="19"/>
          <w:lang w:eastAsia="pl-PL"/>
        </w:rPr>
        <w:t>% (7 6</w:t>
      </w:r>
      <w:r w:rsidR="00F06379" w:rsidRPr="00A70D1B">
        <w:rPr>
          <w:rFonts w:eastAsia="Times New Roman" w:cs="Times New Roman"/>
          <w:szCs w:val="19"/>
          <w:lang w:eastAsia="pl-PL"/>
        </w:rPr>
        <w:t>51</w:t>
      </w:r>
      <w:r w:rsidR="000E3CEC" w:rsidRPr="00A70D1B">
        <w:rPr>
          <w:rFonts w:eastAsia="Times New Roman" w:cs="Times New Roman"/>
          <w:szCs w:val="19"/>
          <w:lang w:eastAsia="pl-PL"/>
        </w:rPr>
        <w:t xml:space="preserve"> tys.). </w:t>
      </w:r>
      <w:r w:rsidR="00F14739" w:rsidRPr="00A70D1B">
        <w:rPr>
          <w:rFonts w:eastAsia="Times New Roman" w:cs="Times New Roman"/>
          <w:szCs w:val="19"/>
          <w:lang w:eastAsia="pl-PL"/>
        </w:rPr>
        <w:t xml:space="preserve">Kobiety bierne zawodowo stanowiły 48,5% ogółu wszystkich kobiet w wieku 15-89 lat, podczas gdy analogiczny wskaźnik wśród mężczyzn wynosił 34,5%. </w:t>
      </w:r>
      <w:r w:rsidR="000E3CEC" w:rsidRPr="00A70D1B">
        <w:rPr>
          <w:rFonts w:eastAsia="Times New Roman" w:cs="Times New Roman"/>
          <w:szCs w:val="19"/>
          <w:lang w:eastAsia="pl-PL"/>
        </w:rPr>
        <w:t>Uwzględniając podział na miasto i wieś większą część biernych zawodowo stanowili mieszkańcy miast (</w:t>
      </w:r>
      <w:r w:rsidR="00F06379" w:rsidRPr="00A70D1B">
        <w:rPr>
          <w:rFonts w:eastAsia="Times New Roman" w:cs="Times New Roman"/>
          <w:szCs w:val="19"/>
          <w:lang w:eastAsia="pl-PL"/>
        </w:rPr>
        <w:t>59,1</w:t>
      </w:r>
      <w:r w:rsidR="000E3CEC" w:rsidRPr="00A70D1B">
        <w:rPr>
          <w:rFonts w:eastAsia="Times New Roman" w:cs="Times New Roman"/>
          <w:szCs w:val="19"/>
          <w:lang w:eastAsia="pl-PL"/>
        </w:rPr>
        <w:t>%</w:t>
      </w:r>
      <w:r w:rsidR="00147C13" w:rsidRPr="00A70D1B">
        <w:rPr>
          <w:rFonts w:eastAsia="Times New Roman" w:cs="Times New Roman"/>
          <w:szCs w:val="19"/>
          <w:lang w:eastAsia="pl-PL"/>
        </w:rPr>
        <w:t>,</w:t>
      </w:r>
      <w:r w:rsidR="000E3CEC" w:rsidRPr="00A70D1B">
        <w:rPr>
          <w:rFonts w:eastAsia="Times New Roman" w:cs="Times New Roman"/>
          <w:szCs w:val="19"/>
          <w:lang w:eastAsia="pl-PL"/>
        </w:rPr>
        <w:t xml:space="preserve"> </w:t>
      </w:r>
      <w:r w:rsidR="00B55EDF" w:rsidRPr="00A70D1B">
        <w:rPr>
          <w:rFonts w:eastAsia="Times New Roman" w:cs="Times New Roman"/>
          <w:szCs w:val="19"/>
          <w:lang w:eastAsia="pl-PL"/>
        </w:rPr>
        <w:t xml:space="preserve">tj. </w:t>
      </w:r>
      <w:r w:rsidR="000E3CEC" w:rsidRPr="00A70D1B">
        <w:rPr>
          <w:rFonts w:eastAsia="Times New Roman" w:cs="Times New Roman"/>
          <w:szCs w:val="19"/>
          <w:lang w:eastAsia="pl-PL"/>
        </w:rPr>
        <w:t>7 </w:t>
      </w:r>
      <w:r w:rsidR="00F06379" w:rsidRPr="00A70D1B">
        <w:rPr>
          <w:rFonts w:eastAsia="Times New Roman" w:cs="Times New Roman"/>
          <w:szCs w:val="19"/>
          <w:lang w:eastAsia="pl-PL"/>
        </w:rPr>
        <w:t>489</w:t>
      </w:r>
      <w:r w:rsidR="000E3CEC" w:rsidRPr="00A70D1B">
        <w:rPr>
          <w:rFonts w:eastAsia="Times New Roman" w:cs="Times New Roman"/>
          <w:szCs w:val="19"/>
          <w:lang w:eastAsia="pl-PL"/>
        </w:rPr>
        <w:t xml:space="preserve"> tys.), co jest związane z</w:t>
      </w:r>
      <w:r w:rsidR="00702143" w:rsidRPr="00A70D1B">
        <w:rPr>
          <w:rFonts w:eastAsia="Times New Roman" w:cs="Times New Roman"/>
          <w:szCs w:val="19"/>
          <w:lang w:eastAsia="pl-PL"/>
        </w:rPr>
        <w:t> </w:t>
      </w:r>
      <w:r w:rsidR="000E3CEC" w:rsidRPr="00A70D1B">
        <w:rPr>
          <w:rFonts w:eastAsia="Times New Roman" w:cs="Times New Roman"/>
          <w:szCs w:val="19"/>
          <w:lang w:eastAsia="pl-PL"/>
        </w:rPr>
        <w:t>większą populacją ludności w miastach niż na wsi (odpowiednio 3/5 i 2/5</w:t>
      </w:r>
      <w:r w:rsidR="00F164AF" w:rsidRPr="00A70D1B">
        <w:rPr>
          <w:rFonts w:eastAsia="Times New Roman" w:cs="Times New Roman"/>
          <w:szCs w:val="19"/>
          <w:lang w:eastAsia="pl-PL"/>
        </w:rPr>
        <w:t xml:space="preserve"> ogółu ludności w Polsce</w:t>
      </w:r>
      <w:r w:rsidR="000E3CEC" w:rsidRPr="00A70D1B">
        <w:rPr>
          <w:rFonts w:eastAsia="Times New Roman" w:cs="Times New Roman"/>
          <w:szCs w:val="19"/>
          <w:lang w:eastAsia="pl-PL"/>
        </w:rPr>
        <w:t xml:space="preserve">). Udział biernych zawodowo wśród ogółu mieszkańców miast w analizowanej grupie wieku kształtował się na poziomie </w:t>
      </w:r>
      <w:r w:rsidR="00F06379" w:rsidRPr="00A70D1B">
        <w:rPr>
          <w:rFonts w:eastAsia="Times New Roman" w:cs="Times New Roman"/>
          <w:szCs w:val="19"/>
          <w:lang w:eastAsia="pl-PL"/>
        </w:rPr>
        <w:t>40,9</w:t>
      </w:r>
      <w:r w:rsidR="000E3CEC" w:rsidRPr="00A70D1B">
        <w:rPr>
          <w:rFonts w:eastAsia="Times New Roman" w:cs="Times New Roman"/>
          <w:szCs w:val="19"/>
          <w:lang w:eastAsia="pl-PL"/>
        </w:rPr>
        <w:t xml:space="preserve">%, a wśród mieszkańców wsi wyniósł </w:t>
      </w:r>
      <w:r w:rsidR="00F06379" w:rsidRPr="00A70D1B">
        <w:rPr>
          <w:rFonts w:eastAsia="Times New Roman" w:cs="Times New Roman"/>
          <w:szCs w:val="19"/>
          <w:lang w:eastAsia="pl-PL"/>
        </w:rPr>
        <w:t>43,0</w:t>
      </w:r>
      <w:r w:rsidR="000E3CEC" w:rsidRPr="00A70D1B">
        <w:rPr>
          <w:rFonts w:eastAsia="Times New Roman" w:cs="Times New Roman"/>
          <w:szCs w:val="19"/>
          <w:lang w:eastAsia="pl-PL"/>
        </w:rPr>
        <w:t xml:space="preserve">%. </w:t>
      </w:r>
    </w:p>
    <w:p w14:paraId="5AEB8505" w14:textId="32D03A67" w:rsidR="00E67473" w:rsidRPr="00A70D1B" w:rsidRDefault="00F06379" w:rsidP="000E3CEC">
      <w:pPr>
        <w:spacing w:line="276" w:lineRule="auto"/>
        <w:ind w:left="992" w:hanging="992"/>
        <w:rPr>
          <w:b/>
          <w:shd w:val="clear" w:color="auto" w:fill="FFFFFF"/>
        </w:rPr>
      </w:pPr>
      <w:r w:rsidRPr="00A70D1B">
        <w:rPr>
          <w:rFonts w:cs="Arial"/>
          <w:noProof/>
          <w:szCs w:val="19"/>
          <w:lang w:eastAsia="pl-PL"/>
        </w:rPr>
        <w:drawing>
          <wp:anchor distT="0" distB="0" distL="114300" distR="114300" simplePos="0" relativeHeight="251956224" behindDoc="0" locked="0" layoutInCell="1" allowOverlap="1" wp14:anchorId="2ADC0044" wp14:editId="3CBA0D71">
            <wp:simplePos x="0" y="0"/>
            <wp:positionH relativeFrom="margin">
              <wp:align>left</wp:align>
            </wp:positionH>
            <wp:positionV relativeFrom="paragraph">
              <wp:posOffset>157480</wp:posOffset>
            </wp:positionV>
            <wp:extent cx="5134369" cy="2664460"/>
            <wp:effectExtent l="0" t="0" r="9525" b="2540"/>
            <wp:wrapSquare wrapText="bothSides"/>
            <wp:docPr id="41" name="Obraz 41" descr="Wykres prezentuje biernych zawodowo oraz udział biernych zawodowo w ludności w wieku 15-89 lat od 1 kwartału 2021 r. do 2 kwartału 2024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4369" cy="2664460"/>
                    </a:xfrm>
                    <a:prstGeom prst="rect">
                      <a:avLst/>
                    </a:prstGeom>
                    <a:noFill/>
                  </pic:spPr>
                </pic:pic>
              </a:graphicData>
            </a:graphic>
            <wp14:sizeRelH relativeFrom="page">
              <wp14:pctWidth>0</wp14:pctWidth>
            </wp14:sizeRelH>
            <wp14:sizeRelV relativeFrom="page">
              <wp14:pctHeight>0</wp14:pctHeight>
            </wp14:sizeRelV>
          </wp:anchor>
        </w:drawing>
      </w:r>
      <w:r w:rsidR="00DC2E03" w:rsidRPr="00A70D1B">
        <w:rPr>
          <w:b/>
          <w:shd w:val="clear" w:color="auto" w:fill="FFFFFF"/>
        </w:rPr>
        <w:t xml:space="preserve">Wykres </w:t>
      </w:r>
      <w:r w:rsidR="00E23488" w:rsidRPr="00A70D1B">
        <w:rPr>
          <w:b/>
          <w:shd w:val="clear" w:color="auto" w:fill="FFFFFF"/>
        </w:rPr>
        <w:t>7</w:t>
      </w:r>
      <w:r w:rsidR="00DC2E03" w:rsidRPr="00A70D1B">
        <w:rPr>
          <w:b/>
          <w:shd w:val="clear" w:color="auto" w:fill="FFFFFF"/>
        </w:rPr>
        <w:t>.</w:t>
      </w:r>
      <w:r w:rsidR="000E3CEC" w:rsidRPr="00A70D1B">
        <w:rPr>
          <w:b/>
          <w:shd w:val="clear" w:color="auto" w:fill="FFFFFF"/>
        </w:rPr>
        <w:tab/>
      </w:r>
      <w:r w:rsidR="00DC2E03" w:rsidRPr="00A70D1B">
        <w:rPr>
          <w:b/>
          <w:shd w:val="clear" w:color="auto" w:fill="FFFFFF"/>
        </w:rPr>
        <w:t>Bierni zawodowo oraz udział biernych zawodowo w ludności w wieku 15-89 lat</w:t>
      </w:r>
    </w:p>
    <w:p w14:paraId="2320AB5D" w14:textId="1CF0370D" w:rsidR="008D5A73" w:rsidRPr="00A70D1B" w:rsidRDefault="008D5A73" w:rsidP="000E3CEC">
      <w:pPr>
        <w:spacing w:before="240" w:line="288" w:lineRule="auto"/>
        <w:rPr>
          <w:rFonts w:cs="Arial"/>
          <w:szCs w:val="19"/>
        </w:rPr>
      </w:pPr>
      <w:r w:rsidRPr="00A70D1B">
        <w:rPr>
          <w:rFonts w:cs="Arial"/>
          <w:szCs w:val="19"/>
        </w:rPr>
        <w:t xml:space="preserve">W porównaniu z </w:t>
      </w:r>
      <w:r w:rsidR="00836D46" w:rsidRPr="00A70D1B">
        <w:rPr>
          <w:rFonts w:cs="Arial"/>
          <w:szCs w:val="19"/>
        </w:rPr>
        <w:t>1</w:t>
      </w:r>
      <w:r w:rsidRPr="00A70D1B">
        <w:rPr>
          <w:rFonts w:cs="Arial"/>
          <w:szCs w:val="19"/>
        </w:rPr>
        <w:t xml:space="preserve"> kwartałem 202</w:t>
      </w:r>
      <w:r w:rsidR="00836D46" w:rsidRPr="00A70D1B">
        <w:rPr>
          <w:rFonts w:cs="Arial"/>
          <w:szCs w:val="19"/>
        </w:rPr>
        <w:t>4</w:t>
      </w:r>
      <w:r w:rsidRPr="00A70D1B">
        <w:rPr>
          <w:rFonts w:cs="Arial"/>
          <w:szCs w:val="19"/>
        </w:rPr>
        <w:t xml:space="preserve"> r. zwiększyła się</w:t>
      </w:r>
      <w:r w:rsidR="009D6CEA" w:rsidRPr="00A70D1B">
        <w:rPr>
          <w:rFonts w:cs="Arial"/>
          <w:szCs w:val="19"/>
        </w:rPr>
        <w:t xml:space="preserve"> zarówno</w:t>
      </w:r>
      <w:r w:rsidRPr="00A70D1B">
        <w:rPr>
          <w:rFonts w:cs="Arial"/>
          <w:szCs w:val="19"/>
        </w:rPr>
        <w:t xml:space="preserve"> liczba biernych zawodowo </w:t>
      </w:r>
      <w:r w:rsidR="00865A3F" w:rsidRPr="00A70D1B">
        <w:rPr>
          <w:rFonts w:cs="Arial"/>
          <w:szCs w:val="19"/>
        </w:rPr>
        <w:t xml:space="preserve">mężczyzn </w:t>
      </w:r>
      <w:r w:rsidRPr="00A70D1B">
        <w:rPr>
          <w:rFonts w:cs="Arial"/>
          <w:szCs w:val="19"/>
        </w:rPr>
        <w:t>(o</w:t>
      </w:r>
      <w:r w:rsidR="00C81191" w:rsidRPr="00A70D1B">
        <w:rPr>
          <w:rFonts w:cs="Arial"/>
          <w:szCs w:val="19"/>
        </w:rPr>
        <w:t> </w:t>
      </w:r>
      <w:r w:rsidR="00865A3F" w:rsidRPr="00A70D1B">
        <w:rPr>
          <w:rFonts w:cs="Arial"/>
          <w:szCs w:val="19"/>
        </w:rPr>
        <w:t>44</w:t>
      </w:r>
      <w:r w:rsidR="00C81191" w:rsidRPr="00A70D1B">
        <w:rPr>
          <w:rFonts w:cs="Arial"/>
          <w:szCs w:val="19"/>
        </w:rPr>
        <w:t> </w:t>
      </w:r>
      <w:r w:rsidRPr="00A70D1B">
        <w:rPr>
          <w:rFonts w:cs="Arial"/>
          <w:szCs w:val="19"/>
        </w:rPr>
        <w:t>tys.</w:t>
      </w:r>
      <w:r w:rsidR="004B40F3" w:rsidRPr="00A70D1B">
        <w:rPr>
          <w:rFonts w:cs="Arial"/>
          <w:szCs w:val="19"/>
        </w:rPr>
        <w:t xml:space="preserve"> osób</w:t>
      </w:r>
      <w:r w:rsidRPr="00A70D1B">
        <w:rPr>
          <w:rFonts w:cs="Arial"/>
          <w:szCs w:val="19"/>
        </w:rPr>
        <w:t xml:space="preserve">, tj. o </w:t>
      </w:r>
      <w:r w:rsidR="00865A3F" w:rsidRPr="00A70D1B">
        <w:rPr>
          <w:rFonts w:cs="Arial"/>
          <w:szCs w:val="19"/>
        </w:rPr>
        <w:t>0,9</w:t>
      </w:r>
      <w:r w:rsidRPr="00A70D1B">
        <w:rPr>
          <w:rFonts w:cs="Arial"/>
          <w:szCs w:val="19"/>
        </w:rPr>
        <w:t xml:space="preserve">%), jak i </w:t>
      </w:r>
      <w:r w:rsidR="00865A3F" w:rsidRPr="00A70D1B">
        <w:rPr>
          <w:rFonts w:cs="Arial"/>
          <w:szCs w:val="19"/>
        </w:rPr>
        <w:t>kobiet</w:t>
      </w:r>
      <w:r w:rsidRPr="00A70D1B">
        <w:rPr>
          <w:rFonts w:cs="Arial"/>
          <w:szCs w:val="19"/>
        </w:rPr>
        <w:t xml:space="preserve"> (o </w:t>
      </w:r>
      <w:r w:rsidR="00865A3F" w:rsidRPr="00A70D1B">
        <w:rPr>
          <w:rFonts w:cs="Arial"/>
          <w:szCs w:val="19"/>
        </w:rPr>
        <w:t>23</w:t>
      </w:r>
      <w:r w:rsidRPr="00A70D1B">
        <w:rPr>
          <w:rFonts w:cs="Arial"/>
          <w:szCs w:val="19"/>
        </w:rPr>
        <w:t xml:space="preserve"> tys., tj. o 0,</w:t>
      </w:r>
      <w:r w:rsidR="00865A3F" w:rsidRPr="00A70D1B">
        <w:rPr>
          <w:rFonts w:cs="Arial"/>
          <w:szCs w:val="19"/>
        </w:rPr>
        <w:t>3</w:t>
      </w:r>
      <w:r w:rsidRPr="00A70D1B">
        <w:rPr>
          <w:rFonts w:cs="Arial"/>
          <w:szCs w:val="19"/>
        </w:rPr>
        <w:t>%). Wzrost liczby biernych zawodowo odnotowano wśród ogółu mieszkańców wsi (o 1</w:t>
      </w:r>
      <w:r w:rsidR="00865A3F" w:rsidRPr="00A70D1B">
        <w:rPr>
          <w:rFonts w:cs="Arial"/>
          <w:szCs w:val="19"/>
        </w:rPr>
        <w:t>02</w:t>
      </w:r>
      <w:r w:rsidRPr="00A70D1B">
        <w:rPr>
          <w:rFonts w:cs="Arial"/>
          <w:szCs w:val="19"/>
        </w:rPr>
        <w:t xml:space="preserve"> tys., tj. o 2,</w:t>
      </w:r>
      <w:r w:rsidR="00865A3F" w:rsidRPr="00A70D1B">
        <w:rPr>
          <w:rFonts w:cs="Arial"/>
          <w:szCs w:val="19"/>
        </w:rPr>
        <w:t>0</w:t>
      </w:r>
      <w:r w:rsidRPr="00A70D1B">
        <w:rPr>
          <w:rFonts w:cs="Arial"/>
          <w:szCs w:val="19"/>
        </w:rPr>
        <w:t xml:space="preserve">%), a wśród mieszkańców miast </w:t>
      </w:r>
      <w:r w:rsidR="00B55EDF" w:rsidRPr="00A70D1B">
        <w:rPr>
          <w:rFonts w:cs="Arial"/>
          <w:szCs w:val="19"/>
        </w:rPr>
        <w:t xml:space="preserve">zaobserwowano </w:t>
      </w:r>
      <w:r w:rsidRPr="00A70D1B">
        <w:rPr>
          <w:rFonts w:cs="Arial"/>
          <w:szCs w:val="19"/>
        </w:rPr>
        <w:t xml:space="preserve">spadek </w:t>
      </w:r>
      <w:r w:rsidR="00B55EDF" w:rsidRPr="00A70D1B">
        <w:rPr>
          <w:rFonts w:cs="Arial"/>
          <w:szCs w:val="19"/>
        </w:rPr>
        <w:t xml:space="preserve">tej populacji </w:t>
      </w:r>
      <w:r w:rsidRPr="00A70D1B">
        <w:rPr>
          <w:rFonts w:cs="Arial"/>
          <w:szCs w:val="19"/>
        </w:rPr>
        <w:t xml:space="preserve">(o </w:t>
      </w:r>
      <w:r w:rsidR="00865A3F" w:rsidRPr="00A70D1B">
        <w:rPr>
          <w:rFonts w:cs="Arial"/>
          <w:szCs w:val="19"/>
        </w:rPr>
        <w:t>35</w:t>
      </w:r>
      <w:r w:rsidRPr="00A70D1B">
        <w:rPr>
          <w:rFonts w:cs="Arial"/>
          <w:szCs w:val="19"/>
        </w:rPr>
        <w:t xml:space="preserve"> tys., tj. o 0,</w:t>
      </w:r>
      <w:r w:rsidR="00865A3F" w:rsidRPr="00A70D1B">
        <w:rPr>
          <w:rFonts w:cs="Arial"/>
          <w:szCs w:val="19"/>
        </w:rPr>
        <w:t>5</w:t>
      </w:r>
      <w:r w:rsidRPr="00A70D1B">
        <w:rPr>
          <w:rFonts w:cs="Arial"/>
          <w:szCs w:val="19"/>
        </w:rPr>
        <w:t>%).</w:t>
      </w:r>
    </w:p>
    <w:p w14:paraId="0422D631" w14:textId="32C46DC9" w:rsidR="00BC3462" w:rsidRPr="00A70D1B" w:rsidRDefault="00FF2F1E" w:rsidP="000C638D">
      <w:pPr>
        <w:spacing w:line="288" w:lineRule="auto"/>
        <w:rPr>
          <w:rFonts w:eastAsia="Times New Roman" w:cs="Times New Roman"/>
          <w:szCs w:val="19"/>
          <w:lang w:eastAsia="pl-PL"/>
        </w:rPr>
      </w:pPr>
      <w:r w:rsidRPr="00A70D1B">
        <w:rPr>
          <w:rFonts w:eastAsia="Times New Roman" w:cs="Times New Roman"/>
          <w:szCs w:val="19"/>
          <w:lang w:eastAsia="pl-PL"/>
        </w:rPr>
        <w:t xml:space="preserve">W </w:t>
      </w:r>
      <w:r w:rsidR="00E671F1" w:rsidRPr="00A70D1B">
        <w:rPr>
          <w:rFonts w:eastAsia="Times New Roman" w:cs="Times New Roman"/>
          <w:szCs w:val="19"/>
          <w:lang w:eastAsia="pl-PL"/>
        </w:rPr>
        <w:t>porównaniu z analogicznym kwartałem 2023 r.</w:t>
      </w:r>
      <w:r w:rsidRPr="00A70D1B">
        <w:rPr>
          <w:rFonts w:eastAsia="Times New Roman" w:cs="Times New Roman"/>
          <w:szCs w:val="19"/>
          <w:lang w:eastAsia="pl-PL"/>
        </w:rPr>
        <w:t xml:space="preserve"> </w:t>
      </w:r>
      <w:r w:rsidR="00BC3462" w:rsidRPr="00A70D1B">
        <w:rPr>
          <w:rFonts w:cs="Arial"/>
          <w:szCs w:val="19"/>
        </w:rPr>
        <w:t>z</w:t>
      </w:r>
      <w:r w:rsidR="00910361" w:rsidRPr="00A70D1B">
        <w:rPr>
          <w:rFonts w:cs="Arial"/>
          <w:szCs w:val="19"/>
        </w:rPr>
        <w:t>większyła</w:t>
      </w:r>
      <w:r w:rsidR="00BC3462" w:rsidRPr="00A70D1B">
        <w:rPr>
          <w:rFonts w:cs="Arial"/>
          <w:szCs w:val="19"/>
        </w:rPr>
        <w:t xml:space="preserve"> się liczba biernych zawodowo </w:t>
      </w:r>
      <w:r w:rsidR="00910361" w:rsidRPr="00A70D1B">
        <w:rPr>
          <w:rFonts w:cs="Arial"/>
          <w:szCs w:val="19"/>
        </w:rPr>
        <w:t>mężczyzn</w:t>
      </w:r>
      <w:r w:rsidR="00BC3462" w:rsidRPr="00A70D1B">
        <w:rPr>
          <w:rFonts w:cs="Arial"/>
          <w:szCs w:val="19"/>
        </w:rPr>
        <w:t xml:space="preserve"> (o </w:t>
      </w:r>
      <w:r w:rsidR="00865A3F" w:rsidRPr="00A70D1B">
        <w:rPr>
          <w:rFonts w:cs="Arial"/>
          <w:szCs w:val="19"/>
        </w:rPr>
        <w:t>74</w:t>
      </w:r>
      <w:r w:rsidR="00BC3462" w:rsidRPr="00A70D1B">
        <w:rPr>
          <w:rFonts w:cs="Arial"/>
          <w:szCs w:val="19"/>
        </w:rPr>
        <w:t xml:space="preserve"> tys.</w:t>
      </w:r>
      <w:r w:rsidR="004B40F3" w:rsidRPr="00A70D1B">
        <w:rPr>
          <w:rFonts w:cs="Arial"/>
          <w:szCs w:val="19"/>
        </w:rPr>
        <w:t xml:space="preserve"> osób</w:t>
      </w:r>
      <w:r w:rsidR="00BC3462" w:rsidRPr="00A70D1B">
        <w:rPr>
          <w:rFonts w:cs="Arial"/>
          <w:szCs w:val="19"/>
        </w:rPr>
        <w:t xml:space="preserve">, tj. o </w:t>
      </w:r>
      <w:r w:rsidR="00865A3F" w:rsidRPr="00A70D1B">
        <w:rPr>
          <w:rFonts w:cs="Arial"/>
          <w:szCs w:val="19"/>
        </w:rPr>
        <w:t>1,5</w:t>
      </w:r>
      <w:r w:rsidR="00BC3462" w:rsidRPr="00A70D1B">
        <w:rPr>
          <w:rFonts w:cs="Arial"/>
          <w:szCs w:val="19"/>
        </w:rPr>
        <w:t xml:space="preserve">%), podczas gdy wśród </w:t>
      </w:r>
      <w:r w:rsidR="00910361" w:rsidRPr="00A70D1B">
        <w:rPr>
          <w:rFonts w:cs="Arial"/>
          <w:szCs w:val="19"/>
        </w:rPr>
        <w:t>kobiet</w:t>
      </w:r>
      <w:r w:rsidR="00BC3462" w:rsidRPr="00A70D1B">
        <w:rPr>
          <w:rFonts w:cs="Arial"/>
          <w:szCs w:val="19"/>
        </w:rPr>
        <w:t xml:space="preserve"> </w:t>
      </w:r>
      <w:r w:rsidR="00910361" w:rsidRPr="00A70D1B">
        <w:rPr>
          <w:rFonts w:cs="Arial"/>
          <w:szCs w:val="19"/>
        </w:rPr>
        <w:t>nastąpił</w:t>
      </w:r>
      <w:r w:rsidR="00BF73E1" w:rsidRPr="00A70D1B">
        <w:rPr>
          <w:rFonts w:cs="Arial"/>
          <w:szCs w:val="19"/>
        </w:rPr>
        <w:t xml:space="preserve"> </w:t>
      </w:r>
      <w:r w:rsidR="00910361" w:rsidRPr="00A70D1B">
        <w:rPr>
          <w:rFonts w:cs="Arial"/>
          <w:szCs w:val="19"/>
        </w:rPr>
        <w:t>spadek</w:t>
      </w:r>
      <w:r w:rsidR="00BF73E1" w:rsidRPr="00A70D1B">
        <w:rPr>
          <w:rFonts w:cs="Arial"/>
          <w:szCs w:val="19"/>
        </w:rPr>
        <w:t xml:space="preserve"> (o </w:t>
      </w:r>
      <w:r w:rsidR="00865A3F" w:rsidRPr="00A70D1B">
        <w:rPr>
          <w:rFonts w:cs="Arial"/>
          <w:szCs w:val="19"/>
        </w:rPr>
        <w:t>15</w:t>
      </w:r>
      <w:r w:rsidR="00BF73E1" w:rsidRPr="00A70D1B">
        <w:rPr>
          <w:rFonts w:cs="Arial"/>
          <w:szCs w:val="19"/>
        </w:rPr>
        <w:t xml:space="preserve"> tys., tj.</w:t>
      </w:r>
      <w:r w:rsidR="002C0B09" w:rsidRPr="00A70D1B">
        <w:rPr>
          <w:rFonts w:cs="Arial"/>
          <w:szCs w:val="19"/>
        </w:rPr>
        <w:t> </w:t>
      </w:r>
      <w:r w:rsidR="00BF73E1" w:rsidRPr="00A70D1B">
        <w:rPr>
          <w:rFonts w:cs="Arial"/>
          <w:szCs w:val="19"/>
        </w:rPr>
        <w:t>o</w:t>
      </w:r>
      <w:r w:rsidR="0062472F" w:rsidRPr="00A70D1B">
        <w:rPr>
          <w:rFonts w:cs="Arial"/>
          <w:szCs w:val="19"/>
        </w:rPr>
        <w:t> </w:t>
      </w:r>
      <w:r w:rsidR="00910361" w:rsidRPr="00A70D1B">
        <w:rPr>
          <w:rFonts w:cs="Arial"/>
          <w:szCs w:val="19"/>
        </w:rPr>
        <w:t>0,</w:t>
      </w:r>
      <w:r w:rsidR="00865A3F" w:rsidRPr="00A70D1B">
        <w:rPr>
          <w:rFonts w:cs="Arial"/>
          <w:szCs w:val="19"/>
        </w:rPr>
        <w:t>2</w:t>
      </w:r>
      <w:r w:rsidR="00BF73E1" w:rsidRPr="00A70D1B">
        <w:rPr>
          <w:rFonts w:cs="Arial"/>
          <w:szCs w:val="19"/>
        </w:rPr>
        <w:t>%)</w:t>
      </w:r>
      <w:r w:rsidR="00BC3462" w:rsidRPr="00A70D1B">
        <w:rPr>
          <w:rFonts w:cs="Arial"/>
          <w:szCs w:val="19"/>
        </w:rPr>
        <w:t xml:space="preserve">. </w:t>
      </w:r>
      <w:r w:rsidR="00910361" w:rsidRPr="00A70D1B">
        <w:rPr>
          <w:rFonts w:cs="Arial"/>
          <w:szCs w:val="19"/>
        </w:rPr>
        <w:t>Wzrost</w:t>
      </w:r>
      <w:r w:rsidR="00BC3462" w:rsidRPr="00A70D1B">
        <w:rPr>
          <w:rFonts w:cs="Arial"/>
          <w:szCs w:val="19"/>
        </w:rPr>
        <w:t xml:space="preserve"> liczby biernych zawodowo odnotowano wśród mieszkańców </w:t>
      </w:r>
      <w:r w:rsidR="00865A3F" w:rsidRPr="00A70D1B">
        <w:rPr>
          <w:rFonts w:cs="Arial"/>
          <w:szCs w:val="19"/>
        </w:rPr>
        <w:t>wsi</w:t>
      </w:r>
      <w:r w:rsidR="00BC3462" w:rsidRPr="00A70D1B">
        <w:rPr>
          <w:rFonts w:cs="Arial"/>
          <w:szCs w:val="19"/>
        </w:rPr>
        <w:t xml:space="preserve"> </w:t>
      </w:r>
      <w:r w:rsidR="00B55EDF" w:rsidRPr="00A70D1B">
        <w:rPr>
          <w:rFonts w:cs="Arial"/>
          <w:szCs w:val="19"/>
        </w:rPr>
        <w:t xml:space="preserve">– </w:t>
      </w:r>
      <w:r w:rsidR="00BC3462" w:rsidRPr="00A70D1B">
        <w:rPr>
          <w:rFonts w:cs="Arial"/>
          <w:szCs w:val="19"/>
        </w:rPr>
        <w:t>o </w:t>
      </w:r>
      <w:r w:rsidR="00865A3F" w:rsidRPr="00A70D1B">
        <w:rPr>
          <w:rFonts w:cs="Arial"/>
          <w:szCs w:val="19"/>
        </w:rPr>
        <w:t>94</w:t>
      </w:r>
      <w:r w:rsidR="00BC3462" w:rsidRPr="00A70D1B">
        <w:rPr>
          <w:rFonts w:cs="Arial"/>
          <w:szCs w:val="19"/>
        </w:rPr>
        <w:t> tys., tj. o </w:t>
      </w:r>
      <w:r w:rsidR="00865A3F" w:rsidRPr="00A70D1B">
        <w:rPr>
          <w:rFonts w:cs="Arial"/>
          <w:szCs w:val="19"/>
        </w:rPr>
        <w:t>1,8</w:t>
      </w:r>
      <w:r w:rsidR="00BC3462" w:rsidRPr="00A70D1B">
        <w:rPr>
          <w:rFonts w:cs="Arial"/>
          <w:szCs w:val="19"/>
        </w:rPr>
        <w:t xml:space="preserve">%, </w:t>
      </w:r>
      <w:r w:rsidR="00865A3F" w:rsidRPr="00A70D1B">
        <w:rPr>
          <w:rFonts w:cs="Arial"/>
          <w:szCs w:val="19"/>
        </w:rPr>
        <w:t>a wśród</w:t>
      </w:r>
      <w:r w:rsidR="00910361" w:rsidRPr="00A70D1B">
        <w:rPr>
          <w:rFonts w:cs="Arial"/>
          <w:szCs w:val="19"/>
        </w:rPr>
        <w:t xml:space="preserve"> </w:t>
      </w:r>
      <w:r w:rsidR="00BC3462" w:rsidRPr="00A70D1B">
        <w:rPr>
          <w:rFonts w:cs="Arial"/>
          <w:szCs w:val="19"/>
        </w:rPr>
        <w:t xml:space="preserve">mieszkańców </w:t>
      </w:r>
      <w:r w:rsidR="008B6C56" w:rsidRPr="00A70D1B">
        <w:rPr>
          <w:rFonts w:cs="Arial"/>
          <w:szCs w:val="19"/>
        </w:rPr>
        <w:t>miast</w:t>
      </w:r>
      <w:r w:rsidR="00BB1634" w:rsidRPr="00A70D1B">
        <w:rPr>
          <w:rFonts w:cs="Arial"/>
          <w:szCs w:val="19"/>
        </w:rPr>
        <w:t xml:space="preserve"> </w:t>
      </w:r>
      <w:r w:rsidR="00865A3F" w:rsidRPr="00A70D1B">
        <w:rPr>
          <w:rFonts w:cs="Arial"/>
          <w:szCs w:val="19"/>
        </w:rPr>
        <w:t xml:space="preserve">spadek </w:t>
      </w:r>
      <w:r w:rsidR="00910361" w:rsidRPr="00A70D1B">
        <w:rPr>
          <w:rFonts w:cs="Arial"/>
          <w:szCs w:val="19"/>
        </w:rPr>
        <w:t xml:space="preserve">– </w:t>
      </w:r>
      <w:r w:rsidR="00BC3462" w:rsidRPr="00A70D1B">
        <w:rPr>
          <w:rFonts w:cs="Arial"/>
          <w:szCs w:val="19"/>
        </w:rPr>
        <w:t xml:space="preserve">o </w:t>
      </w:r>
      <w:r w:rsidR="00910361" w:rsidRPr="00A70D1B">
        <w:rPr>
          <w:rFonts w:cs="Arial"/>
          <w:szCs w:val="19"/>
        </w:rPr>
        <w:t>3</w:t>
      </w:r>
      <w:r w:rsidR="00865A3F" w:rsidRPr="00A70D1B">
        <w:rPr>
          <w:rFonts w:cs="Arial"/>
          <w:szCs w:val="19"/>
        </w:rPr>
        <w:t>5</w:t>
      </w:r>
      <w:r w:rsidR="00BC3462" w:rsidRPr="00A70D1B">
        <w:rPr>
          <w:rFonts w:cs="Arial"/>
          <w:szCs w:val="19"/>
        </w:rPr>
        <w:t xml:space="preserve"> tys., tj. o 0,</w:t>
      </w:r>
      <w:r w:rsidR="00865A3F" w:rsidRPr="00A70D1B">
        <w:rPr>
          <w:rFonts w:cs="Arial"/>
          <w:szCs w:val="19"/>
        </w:rPr>
        <w:t>5</w:t>
      </w:r>
      <w:r w:rsidR="00BC3462" w:rsidRPr="00A70D1B">
        <w:rPr>
          <w:rFonts w:cs="Arial"/>
          <w:szCs w:val="19"/>
        </w:rPr>
        <w:t>%</w:t>
      </w:r>
      <w:r w:rsidR="00910361" w:rsidRPr="00A70D1B">
        <w:rPr>
          <w:rFonts w:cs="Arial"/>
          <w:szCs w:val="19"/>
        </w:rPr>
        <w:t>.</w:t>
      </w:r>
      <w:r w:rsidR="00BC3462" w:rsidRPr="00A70D1B">
        <w:rPr>
          <w:rFonts w:cs="Arial"/>
          <w:szCs w:val="19"/>
        </w:rPr>
        <w:t xml:space="preserve"> </w:t>
      </w:r>
    </w:p>
    <w:p w14:paraId="77E8EB4F" w14:textId="46E02E01" w:rsidR="00524007" w:rsidRPr="00A70D1B" w:rsidRDefault="00550430" w:rsidP="000C638D">
      <w:pPr>
        <w:spacing w:line="288" w:lineRule="auto"/>
        <w:rPr>
          <w:rFonts w:eastAsia="Times New Roman" w:cs="Times New Roman"/>
          <w:szCs w:val="19"/>
          <w:lang w:eastAsia="pl-PL"/>
        </w:rPr>
      </w:pPr>
      <w:r w:rsidRPr="00A70D1B">
        <w:rPr>
          <w:noProof/>
          <w:lang w:eastAsia="pl-PL"/>
        </w:rPr>
        <w:lastRenderedPageBreak/>
        <mc:AlternateContent>
          <mc:Choice Requires="wps">
            <w:drawing>
              <wp:anchor distT="45720" distB="45720" distL="114300" distR="114300" simplePos="0" relativeHeight="251838464" behindDoc="1" locked="0" layoutInCell="1" allowOverlap="1" wp14:anchorId="6EBD0EED" wp14:editId="2A525942">
                <wp:simplePos x="0" y="0"/>
                <wp:positionH relativeFrom="page">
                  <wp:posOffset>5743575</wp:posOffset>
                </wp:positionH>
                <wp:positionV relativeFrom="paragraph">
                  <wp:posOffset>908050</wp:posOffset>
                </wp:positionV>
                <wp:extent cx="1647825" cy="1600200"/>
                <wp:effectExtent l="0" t="0" r="0" b="0"/>
                <wp:wrapTight wrapText="bothSides">
                  <wp:wrapPolygon edited="0">
                    <wp:start x="749" y="0"/>
                    <wp:lineTo x="749" y="21343"/>
                    <wp:lineTo x="20726" y="21343"/>
                    <wp:lineTo x="20726" y="0"/>
                    <wp:lineTo x="749" y="0"/>
                  </wp:wrapPolygon>
                </wp:wrapTight>
                <wp:docPr id="17" name="Pole tekstowe 2" descr="Nauka i podnoszenie kwalifikacji były najczęstszym powodem bierności zawodowej osób w wieku produkcyjnym, a obowiązki rodzinne znacznie częściej były przyczyną bierności zawodowej kobi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600200"/>
                        </a:xfrm>
                        <a:prstGeom prst="rect">
                          <a:avLst/>
                        </a:prstGeom>
                        <a:noFill/>
                        <a:ln w="9525">
                          <a:noFill/>
                          <a:miter lim="800000"/>
                          <a:headEnd/>
                          <a:tailEnd/>
                        </a:ln>
                      </wps:spPr>
                      <wps:txbx>
                        <w:txbxContent>
                          <w:p w14:paraId="612208DE" w14:textId="0A83C22E" w:rsidR="00830EC6" w:rsidRPr="001E2752" w:rsidRDefault="00830EC6" w:rsidP="001E2752">
                            <w:pPr>
                              <w:pStyle w:val="tekstzboku"/>
                            </w:pPr>
                            <w:r>
                              <w:t>Nauka i podnoszenie kwalifikacji były najczęstszym powodem bierności zawodowej osób w wieku produkcyjnym</w:t>
                            </w:r>
                            <w:r w:rsidR="00893FD6">
                              <w:t>,</w:t>
                            </w:r>
                            <w:r w:rsidR="00E671F1">
                              <w:t xml:space="preserve"> a</w:t>
                            </w:r>
                            <w:r w:rsidR="002C0B09">
                              <w:t> </w:t>
                            </w:r>
                            <w:r w:rsidR="00E671F1" w:rsidRPr="00DC2E03">
                              <w:rPr>
                                <w:noProof/>
                              </w:rPr>
                              <w:t>obowiązki rodzinne znacznie częściej były przyczyną bierności zawodowej kobiet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D0EED" id="_x0000_s1040" type="#_x0000_t202" alt="Nauka i podnoszenie kwalifikacji były najczęstszym powodem bierności zawodowej osób w wieku produkcyjnym, a obowiązki rodzinne znacznie częściej były przyczyną bierności zawodowej kobiet" style="position:absolute;margin-left:452.25pt;margin-top:71.5pt;width:129.75pt;height:126pt;z-index:-2514780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" filled="f" stroked="f">
                <v:textbox>
                  <w:txbxContent>
                    <w:p w14:paraId="612208DE" w14:textId="0A83C22E" w:rsidR="00830EC6" w:rsidRPr="001E2752" w:rsidRDefault="00830EC6" w:rsidP="001E2752">
                      <w:pPr>
                        <w:pStyle w:val="tekstzboku"/>
                      </w:pPr>
                      <w:r>
                        <w:t>Nauka i podnoszenie kwalifikacji były najczęstszym powodem bierności zawodowej osób w wieku produkcyjnym</w:t>
                      </w:r>
                      <w:r w:rsidR="00893FD6">
                        <w:t>,</w:t>
                      </w:r>
                      <w:r w:rsidR="00E671F1">
                        <w:t xml:space="preserve"> a</w:t>
                      </w:r>
                      <w:r w:rsidR="002C0B09">
                        <w:t> </w:t>
                      </w:r>
                      <w:r w:rsidR="00E671F1" w:rsidRPr="00DC2E03">
                        <w:rPr>
                          <w:noProof/>
                        </w:rPr>
                        <w:t>obowiązki rodzinne znacznie częściej były przyczyną bierności zawodowej kobiet</w:t>
                      </w:r>
                    </w:p>
                  </w:txbxContent>
                </v:textbox>
                <w10:wrap type="tight" anchorx="page"/>
              </v:shape>
            </w:pict>
          </mc:Fallback>
        </mc:AlternateContent>
      </w:r>
      <w:r w:rsidR="00524007" w:rsidRPr="00A70D1B">
        <w:rPr>
          <w:rFonts w:eastAsia="Times New Roman" w:cs="Times New Roman"/>
          <w:szCs w:val="19"/>
          <w:lang w:eastAsia="pl-PL"/>
        </w:rPr>
        <w:t>Populacja biernych zawodowo jest specyficzn</w:t>
      </w:r>
      <w:r w:rsidR="00DF5E1E" w:rsidRPr="00A70D1B">
        <w:rPr>
          <w:rFonts w:eastAsia="Times New Roman" w:cs="Times New Roman"/>
          <w:szCs w:val="19"/>
          <w:lang w:eastAsia="pl-PL"/>
        </w:rPr>
        <w:t>a</w:t>
      </w:r>
      <w:r w:rsidR="00524007" w:rsidRPr="00A70D1B">
        <w:rPr>
          <w:rFonts w:eastAsia="Times New Roman" w:cs="Times New Roman"/>
          <w:szCs w:val="19"/>
          <w:lang w:eastAsia="pl-PL"/>
        </w:rPr>
        <w:t>, jeżeli chodzi o zasoby dla rynku pracy. W</w:t>
      </w:r>
      <w:r w:rsidR="00122595" w:rsidRPr="00A70D1B">
        <w:rPr>
          <w:rFonts w:eastAsia="Times New Roman" w:cs="Times New Roman"/>
          <w:szCs w:val="19"/>
          <w:lang w:eastAsia="pl-PL"/>
        </w:rPr>
        <w:t> </w:t>
      </w:r>
      <w:r w:rsidR="00524007" w:rsidRPr="00A70D1B">
        <w:rPr>
          <w:rFonts w:eastAsia="Times New Roman" w:cs="Times New Roman"/>
          <w:szCs w:val="19"/>
          <w:lang w:eastAsia="pl-PL"/>
        </w:rPr>
        <w:t xml:space="preserve">ramach tej zbiorowości znajdują się bowiem zarówno osoby, które jeszcze nie weszły na rynek pracy (w tym większość uczącej się młodzieży), </w:t>
      </w:r>
      <w:r w:rsidR="00D92E9C" w:rsidRPr="00A70D1B">
        <w:rPr>
          <w:rFonts w:eastAsia="Times New Roman" w:cs="Times New Roman"/>
          <w:szCs w:val="19"/>
          <w:lang w:eastAsia="pl-PL"/>
        </w:rPr>
        <w:t xml:space="preserve">jak i </w:t>
      </w:r>
      <w:r w:rsidR="00524007" w:rsidRPr="00A70D1B">
        <w:rPr>
          <w:rFonts w:eastAsia="Times New Roman" w:cs="Times New Roman"/>
          <w:szCs w:val="19"/>
          <w:lang w:eastAsia="pl-PL"/>
        </w:rPr>
        <w:t>osoby, które już definitywnie z</w:t>
      </w:r>
      <w:r w:rsidR="00B15318" w:rsidRPr="00A70D1B">
        <w:rPr>
          <w:rFonts w:eastAsia="Times New Roman" w:cs="Times New Roman"/>
          <w:szCs w:val="19"/>
          <w:lang w:eastAsia="pl-PL"/>
        </w:rPr>
        <w:t> </w:t>
      </w:r>
      <w:r w:rsidR="00524007" w:rsidRPr="00A70D1B">
        <w:rPr>
          <w:rFonts w:eastAsia="Times New Roman" w:cs="Times New Roman"/>
          <w:szCs w:val="19"/>
          <w:lang w:eastAsia="pl-PL"/>
        </w:rPr>
        <w:t>rynku pracy odeszły albo nigdy na rynek pracy nie trafią (część emerytów, rencistów, osoby utrzymujące się z</w:t>
      </w:r>
      <w:r w:rsidR="00194121" w:rsidRPr="00A70D1B">
        <w:rPr>
          <w:rFonts w:eastAsia="Times New Roman" w:cs="Times New Roman"/>
          <w:szCs w:val="19"/>
          <w:lang w:eastAsia="pl-PL"/>
        </w:rPr>
        <w:t xml:space="preserve"> </w:t>
      </w:r>
      <w:r w:rsidR="00524007" w:rsidRPr="00A70D1B">
        <w:rPr>
          <w:rFonts w:eastAsia="Times New Roman" w:cs="Times New Roman"/>
          <w:szCs w:val="19"/>
          <w:lang w:eastAsia="pl-PL"/>
        </w:rPr>
        <w:t>innych źródeł niż praca), ale też osoby, które weszły na rynek pracy, potem częściowo się zdezaktywizowały i po przerwie na ten rynek pracy zechcą powrócić.</w:t>
      </w:r>
    </w:p>
    <w:p w14:paraId="3D9834B4" w14:textId="2A05094E" w:rsidR="008020CF" w:rsidRPr="00A70D1B" w:rsidRDefault="000C638D" w:rsidP="000C638D">
      <w:pPr>
        <w:spacing w:line="288" w:lineRule="auto"/>
        <w:rPr>
          <w:noProof/>
          <w:lang w:eastAsia="pl-PL"/>
        </w:rPr>
      </w:pPr>
      <w:r w:rsidRPr="00A70D1B">
        <w:rPr>
          <w:noProof/>
          <w:lang w:eastAsia="pl-PL"/>
        </w:rPr>
        <w:t xml:space="preserve">W </w:t>
      </w:r>
      <w:r w:rsidR="0025067B" w:rsidRPr="00A70D1B">
        <w:rPr>
          <w:noProof/>
          <w:lang w:eastAsia="pl-PL"/>
        </w:rPr>
        <w:t>2</w:t>
      </w:r>
      <w:r w:rsidRPr="00A70D1B">
        <w:rPr>
          <w:noProof/>
          <w:lang w:eastAsia="pl-PL"/>
        </w:rPr>
        <w:t xml:space="preserve"> kwartale 202</w:t>
      </w:r>
      <w:r w:rsidR="00C81191" w:rsidRPr="00A70D1B">
        <w:rPr>
          <w:noProof/>
          <w:lang w:eastAsia="pl-PL"/>
        </w:rPr>
        <w:t>4</w:t>
      </w:r>
      <w:r w:rsidRPr="00A70D1B">
        <w:rPr>
          <w:noProof/>
          <w:lang w:eastAsia="pl-PL"/>
        </w:rPr>
        <w:t xml:space="preserve"> r. w zbiorowości osób biernych zawodowo w wieku 15-74 lata, liczącej </w:t>
      </w:r>
      <w:r w:rsidR="00BF73E1" w:rsidRPr="00A70D1B">
        <w:rPr>
          <w:noProof/>
          <w:lang w:eastAsia="pl-PL"/>
        </w:rPr>
        <w:t>10 </w:t>
      </w:r>
      <w:r w:rsidR="0025067B" w:rsidRPr="00A70D1B">
        <w:rPr>
          <w:noProof/>
          <w:lang w:eastAsia="pl-PL"/>
        </w:rPr>
        <w:t>107</w:t>
      </w:r>
      <w:r w:rsidRPr="00A70D1B">
        <w:rPr>
          <w:noProof/>
          <w:lang w:eastAsia="pl-PL"/>
        </w:rPr>
        <w:t xml:space="preserve"> tys. (dla tej grupy wieku ustalana była przyczyna bierności) ponad połowę stanowili emeryci (</w:t>
      </w:r>
      <w:r w:rsidR="00681F09" w:rsidRPr="00A70D1B">
        <w:rPr>
          <w:noProof/>
          <w:lang w:eastAsia="pl-PL"/>
        </w:rPr>
        <w:t>5</w:t>
      </w:r>
      <w:r w:rsidR="0025067B" w:rsidRPr="00A70D1B">
        <w:rPr>
          <w:noProof/>
          <w:lang w:eastAsia="pl-PL"/>
        </w:rPr>
        <w:t>0,8</w:t>
      </w:r>
      <w:r w:rsidRPr="00A70D1B">
        <w:rPr>
          <w:noProof/>
          <w:lang w:eastAsia="pl-PL"/>
        </w:rPr>
        <w:t>%), a drugą w kolejności grupą byli uczniowie i studenci (</w:t>
      </w:r>
      <w:r w:rsidR="00681F09" w:rsidRPr="00A70D1B">
        <w:rPr>
          <w:noProof/>
          <w:lang w:eastAsia="pl-PL"/>
        </w:rPr>
        <w:t>2</w:t>
      </w:r>
      <w:r w:rsidR="0025067B" w:rsidRPr="00A70D1B">
        <w:rPr>
          <w:noProof/>
          <w:lang w:eastAsia="pl-PL"/>
        </w:rPr>
        <w:t>3,0</w:t>
      </w:r>
      <w:r w:rsidRPr="00A70D1B">
        <w:rPr>
          <w:noProof/>
          <w:lang w:eastAsia="pl-PL"/>
        </w:rPr>
        <w:t>%). Warto zauważyć, że nauka, uzupełnianie kwalifikacji oraz choroba lub niepełnosprawność częściej były przyczynami bierności zawodowej wśród mężczyzn (odpowiednio 2</w:t>
      </w:r>
      <w:r w:rsidR="00681F09" w:rsidRPr="00A70D1B">
        <w:rPr>
          <w:noProof/>
          <w:lang w:eastAsia="pl-PL"/>
        </w:rPr>
        <w:t>8,</w:t>
      </w:r>
      <w:r w:rsidR="00A60563" w:rsidRPr="00A70D1B">
        <w:rPr>
          <w:noProof/>
          <w:lang w:eastAsia="pl-PL"/>
        </w:rPr>
        <w:t>4</w:t>
      </w:r>
      <w:r w:rsidRPr="00A70D1B">
        <w:rPr>
          <w:noProof/>
          <w:lang w:eastAsia="pl-PL"/>
        </w:rPr>
        <w:t xml:space="preserve">% i </w:t>
      </w:r>
      <w:r w:rsidR="00681F09" w:rsidRPr="00A70D1B">
        <w:rPr>
          <w:noProof/>
          <w:lang w:eastAsia="pl-PL"/>
        </w:rPr>
        <w:t>1</w:t>
      </w:r>
      <w:r w:rsidR="00A60563" w:rsidRPr="00A70D1B">
        <w:rPr>
          <w:noProof/>
          <w:lang w:eastAsia="pl-PL"/>
        </w:rPr>
        <w:t>5,9</w:t>
      </w:r>
      <w:r w:rsidRPr="00A70D1B">
        <w:rPr>
          <w:noProof/>
          <w:lang w:eastAsia="pl-PL"/>
        </w:rPr>
        <w:t xml:space="preserve">%) niż wśród kobiet (odpowiednio </w:t>
      </w:r>
      <w:r w:rsidR="00681F09" w:rsidRPr="00A70D1B">
        <w:rPr>
          <w:noProof/>
          <w:lang w:eastAsia="pl-PL"/>
        </w:rPr>
        <w:t>19,</w:t>
      </w:r>
      <w:r w:rsidR="00A60563" w:rsidRPr="00A70D1B">
        <w:rPr>
          <w:noProof/>
          <w:lang w:eastAsia="pl-PL"/>
        </w:rPr>
        <w:t>4</w:t>
      </w:r>
      <w:r w:rsidRPr="00A70D1B">
        <w:rPr>
          <w:noProof/>
          <w:lang w:eastAsia="pl-PL"/>
        </w:rPr>
        <w:t xml:space="preserve">% i </w:t>
      </w:r>
      <w:r w:rsidR="00681F09" w:rsidRPr="00A70D1B">
        <w:rPr>
          <w:noProof/>
          <w:lang w:eastAsia="pl-PL"/>
        </w:rPr>
        <w:t>6,7</w:t>
      </w:r>
      <w:r w:rsidRPr="00A70D1B">
        <w:rPr>
          <w:noProof/>
          <w:lang w:eastAsia="pl-PL"/>
        </w:rPr>
        <w:t xml:space="preserve">%). Z drugiej strony </w:t>
      </w:r>
      <w:bookmarkStart w:id="5" w:name="_Hlk167356408"/>
      <w:r w:rsidRPr="00A70D1B">
        <w:rPr>
          <w:noProof/>
          <w:lang w:eastAsia="pl-PL"/>
        </w:rPr>
        <w:t xml:space="preserve">obowiązki rodzinne znacznie częściej były przyczyną bierności zawodowej kobiet </w:t>
      </w:r>
      <w:bookmarkEnd w:id="5"/>
      <w:r w:rsidRPr="00A70D1B">
        <w:rPr>
          <w:noProof/>
          <w:lang w:eastAsia="pl-PL"/>
        </w:rPr>
        <w:t>(</w:t>
      </w:r>
      <w:r w:rsidR="00821E33" w:rsidRPr="00A70D1B">
        <w:rPr>
          <w:noProof/>
          <w:lang w:eastAsia="pl-PL"/>
        </w:rPr>
        <w:t>12,5</w:t>
      </w:r>
      <w:r w:rsidRPr="00A70D1B">
        <w:rPr>
          <w:noProof/>
          <w:lang w:eastAsia="pl-PL"/>
        </w:rPr>
        <w:t>%) niż mężczyzn (</w:t>
      </w:r>
      <w:r w:rsidR="00821E33" w:rsidRPr="00A70D1B">
        <w:rPr>
          <w:noProof/>
          <w:lang w:eastAsia="pl-PL"/>
        </w:rPr>
        <w:t>2,0</w:t>
      </w:r>
      <w:r w:rsidRPr="00A70D1B">
        <w:rPr>
          <w:noProof/>
          <w:lang w:eastAsia="pl-PL"/>
        </w:rPr>
        <w:t>%).</w:t>
      </w:r>
    </w:p>
    <w:p w14:paraId="285091F8" w14:textId="0C7F6D77" w:rsidR="000E3CEC" w:rsidRPr="00A70D1B" w:rsidRDefault="00734B84" w:rsidP="00D1596E">
      <w:pPr>
        <w:spacing w:line="288" w:lineRule="auto"/>
        <w:rPr>
          <w:rFonts w:eastAsia="Times New Roman" w:cs="Times New Roman"/>
          <w:szCs w:val="19"/>
          <w:lang w:eastAsia="pl-PL"/>
        </w:rPr>
      </w:pPr>
      <w:r w:rsidRPr="00A70D1B">
        <w:rPr>
          <w:rFonts w:eastAsia="Times New Roman" w:cs="Times New Roman"/>
          <w:szCs w:val="19"/>
          <w:lang w:eastAsia="pl-PL"/>
        </w:rPr>
        <w:t xml:space="preserve">W przypadku </w:t>
      </w:r>
      <w:r w:rsidR="00B5057A" w:rsidRPr="00A70D1B">
        <w:rPr>
          <w:rFonts w:eastAsia="Times New Roman" w:cs="Times New Roman"/>
          <w:szCs w:val="19"/>
          <w:lang w:eastAsia="pl-PL"/>
        </w:rPr>
        <w:t>3</w:t>
      </w:r>
      <w:r w:rsidR="0025067B" w:rsidRPr="00A70D1B">
        <w:rPr>
          <w:rFonts w:eastAsia="Times New Roman" w:cs="Times New Roman"/>
          <w:szCs w:val="19"/>
          <w:lang w:eastAsia="pl-PL"/>
        </w:rPr>
        <w:t> 911</w:t>
      </w:r>
      <w:r w:rsidR="00B5057A" w:rsidRPr="00A70D1B">
        <w:rPr>
          <w:rFonts w:eastAsia="Times New Roman" w:cs="Times New Roman"/>
          <w:szCs w:val="19"/>
          <w:lang w:eastAsia="pl-PL"/>
        </w:rPr>
        <w:t xml:space="preserve"> tys. </w:t>
      </w:r>
      <w:r w:rsidRPr="00A70D1B">
        <w:rPr>
          <w:rFonts w:eastAsia="Times New Roman" w:cs="Times New Roman"/>
          <w:szCs w:val="19"/>
          <w:lang w:eastAsia="pl-PL"/>
        </w:rPr>
        <w:t>osób biernych zawodowo w wieku produkcyjnym</w:t>
      </w:r>
      <w:r w:rsidR="00B5057A" w:rsidRPr="00A70D1B">
        <w:rPr>
          <w:rFonts w:eastAsia="Times New Roman" w:cs="Times New Roman"/>
          <w:szCs w:val="19"/>
          <w:lang w:eastAsia="pl-PL"/>
        </w:rPr>
        <w:t xml:space="preserve"> (kobiety w wieku </w:t>
      </w:r>
      <w:r w:rsidR="00545745" w:rsidRPr="00A70D1B">
        <w:rPr>
          <w:rFonts w:eastAsia="Times New Roman" w:cs="Times New Roman"/>
          <w:szCs w:val="19"/>
          <w:lang w:eastAsia="pl-PL"/>
        </w:rPr>
        <w:br/>
      </w:r>
      <w:r w:rsidR="00652E03" w:rsidRPr="00A70D1B">
        <w:rPr>
          <w:rFonts w:eastAsia="Times New Roman" w:cs="Times New Roman"/>
          <w:szCs w:val="19"/>
          <w:lang w:eastAsia="pl-PL"/>
        </w:rPr>
        <w:t>18-59</w:t>
      </w:r>
      <w:r w:rsidR="00B5057A" w:rsidRPr="00A70D1B">
        <w:rPr>
          <w:rFonts w:eastAsia="Times New Roman" w:cs="Times New Roman"/>
          <w:szCs w:val="19"/>
          <w:lang w:eastAsia="pl-PL"/>
        </w:rPr>
        <w:t xml:space="preserve"> lat i mężczyźni w wieku 18-</w:t>
      </w:r>
      <w:r w:rsidR="00652E03" w:rsidRPr="00A70D1B">
        <w:rPr>
          <w:rFonts w:eastAsia="Times New Roman" w:cs="Times New Roman"/>
          <w:szCs w:val="19"/>
          <w:lang w:eastAsia="pl-PL"/>
        </w:rPr>
        <w:t>64 lata</w:t>
      </w:r>
      <w:r w:rsidR="00B5057A" w:rsidRPr="00A70D1B">
        <w:rPr>
          <w:rFonts w:eastAsia="Times New Roman" w:cs="Times New Roman"/>
          <w:szCs w:val="19"/>
          <w:lang w:eastAsia="pl-PL"/>
        </w:rPr>
        <w:t>)</w:t>
      </w:r>
      <w:r w:rsidR="00652E03" w:rsidRPr="00A70D1B">
        <w:rPr>
          <w:rFonts w:eastAsia="Times New Roman" w:cs="Times New Roman"/>
          <w:szCs w:val="19"/>
          <w:lang w:eastAsia="pl-PL"/>
        </w:rPr>
        <w:t xml:space="preserve"> </w:t>
      </w:r>
      <w:r w:rsidRPr="00A70D1B">
        <w:rPr>
          <w:rFonts w:eastAsia="Times New Roman" w:cs="Times New Roman"/>
          <w:szCs w:val="19"/>
          <w:lang w:eastAsia="pl-PL"/>
        </w:rPr>
        <w:t>najczęstszymi przyczynami bierności były: nauka i</w:t>
      </w:r>
      <w:r w:rsidR="00545745" w:rsidRPr="00A70D1B">
        <w:rPr>
          <w:rFonts w:eastAsia="Times New Roman" w:cs="Times New Roman"/>
          <w:szCs w:val="19"/>
          <w:lang w:eastAsia="pl-PL"/>
        </w:rPr>
        <w:t> </w:t>
      </w:r>
      <w:r w:rsidRPr="00A70D1B">
        <w:rPr>
          <w:rFonts w:eastAsia="Times New Roman" w:cs="Times New Roman"/>
          <w:szCs w:val="19"/>
          <w:lang w:eastAsia="pl-PL"/>
        </w:rPr>
        <w:t xml:space="preserve">podnoszenie kwalifikacji – </w:t>
      </w:r>
      <w:r w:rsidR="0025067B" w:rsidRPr="00A70D1B">
        <w:rPr>
          <w:rFonts w:eastAsia="Times New Roman" w:cs="Times New Roman"/>
          <w:szCs w:val="19"/>
          <w:lang w:eastAsia="pl-PL"/>
        </w:rPr>
        <w:t>30,8</w:t>
      </w:r>
      <w:r w:rsidRPr="00A70D1B">
        <w:rPr>
          <w:rFonts w:eastAsia="Times New Roman" w:cs="Times New Roman"/>
          <w:szCs w:val="19"/>
          <w:lang w:eastAsia="pl-PL"/>
        </w:rPr>
        <w:t xml:space="preserve">%, choroba, niepełnosprawność – </w:t>
      </w:r>
      <w:r w:rsidR="0025067B" w:rsidRPr="00A70D1B">
        <w:rPr>
          <w:rFonts w:eastAsia="Times New Roman" w:cs="Times New Roman"/>
          <w:szCs w:val="19"/>
          <w:lang w:eastAsia="pl-PL"/>
        </w:rPr>
        <w:t>23,8</w:t>
      </w:r>
      <w:r w:rsidRPr="00A70D1B">
        <w:rPr>
          <w:rFonts w:eastAsia="Times New Roman" w:cs="Times New Roman"/>
          <w:szCs w:val="19"/>
          <w:lang w:eastAsia="pl-PL"/>
        </w:rPr>
        <w:t xml:space="preserve">% oraz obowiązki rodzinne – </w:t>
      </w:r>
      <w:r w:rsidR="0025067B" w:rsidRPr="00A70D1B">
        <w:rPr>
          <w:rFonts w:eastAsia="Times New Roman" w:cs="Times New Roman"/>
          <w:szCs w:val="19"/>
          <w:lang w:eastAsia="pl-PL"/>
        </w:rPr>
        <w:t>20,4</w:t>
      </w:r>
      <w:r w:rsidRPr="00A70D1B">
        <w:rPr>
          <w:rFonts w:eastAsia="Times New Roman" w:cs="Times New Roman"/>
          <w:szCs w:val="19"/>
          <w:lang w:eastAsia="pl-PL"/>
        </w:rPr>
        <w:t xml:space="preserve">%. Emeryturę jako powód bierności na rynku pracy wskazało </w:t>
      </w:r>
      <w:r w:rsidR="0025067B" w:rsidRPr="00A70D1B">
        <w:rPr>
          <w:rFonts w:eastAsia="Times New Roman" w:cs="Times New Roman"/>
          <w:szCs w:val="19"/>
          <w:lang w:eastAsia="pl-PL"/>
        </w:rPr>
        <w:t>8,1</w:t>
      </w:r>
      <w:r w:rsidRPr="00A70D1B">
        <w:rPr>
          <w:rFonts w:eastAsia="Times New Roman" w:cs="Times New Roman"/>
          <w:szCs w:val="19"/>
          <w:lang w:eastAsia="pl-PL"/>
        </w:rPr>
        <w:t>% osób</w:t>
      </w:r>
      <w:r w:rsidR="00F71352" w:rsidRPr="00A70D1B">
        <w:rPr>
          <w:rFonts w:eastAsia="Times New Roman" w:cs="Times New Roman"/>
          <w:szCs w:val="19"/>
          <w:lang w:eastAsia="pl-PL"/>
        </w:rPr>
        <w:t xml:space="preserve"> w</w:t>
      </w:r>
      <w:r w:rsidR="00545745" w:rsidRPr="00A70D1B">
        <w:rPr>
          <w:rFonts w:eastAsia="Times New Roman" w:cs="Times New Roman"/>
          <w:szCs w:val="19"/>
          <w:lang w:eastAsia="pl-PL"/>
        </w:rPr>
        <w:t> </w:t>
      </w:r>
      <w:r w:rsidR="00F71352" w:rsidRPr="00A70D1B">
        <w:rPr>
          <w:rFonts w:eastAsia="Times New Roman" w:cs="Times New Roman"/>
          <w:szCs w:val="19"/>
          <w:lang w:eastAsia="pl-PL"/>
        </w:rPr>
        <w:t>wieku produkcyjnym</w:t>
      </w:r>
      <w:r w:rsidRPr="00A70D1B">
        <w:rPr>
          <w:rFonts w:eastAsia="Times New Roman" w:cs="Times New Roman"/>
          <w:szCs w:val="19"/>
          <w:lang w:eastAsia="pl-PL"/>
        </w:rPr>
        <w:t xml:space="preserve">, a osoby zniechęcone bezskutecznością poszukiwania pracy stanowiły </w:t>
      </w:r>
      <w:r w:rsidR="0025067B" w:rsidRPr="00A70D1B">
        <w:rPr>
          <w:rFonts w:eastAsia="Times New Roman" w:cs="Times New Roman"/>
          <w:szCs w:val="19"/>
          <w:lang w:eastAsia="pl-PL"/>
        </w:rPr>
        <w:t>1,3</w:t>
      </w:r>
      <w:r w:rsidRPr="00A70D1B">
        <w:rPr>
          <w:rFonts w:eastAsia="Times New Roman" w:cs="Times New Roman"/>
          <w:szCs w:val="19"/>
          <w:lang w:eastAsia="pl-PL"/>
        </w:rPr>
        <w:t>% tej grupy.</w:t>
      </w:r>
    </w:p>
    <w:p w14:paraId="179B1DBD" w14:textId="2151C411" w:rsidR="00545745" w:rsidRPr="00A70D1B" w:rsidRDefault="0025067B" w:rsidP="000E3CEC">
      <w:pPr>
        <w:spacing w:line="276" w:lineRule="auto"/>
        <w:ind w:left="992" w:hanging="992"/>
        <w:rPr>
          <w:noProof/>
        </w:rPr>
      </w:pPr>
      <w:r w:rsidRPr="00A70D1B">
        <w:rPr>
          <w:b/>
          <w:noProof/>
          <w:shd w:val="clear" w:color="auto" w:fill="FFFFFF"/>
          <w:lang w:eastAsia="pl-PL"/>
        </w:rPr>
        <w:drawing>
          <wp:anchor distT="0" distB="0" distL="114300" distR="114300" simplePos="0" relativeHeight="251957248" behindDoc="0" locked="0" layoutInCell="1" allowOverlap="1" wp14:anchorId="1A9ADC7D" wp14:editId="7D1966FF">
            <wp:simplePos x="0" y="0"/>
            <wp:positionH relativeFrom="margin">
              <wp:align>left</wp:align>
            </wp:positionH>
            <wp:positionV relativeFrom="paragraph">
              <wp:posOffset>328930</wp:posOffset>
            </wp:positionV>
            <wp:extent cx="5118100" cy="2188845"/>
            <wp:effectExtent l="0" t="0" r="6350" b="1905"/>
            <wp:wrapSquare wrapText="bothSides"/>
            <wp:docPr id="42" name="Obraz 42" descr="Wykres prezentuje strukturę osób biernych zawodowo w wieku 15-74 lata według płci i przyczyn bierności w 2 kwartale 2024 r. (w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8100" cy="2188845"/>
                    </a:xfrm>
                    <a:prstGeom prst="rect">
                      <a:avLst/>
                    </a:prstGeom>
                    <a:noFill/>
                  </pic:spPr>
                </pic:pic>
              </a:graphicData>
            </a:graphic>
            <wp14:sizeRelH relativeFrom="page">
              <wp14:pctWidth>0</wp14:pctWidth>
            </wp14:sizeRelH>
            <wp14:sizeRelV relativeFrom="page">
              <wp14:pctHeight>0</wp14:pctHeight>
            </wp14:sizeRelV>
          </wp:anchor>
        </w:drawing>
      </w:r>
      <w:r w:rsidR="00524007" w:rsidRPr="00A70D1B">
        <w:rPr>
          <w:b/>
          <w:shd w:val="clear" w:color="auto" w:fill="FFFFFF"/>
        </w:rPr>
        <w:t xml:space="preserve">Wykres </w:t>
      </w:r>
      <w:r w:rsidR="00561AD2" w:rsidRPr="00A70D1B">
        <w:rPr>
          <w:b/>
          <w:shd w:val="clear" w:color="auto" w:fill="FFFFFF"/>
        </w:rPr>
        <w:t>8</w:t>
      </w:r>
      <w:r w:rsidR="00524007" w:rsidRPr="00A70D1B">
        <w:rPr>
          <w:b/>
          <w:shd w:val="clear" w:color="auto" w:fill="FFFFFF"/>
        </w:rPr>
        <w:t>.</w:t>
      </w:r>
      <w:r w:rsidR="00524007" w:rsidRPr="00A70D1B">
        <w:rPr>
          <w:b/>
          <w:shd w:val="clear" w:color="auto" w:fill="FFFFFF"/>
        </w:rPr>
        <w:tab/>
        <w:t xml:space="preserve">Struktura osób biernych zawodowo w wieku 15-74 lata według płci </w:t>
      </w:r>
      <w:r w:rsidR="00524007" w:rsidRPr="00A70D1B">
        <w:rPr>
          <w:b/>
          <w:shd w:val="clear" w:color="auto" w:fill="FFFFFF"/>
        </w:rPr>
        <w:br/>
        <w:t xml:space="preserve">i przyczyn bierności w </w:t>
      </w:r>
      <w:r w:rsidRPr="00A70D1B">
        <w:rPr>
          <w:b/>
          <w:shd w:val="clear" w:color="auto" w:fill="FFFFFF"/>
        </w:rPr>
        <w:t>2</w:t>
      </w:r>
      <w:r w:rsidR="00524007" w:rsidRPr="00A70D1B">
        <w:rPr>
          <w:b/>
          <w:shd w:val="clear" w:color="auto" w:fill="FFFFFF"/>
        </w:rPr>
        <w:t xml:space="preserve"> kwartale 202</w:t>
      </w:r>
      <w:r w:rsidR="00FC2CF7" w:rsidRPr="00A70D1B">
        <w:rPr>
          <w:b/>
          <w:shd w:val="clear" w:color="auto" w:fill="FFFFFF"/>
        </w:rPr>
        <w:t>4</w:t>
      </w:r>
      <w:r w:rsidR="00524007" w:rsidRPr="00A70D1B">
        <w:rPr>
          <w:b/>
          <w:shd w:val="clear" w:color="auto" w:fill="FFFFFF"/>
        </w:rPr>
        <w:t xml:space="preserve"> r. </w:t>
      </w:r>
      <w:r w:rsidR="00D856A6" w:rsidRPr="00A70D1B">
        <w:rPr>
          <w:b/>
          <w:shd w:val="clear" w:color="auto" w:fill="FFFFFF"/>
        </w:rPr>
        <w:t>(w %)</w:t>
      </w:r>
      <w:r w:rsidR="00930BE5" w:rsidRPr="00A70D1B">
        <w:rPr>
          <w:noProof/>
        </w:rPr>
        <w:t xml:space="preserve"> </w:t>
      </w:r>
    </w:p>
    <w:p w14:paraId="0821B0E6" w14:textId="226A6E2C" w:rsidR="002653A4" w:rsidRPr="00A70D1B" w:rsidRDefault="002653A4" w:rsidP="002653A4">
      <w:pPr>
        <w:pStyle w:val="Nagwek1"/>
        <w:rPr>
          <w:rFonts w:ascii="Fira Sans" w:hAnsi="Fira Sans"/>
          <w:b/>
          <w:sz w:val="24"/>
        </w:rPr>
      </w:pPr>
      <w:r w:rsidRPr="00A70D1B">
        <w:rPr>
          <w:rFonts w:ascii="Fira Sans" w:hAnsi="Fira Sans"/>
          <w:b/>
          <w:sz w:val="24"/>
        </w:rPr>
        <w:t>Przejście z pracy na emeryturę</w:t>
      </w:r>
      <w:r w:rsidRPr="00A70D1B">
        <w:rPr>
          <w:rStyle w:val="Odwoanieprzypisudolnego"/>
          <w:rFonts w:ascii="Fira Sans" w:hAnsi="Fira Sans"/>
          <w:b/>
          <w:sz w:val="24"/>
        </w:rPr>
        <w:footnoteReference w:id="7"/>
      </w:r>
      <w:r w:rsidRPr="00A70D1B">
        <w:rPr>
          <w:rFonts w:ascii="Fira Sans" w:hAnsi="Fira Sans"/>
          <w:b/>
          <w:sz w:val="24"/>
        </w:rPr>
        <w:t xml:space="preserve"> osób w wieku 50-74 lata według BAEL</w:t>
      </w:r>
    </w:p>
    <w:p w14:paraId="0F8C1869" w14:textId="25A6C556" w:rsidR="002653A4" w:rsidRPr="00A70D1B" w:rsidRDefault="002653A4" w:rsidP="002653A4">
      <w:pPr>
        <w:spacing w:line="288" w:lineRule="auto"/>
        <w:rPr>
          <w:rFonts w:eastAsia="Times New Roman" w:cs="Times New Roman"/>
          <w:szCs w:val="19"/>
          <w:lang w:eastAsia="pl-PL"/>
        </w:rPr>
      </w:pPr>
      <w:r w:rsidRPr="00A70D1B">
        <w:rPr>
          <w:rFonts w:eastAsia="Times New Roman" w:cs="Times New Roman"/>
          <w:szCs w:val="19"/>
          <w:lang w:eastAsia="pl-PL"/>
        </w:rPr>
        <w:t xml:space="preserve">Badanie modułowe „Przejście z pracy na emeryturę” zostało zrealizowane w ramach Badania Aktywności Ekonomicznej Ludności w 2023 roku. Obejmowało ono osoby w wieku 50–74 lata. Jego głównym celem było uzyskanie informacji o przebiegu procesu wycofywania się z rynku pracy osób starszych, tj. poznania przyczyn, dla których osoby pracujące przechodzą na emeryturę lub decydują się kontynuować pracę, otrzymując jednocześnie świadczenie emerytalne. Badano sytuację osób przed i po przejściu na emeryturę (w okresie bezpośrednio po przejściu na emeryturę oraz w okresie późniejszym). Ważnym pytaniem badawczym był wiek przechodzenia na emeryturę. Rozpoznano również skalę korzystania z wypłat </w:t>
      </w:r>
      <w:bookmarkStart w:id="6" w:name="_Hlk169682484"/>
      <w:r w:rsidRPr="00A70D1B">
        <w:rPr>
          <w:rFonts w:eastAsia="Times New Roman" w:cs="Times New Roman"/>
          <w:szCs w:val="19"/>
          <w:lang w:eastAsia="pl-PL"/>
        </w:rPr>
        <w:t xml:space="preserve">w ramach pracowniczych programów emerytalnych </w:t>
      </w:r>
      <w:bookmarkEnd w:id="6"/>
      <w:r w:rsidRPr="00A70D1B">
        <w:rPr>
          <w:rFonts w:eastAsia="Times New Roman" w:cs="Times New Roman"/>
          <w:szCs w:val="19"/>
          <w:lang w:eastAsia="pl-PL"/>
        </w:rPr>
        <w:t xml:space="preserve">(PPE) lub pracowniczych planów kapitałowych (PPK) oraz wypłat z posiadanych indywidualnych planów emerytalnych, np. z Indywidualnego Konta Emerytalnego (IKE) lub Indywidualnego Konta Zabezpieczenia Emerytalnego (IKZE). Zbadano </w:t>
      </w:r>
      <w:r w:rsidR="00305F4F" w:rsidRPr="00A70D1B">
        <w:rPr>
          <w:rFonts w:eastAsia="Times New Roman" w:cs="Times New Roman"/>
          <w:szCs w:val="19"/>
          <w:lang w:eastAsia="pl-PL"/>
        </w:rPr>
        <w:t>także</w:t>
      </w:r>
      <w:r w:rsidRPr="00A70D1B">
        <w:rPr>
          <w:rFonts w:eastAsia="Times New Roman" w:cs="Times New Roman"/>
          <w:szCs w:val="19"/>
          <w:lang w:eastAsia="pl-PL"/>
        </w:rPr>
        <w:t xml:space="preserve"> fakt pobierania renty inwalidzkiej lub innych świadczeń społecznych z tytułu niezdolności do pracy.</w:t>
      </w:r>
    </w:p>
    <w:p w14:paraId="27D7FEE0" w14:textId="531A3E3C" w:rsidR="002653A4" w:rsidRPr="00A70D1B" w:rsidRDefault="002653A4" w:rsidP="002653A4">
      <w:pPr>
        <w:spacing w:line="288" w:lineRule="auto"/>
        <w:rPr>
          <w:szCs w:val="19"/>
        </w:rPr>
      </w:pPr>
      <w:bookmarkStart w:id="7" w:name="_Hlk174348710"/>
      <w:r w:rsidRPr="00A70D1B">
        <w:rPr>
          <w:szCs w:val="19"/>
        </w:rPr>
        <w:lastRenderedPageBreak/>
        <w:t>Powiązanie odpowiedzi na pytania modułowe z informacjami pochodzącymi z podstawowego badania BAEL pozwoliło także na ustalenie bieżącej sytuacji na rynku pracy emerytów i</w:t>
      </w:r>
      <w:r w:rsidR="0072341E" w:rsidRPr="00A70D1B">
        <w:rPr>
          <w:szCs w:val="19"/>
        </w:rPr>
        <w:t> </w:t>
      </w:r>
      <w:r w:rsidRPr="00A70D1B">
        <w:rPr>
          <w:szCs w:val="19"/>
        </w:rPr>
        <w:t>rencistów.</w:t>
      </w:r>
    </w:p>
    <w:p w14:paraId="245994E5" w14:textId="77777777" w:rsidR="002653A4" w:rsidRPr="00A70D1B" w:rsidRDefault="002653A4" w:rsidP="002653A4">
      <w:pPr>
        <w:spacing w:line="288" w:lineRule="auto"/>
        <w:rPr>
          <w:szCs w:val="19"/>
        </w:rPr>
      </w:pPr>
      <w:r w:rsidRPr="00A70D1B">
        <w:rPr>
          <w:b/>
          <w:szCs w:val="19"/>
        </w:rPr>
        <w:t>Należy zaznaczyć, że celem badania nie było oszacowanie populacji emerytów i rencistów, ale, jak wspomniano powyżej, uzyskanie charakterystyki przebiegu procesu przechodzenia na emeryturę</w:t>
      </w:r>
      <w:r w:rsidRPr="00A70D1B">
        <w:rPr>
          <w:szCs w:val="19"/>
        </w:rPr>
        <w:t>.</w:t>
      </w:r>
    </w:p>
    <w:p w14:paraId="1BB1CD8A" w14:textId="104DF42D" w:rsidR="002653A4" w:rsidRPr="00A70D1B" w:rsidRDefault="002653A4" w:rsidP="002653A4">
      <w:pPr>
        <w:spacing w:line="288" w:lineRule="auto"/>
        <w:rPr>
          <w:szCs w:val="19"/>
        </w:rPr>
      </w:pPr>
      <w:r w:rsidRPr="00A70D1B">
        <w:rPr>
          <w:szCs w:val="19"/>
        </w:rPr>
        <w:t>Badanie było realizowane na części próby BAEL przez wszystkie kwartały 2023 r. Prezentowane poniżej dane stanowią uśrednione wyniki za cały 2023 r. Podstawą wszystkich uzyskanych danych były deklaracje respondentów.</w:t>
      </w:r>
    </w:p>
    <w:p w14:paraId="199D1D3E" w14:textId="207C5CAA" w:rsidR="0072341E" w:rsidRPr="00A70D1B" w:rsidRDefault="0072341E" w:rsidP="00367BA9">
      <w:pPr>
        <w:pStyle w:val="Nagwek1"/>
        <w:spacing w:before="240"/>
        <w:rPr>
          <w:rFonts w:ascii="Fira Sans" w:hAnsi="Fira Sans"/>
          <w:b/>
          <w:szCs w:val="19"/>
        </w:rPr>
      </w:pPr>
      <w:bookmarkStart w:id="8" w:name="_Hlk173452677"/>
      <w:r w:rsidRPr="00A70D1B">
        <w:rPr>
          <w:rFonts w:ascii="Fira Sans" w:hAnsi="Fira Sans"/>
          <w:b/>
          <w:szCs w:val="19"/>
        </w:rPr>
        <w:t>Pobieranie emerytury</w:t>
      </w:r>
      <w:bookmarkEnd w:id="8"/>
    </w:p>
    <w:bookmarkEnd w:id="7"/>
    <w:p w14:paraId="5F232C11" w14:textId="5DFBB33B" w:rsidR="0072341E" w:rsidRPr="00A70D1B" w:rsidRDefault="0072341E" w:rsidP="0072341E">
      <w:pPr>
        <w:pStyle w:val="Lead"/>
        <w:spacing w:before="0"/>
      </w:pPr>
      <w:r w:rsidRPr="00A70D1B">
        <mc:AlternateContent>
          <mc:Choice Requires="wps">
            <w:drawing>
              <wp:anchor distT="45720" distB="45720" distL="114300" distR="114300" simplePos="0" relativeHeight="251959296" behindDoc="0" locked="0" layoutInCell="1" allowOverlap="1" wp14:anchorId="2D4679E1" wp14:editId="385244BD">
                <wp:simplePos x="0" y="0"/>
                <wp:positionH relativeFrom="margin">
                  <wp:align>left</wp:align>
                </wp:positionH>
                <wp:positionV relativeFrom="paragraph">
                  <wp:posOffset>92710</wp:posOffset>
                </wp:positionV>
                <wp:extent cx="2200275" cy="1345565"/>
                <wp:effectExtent l="0" t="0" r="9525" b="6985"/>
                <wp:wrapSquare wrapText="bothSides"/>
                <wp:docPr id="3" name="Pole tekstowe 2" descr="Udział osób pobierających emeryturę ustawową w ogólnej liczbie osób w wieku 50-74 lata - 51,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345996"/>
                        </a:xfrm>
                        <a:prstGeom prst="roundRect">
                          <a:avLst/>
                        </a:prstGeom>
                        <a:solidFill>
                          <a:srgbClr val="001D77"/>
                        </a:solidFill>
                        <a:ln w="9525">
                          <a:noFill/>
                          <a:miter lim="800000"/>
                          <a:headEnd/>
                          <a:tailEnd/>
                        </a:ln>
                      </wps:spPr>
                      <wps:txbx>
                        <w:txbxContent>
                          <w:p w14:paraId="43E8C90C" w14:textId="77777777" w:rsidR="0072341E" w:rsidRPr="00C4554E" w:rsidRDefault="0072341E" w:rsidP="0072341E">
                            <w:pPr>
                              <w:spacing w:before="0" w:after="0" w:line="240" w:lineRule="auto"/>
                              <w:jc w:val="center"/>
                              <w:rPr>
                                <w:color w:val="FFFFFF"/>
                                <w:sz w:val="72"/>
                              </w:rPr>
                            </w:pPr>
                            <w:r>
                              <w:rPr>
                                <w:rFonts w:ascii="Fira Sans SemiBold" w:hAnsi="Fira Sans SemiBold"/>
                                <w:color w:val="FFFFFF" w:themeColor="background1"/>
                                <w:sz w:val="72"/>
                              </w:rPr>
                              <w:t xml:space="preserve"> </w:t>
                            </w:r>
                            <w:r w:rsidRPr="0072341E">
                              <w:rPr>
                                <w:rFonts w:ascii="Fira Sans SemiBold" w:hAnsi="Fira Sans SemiBold"/>
                                <w:color w:val="FFFFFF" w:themeColor="background1"/>
                                <w:sz w:val="72"/>
                              </w:rPr>
                              <w:t>51,6%</w:t>
                            </w:r>
                          </w:p>
                          <w:p w14:paraId="5475B5D6" w14:textId="42BC8CC9" w:rsidR="0072341E" w:rsidRPr="00C4554E" w:rsidRDefault="0072341E" w:rsidP="0072341E">
                            <w:pPr>
                              <w:pStyle w:val="Opiswskanika"/>
                              <w:spacing w:before="120"/>
                              <w:jc w:val="center"/>
                            </w:pPr>
                            <w:r w:rsidRPr="00C4554E">
                              <w:t>Udział osób pobierających emeryturę ustawową w ogólnej liczbie osób w wieku 50-74 lata</w:t>
                            </w:r>
                          </w:p>
                          <w:p w14:paraId="6FFB51CA" w14:textId="7F3C35CC" w:rsidR="0072341E" w:rsidRPr="0072341E" w:rsidRDefault="0072341E" w:rsidP="0072341E">
                            <w:pPr>
                              <w:pStyle w:val="Opiswskanika"/>
                              <w:spacing w:before="12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D4679E1" id="_x0000_s1041" alt="Udział osób pobierających emeryturę ustawową w ogólnej liczbie osób w wieku 50-74 lata - 51,6%&#10;" style="position:absolute;margin-left:0;margin-top:7.3pt;width:173.25pt;height:105.95pt;z-index:25195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" fillcolor="#001d77" stroked="f">
                <v:stroke joinstyle="miter"/>
                <v:textbox>
                  <w:txbxContent>
                    <w:p w14:paraId="43E8C90C" w14:textId="77777777" w:rsidR="0072341E" w:rsidRPr="00C4554E" w:rsidRDefault="0072341E" w:rsidP="0072341E">
                      <w:pPr>
                        <w:spacing w:before="0" w:after="0" w:line="240" w:lineRule="auto"/>
                        <w:jc w:val="center"/>
                        <w:rPr>
                          <w:color w:val="FFFFFF"/>
                          <w:sz w:val="72"/>
                        </w:rPr>
                      </w:pPr>
                      <w:r>
                        <w:rPr>
                          <w:rFonts w:ascii="Fira Sans SemiBold" w:hAnsi="Fira Sans SemiBold"/>
                          <w:color w:val="FFFFFF" w:themeColor="background1"/>
                          <w:sz w:val="72"/>
                        </w:rPr>
                        <w:t xml:space="preserve"> </w:t>
                      </w:r>
                      <w:r w:rsidRPr="0072341E">
                        <w:rPr>
                          <w:rFonts w:ascii="Fira Sans SemiBold" w:hAnsi="Fira Sans SemiBold"/>
                          <w:color w:val="FFFFFF" w:themeColor="background1"/>
                          <w:sz w:val="72"/>
                        </w:rPr>
                        <w:t>51,6%</w:t>
                      </w:r>
                    </w:p>
                    <w:p w14:paraId="5475B5D6" w14:textId="42BC8CC9" w:rsidR="0072341E" w:rsidRPr="00C4554E" w:rsidRDefault="0072341E" w:rsidP="0072341E">
                      <w:pPr>
                        <w:pStyle w:val="Opiswskanika"/>
                        <w:spacing w:before="120"/>
                        <w:jc w:val="center"/>
                      </w:pPr>
                      <w:r w:rsidRPr="00C4554E">
                        <w:t>Udział osób pobierających emeryturę ustawową w ogólnej liczbie osób w wieku 50-74 lata</w:t>
                      </w:r>
                    </w:p>
                    <w:p w14:paraId="6FFB51CA" w14:textId="7F3C35CC" w:rsidR="0072341E" w:rsidRPr="0072341E" w:rsidRDefault="0072341E" w:rsidP="0072341E">
                      <w:pPr>
                        <w:pStyle w:val="Opiswskanika"/>
                        <w:spacing w:before="120"/>
                        <w:jc w:val="center"/>
                      </w:pPr>
                    </w:p>
                  </w:txbxContent>
                </v:textbox>
                <w10:wrap type="square" anchorx="margin"/>
              </v:roundrect>
            </w:pict>
          </mc:Fallback>
        </mc:AlternateContent>
      </w:r>
    </w:p>
    <w:p w14:paraId="11318F1B" w14:textId="00DCAB4F" w:rsidR="0072341E" w:rsidRPr="00A70D1B" w:rsidRDefault="0072341E" w:rsidP="0072341E">
      <w:pPr>
        <w:pStyle w:val="Lead"/>
        <w:spacing w:before="0"/>
      </w:pPr>
      <w:r w:rsidRPr="00A70D1B">
        <w:t xml:space="preserve">W 2023 r. 51,6% osób w wieku 50-74 lata pobierało emeryturę ustawową (wyłącznie albo łącznie z wypłatami w ramach pracowniczych programów emerytalnych lub pracowniczych planów kapitałowych, </w:t>
      </w:r>
      <w:r w:rsidR="00825B03" w:rsidRPr="00A70D1B">
        <w:t>bądź</w:t>
      </w:r>
      <w:r w:rsidRPr="00A70D1B">
        <w:t xml:space="preserve"> z indywidualnych planów emerytalnych). </w:t>
      </w:r>
    </w:p>
    <w:p w14:paraId="5745C09A" w14:textId="735D5A8E" w:rsidR="002653A4" w:rsidRPr="00A70D1B" w:rsidRDefault="002653A4" w:rsidP="002653A4">
      <w:pPr>
        <w:spacing w:line="288" w:lineRule="auto"/>
        <w:rPr>
          <w:rFonts w:eastAsia="Times New Roman" w:cs="Times New Roman"/>
          <w:szCs w:val="19"/>
          <w:lang w:eastAsia="pl-PL"/>
        </w:rPr>
      </w:pPr>
    </w:p>
    <w:p w14:paraId="4AE0746C" w14:textId="770870B6" w:rsidR="002653A4" w:rsidRPr="00A70D1B" w:rsidRDefault="00CC0175" w:rsidP="005870C3">
      <w:pPr>
        <w:pStyle w:val="Nagwek1"/>
        <w:spacing w:before="0" w:after="0"/>
        <w:rPr>
          <w:rFonts w:ascii="Fira Sans" w:hAnsi="Fira Sans"/>
          <w:b/>
          <w:szCs w:val="19"/>
        </w:rPr>
      </w:pPr>
      <w:r w:rsidRPr="00A70D1B">
        <w:rPr>
          <w:noProof/>
        </w:rPr>
        <mc:AlternateContent>
          <mc:Choice Requires="wps">
            <w:drawing>
              <wp:anchor distT="45720" distB="45720" distL="114300" distR="114300" simplePos="0" relativeHeight="251961344" behindDoc="1" locked="0" layoutInCell="1" allowOverlap="1" wp14:anchorId="498DE190" wp14:editId="19FF5281">
                <wp:simplePos x="0" y="0"/>
                <wp:positionH relativeFrom="page">
                  <wp:posOffset>5792944</wp:posOffset>
                </wp:positionH>
                <wp:positionV relativeFrom="paragraph">
                  <wp:posOffset>281656</wp:posOffset>
                </wp:positionV>
                <wp:extent cx="1647825" cy="2353945"/>
                <wp:effectExtent l="0" t="0" r="0" b="0"/>
                <wp:wrapTight wrapText="bothSides">
                  <wp:wrapPolygon edited="0">
                    <wp:start x="749" y="0"/>
                    <wp:lineTo x="749" y="21326"/>
                    <wp:lineTo x="20726" y="21326"/>
                    <wp:lineTo x="20726" y="0"/>
                    <wp:lineTo x="749" y="0"/>
                  </wp:wrapPolygon>
                </wp:wrapTight>
                <wp:docPr id="7" name="Pole tekstowe 2" descr="Spośród wszystkich emerytów w wieku &#10;50-74 lata, zdecydowana większość (89,1%) pobierała w 2023 r. wyłącznie emeryturę ustawową, a tylko 10,9% – emeryturę ustawową łącznie z wypłatami w ramach pracowniczych programów emerytalnych lub kapitałowych, bądź indywidualnych planów emerytaln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353945"/>
                        </a:xfrm>
                        <a:prstGeom prst="rect">
                          <a:avLst/>
                        </a:prstGeom>
                        <a:noFill/>
                        <a:ln w="9525">
                          <a:noFill/>
                          <a:miter lim="800000"/>
                          <a:headEnd/>
                          <a:tailEnd/>
                        </a:ln>
                      </wps:spPr>
                      <wps:txbx>
                        <w:txbxContent>
                          <w:p w14:paraId="19666FEB" w14:textId="6C9D1A25" w:rsidR="00CC0175" w:rsidRPr="001E2752" w:rsidRDefault="00CC0175" w:rsidP="00CC0175">
                            <w:pPr>
                              <w:pStyle w:val="tekstzboku"/>
                              <w:spacing w:before="0"/>
                            </w:pPr>
                            <w:r w:rsidRPr="00CC0175">
                              <w:t xml:space="preserve">Spośród wszystkich emerytów w wieku </w:t>
                            </w:r>
                            <w:r w:rsidR="002C0B09">
                              <w:br/>
                            </w:r>
                            <w:r w:rsidRPr="00CC0175">
                              <w:t>50-74 lata, zdecydowana większość (89,1%) pobierała w 2023 r. wyłącznie emeryturę ustawową, a</w:t>
                            </w:r>
                            <w:r w:rsidR="002C0B09">
                              <w:t> </w:t>
                            </w:r>
                            <w:r w:rsidRPr="00CC0175">
                              <w:t>tylko 10,9% – emeryturę ustawową łącznie z</w:t>
                            </w:r>
                            <w:r w:rsidR="002C0B09">
                              <w:t> </w:t>
                            </w:r>
                            <w:r w:rsidRPr="00CC0175">
                              <w:t xml:space="preserve">wypłatami w ramach pracowniczych programów emerytalnych lub kapitałowych, </w:t>
                            </w:r>
                            <w:r w:rsidR="005510F6">
                              <w:t>bądź</w:t>
                            </w:r>
                            <w:r w:rsidRPr="00CC0175">
                              <w:t xml:space="preserve"> indywidualnych planów emerytalnych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DE190" id="_x0000_s1042" type="#_x0000_t202" alt="Spośród wszystkich emerytów w wieku &#10;50-74 lata, zdecydowana większość (89,1%) pobierała w 2023 r. wyłącznie emeryturę ustawową, a tylko 10,9% – emeryturę ustawową łącznie z wypłatami w ramach pracowniczych programów emerytalnych lub kapitałowych, bądź indywidualnych planów emerytalnych" style="position:absolute;margin-left:456.15pt;margin-top:22.2pt;width:129.75pt;height:185.35pt;z-index:-251355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" filled="f" stroked="f">
                <v:textbox>
                  <w:txbxContent>
                    <w:p w14:paraId="19666FEB" w14:textId="6C9D1A25" w:rsidR="00CC0175" w:rsidRPr="001E2752" w:rsidRDefault="00CC0175" w:rsidP="00CC0175">
                      <w:pPr>
                        <w:pStyle w:val="tekstzboku"/>
                        <w:spacing w:before="0"/>
                      </w:pPr>
                      <w:r w:rsidRPr="00CC0175">
                        <w:t xml:space="preserve">Spośród wszystkich emerytów w wieku </w:t>
                      </w:r>
                      <w:r w:rsidR="002C0B09">
                        <w:br/>
                      </w:r>
                      <w:r w:rsidRPr="00CC0175">
                        <w:t>50-74 lata, zdecydowana większość (89,1%) pobierała w 2023 r. wyłącznie emeryturę ustawową, a</w:t>
                      </w:r>
                      <w:r w:rsidR="002C0B09">
                        <w:t> </w:t>
                      </w:r>
                      <w:r w:rsidRPr="00CC0175">
                        <w:t>tylko 10,9% – emeryturę ustawową łącznie z</w:t>
                      </w:r>
                      <w:r w:rsidR="002C0B09">
                        <w:t> </w:t>
                      </w:r>
                      <w:r w:rsidRPr="00CC0175">
                        <w:t xml:space="preserve">wypłatami w ramach pracowniczych programów emerytalnych lub kapitałowych, </w:t>
                      </w:r>
                      <w:r w:rsidR="005510F6">
                        <w:t>bądź</w:t>
                      </w:r>
                      <w:r w:rsidRPr="00CC0175">
                        <w:t xml:space="preserve"> indywidualnych planów emerytalnych</w:t>
                      </w:r>
                    </w:p>
                  </w:txbxContent>
                </v:textbox>
                <w10:wrap type="tight" anchorx="page"/>
              </v:shape>
            </w:pict>
          </mc:Fallback>
        </mc:AlternateContent>
      </w:r>
    </w:p>
    <w:p w14:paraId="1E58D6C3" w14:textId="0ADC9DA4" w:rsidR="00367BA9" w:rsidRPr="00A70D1B" w:rsidRDefault="00367BA9" w:rsidP="005870C3">
      <w:pPr>
        <w:spacing w:before="0" w:line="288" w:lineRule="auto"/>
        <w:rPr>
          <w:szCs w:val="19"/>
        </w:rPr>
      </w:pPr>
      <w:r w:rsidRPr="00A70D1B">
        <w:rPr>
          <w:szCs w:val="19"/>
        </w:rPr>
        <w:t>W 2023 r. nieco ponad połowa osób w wieku 50-74 lata</w:t>
      </w:r>
      <w:r w:rsidR="005510F6" w:rsidRPr="00A70D1B">
        <w:rPr>
          <w:szCs w:val="19"/>
        </w:rPr>
        <w:t xml:space="preserve"> (</w:t>
      </w:r>
      <w:r w:rsidRPr="00A70D1B">
        <w:rPr>
          <w:szCs w:val="19"/>
        </w:rPr>
        <w:t>51,6% tj. 5 864 tys. spośród 11 372 tys.) pobierało emeryturę ustawową. Spośród nich zdecydowana większość, tj.  89,1% (5 226 tys.</w:t>
      </w:r>
      <w:r w:rsidR="00D06EB3" w:rsidRPr="00A70D1B">
        <w:rPr>
          <w:szCs w:val="19"/>
        </w:rPr>
        <w:t xml:space="preserve"> osób</w:t>
      </w:r>
      <w:r w:rsidRPr="00A70D1B">
        <w:rPr>
          <w:szCs w:val="19"/>
        </w:rPr>
        <w:t xml:space="preserve">), pobierała wyłącznie emeryturę ustawową, pozostali (638 tys., tj. 10,9%) – emeryturę ustawową łącznie z wypłatami w ramach pracowniczych programów emerytalnych (PPE) lub pracowniczych planów kapitałowych (PPK), </w:t>
      </w:r>
      <w:r w:rsidR="005510F6" w:rsidRPr="00A70D1B">
        <w:rPr>
          <w:szCs w:val="19"/>
        </w:rPr>
        <w:t>bądź</w:t>
      </w:r>
      <w:r w:rsidRPr="00A70D1B">
        <w:rPr>
          <w:szCs w:val="19"/>
        </w:rPr>
        <w:t xml:space="preserve"> z posiadanych indywidualnych planów emerytalnych (IKE/IKZE). </w:t>
      </w:r>
    </w:p>
    <w:p w14:paraId="5129F40E" w14:textId="3BA3FB9B" w:rsidR="002653A4" w:rsidRPr="00A70D1B" w:rsidRDefault="00367BA9" w:rsidP="00367BA9">
      <w:pPr>
        <w:spacing w:line="288" w:lineRule="auto"/>
        <w:rPr>
          <w:szCs w:val="19"/>
        </w:rPr>
      </w:pPr>
      <w:r w:rsidRPr="00A70D1B">
        <w:rPr>
          <w:szCs w:val="19"/>
        </w:rPr>
        <w:t>Emeryturę ustawową łącznie z wypłatami z PPE lub PPK otrzymywało 7,6% emerytów (447</w:t>
      </w:r>
      <w:r w:rsidR="006D17B1" w:rsidRPr="00A70D1B">
        <w:rPr>
          <w:szCs w:val="19"/>
        </w:rPr>
        <w:t> </w:t>
      </w:r>
      <w:r w:rsidRPr="00A70D1B">
        <w:rPr>
          <w:szCs w:val="19"/>
        </w:rPr>
        <w:t>tys.</w:t>
      </w:r>
      <w:r w:rsidR="00D06EB3" w:rsidRPr="00A70D1B">
        <w:rPr>
          <w:szCs w:val="19"/>
        </w:rPr>
        <w:t xml:space="preserve"> osób</w:t>
      </w:r>
      <w:r w:rsidRPr="00A70D1B">
        <w:rPr>
          <w:szCs w:val="19"/>
        </w:rPr>
        <w:t xml:space="preserve">), a łącznie z wypłatami z IKE lub IKZE zaledwie 1,1% (63 tys.), natomiast wszystkie trzy formy, tj. emeryturę ustawową oraz wypłaty w ramach PPE/PPK i wypłaty z IKE/IKZE pobierało 2,2% (128 tys. </w:t>
      </w:r>
      <w:r w:rsidRPr="00A70D1B">
        <w:rPr>
          <w:strike/>
          <w:szCs w:val="19"/>
        </w:rPr>
        <w:t>osób</w:t>
      </w:r>
      <w:r w:rsidRPr="00A70D1B">
        <w:rPr>
          <w:szCs w:val="19"/>
        </w:rPr>
        <w:t>). Wystąpiły również przypadki pobierania „emerytury” z</w:t>
      </w:r>
      <w:r w:rsidR="00CC0175" w:rsidRPr="00A70D1B">
        <w:rPr>
          <w:szCs w:val="19"/>
        </w:rPr>
        <w:t> </w:t>
      </w:r>
      <w:r w:rsidRPr="00A70D1B">
        <w:rPr>
          <w:szCs w:val="19"/>
        </w:rPr>
        <w:t>pracowniczych programów emerytalnych lub pracowniczych planów kapitałowych bez pobierania emerytury ustawowej, ale skala zjawiska była na tyle niewielka, że dane z uwagi na wysoki losowy błąd próby zostały wyłączone z dalszej analizy.</w:t>
      </w:r>
    </w:p>
    <w:p w14:paraId="14B0C5F3" w14:textId="77777777" w:rsidR="001E2A42" w:rsidRPr="00A70D1B" w:rsidRDefault="001E2A42" w:rsidP="001E2A42">
      <w:pPr>
        <w:spacing w:line="288" w:lineRule="auto"/>
        <w:rPr>
          <w:szCs w:val="19"/>
        </w:rPr>
      </w:pPr>
      <w:r w:rsidRPr="00A70D1B">
        <w:rPr>
          <w:szCs w:val="19"/>
        </w:rPr>
        <w:t>W całej grupie osób w wieku 50-74 lata objętej badaniem modułowym przeważały kobiety (stanowiły 54,1% ogółu osób), co wynika ze struktury demograficznej tej populacji. Jednak przewaga kobiet wśród wszystkich osób pobierających emeryturę ustawową (wyłącznie lub razem z innymi wypłatami) była znacznie większa niż wynikająca ze struktury ludności w tej grupie wieku. Kobiety stanowiły bowiem 62,6% całej zbiorowości emerytów, co jest związane z wcześniejszym ustawowym wiekiem przechodzenia kobiet na emeryturę.</w:t>
      </w:r>
    </w:p>
    <w:p w14:paraId="5CA6C920" w14:textId="5B7D75BD" w:rsidR="001E2A42" w:rsidRPr="00A70D1B" w:rsidRDefault="001E2A42" w:rsidP="001E2A42">
      <w:pPr>
        <w:spacing w:line="288" w:lineRule="auto"/>
        <w:rPr>
          <w:szCs w:val="19"/>
        </w:rPr>
      </w:pPr>
      <w:r w:rsidRPr="00A70D1B">
        <w:rPr>
          <w:szCs w:val="19"/>
        </w:rPr>
        <w:t>Biorąc pod uwagę miejsce zamieszkania, 63,</w:t>
      </w:r>
      <w:r w:rsidR="00E022D3" w:rsidRPr="00A70D1B">
        <w:rPr>
          <w:szCs w:val="19"/>
        </w:rPr>
        <w:t>8</w:t>
      </w:r>
      <w:r w:rsidRPr="00A70D1B">
        <w:rPr>
          <w:szCs w:val="19"/>
        </w:rPr>
        <w:t>% emerytów mieszkało w miastach, co również jest wyższym odsetkiem niż dla całej populacji osób w wieku 50-74 lata mieszkających w miastach (60,8%).</w:t>
      </w:r>
    </w:p>
    <w:p w14:paraId="03F62331" w14:textId="05CD63D5" w:rsidR="001E2A42" w:rsidRPr="00A70D1B" w:rsidRDefault="001E2A42" w:rsidP="001E2A42">
      <w:pPr>
        <w:spacing w:line="288" w:lineRule="auto"/>
        <w:rPr>
          <w:szCs w:val="19"/>
        </w:rPr>
      </w:pPr>
      <w:r w:rsidRPr="00A70D1B">
        <w:rPr>
          <w:szCs w:val="19"/>
        </w:rPr>
        <w:t>Nieco mniej niż połowa – 48,4% (5</w:t>
      </w:r>
      <w:r w:rsidR="005510F6" w:rsidRPr="00A70D1B">
        <w:rPr>
          <w:szCs w:val="19"/>
        </w:rPr>
        <w:t> </w:t>
      </w:r>
      <w:r w:rsidRPr="00A70D1B">
        <w:rPr>
          <w:szCs w:val="19"/>
        </w:rPr>
        <w:t>504 tys.) ogółu osób w wieku 50-74 lata było jeszcze w wieku produkcyjnym. Ze względu na różne górne progi wieku produkcyjnego dla mężczyzn i kobiet</w:t>
      </w:r>
      <w:r w:rsidRPr="00A70D1B">
        <w:rPr>
          <w:rStyle w:val="Odwoanieprzypisudolnego"/>
          <w:szCs w:val="19"/>
        </w:rPr>
        <w:footnoteReference w:id="8"/>
      </w:r>
      <w:r w:rsidRPr="00A70D1B">
        <w:rPr>
          <w:szCs w:val="19"/>
        </w:rPr>
        <w:t xml:space="preserve"> odsetek mężczyzn w wieku produkcyjnym w ogólnej liczbie badanych osób wnosił 59,2 % i był znacznie wyższy od analogicznego odsetka dla kobiet (40,8%). Spośród ogółu osób w wieku produkcyjnym 6,8% (375 tys.) pobierało emeryturę ustawową. Odsetek mężczyzn w wieku produkcyjnym pobierających to świadczenie wyniósł 9,9% (323 tys.), </w:t>
      </w:r>
      <w:r w:rsidRPr="00A70D1B">
        <w:rPr>
          <w:szCs w:val="19"/>
        </w:rPr>
        <w:lastRenderedPageBreak/>
        <w:t>a kobiet – 2,3% (51 tys.). Pozostali emeryci (5 489 tys.</w:t>
      </w:r>
      <w:r w:rsidR="00D90987" w:rsidRPr="00A70D1B">
        <w:rPr>
          <w:szCs w:val="19"/>
        </w:rPr>
        <w:t xml:space="preserve"> osób</w:t>
      </w:r>
      <w:r w:rsidRPr="00A70D1B">
        <w:rPr>
          <w:szCs w:val="19"/>
        </w:rPr>
        <w:t xml:space="preserve">) byli w wieku poprodukcyjnym, </w:t>
      </w:r>
      <w:r w:rsidR="00E26DFD" w:rsidRPr="00A70D1B">
        <w:rPr>
          <w:noProof/>
          <w:szCs w:val="19"/>
          <w:lang w:eastAsia="pl-PL"/>
        </w:rPr>
        <mc:AlternateContent>
          <mc:Choice Requires="wps">
            <w:drawing>
              <wp:anchor distT="45720" distB="45720" distL="114300" distR="114300" simplePos="0" relativeHeight="251963392" behindDoc="1" locked="0" layoutInCell="1" allowOverlap="1" wp14:anchorId="1DCF6E3D" wp14:editId="44ADB082">
                <wp:simplePos x="0" y="0"/>
                <wp:positionH relativeFrom="column">
                  <wp:posOffset>5312468</wp:posOffset>
                </wp:positionH>
                <wp:positionV relativeFrom="paragraph">
                  <wp:posOffset>429780</wp:posOffset>
                </wp:positionV>
                <wp:extent cx="1531620" cy="769620"/>
                <wp:effectExtent l="0" t="0" r="0" b="0"/>
                <wp:wrapTight wrapText="bothSides">
                  <wp:wrapPolygon edited="0">
                    <wp:start x="806" y="0"/>
                    <wp:lineTo x="806" y="20851"/>
                    <wp:lineTo x="20687" y="20851"/>
                    <wp:lineTo x="20687" y="0"/>
                    <wp:lineTo x="806" y="0"/>
                  </wp:wrapPolygon>
                </wp:wrapTight>
                <wp:docPr id="20" name="Pole tekstowe 20" descr="Odsetek emerytów wśród osób w wieku 65-69 lat wynosił 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769620"/>
                        </a:xfrm>
                        <a:prstGeom prst="rect">
                          <a:avLst/>
                        </a:prstGeom>
                        <a:noFill/>
                        <a:ln w="9525">
                          <a:noFill/>
                          <a:miter lim="800000"/>
                          <a:headEnd/>
                          <a:tailEnd/>
                        </a:ln>
                      </wps:spPr>
                      <wps:txbx>
                        <w:txbxContent>
                          <w:p w14:paraId="36915566" w14:textId="77777777" w:rsidR="001E2A42" w:rsidRPr="00187A09" w:rsidRDefault="001E2A42" w:rsidP="001E2A42">
                            <w:pPr>
                              <w:pStyle w:val="tekstzboku"/>
                              <w:spacing w:before="0"/>
                            </w:pPr>
                            <w:bookmarkStart w:id="9" w:name="_Hlk173429940"/>
                            <w:r>
                              <w:t>Odsetek emerytów wśród osób w wieku 65-69 lat wynosił 93,8%</w:t>
                            </w:r>
                          </w:p>
                          <w:bookmarkEnd w:id="9"/>
                          <w:p w14:paraId="00860492" w14:textId="77777777" w:rsidR="001E2A42" w:rsidRPr="00187A09" w:rsidRDefault="001E2A42" w:rsidP="001E2A42">
                            <w:pPr>
                              <w:pStyle w:val="tekstzboku"/>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F6E3D" id="Pole tekstowe 20" o:spid="_x0000_s1043" type="#_x0000_t202" alt="Odsetek emerytów wśród osób w wieku 65-69 lat wynosił 93,8%" style="position:absolute;margin-left:418.3pt;margin-top:33.85pt;width:120.6pt;height:60.6pt;z-index:-25135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" filled="f" stroked="f">
                <v:textbox>
                  <w:txbxContent>
                    <w:p w14:paraId="36915566" w14:textId="77777777" w:rsidR="001E2A42" w:rsidRPr="00187A09" w:rsidRDefault="001E2A42" w:rsidP="001E2A42">
                      <w:pPr>
                        <w:pStyle w:val="tekstzboku"/>
                        <w:spacing w:before="0"/>
                      </w:pPr>
                      <w:bookmarkStart w:id="9" w:name="_Hlk173429940"/>
                      <w:r>
                        <w:t>Odsetek emerytów wśród osób w wieku 65-69 lat wynosił 93,8%</w:t>
                      </w:r>
                    </w:p>
                    <w:bookmarkEnd w:id="9"/>
                    <w:p w14:paraId="00860492" w14:textId="77777777" w:rsidR="001E2A42" w:rsidRPr="00187A09" w:rsidRDefault="001E2A42" w:rsidP="001E2A42">
                      <w:pPr>
                        <w:pStyle w:val="tekstzboku"/>
                        <w:spacing w:before="0"/>
                      </w:pPr>
                    </w:p>
                  </w:txbxContent>
                </v:textbox>
                <w10:wrap type="tight"/>
              </v:shape>
            </w:pict>
          </mc:Fallback>
        </mc:AlternateContent>
      </w:r>
      <w:r w:rsidRPr="00A70D1B">
        <w:rPr>
          <w:szCs w:val="19"/>
        </w:rPr>
        <w:t>mężczyźni w tej grupie stanowili 34,1% (1 870 tys.), a kobiety 65,9% (3 619 tys.).</w:t>
      </w:r>
    </w:p>
    <w:p w14:paraId="714265B0" w14:textId="2CFAD0FD" w:rsidR="001E2A42" w:rsidRPr="00A70D1B" w:rsidRDefault="001E2A42" w:rsidP="00C645AC">
      <w:pPr>
        <w:tabs>
          <w:tab w:val="left" w:pos="993"/>
        </w:tabs>
        <w:spacing w:line="288" w:lineRule="auto"/>
        <w:rPr>
          <w:szCs w:val="19"/>
        </w:rPr>
      </w:pPr>
      <w:r w:rsidRPr="00A70D1B">
        <w:rPr>
          <w:szCs w:val="19"/>
        </w:rPr>
        <w:t>Odsetek osób pobierających emeryturę wśród ogółu badanych osób w wieku 50-74 lata wzrastał wraz z wiekiem. Po podzieleniu tej populacji na 5-cio letnie grupy wieku można zauważyć, że w pierwszych dwóch grupach, tj. 50-54 lata oraz 55-59 lat odsetek emerytów był stosunkow</w:t>
      </w:r>
      <w:r w:rsidR="0079314F" w:rsidRPr="00A70D1B">
        <w:rPr>
          <w:szCs w:val="19"/>
        </w:rPr>
        <w:t>o</w:t>
      </w:r>
      <w:r w:rsidRPr="00A70D1B">
        <w:rPr>
          <w:szCs w:val="19"/>
        </w:rPr>
        <w:t xml:space="preserve"> niewielki (odpowiednio: 3,5% i 6,1%), wzrastał natomiast istotnie wraz z przekroczeniem ustawowego wieku emerytalnego – i tak wśród osób w wieku 60-64 lata wynosił 53,0%, a w grupie 65-69 lat osiągnął już wartość 93,8%. Dla najstarszych badanych osób, tj. w wieku 70-74 lata odsetek wynosił 97,3%, ale wzrost odsetka nie miał już tak dużej dynamiki.</w:t>
      </w:r>
    </w:p>
    <w:p w14:paraId="1B441467" w14:textId="65DD2331" w:rsidR="001E2A42" w:rsidRPr="00A70D1B" w:rsidRDefault="001E2A42" w:rsidP="001E2A42">
      <w:pPr>
        <w:spacing w:line="288" w:lineRule="auto"/>
        <w:rPr>
          <w:szCs w:val="19"/>
        </w:rPr>
      </w:pPr>
      <w:r w:rsidRPr="00A70D1B">
        <w:rPr>
          <w:szCs w:val="19"/>
        </w:rPr>
        <w:t>Prawidłowość ta jest jeszcze bardziej widoczna po uwzględnieniu w analizie podziału ze względu na płeć, co wynika ze zróżnicowania wieku, w którym na emeryturę ustawową mogą przechodzić kobiety (60 lat) i mężczyźni (65 lat). Wśród kobiet w wieku 60-64 lata odsetek emerytek wyniósł 86,4%, natomiast wśród mężczyzn w tej samej grupie wieku, odsetek emerytów był na poziomie 15,2%. Udział emerytów wśród mężczyzn znacznie wzrósł w grupie wieku 65-69 lat (do 92,9%), podczas gdy wśród kobiet ten wzrost nie był już tak duży (do 94,6%). Wśród osób w wieku 70-74 lata odsetki pobierających emeryturę jeszcze wzrosły dla obu płci (dla mężczyzn o prawie 6 p. proc. – do 98,7%, dla kobiet o niecałe 2 p. proc. – do 96,4%).</w:t>
      </w:r>
    </w:p>
    <w:p w14:paraId="55C28381" w14:textId="4F206D81" w:rsidR="00C645AC" w:rsidRPr="00A70D1B" w:rsidRDefault="00CD02DE" w:rsidP="00C645AC">
      <w:pPr>
        <w:spacing w:line="276" w:lineRule="auto"/>
        <w:ind w:left="992" w:hanging="992"/>
        <w:rPr>
          <w:b/>
          <w:shd w:val="clear" w:color="auto" w:fill="FFFFFF"/>
        </w:rPr>
      </w:pPr>
      <w:r w:rsidRPr="00A70D1B">
        <w:rPr>
          <w:noProof/>
          <w:sz w:val="18"/>
          <w:szCs w:val="18"/>
        </w:rPr>
        <w:drawing>
          <wp:anchor distT="0" distB="0" distL="114300" distR="114300" simplePos="0" relativeHeight="251993088" behindDoc="0" locked="0" layoutInCell="1" allowOverlap="1" wp14:anchorId="2C10B5A2" wp14:editId="214C6C5E">
            <wp:simplePos x="0" y="0"/>
            <wp:positionH relativeFrom="margin">
              <wp:align>center</wp:align>
            </wp:positionH>
            <wp:positionV relativeFrom="paragraph">
              <wp:posOffset>328930</wp:posOffset>
            </wp:positionV>
            <wp:extent cx="5187950" cy="2070735"/>
            <wp:effectExtent l="0" t="0" r="0" b="5715"/>
            <wp:wrapSquare wrapText="bothSides"/>
            <wp:docPr id="47" name="Obraz 47" descr="Wykres prezentuje odsetki osób pobierających i niepobierających emerytury ustawowej według płci i wieku w 2023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87950" cy="2070735"/>
                    </a:xfrm>
                    <a:prstGeom prst="rect">
                      <a:avLst/>
                    </a:prstGeom>
                    <a:noFill/>
                  </pic:spPr>
                </pic:pic>
              </a:graphicData>
            </a:graphic>
            <wp14:sizeRelH relativeFrom="page">
              <wp14:pctWidth>0</wp14:pctWidth>
            </wp14:sizeRelH>
            <wp14:sizeRelV relativeFrom="page">
              <wp14:pctHeight>0</wp14:pctHeight>
            </wp14:sizeRelV>
          </wp:anchor>
        </w:drawing>
      </w:r>
      <w:r w:rsidR="00C645AC" w:rsidRPr="00A70D1B">
        <w:rPr>
          <w:b/>
          <w:shd w:val="clear" w:color="auto" w:fill="FFFFFF"/>
        </w:rPr>
        <w:t>Wykres 9.</w:t>
      </w:r>
      <w:r w:rsidR="00C645AC" w:rsidRPr="00A70D1B">
        <w:rPr>
          <w:b/>
          <w:shd w:val="clear" w:color="auto" w:fill="FFFFFF"/>
        </w:rPr>
        <w:tab/>
        <w:t>Odsetki osób pobierających i niepobierających emerytury ustawowej według płci i wieku w 2023 r.</w:t>
      </w:r>
    </w:p>
    <w:p w14:paraId="5A0F4FC5" w14:textId="4F827FD6" w:rsidR="0052416F" w:rsidRPr="00A70D1B" w:rsidRDefault="0052416F" w:rsidP="0052416F">
      <w:pPr>
        <w:spacing w:line="288" w:lineRule="auto"/>
        <w:rPr>
          <w:sz w:val="18"/>
          <w:szCs w:val="18"/>
        </w:rPr>
      </w:pPr>
      <w:r w:rsidRPr="00A70D1B">
        <w:rPr>
          <w:b/>
          <w:sz w:val="18"/>
          <w:szCs w:val="18"/>
        </w:rPr>
        <w:t>U w a g a.</w:t>
      </w:r>
      <w:r w:rsidRPr="00A70D1B">
        <w:rPr>
          <w:sz w:val="18"/>
          <w:szCs w:val="18"/>
        </w:rPr>
        <w:t xml:space="preserve"> W przypadku kobiet </w:t>
      </w:r>
      <w:r w:rsidR="00122EAC" w:rsidRPr="00A70D1B">
        <w:rPr>
          <w:sz w:val="18"/>
          <w:szCs w:val="18"/>
        </w:rPr>
        <w:t xml:space="preserve">w wieku 50-54 lata </w:t>
      </w:r>
      <w:r w:rsidR="00D809DD" w:rsidRPr="00A70D1B">
        <w:rPr>
          <w:sz w:val="18"/>
          <w:szCs w:val="18"/>
        </w:rPr>
        <w:t>pobierających emeryturę ustawową</w:t>
      </w:r>
      <w:r w:rsidRPr="00A70D1B">
        <w:rPr>
          <w:sz w:val="18"/>
          <w:szCs w:val="18"/>
        </w:rPr>
        <w:t>, konkretna wartość nie może być pokazana ze względu na wysoki losowy błąd próby</w:t>
      </w:r>
      <w:r w:rsidR="00EC305E" w:rsidRPr="00A70D1B">
        <w:rPr>
          <w:sz w:val="18"/>
          <w:szCs w:val="18"/>
        </w:rPr>
        <w:t xml:space="preserve">. </w:t>
      </w:r>
      <w:r w:rsidR="00F90066" w:rsidRPr="00A70D1B">
        <w:rPr>
          <w:sz w:val="18"/>
          <w:szCs w:val="18"/>
        </w:rPr>
        <w:t>Ponadto n</w:t>
      </w:r>
      <w:r w:rsidR="00EC305E" w:rsidRPr="00A70D1B">
        <w:rPr>
          <w:sz w:val="18"/>
          <w:szCs w:val="18"/>
        </w:rPr>
        <w:t xml:space="preserve">a wykresie </w:t>
      </w:r>
      <w:r w:rsidR="00F90066" w:rsidRPr="00A70D1B">
        <w:rPr>
          <w:sz w:val="18"/>
          <w:szCs w:val="18"/>
        </w:rPr>
        <w:t>nie uwzględniono</w:t>
      </w:r>
      <w:r w:rsidR="00122EAC" w:rsidRPr="00A70D1B">
        <w:rPr>
          <w:sz w:val="18"/>
          <w:szCs w:val="18"/>
        </w:rPr>
        <w:t xml:space="preserve"> osób</w:t>
      </w:r>
      <w:r w:rsidR="00F90066" w:rsidRPr="00A70D1B">
        <w:rPr>
          <w:sz w:val="18"/>
          <w:szCs w:val="18"/>
        </w:rPr>
        <w:t>,</w:t>
      </w:r>
      <w:r w:rsidR="00122EAC" w:rsidRPr="00A70D1B">
        <w:rPr>
          <w:sz w:val="18"/>
          <w:szCs w:val="18"/>
        </w:rPr>
        <w:t xml:space="preserve"> d</w:t>
      </w:r>
      <w:r w:rsidR="00EC305E" w:rsidRPr="00A70D1B">
        <w:rPr>
          <w:sz w:val="18"/>
          <w:szCs w:val="18"/>
        </w:rPr>
        <w:t>la których nie ustalono faktu pobierania emerytury ustawowej.</w:t>
      </w:r>
    </w:p>
    <w:p w14:paraId="37321584" w14:textId="253414D1" w:rsidR="00C645AC" w:rsidRPr="00A70D1B" w:rsidRDefault="00C645AC" w:rsidP="00C645AC">
      <w:pPr>
        <w:pStyle w:val="Nagwek1"/>
        <w:spacing w:before="240"/>
        <w:rPr>
          <w:rFonts w:ascii="Fira Sans" w:hAnsi="Fira Sans"/>
          <w:b/>
          <w:szCs w:val="19"/>
        </w:rPr>
      </w:pPr>
      <w:r w:rsidRPr="00A70D1B">
        <w:rPr>
          <w:rFonts w:ascii="Fira Sans" w:hAnsi="Fira Sans"/>
          <w:b/>
          <w:szCs w:val="19"/>
        </w:rPr>
        <w:t>Wiek przechodzenia na emeryturę</w:t>
      </w:r>
    </w:p>
    <w:p w14:paraId="17703010" w14:textId="22E70ACD" w:rsidR="00EB4F89" w:rsidRPr="00A70D1B" w:rsidRDefault="00C645AC" w:rsidP="00C645AC">
      <w:pPr>
        <w:spacing w:line="288" w:lineRule="auto"/>
        <w:rPr>
          <w:szCs w:val="19"/>
        </w:rPr>
      </w:pPr>
      <w:r w:rsidRPr="00A70D1B">
        <w:rPr>
          <w:szCs w:val="19"/>
        </w:rPr>
        <w:t xml:space="preserve">Osoby pobierające emeryturę przechodziły na nią w różnym wieku. Jak wspomniano </w:t>
      </w:r>
      <w:r w:rsidR="00D913AE" w:rsidRPr="00A70D1B">
        <w:rPr>
          <w:szCs w:val="19"/>
        </w:rPr>
        <w:t>wcześniej</w:t>
      </w:r>
      <w:r w:rsidRPr="00A70D1B">
        <w:rPr>
          <w:szCs w:val="19"/>
        </w:rPr>
        <w:t xml:space="preserve"> – w sumie 51,6% osób w grupie wieku 50</w:t>
      </w:r>
      <w:r w:rsidRPr="00A70D1B">
        <w:rPr>
          <w:rFonts w:ascii="Cambria Math" w:hAnsi="Cambria Math" w:cs="Cambria Math"/>
          <w:szCs w:val="19"/>
        </w:rPr>
        <w:t>‐</w:t>
      </w:r>
      <w:r w:rsidRPr="00A70D1B">
        <w:rPr>
          <w:szCs w:val="19"/>
        </w:rPr>
        <w:t>74 lat otrzymywało emeryturę ustawową. Wśród nich były osoby, które przeszły na emeryturę przed osiągni</w:t>
      </w:r>
      <w:r w:rsidR="007965AC" w:rsidRPr="00A70D1B">
        <w:rPr>
          <w:szCs w:val="19"/>
        </w:rPr>
        <w:t>ę</w:t>
      </w:r>
      <w:r w:rsidRPr="00A70D1B">
        <w:rPr>
          <w:szCs w:val="19"/>
        </w:rPr>
        <w:t xml:space="preserve">ciem ogólnie obowiązującego obecnie wieku emerytalnego (60 lat dla kobiet i 65 lat dla mężczyzn), natomiast część z tych, którzy już ten wiek osiągnęli, ciągle pracowała nie pobierając emerytury. Różny wiek przejścia na emeryturę wynika m.in. z uprawnień niektórych grup zawodowych, pracujących w szczególnych warunkach lub w szczególnym charakterze, do przechodzenia na emeryturę wcześniej. Część osób skorzystała z możliwości przechodzenia na wcześniejszą emeryturę na podstawie przepisów sprzed reformy systemu emerytalnego, obowiązujących jeszcze w okresie przejściowym (do 2008 r.). Według tych przepisów osoby urodzone przed 1969 r. mogły przechodzić na wcześniejszą emeryturę (kobiety po ukończeniu 55 lat, mężczyźni – 60 lat), jeśli wiek ten osiągnęły do dnia 31 grudnia 2008 r. i spełniały dodatkowe warunki, m.in. miały odpowiednio długi staż pracy. </w:t>
      </w:r>
    </w:p>
    <w:p w14:paraId="4763DFF3" w14:textId="77777777" w:rsidR="00EB4F89" w:rsidRPr="00A70D1B" w:rsidRDefault="00EB4F89">
      <w:pPr>
        <w:spacing w:before="0" w:after="160" w:line="259" w:lineRule="auto"/>
        <w:rPr>
          <w:szCs w:val="19"/>
        </w:rPr>
      </w:pPr>
      <w:r w:rsidRPr="00A70D1B">
        <w:rPr>
          <w:szCs w:val="19"/>
        </w:rPr>
        <w:br w:type="page"/>
      </w:r>
    </w:p>
    <w:p w14:paraId="2327361B" w14:textId="67886B05" w:rsidR="007B2B2D" w:rsidRPr="00A70D1B" w:rsidRDefault="00B3479F" w:rsidP="007B2B2D">
      <w:pPr>
        <w:spacing w:line="276" w:lineRule="auto"/>
        <w:ind w:left="992" w:hanging="992"/>
        <w:rPr>
          <w:b/>
          <w:szCs w:val="19"/>
        </w:rPr>
      </w:pPr>
      <w:r w:rsidRPr="00A70D1B">
        <w:rPr>
          <w:b/>
          <w:noProof/>
          <w:szCs w:val="19"/>
          <w:lang w:eastAsia="pl-PL"/>
        </w:rPr>
        <w:lastRenderedPageBreak/>
        <w:drawing>
          <wp:anchor distT="0" distB="0" distL="114300" distR="114300" simplePos="0" relativeHeight="251987968" behindDoc="0" locked="0" layoutInCell="1" allowOverlap="1" wp14:anchorId="6CCD0860" wp14:editId="7FF4FDAC">
            <wp:simplePos x="0" y="0"/>
            <wp:positionH relativeFrom="column">
              <wp:posOffset>403860</wp:posOffset>
            </wp:positionH>
            <wp:positionV relativeFrom="paragraph">
              <wp:posOffset>162560</wp:posOffset>
            </wp:positionV>
            <wp:extent cx="4066540" cy="2304415"/>
            <wp:effectExtent l="0" t="0" r="0" b="635"/>
            <wp:wrapSquare wrapText="bothSides"/>
            <wp:docPr id="44" name="Obraz 44" descr="Wykres prezentuje osoby w wieku 50-74 lata według płci i wieku przejścia na emeryturę (w t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6540" cy="2304415"/>
                    </a:xfrm>
                    <a:prstGeom prst="rect">
                      <a:avLst/>
                    </a:prstGeom>
                    <a:noFill/>
                  </pic:spPr>
                </pic:pic>
              </a:graphicData>
            </a:graphic>
            <wp14:sizeRelH relativeFrom="page">
              <wp14:pctWidth>0</wp14:pctWidth>
            </wp14:sizeRelH>
            <wp14:sizeRelV relativeFrom="page">
              <wp14:pctHeight>0</wp14:pctHeight>
            </wp14:sizeRelV>
          </wp:anchor>
        </w:drawing>
      </w:r>
      <w:r w:rsidR="007B2B2D" w:rsidRPr="00A70D1B">
        <w:rPr>
          <w:b/>
          <w:szCs w:val="19"/>
        </w:rPr>
        <w:t xml:space="preserve">Wykres 10. </w:t>
      </w:r>
      <w:r w:rsidR="007B2B2D" w:rsidRPr="00A70D1B">
        <w:rPr>
          <w:b/>
          <w:szCs w:val="19"/>
        </w:rPr>
        <w:tab/>
      </w:r>
      <w:r w:rsidR="007B2B2D" w:rsidRPr="00A70D1B">
        <w:rPr>
          <w:b/>
          <w:shd w:val="clear" w:color="auto" w:fill="FFFFFF"/>
        </w:rPr>
        <w:t>Osoby</w:t>
      </w:r>
      <w:r w:rsidR="007B2B2D" w:rsidRPr="00A70D1B">
        <w:rPr>
          <w:b/>
          <w:szCs w:val="19"/>
        </w:rPr>
        <w:t xml:space="preserve"> w wieku 50-74 lata według płci i wieku przejścia na emeryturę</w:t>
      </w:r>
    </w:p>
    <w:p w14:paraId="7C40F0C1" w14:textId="61D5F0EC" w:rsidR="00112FD9" w:rsidRPr="00A70D1B" w:rsidRDefault="00112FD9" w:rsidP="00B3479F">
      <w:pPr>
        <w:spacing w:before="0" w:after="0" w:line="276" w:lineRule="auto"/>
        <w:ind w:left="992" w:hanging="992"/>
        <w:rPr>
          <w:b/>
          <w:szCs w:val="19"/>
        </w:rPr>
      </w:pPr>
    </w:p>
    <w:p w14:paraId="4AB96D43" w14:textId="77777777" w:rsidR="00B3479F" w:rsidRPr="00A70D1B" w:rsidRDefault="00B3479F" w:rsidP="007B2B2D">
      <w:pPr>
        <w:spacing w:line="288" w:lineRule="auto"/>
        <w:rPr>
          <w:szCs w:val="19"/>
        </w:rPr>
      </w:pPr>
    </w:p>
    <w:p w14:paraId="3D26958E" w14:textId="77777777" w:rsidR="00B3479F" w:rsidRPr="00A70D1B" w:rsidRDefault="00B3479F" w:rsidP="007B2B2D">
      <w:pPr>
        <w:spacing w:line="288" w:lineRule="auto"/>
        <w:rPr>
          <w:szCs w:val="19"/>
        </w:rPr>
      </w:pPr>
    </w:p>
    <w:p w14:paraId="30B26CE9" w14:textId="77777777" w:rsidR="00B3479F" w:rsidRPr="00A70D1B" w:rsidRDefault="00B3479F" w:rsidP="007B2B2D">
      <w:pPr>
        <w:spacing w:line="288" w:lineRule="auto"/>
        <w:rPr>
          <w:szCs w:val="19"/>
        </w:rPr>
      </w:pPr>
    </w:p>
    <w:p w14:paraId="1A6A7D7C" w14:textId="77777777" w:rsidR="00B3479F" w:rsidRPr="00A70D1B" w:rsidRDefault="00B3479F" w:rsidP="007B2B2D">
      <w:pPr>
        <w:spacing w:line="288" w:lineRule="auto"/>
        <w:rPr>
          <w:szCs w:val="19"/>
        </w:rPr>
      </w:pPr>
    </w:p>
    <w:p w14:paraId="3877FA56" w14:textId="77777777" w:rsidR="00B3479F" w:rsidRPr="00A70D1B" w:rsidRDefault="00B3479F" w:rsidP="007B2B2D">
      <w:pPr>
        <w:spacing w:line="288" w:lineRule="auto"/>
        <w:rPr>
          <w:szCs w:val="19"/>
        </w:rPr>
      </w:pPr>
    </w:p>
    <w:p w14:paraId="34068F46" w14:textId="77777777" w:rsidR="00B3479F" w:rsidRPr="00A70D1B" w:rsidRDefault="00B3479F" w:rsidP="007B2B2D">
      <w:pPr>
        <w:spacing w:line="288" w:lineRule="auto"/>
        <w:rPr>
          <w:szCs w:val="19"/>
        </w:rPr>
      </w:pPr>
    </w:p>
    <w:p w14:paraId="4780756A" w14:textId="77777777" w:rsidR="00B3479F" w:rsidRPr="00A70D1B" w:rsidRDefault="00B3479F" w:rsidP="007B2B2D">
      <w:pPr>
        <w:spacing w:line="288" w:lineRule="auto"/>
        <w:rPr>
          <w:szCs w:val="19"/>
        </w:rPr>
      </w:pPr>
    </w:p>
    <w:p w14:paraId="0033340A" w14:textId="77777777" w:rsidR="00B3479F" w:rsidRPr="00A70D1B" w:rsidRDefault="00B3479F" w:rsidP="007B2B2D">
      <w:pPr>
        <w:spacing w:line="288" w:lineRule="auto"/>
        <w:rPr>
          <w:szCs w:val="19"/>
        </w:rPr>
      </w:pPr>
    </w:p>
    <w:p w14:paraId="2858219D" w14:textId="26254E22" w:rsidR="007B2B2D" w:rsidRPr="00A70D1B" w:rsidRDefault="007B2B2D" w:rsidP="007B2B2D">
      <w:pPr>
        <w:spacing w:line="288" w:lineRule="auto"/>
        <w:rPr>
          <w:szCs w:val="19"/>
        </w:rPr>
      </w:pPr>
      <w:r w:rsidRPr="00A70D1B">
        <w:rPr>
          <w:szCs w:val="19"/>
        </w:rPr>
        <w:t>Biorąc pod uwagę ogół badanej populacji, najwięcej osób przechodziło na emeryturę w wieku 60-64 lat, co jest związane z tym, że kobiety stanowią większość tej grupy, a także z ich wcześniejszym ustawowym wiekiem przechodzenia na emeryturę (po osiągnieciu 60 lat). Drugą pod względem liczebności grupę, stanowiły osoby przechodzące na emeryturę w wieku 65-69 lat, co z kolei jest związane z ustawowym wiekiem przechodzenia na emeryturę mężczyzn (po ukończeniu 65 lat). Odsetek osób, które przeszły na emeryturę przed osiągnięciem obowiązującego obecnie wieku emerytalnego, czyli zaczęły pobierać emeryturę będąc w wieku produkcyjnym, wyniósł 28,1% ogółu emerytów. Były też osoby, które przeszły na emeryturę w wieku 70-74 lat, ale ich odsetek w ogólnej liczbie emerytów wyniósł zaledwie 0,4%.</w:t>
      </w:r>
    </w:p>
    <w:p w14:paraId="580E54F5" w14:textId="6AA46A00" w:rsidR="007B2B2D" w:rsidRPr="00A70D1B" w:rsidRDefault="007B2B2D" w:rsidP="007B2B2D">
      <w:pPr>
        <w:spacing w:line="288" w:lineRule="auto"/>
        <w:rPr>
          <w:szCs w:val="19"/>
        </w:rPr>
      </w:pPr>
      <w:r w:rsidRPr="00A70D1B">
        <w:rPr>
          <w:szCs w:val="19"/>
        </w:rPr>
        <w:t xml:space="preserve">Biorąc pod uwagę płeć, kobiety stanowiły większość wśród osób przechodzących na emeryturę w wieku 55-64 lata. Z kolei mężczyźni częściej niż kobiety, przechodzili na emeryturę w wieku 35-54 lat oraz 65-74 lata. </w:t>
      </w:r>
      <w:r w:rsidR="00FF20C3" w:rsidRPr="00A70D1B">
        <w:rPr>
          <w:szCs w:val="19"/>
        </w:rPr>
        <w:t>W</w:t>
      </w:r>
      <w:r w:rsidRPr="00A70D1B">
        <w:rPr>
          <w:szCs w:val="19"/>
        </w:rPr>
        <w:t xml:space="preserve"> pierwszym przypadku jest </w:t>
      </w:r>
      <w:r w:rsidR="00FF20C3" w:rsidRPr="00A70D1B">
        <w:rPr>
          <w:szCs w:val="19"/>
        </w:rPr>
        <w:t xml:space="preserve">to </w:t>
      </w:r>
      <w:r w:rsidRPr="00A70D1B">
        <w:rPr>
          <w:szCs w:val="19"/>
        </w:rPr>
        <w:t>związane z tym, że w grupach uprawnionych do wcześniejszego przechodzenia na emeryturę ze względu na wykonywany zawód lub charakter pracy jest więcej mężczyzn, a w drugim - z wyższym w</w:t>
      </w:r>
      <w:r w:rsidR="0071590B" w:rsidRPr="00A70D1B">
        <w:rPr>
          <w:szCs w:val="19"/>
        </w:rPr>
        <w:t> </w:t>
      </w:r>
      <w:r w:rsidRPr="00A70D1B">
        <w:rPr>
          <w:szCs w:val="19"/>
        </w:rPr>
        <w:t xml:space="preserve">porównaniu z kobietami, ustawowym wiekiem przechodzenia na emeryturę. </w:t>
      </w:r>
    </w:p>
    <w:p w14:paraId="56E705F3" w14:textId="77777777" w:rsidR="007B2B2D" w:rsidRPr="00A70D1B" w:rsidRDefault="007B2B2D" w:rsidP="007B2B2D">
      <w:pPr>
        <w:pStyle w:val="Nagwek1"/>
        <w:spacing w:before="240"/>
        <w:rPr>
          <w:rFonts w:ascii="Fira Sans" w:hAnsi="Fira Sans"/>
          <w:b/>
          <w:szCs w:val="19"/>
        </w:rPr>
      </w:pPr>
      <w:r w:rsidRPr="00A70D1B">
        <w:rPr>
          <w:rFonts w:ascii="Fira Sans" w:hAnsi="Fira Sans"/>
          <w:b/>
          <w:szCs w:val="19"/>
        </w:rPr>
        <w:t>Sytuacja na rynku pracy po przejściu na emeryturę</w:t>
      </w:r>
    </w:p>
    <w:p w14:paraId="77DC2C1E" w14:textId="77777777" w:rsidR="007B2B2D" w:rsidRPr="00A70D1B" w:rsidRDefault="007B2B2D" w:rsidP="007B2B2D">
      <w:pPr>
        <w:spacing w:line="288" w:lineRule="auto"/>
        <w:rPr>
          <w:szCs w:val="19"/>
        </w:rPr>
      </w:pPr>
      <w:r w:rsidRPr="00A70D1B">
        <w:rPr>
          <w:szCs w:val="19"/>
        </w:rPr>
        <w:t xml:space="preserve">W badaniu modułowym pytano o sytuację osoby na rynku pracy w pierwszych sześciu miesiącach od przejścia na emeryturę oraz w okresie późniejszym, tj. od siódmego miesiąca po przejściu na emeryturę do momentu badania. </w:t>
      </w:r>
    </w:p>
    <w:p w14:paraId="549569DE" w14:textId="57B098E7" w:rsidR="007B2B2D" w:rsidRPr="00A70D1B" w:rsidRDefault="007B2B2D" w:rsidP="007B2B2D">
      <w:pPr>
        <w:spacing w:line="288" w:lineRule="auto"/>
        <w:rPr>
          <w:szCs w:val="19"/>
        </w:rPr>
      </w:pPr>
      <w:r w:rsidRPr="00A70D1B">
        <w:rPr>
          <w:noProof/>
          <w:szCs w:val="19"/>
          <w:lang w:eastAsia="pl-PL"/>
        </w:rPr>
        <mc:AlternateContent>
          <mc:Choice Requires="wps">
            <w:drawing>
              <wp:anchor distT="45720" distB="45720" distL="114300" distR="114300" simplePos="0" relativeHeight="251965440" behindDoc="1" locked="0" layoutInCell="1" allowOverlap="1" wp14:anchorId="623A234E" wp14:editId="4D88E827">
                <wp:simplePos x="0" y="0"/>
                <wp:positionH relativeFrom="column">
                  <wp:posOffset>5288222</wp:posOffset>
                </wp:positionH>
                <wp:positionV relativeFrom="paragraph">
                  <wp:posOffset>4214</wp:posOffset>
                </wp:positionV>
                <wp:extent cx="1692275" cy="952500"/>
                <wp:effectExtent l="0" t="0" r="0" b="0"/>
                <wp:wrapTight wrapText="bothSides">
                  <wp:wrapPolygon edited="0">
                    <wp:start x="729" y="0"/>
                    <wp:lineTo x="729" y="21168"/>
                    <wp:lineTo x="20668" y="21168"/>
                    <wp:lineTo x="20668" y="0"/>
                    <wp:lineTo x="729" y="0"/>
                  </wp:wrapPolygon>
                </wp:wrapTight>
                <wp:docPr id="24" name="Pole tekstowe 24" descr="W ciągu pierwszych sześciu miesięcy po przejściu na emeryturę tylko 13,0% emerytów w wieku 50-74 lata kontynuowało pracę"/>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275" cy="952500"/>
                        </a:xfrm>
                        <a:prstGeom prst="rect">
                          <a:avLst/>
                        </a:prstGeom>
                        <a:noFill/>
                        <a:ln w="9525">
                          <a:noFill/>
                          <a:miter lim="800000"/>
                          <a:headEnd/>
                          <a:tailEnd/>
                        </a:ln>
                      </wps:spPr>
                      <wps:txbx>
                        <w:txbxContent>
                          <w:p w14:paraId="743044A3" w14:textId="77777777" w:rsidR="007B2B2D" w:rsidRPr="00187A09" w:rsidRDefault="007B2B2D" w:rsidP="007B2B2D">
                            <w:pPr>
                              <w:pStyle w:val="tekstzboku"/>
                              <w:spacing w:before="0"/>
                            </w:pPr>
                            <w:r>
                              <w:t>W ciągu pierwszych sześciu miesięcy po przejściu na emeryturę tylko 13,0% emerytów w wieku 50-74 lata kontynuowało pracę</w:t>
                            </w:r>
                          </w:p>
                          <w:p w14:paraId="7AC6186C" w14:textId="77777777" w:rsidR="007B2B2D" w:rsidRPr="00187A09" w:rsidRDefault="007B2B2D" w:rsidP="007B2B2D">
                            <w:pPr>
                              <w:pStyle w:val="tekstzboku"/>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A234E" id="Pole tekstowe 24" o:spid="_x0000_s1044" type="#_x0000_t202" alt="W ciągu pierwszych sześciu miesięcy po przejściu na emeryturę tylko 13,0% emerytów w wieku 50-74 lata kontynuowało pracę" style="position:absolute;margin-left:416.4pt;margin-top:.35pt;width:133.25pt;height:75pt;z-index:-25135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" filled="f" stroked="f">
                <v:textbox>
                  <w:txbxContent>
                    <w:p w14:paraId="743044A3" w14:textId="77777777" w:rsidR="007B2B2D" w:rsidRPr="00187A09" w:rsidRDefault="007B2B2D" w:rsidP="007B2B2D">
                      <w:pPr>
                        <w:pStyle w:val="tekstzboku"/>
                        <w:spacing w:before="0"/>
                      </w:pPr>
                      <w:r>
                        <w:t>W ciągu pierwszych sześciu miesięcy po przejściu na emeryturę tylko 13,0% emerytów w wieku 50-74 lata kontynuowało pracę</w:t>
                      </w:r>
                    </w:p>
                    <w:p w14:paraId="7AC6186C" w14:textId="77777777" w:rsidR="007B2B2D" w:rsidRPr="00187A09" w:rsidRDefault="007B2B2D" w:rsidP="007B2B2D">
                      <w:pPr>
                        <w:pStyle w:val="tekstzboku"/>
                        <w:spacing w:before="0"/>
                      </w:pPr>
                    </w:p>
                  </w:txbxContent>
                </v:textbox>
                <w10:wrap type="tight"/>
              </v:shape>
            </w:pict>
          </mc:Fallback>
        </mc:AlternateContent>
      </w:r>
      <w:r w:rsidRPr="00A70D1B">
        <w:rPr>
          <w:szCs w:val="19"/>
        </w:rPr>
        <w:t>W chwili rozpoczęcia pobierania emerytury 22,7% emerytów już nie pracowało (21,5% mężczyzn i 23,4% kobiet), natomiast 63,5% emerytów zakończyło pracę w ciągu pierwszych sześciu miesięcy od przejścia na emeryturę (podobny odsetek wśród mężczyzn i kobiet),</w:t>
      </w:r>
      <w:r w:rsidRPr="00A70D1B" w:rsidDel="00D672B0">
        <w:rPr>
          <w:szCs w:val="19"/>
        </w:rPr>
        <w:t xml:space="preserve"> </w:t>
      </w:r>
      <w:r w:rsidRPr="00A70D1B">
        <w:rPr>
          <w:szCs w:val="19"/>
        </w:rPr>
        <w:t>a tylko 13,0% ją kontynuowało</w:t>
      </w:r>
      <w:r w:rsidRPr="00A70D1B">
        <w:rPr>
          <w:rStyle w:val="Odwoanieprzypisudolnego"/>
          <w:szCs w:val="19"/>
        </w:rPr>
        <w:footnoteReference w:id="9"/>
      </w:r>
      <w:r w:rsidRPr="00A70D1B">
        <w:rPr>
          <w:szCs w:val="19"/>
        </w:rPr>
        <w:t>. Połowa z tej ostatniej grupy, kontynuowała pracę bez zmian, tj. w dotychczasowym miejscu pracy i na takich samych warunkach jak do tej pory</w:t>
      </w:r>
      <w:r w:rsidR="00FF20C3" w:rsidRPr="00A70D1B">
        <w:rPr>
          <w:szCs w:val="19"/>
        </w:rPr>
        <w:t>.</w:t>
      </w:r>
      <w:r w:rsidRPr="00A70D1B">
        <w:rPr>
          <w:szCs w:val="19"/>
        </w:rPr>
        <w:t xml:space="preserve"> </w:t>
      </w:r>
      <w:r w:rsidR="00FF20C3" w:rsidRPr="00A70D1B">
        <w:rPr>
          <w:szCs w:val="19"/>
        </w:rPr>
        <w:t xml:space="preserve">Natomiast druga </w:t>
      </w:r>
      <w:r w:rsidRPr="00A70D1B">
        <w:rPr>
          <w:szCs w:val="19"/>
        </w:rPr>
        <w:t>połowa kontynuowała ją na zmienionych zasadach, tj. rozpoczęła pracę w nowym miejscu lub kontynuowała pracę w dotychczasowym miejscu pracy, ale na zmienionych warunkach (np.</w:t>
      </w:r>
      <w:r w:rsidR="002C0B09" w:rsidRPr="00A70D1B">
        <w:rPr>
          <w:szCs w:val="19"/>
        </w:rPr>
        <w:t> </w:t>
      </w:r>
      <w:r w:rsidRPr="00A70D1B">
        <w:rPr>
          <w:szCs w:val="19"/>
        </w:rPr>
        <w:t>w mniejszym wymiarze, w oparciu o inny rodzaj umowy itp.). Wśród ogółu osób kontynuujących pracę w ciągu pierwszych sześciu miesięcy od przejścia na emeryturę (762 tys.) przeważały kobiety (58,9%).</w:t>
      </w:r>
    </w:p>
    <w:p w14:paraId="76A6985A" w14:textId="2197E9E7" w:rsidR="004459FF" w:rsidRPr="00A70D1B" w:rsidRDefault="007B2B2D" w:rsidP="007B2B2D">
      <w:pPr>
        <w:spacing w:line="288" w:lineRule="auto"/>
        <w:rPr>
          <w:szCs w:val="19"/>
        </w:rPr>
      </w:pPr>
      <w:r w:rsidRPr="00A70D1B">
        <w:rPr>
          <w:szCs w:val="19"/>
        </w:rPr>
        <w:t>Emeryci, którzy zakończyli pracę (3</w:t>
      </w:r>
      <w:r w:rsidR="00D913AE" w:rsidRPr="00A70D1B">
        <w:rPr>
          <w:szCs w:val="19"/>
        </w:rPr>
        <w:t> </w:t>
      </w:r>
      <w:r w:rsidRPr="00A70D1B">
        <w:rPr>
          <w:szCs w:val="19"/>
        </w:rPr>
        <w:t>722 tys.</w:t>
      </w:r>
      <w:r w:rsidR="00457233" w:rsidRPr="00A70D1B">
        <w:rPr>
          <w:szCs w:val="19"/>
        </w:rPr>
        <w:t xml:space="preserve"> osób</w:t>
      </w:r>
      <w:r w:rsidRPr="00A70D1B">
        <w:rPr>
          <w:szCs w:val="19"/>
        </w:rPr>
        <w:t xml:space="preserve">) w ciągu pierwszych sześciu miesięcy od przejścia na emeryturę najczęściej jako powód jej zakończenia wskazywali po prostu uzyskanie prawa do emerytury – takiej odpowiedzi udzieliło 85,3% emerytów (86,7% mężczyzn i 84,5% kobiet). Dodatkowe 3,7% emerytów zakończyło pracę, ponieważ osiągnęło </w:t>
      </w:r>
      <w:r w:rsidRPr="00A70D1B">
        <w:rPr>
          <w:szCs w:val="19"/>
        </w:rPr>
        <w:lastRenderedPageBreak/>
        <w:t>maksymalny wiek emerytalny wynikający z przepisów prawa</w:t>
      </w:r>
      <w:r w:rsidRPr="00A70D1B">
        <w:rPr>
          <w:rStyle w:val="Odwoanieprzypisudolnego"/>
          <w:szCs w:val="19"/>
        </w:rPr>
        <w:footnoteReference w:id="10"/>
      </w:r>
      <w:r w:rsidRPr="00A70D1B">
        <w:rPr>
          <w:szCs w:val="19"/>
        </w:rPr>
        <w:t>. Na przyczyny związane z pracą</w:t>
      </w:r>
      <w:r w:rsidR="00D913AE" w:rsidRPr="00A70D1B">
        <w:rPr>
          <w:szCs w:val="19"/>
        </w:rPr>
        <w:t xml:space="preserve">, takie jak korzystne warunki finansowe do zakończenia pracy lub inne powody związane z pracą </w:t>
      </w:r>
      <w:r w:rsidRPr="00A70D1B">
        <w:rPr>
          <w:szCs w:val="19"/>
        </w:rPr>
        <w:t xml:space="preserve">wskazało 4,5% emerytów (4,4% mężczyzn i 4,6% kobiet), a 2,9% (3,1% mężczyzn i 2,8% kobiet) wskazało na względy zdrowotne – własną chorobę lub niepełnosprawność. Obowiązki opiekuńcze lub inne powody rodzinne były powodem zakończenia pracy dla 1,5% emerytów, przy czym dla kobiet ten odsetek był wyższy (2,1%) niż dla mężczyzn (0,5%). </w:t>
      </w:r>
    </w:p>
    <w:p w14:paraId="2111841A" w14:textId="3CED41A2" w:rsidR="00930351" w:rsidRPr="00A70D1B" w:rsidRDefault="00715DF9" w:rsidP="00EB4F89">
      <w:pPr>
        <w:spacing w:line="276" w:lineRule="auto"/>
        <w:ind w:left="992" w:hanging="992"/>
        <w:jc w:val="both"/>
        <w:rPr>
          <w:b/>
          <w:shd w:val="clear" w:color="auto" w:fill="FFFFFF"/>
        </w:rPr>
      </w:pPr>
      <w:bookmarkStart w:id="10" w:name="_Hlk173998271"/>
      <w:r w:rsidRPr="00A70D1B">
        <w:rPr>
          <w:noProof/>
          <w:szCs w:val="19"/>
          <w:lang w:eastAsia="pl-PL"/>
        </w:rPr>
        <w:drawing>
          <wp:anchor distT="0" distB="0" distL="114300" distR="114300" simplePos="0" relativeHeight="251988992" behindDoc="0" locked="0" layoutInCell="1" allowOverlap="1" wp14:anchorId="632B46DA" wp14:editId="4FBAE7AA">
            <wp:simplePos x="0" y="0"/>
            <wp:positionH relativeFrom="margin">
              <wp:align>left</wp:align>
            </wp:positionH>
            <wp:positionV relativeFrom="paragraph">
              <wp:posOffset>334645</wp:posOffset>
            </wp:positionV>
            <wp:extent cx="5143500" cy="2458085"/>
            <wp:effectExtent l="0" t="0" r="0" b="0"/>
            <wp:wrapSquare wrapText="bothSides"/>
            <wp:docPr id="49" name="Obraz 49" descr="Wykres prezentuje emerytów w wieku 50-74 lata, którzy kontynuowali pracę w ciągu pierwszych sześciu miesięcy od przejścia na emeryturę według płci i przyczyny kontynuacji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43500" cy="2458085"/>
                    </a:xfrm>
                    <a:prstGeom prst="rect">
                      <a:avLst/>
                    </a:prstGeom>
                    <a:noFill/>
                  </pic:spPr>
                </pic:pic>
              </a:graphicData>
            </a:graphic>
            <wp14:sizeRelH relativeFrom="page">
              <wp14:pctWidth>0</wp14:pctWidth>
            </wp14:sizeRelH>
            <wp14:sizeRelV relativeFrom="page">
              <wp14:pctHeight>0</wp14:pctHeight>
            </wp14:sizeRelV>
          </wp:anchor>
        </w:drawing>
      </w:r>
      <w:r w:rsidR="004459FF" w:rsidRPr="00A70D1B">
        <w:rPr>
          <w:b/>
          <w:shd w:val="clear" w:color="auto" w:fill="FFFFFF"/>
        </w:rPr>
        <w:t xml:space="preserve">Wykres 11. </w:t>
      </w:r>
      <w:r w:rsidR="004459FF" w:rsidRPr="00A70D1B">
        <w:rPr>
          <w:b/>
          <w:shd w:val="clear" w:color="auto" w:fill="FFFFFF"/>
        </w:rPr>
        <w:tab/>
        <w:t xml:space="preserve">Emeryci w wieku 50-74 lata, którzy kontynuowali pracę w ciągu pierwszych sześciu miesięcy od przejścia na emeryturę według płci i przyczyny kontynuacji pracy </w:t>
      </w:r>
    </w:p>
    <w:p w14:paraId="4494099D" w14:textId="7A934F66" w:rsidR="00930351" w:rsidRPr="00A70D1B" w:rsidRDefault="00E26DFD" w:rsidP="00930351">
      <w:pPr>
        <w:spacing w:line="288" w:lineRule="auto"/>
        <w:rPr>
          <w:szCs w:val="19"/>
        </w:rPr>
      </w:pPr>
      <w:r w:rsidRPr="00A70D1B">
        <w:rPr>
          <w:noProof/>
          <w:szCs w:val="19"/>
          <w:lang w:eastAsia="pl-PL"/>
        </w:rPr>
        <mc:AlternateContent>
          <mc:Choice Requires="wps">
            <w:drawing>
              <wp:anchor distT="45720" distB="45720" distL="114300" distR="114300" simplePos="0" relativeHeight="251967488" behindDoc="1" locked="0" layoutInCell="1" allowOverlap="1" wp14:anchorId="7E419C5B" wp14:editId="0DD35DE4">
                <wp:simplePos x="0" y="0"/>
                <wp:positionH relativeFrom="column">
                  <wp:posOffset>5311775</wp:posOffset>
                </wp:positionH>
                <wp:positionV relativeFrom="paragraph">
                  <wp:posOffset>2365202</wp:posOffset>
                </wp:positionV>
                <wp:extent cx="1698625" cy="1045845"/>
                <wp:effectExtent l="0" t="0" r="0" b="1905"/>
                <wp:wrapTight wrapText="bothSides">
                  <wp:wrapPolygon edited="0">
                    <wp:start x="727" y="0"/>
                    <wp:lineTo x="727" y="21246"/>
                    <wp:lineTo x="20833" y="21246"/>
                    <wp:lineTo x="20833" y="0"/>
                    <wp:lineTo x="727" y="0"/>
                  </wp:wrapPolygon>
                </wp:wrapTight>
                <wp:docPr id="34" name="Pole tekstowe 34" descr="Najczęstszą przyczyną kontynuacji pracy po przejściu na emeryturę była chęć wykonywania pracy i bycia produktywny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1045845"/>
                        </a:xfrm>
                        <a:prstGeom prst="rect">
                          <a:avLst/>
                        </a:prstGeom>
                        <a:noFill/>
                        <a:ln w="9525">
                          <a:noFill/>
                          <a:miter lim="800000"/>
                          <a:headEnd/>
                          <a:tailEnd/>
                        </a:ln>
                      </wps:spPr>
                      <wps:txbx>
                        <w:txbxContent>
                          <w:p w14:paraId="7D6BB954" w14:textId="7CA6909F" w:rsidR="00930351" w:rsidRPr="00187A09" w:rsidRDefault="00930351" w:rsidP="00930351">
                            <w:pPr>
                              <w:pStyle w:val="tekstzboku"/>
                              <w:spacing w:before="0"/>
                            </w:pPr>
                            <w:r>
                              <w:t>Najczęstszą przyczyną kontynuacji pracy po przejściu na emeryturę była chęć wykonywania pracy i</w:t>
                            </w:r>
                            <w:r w:rsidR="002C0B09">
                              <w:t> </w:t>
                            </w:r>
                            <w:r>
                              <w:t>bycia produktywnym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19C5B" id="Pole tekstowe 34" o:spid="_x0000_s1045" type="#_x0000_t202" alt="Najczęstszą przyczyną kontynuacji pracy po przejściu na emeryturę była chęć wykonywania pracy i bycia produktywnym" style="position:absolute;margin-left:418.25pt;margin-top:186.25pt;width:133.75pt;height:82.35pt;z-index:-25134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" filled="f" stroked="f">
                <v:textbox>
                  <w:txbxContent>
                    <w:p w14:paraId="7D6BB954" w14:textId="7CA6909F" w:rsidR="00930351" w:rsidRPr="00187A09" w:rsidRDefault="00930351" w:rsidP="00930351">
                      <w:pPr>
                        <w:pStyle w:val="tekstzboku"/>
                        <w:spacing w:before="0"/>
                      </w:pPr>
                      <w:r>
                        <w:t>Najczęstszą przyczyną kontynuacji pracy po przejściu na emeryturę była chęć wykonywania pracy i</w:t>
                      </w:r>
                      <w:r w:rsidR="002C0B09">
                        <w:t> </w:t>
                      </w:r>
                      <w:r>
                        <w:t>bycia produktywnym</w:t>
                      </w:r>
                    </w:p>
                  </w:txbxContent>
                </v:textbox>
                <w10:wrap type="tight"/>
              </v:shape>
            </w:pict>
          </mc:Fallback>
        </mc:AlternateContent>
      </w:r>
      <w:r w:rsidR="00930351" w:rsidRPr="00A70D1B">
        <w:rPr>
          <w:szCs w:val="19"/>
        </w:rPr>
        <w:t xml:space="preserve">Badanie wykazało, że względy finansowe – choć istotne – nie były najczęstszą motywacją do kontynuowania pracy. Najczęściej emeryci kontynuowali ją, ponieważ chcieli w dalszym ciągu pracować i być produktywnymi. Taką przyczynę wskazało 41,6% emerytów kontynuujących pracę (dla mężczyzn odsetek ten był wyższy i wynosił 44,1%, podczas gdy dla kobiet wynosił 39,9%). </w:t>
      </w:r>
      <w:r w:rsidR="00FE20D2" w:rsidRPr="00A70D1B">
        <w:rPr>
          <w:szCs w:val="19"/>
        </w:rPr>
        <w:t xml:space="preserve">Znaczna część respondentów (29,9%) oświadczyła, że kontynuowała pracę, ponieważ uzyskany z niej dochód był dla nich niezbędny do życia (co oznaczało, że wysokość emerytury nie wystarczała im na zaspokojenia podstawowych potrzeb, utrzymania podstawowego poziomu życia). Dla mężczyzn odsetek ten wynosił 27,2%, dla kobiet – 31,8%. Wybór odpowiedzi „praca była atrakcyjna finansowo” z założenia oznaczał, że celem kontynuowania pracy było zdobycie dodatkowych pieniędzy, które nie były jednak niezbędne do życia (nie warunkowały zaspokojenia podstawowych potrzeb i utrzymania podstawowego poziomu życia). </w:t>
      </w:r>
      <w:r w:rsidR="00930351" w:rsidRPr="00A70D1B">
        <w:rPr>
          <w:szCs w:val="19"/>
        </w:rPr>
        <w:t>Takiej odpowiedzi udzieliło 9,2% emerytów (10,9% mężczyzn i 8,2% kobiet) kontynuujących pracę. Z</w:t>
      </w:r>
      <w:r w:rsidR="00825B03" w:rsidRPr="00A70D1B">
        <w:rPr>
          <w:szCs w:val="19"/>
        </w:rPr>
        <w:t> </w:t>
      </w:r>
      <w:r w:rsidR="00930351" w:rsidRPr="00A70D1B">
        <w:rPr>
          <w:szCs w:val="19"/>
        </w:rPr>
        <w:t>powyższego wynika, że nawet połączenie obu odpowiedzi związanych ze względami finansowymi nie sytuowało ich na pierwszym miejscu. W dalszym ciągu najważniejsza okazała się chęć pracy i bycia produktywnym.</w:t>
      </w:r>
    </w:p>
    <w:p w14:paraId="5B7172E1" w14:textId="116A7C12" w:rsidR="00930351" w:rsidRPr="00A70D1B" w:rsidRDefault="00930351" w:rsidP="00930351">
      <w:pPr>
        <w:spacing w:line="288" w:lineRule="auto"/>
        <w:rPr>
          <w:szCs w:val="19"/>
        </w:rPr>
      </w:pPr>
      <w:r w:rsidRPr="00A70D1B">
        <w:rPr>
          <w:szCs w:val="19"/>
        </w:rPr>
        <w:t xml:space="preserve">Część respondentów pracowała po przejściu na emeryturę, ponieważ chciała pozostać społecznie aktywna. Tę przyczynę wskazało 12,7% emerytów (12,5% mężczyzn i 12,9% kobiet) i ona uplasowała się na trzecim miejscu pod względem częstości odpowiedzi. </w:t>
      </w:r>
    </w:p>
    <w:p w14:paraId="2A50FCC7" w14:textId="4909C1E7" w:rsidR="00930351" w:rsidRPr="00A70D1B" w:rsidRDefault="00930351" w:rsidP="00930351">
      <w:pPr>
        <w:spacing w:line="288" w:lineRule="auto"/>
        <w:rPr>
          <w:szCs w:val="19"/>
        </w:rPr>
      </w:pPr>
      <w:r w:rsidRPr="00A70D1B">
        <w:rPr>
          <w:noProof/>
          <w:szCs w:val="19"/>
          <w:lang w:eastAsia="pl-PL"/>
        </w:rPr>
        <mc:AlternateContent>
          <mc:Choice Requires="wps">
            <w:drawing>
              <wp:anchor distT="45720" distB="45720" distL="114300" distR="114300" simplePos="0" relativeHeight="251969536" behindDoc="1" locked="0" layoutInCell="1" allowOverlap="1" wp14:anchorId="6E0EC8CF" wp14:editId="092A4D0C">
                <wp:simplePos x="0" y="0"/>
                <wp:positionH relativeFrom="column">
                  <wp:posOffset>5295265</wp:posOffset>
                </wp:positionH>
                <wp:positionV relativeFrom="paragraph">
                  <wp:posOffset>636674</wp:posOffset>
                </wp:positionV>
                <wp:extent cx="1780540" cy="1344295"/>
                <wp:effectExtent l="0" t="0" r="0" b="0"/>
                <wp:wrapTight wrapText="bothSides">
                  <wp:wrapPolygon edited="0">
                    <wp:start x="693" y="0"/>
                    <wp:lineTo x="693" y="21120"/>
                    <wp:lineTo x="20799" y="21120"/>
                    <wp:lineTo x="20799" y="0"/>
                    <wp:lineTo x="693" y="0"/>
                  </wp:wrapPolygon>
                </wp:wrapTight>
                <wp:docPr id="35" name="Pole tekstowe 35" descr="Najczęstszą przyczyną powrotu do pracy po przejściu na emeryturę (w okresie późniejszym niż pierwsze sześć miesięcy od przejścia na emeryturę) była konieczność uzyskania dodatkowego dochod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1344295"/>
                        </a:xfrm>
                        <a:prstGeom prst="rect">
                          <a:avLst/>
                        </a:prstGeom>
                        <a:noFill/>
                        <a:ln w="9525">
                          <a:noFill/>
                          <a:miter lim="800000"/>
                          <a:headEnd/>
                          <a:tailEnd/>
                        </a:ln>
                      </wps:spPr>
                      <wps:txbx>
                        <w:txbxContent>
                          <w:p w14:paraId="58BBD444" w14:textId="77777777" w:rsidR="00930351" w:rsidRPr="00142D6C" w:rsidRDefault="00930351" w:rsidP="00930351">
                            <w:pPr>
                              <w:pStyle w:val="tekstzboku"/>
                              <w:spacing w:before="0"/>
                            </w:pPr>
                            <w:r w:rsidRPr="00142D6C">
                              <w:t xml:space="preserve">Najczęstszą przyczyną powrotu do pracy po przejściu na emeryturę (w okresie późniejszym niż pierwsze </w:t>
                            </w:r>
                            <w:r>
                              <w:t>sześć miesięcy</w:t>
                            </w:r>
                            <w:r w:rsidRPr="00142D6C">
                              <w:t xml:space="preserve"> od przejścia na emeryturę) była konieczność uzyskania dodatkowego dochodu</w:t>
                            </w:r>
                          </w:p>
                          <w:p w14:paraId="38CB2073" w14:textId="77777777" w:rsidR="00930351" w:rsidRPr="00187A09" w:rsidRDefault="00930351" w:rsidP="00930351">
                            <w:pPr>
                              <w:pStyle w:val="Tekstpodstawowy2"/>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EC8CF" id="Pole tekstowe 35" o:spid="_x0000_s1046" type="#_x0000_t202" alt="Najczęstszą przyczyną powrotu do pracy po przejściu na emeryturę (w okresie późniejszym niż pierwsze sześć miesięcy od przejścia na emeryturę) była konieczność uzyskania dodatkowego dochodu" style="position:absolute;margin-left:416.95pt;margin-top:50.15pt;width:140.2pt;height:105.85pt;z-index:-25134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" filled="f" stroked="f">
                <v:textbox>
                  <w:txbxContent>
                    <w:p w14:paraId="58BBD444" w14:textId="77777777" w:rsidR="00930351" w:rsidRPr="00142D6C" w:rsidRDefault="00930351" w:rsidP="00930351">
                      <w:pPr>
                        <w:pStyle w:val="tekstzboku"/>
                        <w:spacing w:before="0"/>
                      </w:pPr>
                      <w:r w:rsidRPr="00142D6C">
                        <w:t xml:space="preserve">Najczęstszą przyczyną powrotu do pracy po przejściu na emeryturę (w okresie późniejszym niż pierwsze </w:t>
                      </w:r>
                      <w:r>
                        <w:t>sześć miesięcy</w:t>
                      </w:r>
                      <w:r w:rsidRPr="00142D6C">
                        <w:t xml:space="preserve"> od przejścia na emeryturę) była konieczność uzyskania dodatkowego dochodu</w:t>
                      </w:r>
                    </w:p>
                    <w:p w14:paraId="38CB2073" w14:textId="77777777" w:rsidR="00930351" w:rsidRPr="00187A09" w:rsidRDefault="00930351" w:rsidP="00930351">
                      <w:pPr>
                        <w:pStyle w:val="Tekstpodstawowy2"/>
                        <w:spacing w:before="0"/>
                      </w:pPr>
                    </w:p>
                  </w:txbxContent>
                </v:textbox>
                <w10:wrap type="tight"/>
              </v:shape>
            </w:pict>
          </mc:Fallback>
        </mc:AlternateContent>
      </w:r>
      <w:r w:rsidRPr="00A70D1B">
        <w:rPr>
          <w:szCs w:val="19"/>
        </w:rPr>
        <w:t>Osoby, które zakończyły pracę po przejściu na emeryturę lub w momencie przejścia na emeryturę nie pracowały (ta grupa liczyła 5</w:t>
      </w:r>
      <w:r w:rsidR="00A82C96" w:rsidRPr="00A70D1B">
        <w:rPr>
          <w:szCs w:val="19"/>
        </w:rPr>
        <w:t> </w:t>
      </w:r>
      <w:r w:rsidRPr="00A70D1B">
        <w:rPr>
          <w:szCs w:val="19"/>
        </w:rPr>
        <w:t>053 tys.</w:t>
      </w:r>
      <w:r w:rsidR="00457233" w:rsidRPr="00A70D1B">
        <w:rPr>
          <w:szCs w:val="19"/>
        </w:rPr>
        <w:t xml:space="preserve"> osób</w:t>
      </w:r>
      <w:r w:rsidRPr="00A70D1B">
        <w:rPr>
          <w:szCs w:val="19"/>
        </w:rPr>
        <w:t xml:space="preserve">) pytano, czy kiedykolwiek później (od siódmego miesiąca po przejściu na emeryturę do chwili badania) podjęły jakąkolwiek płatną pracę. Tylko 4,2% tej zbiorowości (212 tys. osób) miało co najmniej jedną płatną pracę trwającą co najmniej 3 miesiące, a 0,9% miała pracę dorywczą, krótszą niż 3 miesiące. Znakomita większość – 94,7% nie miała żadnej pracy.  </w:t>
      </w:r>
    </w:p>
    <w:p w14:paraId="7FFE2C5D" w14:textId="2FD3B9FA" w:rsidR="00930351" w:rsidRPr="00A70D1B" w:rsidRDefault="00930351" w:rsidP="00930351">
      <w:pPr>
        <w:spacing w:line="288" w:lineRule="auto"/>
        <w:rPr>
          <w:szCs w:val="19"/>
        </w:rPr>
      </w:pPr>
      <w:r w:rsidRPr="00A70D1B">
        <w:rPr>
          <w:szCs w:val="19"/>
        </w:rPr>
        <w:t xml:space="preserve">Osoby, które miały co najmniej jedną płatną pracę trwającą co najmniej 3 miesiące podejmowały ją głównie dlatego, </w:t>
      </w:r>
      <w:r w:rsidR="00FE20D2" w:rsidRPr="00A70D1B">
        <w:rPr>
          <w:szCs w:val="19"/>
        </w:rPr>
        <w:t>że uzyskany z niej dochód był dla nich niezbędny do zaspokojenia podstawowych potrzeb</w:t>
      </w:r>
      <w:bookmarkStart w:id="11" w:name="_Hlk171679098"/>
      <w:r w:rsidRPr="00A70D1B">
        <w:rPr>
          <w:szCs w:val="19"/>
        </w:rPr>
        <w:t xml:space="preserve"> </w:t>
      </w:r>
      <w:bookmarkEnd w:id="11"/>
      <w:r w:rsidRPr="00A70D1B">
        <w:rPr>
          <w:szCs w:val="19"/>
        </w:rPr>
        <w:t xml:space="preserve">– tę przyczynę wskazało 39,2% tej zbiorowości </w:t>
      </w:r>
      <w:r w:rsidRPr="00A70D1B">
        <w:rPr>
          <w:szCs w:val="19"/>
        </w:rPr>
        <w:lastRenderedPageBreak/>
        <w:t>(32,7%</w:t>
      </w:r>
      <w:r w:rsidR="00AF7945" w:rsidRPr="00A70D1B">
        <w:rPr>
          <w:szCs w:val="19"/>
        </w:rPr>
        <w:t> </w:t>
      </w:r>
      <w:r w:rsidRPr="00A70D1B">
        <w:rPr>
          <w:szCs w:val="19"/>
        </w:rPr>
        <w:t xml:space="preserve">mężczyzn i 44,1% kobiet). Na drugim miejscu uplasowała się chęć wykonywania pracy i bycia produktywnym (30,7%). Co ciekawe, przyczyna ta częściej była wskazywana jako najważniejsza przez mężczyzn (35,6%, podczas gdy wśród kobiet było to 27,0%). Natomiast biorąc pod uwagę miejsce zamieszkania, częściej był to argument do podejmowania pracy dla mieszkańców wsi (42,1%) niż dla mieszkańców miast (27,1%). </w:t>
      </w:r>
    </w:p>
    <w:p w14:paraId="54F8F654" w14:textId="2211B992" w:rsidR="00930351" w:rsidRPr="00A70D1B" w:rsidRDefault="00930351" w:rsidP="00930351">
      <w:pPr>
        <w:spacing w:line="288" w:lineRule="auto"/>
        <w:rPr>
          <w:szCs w:val="19"/>
        </w:rPr>
      </w:pPr>
      <w:r w:rsidRPr="00A70D1B">
        <w:rPr>
          <w:szCs w:val="19"/>
        </w:rPr>
        <w:t>Chęć bycia społecznie aktywnym motywowała do podjęcia pracy 11,8% tej populacji (15,8% mężczyzn i 8,1% kobiet), a 10,8% podjęło ją, ponieważ była atrakcyjna finansowo. Tę ostatnią przyczynę wskazało 6,9% mężczyzn i 14,4% kobiet.</w:t>
      </w:r>
    </w:p>
    <w:p w14:paraId="78357B72" w14:textId="5F228943" w:rsidR="009339F2" w:rsidRPr="00A70D1B" w:rsidRDefault="009339F2" w:rsidP="009339F2">
      <w:pPr>
        <w:pStyle w:val="Nagwek1"/>
        <w:spacing w:before="240"/>
        <w:rPr>
          <w:rFonts w:ascii="Fira Sans" w:hAnsi="Fira Sans"/>
          <w:b/>
          <w:szCs w:val="19"/>
        </w:rPr>
      </w:pPr>
      <w:r w:rsidRPr="00A70D1B">
        <w:rPr>
          <w:rFonts w:ascii="Fira Sans" w:hAnsi="Fira Sans"/>
          <w:b/>
          <w:szCs w:val="19"/>
        </w:rPr>
        <w:t>Bieżąca aktywność ekonomiczna osób w wieku 50-74 lat</w:t>
      </w:r>
    </w:p>
    <w:p w14:paraId="36CDBBC7" w14:textId="28613D45" w:rsidR="009339F2" w:rsidRPr="00A70D1B" w:rsidRDefault="009339F2" w:rsidP="009339F2">
      <w:pPr>
        <w:spacing w:line="288" w:lineRule="auto"/>
        <w:rPr>
          <w:szCs w:val="19"/>
        </w:rPr>
      </w:pPr>
      <w:bookmarkStart w:id="12" w:name="_Hlk173452910"/>
      <w:r w:rsidRPr="00A70D1B">
        <w:rPr>
          <w:szCs w:val="19"/>
        </w:rPr>
        <w:t xml:space="preserve">Bieżąca aktywność ekonomiczna osób w wieku 50-74 lat </w:t>
      </w:r>
      <w:bookmarkEnd w:id="12"/>
      <w:r w:rsidRPr="00A70D1B">
        <w:rPr>
          <w:szCs w:val="19"/>
        </w:rPr>
        <w:t>różniła się znacznie w zależności od faktu pobierania lub niepobierania emerytury ustawowej. Wyniki podstawowego zakresu BAEL i modułowego zrealizowanego w 2023 r. wykazały, że:</w:t>
      </w:r>
    </w:p>
    <w:p w14:paraId="4573D26F" w14:textId="1D0A3CDA" w:rsidR="009339F2" w:rsidRPr="00A70D1B" w:rsidRDefault="009339F2" w:rsidP="00005312">
      <w:pPr>
        <w:pStyle w:val="Akapitzlist"/>
        <w:numPr>
          <w:ilvl w:val="0"/>
          <w:numId w:val="9"/>
        </w:numPr>
        <w:spacing w:before="0" w:line="288" w:lineRule="auto"/>
        <w:ind w:left="425" w:hanging="357"/>
        <w:rPr>
          <w:szCs w:val="19"/>
        </w:rPr>
      </w:pPr>
      <w:r w:rsidRPr="00A70D1B">
        <w:rPr>
          <w:szCs w:val="19"/>
        </w:rPr>
        <w:t xml:space="preserve">w całej grupie wieku 50-74 lata </w:t>
      </w:r>
      <w:r w:rsidRPr="00A70D1B">
        <w:rPr>
          <w:rFonts w:eastAsia="Times New Roman" w:cs="Times New Roman"/>
          <w:szCs w:val="19"/>
          <w:lang w:eastAsia="pl-PL"/>
        </w:rPr>
        <w:t>było</w:t>
      </w:r>
      <w:r w:rsidRPr="00A70D1B">
        <w:rPr>
          <w:szCs w:val="19"/>
        </w:rPr>
        <w:t xml:space="preserve"> 43,8% osób aktywnych zawodowo, natomiast wśród emerytów w tym wieku było ich tylko 9,8%. Znacznie większy odsetek osób aktywnych zawodowo występował w grupie osób niepobierających emerytury i</w:t>
      </w:r>
      <w:r w:rsidR="00772E57" w:rsidRPr="00A70D1B">
        <w:rPr>
          <w:szCs w:val="19"/>
        </w:rPr>
        <w:t> </w:t>
      </w:r>
      <w:r w:rsidRPr="00A70D1B">
        <w:rPr>
          <w:szCs w:val="19"/>
        </w:rPr>
        <w:t>wynosił 80,2%</w:t>
      </w:r>
      <w:r w:rsidR="00772E57" w:rsidRPr="00A70D1B">
        <w:rPr>
          <w:szCs w:val="19"/>
        </w:rPr>
        <w:t>,</w:t>
      </w:r>
    </w:p>
    <w:p w14:paraId="6E982C70" w14:textId="56223B05" w:rsidR="00772E57" w:rsidRPr="00A70D1B" w:rsidRDefault="00441510" w:rsidP="00EB4F89">
      <w:pPr>
        <w:spacing w:line="276" w:lineRule="auto"/>
        <w:ind w:left="992" w:hanging="992"/>
        <w:jc w:val="both"/>
        <w:rPr>
          <w:b/>
          <w:shd w:val="clear" w:color="auto" w:fill="FFFFFF"/>
        </w:rPr>
      </w:pPr>
      <w:r w:rsidRPr="00A70D1B">
        <w:rPr>
          <w:b/>
          <w:noProof/>
          <w:shd w:val="clear" w:color="auto" w:fill="FFFFFF"/>
          <w:lang w:eastAsia="pl-PL"/>
        </w:rPr>
        <w:drawing>
          <wp:anchor distT="0" distB="0" distL="114300" distR="114300" simplePos="0" relativeHeight="251974656" behindDoc="0" locked="0" layoutInCell="1" allowOverlap="1" wp14:anchorId="134EDFC2" wp14:editId="41E9581F">
            <wp:simplePos x="0" y="0"/>
            <wp:positionH relativeFrom="margin">
              <wp:align>left</wp:align>
            </wp:positionH>
            <wp:positionV relativeFrom="paragraph">
              <wp:posOffset>335890</wp:posOffset>
            </wp:positionV>
            <wp:extent cx="5020945" cy="2684145"/>
            <wp:effectExtent l="0" t="0" r="8255" b="1905"/>
            <wp:wrapSquare wrapText="bothSides"/>
            <wp:docPr id="45" name="Obraz 45" descr="Wykres prezentuje aktywność ekonomiczną ludności w wieku 50-74 lata w zależności od faktu pobierania lub niepobierania emerytury ustawowej w 2023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0945" cy="2684145"/>
                    </a:xfrm>
                    <a:prstGeom prst="rect">
                      <a:avLst/>
                    </a:prstGeom>
                    <a:noFill/>
                  </pic:spPr>
                </pic:pic>
              </a:graphicData>
            </a:graphic>
            <wp14:sizeRelH relativeFrom="page">
              <wp14:pctWidth>0</wp14:pctWidth>
            </wp14:sizeRelH>
            <wp14:sizeRelV relativeFrom="page">
              <wp14:pctHeight>0</wp14:pctHeight>
            </wp14:sizeRelV>
          </wp:anchor>
        </w:drawing>
      </w:r>
      <w:r w:rsidR="00EB4F89" w:rsidRPr="00A70D1B">
        <w:rPr>
          <w:b/>
          <w:noProof/>
          <w:lang w:eastAsia="pl-PL"/>
        </w:rPr>
        <mc:AlternateContent>
          <mc:Choice Requires="wps">
            <w:drawing>
              <wp:anchor distT="45720" distB="45720" distL="114300" distR="114300" simplePos="0" relativeHeight="251971584" behindDoc="1" locked="0" layoutInCell="1" allowOverlap="1" wp14:anchorId="7947B53E" wp14:editId="5131A139">
                <wp:simplePos x="0" y="0"/>
                <wp:positionH relativeFrom="page">
                  <wp:align>right</wp:align>
                </wp:positionH>
                <wp:positionV relativeFrom="paragraph">
                  <wp:posOffset>3005859</wp:posOffset>
                </wp:positionV>
                <wp:extent cx="1829435" cy="1066800"/>
                <wp:effectExtent l="0" t="0" r="0" b="0"/>
                <wp:wrapTight wrapText="bothSides">
                  <wp:wrapPolygon edited="0">
                    <wp:start x="675" y="0"/>
                    <wp:lineTo x="675" y="21214"/>
                    <wp:lineTo x="20693" y="21214"/>
                    <wp:lineTo x="20693" y="0"/>
                    <wp:lineTo x="675" y="0"/>
                  </wp:wrapPolygon>
                </wp:wrapTight>
                <wp:docPr id="36" name="Pole tekstowe 36" descr="Wskaźnik zatrudnienia wśród osób w wieku 50-74 lata pobierających emeryturę wynosił 9,7%, a wśród niepobierających tego świadczenia –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1066800"/>
                        </a:xfrm>
                        <a:prstGeom prst="rect">
                          <a:avLst/>
                        </a:prstGeom>
                        <a:noFill/>
                        <a:ln w="9525">
                          <a:noFill/>
                          <a:miter lim="800000"/>
                          <a:headEnd/>
                          <a:tailEnd/>
                        </a:ln>
                      </wps:spPr>
                      <wps:txbx>
                        <w:txbxContent>
                          <w:p w14:paraId="2090EE43" w14:textId="38C1631E" w:rsidR="00772E57" w:rsidRPr="00142D6C" w:rsidRDefault="00772E57" w:rsidP="00772E57">
                            <w:pPr>
                              <w:pStyle w:val="tekstzboku"/>
                              <w:spacing w:before="0"/>
                            </w:pPr>
                            <w:r>
                              <w:t>Wskaźnik zatrudnienia wśród osób w wieku 50-74 lat</w:t>
                            </w:r>
                            <w:r w:rsidR="00122EAC">
                              <w:t>a</w:t>
                            </w:r>
                            <w:r>
                              <w:t xml:space="preserve"> pobierających emeryturę wynosił 9,7%</w:t>
                            </w:r>
                            <w:r w:rsidR="00150C3E">
                              <w:t>, a wśród niepobierających tego świadczenia – 78,6%</w:t>
                            </w:r>
                          </w:p>
                          <w:p w14:paraId="73113F21" w14:textId="77777777" w:rsidR="00772E57" w:rsidRPr="00187A09" w:rsidRDefault="00772E57" w:rsidP="00772E57">
                            <w:pPr>
                              <w:pStyle w:val="Tekstpodstawowy2"/>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7B53E" id="Pole tekstowe 36" o:spid="_x0000_s1047" type="#_x0000_t202" alt="Wskaźnik zatrudnienia wśród osób w wieku 50-74 lata pobierających emeryturę wynosił 9,7%, a wśród niepobierających tego świadczenia – 78,6%" style="position:absolute;left:0;text-align:left;margin-left:92.85pt;margin-top:236.7pt;width:144.05pt;height:84pt;z-index:-2513448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" filled="f" stroked="f">
                <v:textbox>
                  <w:txbxContent>
                    <w:p w14:paraId="2090EE43" w14:textId="38C1631E" w:rsidR="00772E57" w:rsidRPr="00142D6C" w:rsidRDefault="00772E57" w:rsidP="00772E57">
                      <w:pPr>
                        <w:pStyle w:val="tekstzboku"/>
                        <w:spacing w:before="0"/>
                      </w:pPr>
                      <w:r>
                        <w:t>Wskaźnik zatrudnienia wśród osób w wieku 50-74 lat</w:t>
                      </w:r>
                      <w:r w:rsidR="00122EAC">
                        <w:t>a</w:t>
                      </w:r>
                      <w:r>
                        <w:t xml:space="preserve"> pobierających emeryturę wynosił 9,7%</w:t>
                      </w:r>
                      <w:r w:rsidR="00150C3E">
                        <w:t>, a wśród niepobierających tego świadczenia – 78,6%</w:t>
                      </w:r>
                    </w:p>
                    <w:p w14:paraId="73113F21" w14:textId="77777777" w:rsidR="00772E57" w:rsidRPr="00187A09" w:rsidRDefault="00772E57" w:rsidP="00772E57">
                      <w:pPr>
                        <w:pStyle w:val="Tekstpodstawowy2"/>
                        <w:spacing w:before="0"/>
                      </w:pPr>
                    </w:p>
                  </w:txbxContent>
                </v:textbox>
                <w10:wrap type="tight" anchorx="page"/>
              </v:shape>
            </w:pict>
          </mc:Fallback>
        </mc:AlternateContent>
      </w:r>
      <w:r w:rsidR="00772E57" w:rsidRPr="00A70D1B">
        <w:rPr>
          <w:b/>
          <w:shd w:val="clear" w:color="auto" w:fill="FFFFFF"/>
        </w:rPr>
        <w:t xml:space="preserve">Wykres 12. </w:t>
      </w:r>
      <w:r w:rsidR="00772E57" w:rsidRPr="00A70D1B">
        <w:rPr>
          <w:b/>
          <w:shd w:val="clear" w:color="auto" w:fill="FFFFFF"/>
        </w:rPr>
        <w:tab/>
        <w:t>Aktywność ekonomiczna ludności w wieku 50-74 lata w zależności od faktu pobierania lub niepobierania emerytury ustawowej w 2023 r.</w:t>
      </w:r>
    </w:p>
    <w:p w14:paraId="01AD1775" w14:textId="0A1F9CC5" w:rsidR="00715DF9" w:rsidRPr="00A70D1B" w:rsidRDefault="00715DF9" w:rsidP="002C0B09">
      <w:pPr>
        <w:spacing w:line="288" w:lineRule="auto"/>
        <w:rPr>
          <w:sz w:val="18"/>
          <w:szCs w:val="18"/>
        </w:rPr>
      </w:pPr>
      <w:r w:rsidRPr="00A70D1B">
        <w:rPr>
          <w:b/>
          <w:sz w:val="18"/>
          <w:szCs w:val="18"/>
        </w:rPr>
        <w:t>U w a g a.</w:t>
      </w:r>
      <w:r w:rsidRPr="00A70D1B">
        <w:rPr>
          <w:sz w:val="18"/>
          <w:szCs w:val="18"/>
        </w:rPr>
        <w:t xml:space="preserve"> Na wykresie nie uwzględniono osób, dla których nie ustalono faktu pobierania emerytury ustawowej.</w:t>
      </w:r>
    </w:p>
    <w:p w14:paraId="0558EAA3" w14:textId="1BE10389" w:rsidR="00772E57" w:rsidRPr="00A70D1B" w:rsidRDefault="00772E57" w:rsidP="00772E57">
      <w:pPr>
        <w:pStyle w:val="Akapitzlist"/>
        <w:numPr>
          <w:ilvl w:val="0"/>
          <w:numId w:val="9"/>
        </w:numPr>
        <w:spacing w:line="288" w:lineRule="auto"/>
        <w:ind w:left="426" w:hanging="357"/>
        <w:rPr>
          <w:szCs w:val="19"/>
        </w:rPr>
      </w:pPr>
      <w:r w:rsidRPr="00A70D1B">
        <w:rPr>
          <w:szCs w:val="19"/>
        </w:rPr>
        <w:t xml:space="preserve">wskaźnik </w:t>
      </w:r>
      <w:r w:rsidRPr="00A70D1B">
        <w:rPr>
          <w:rFonts w:eastAsia="Times New Roman" w:cs="Times New Roman"/>
          <w:szCs w:val="19"/>
          <w:lang w:eastAsia="pl-PL"/>
        </w:rPr>
        <w:t>zatrudnienia</w:t>
      </w:r>
      <w:r w:rsidRPr="00A70D1B">
        <w:rPr>
          <w:szCs w:val="19"/>
        </w:rPr>
        <w:t xml:space="preserve"> wśród ogółu osób w wieku 50-74 lata wynosił 42,9%, przy czym wśród niepobierających emerytury był znacznie wyższy – 78,6%, natomiast wśród pobierających emeryturę wynosił tylko 9,7%</w:t>
      </w:r>
      <w:r w:rsidR="00150C3E" w:rsidRPr="00A70D1B">
        <w:rPr>
          <w:szCs w:val="19"/>
        </w:rPr>
        <w:t>,</w:t>
      </w:r>
    </w:p>
    <w:p w14:paraId="5F49FC11" w14:textId="05EF7A20" w:rsidR="00772E57" w:rsidRPr="00A70D1B" w:rsidRDefault="005938AE" w:rsidP="00772E57">
      <w:pPr>
        <w:spacing w:line="276" w:lineRule="auto"/>
        <w:ind w:left="992" w:hanging="992"/>
        <w:jc w:val="both"/>
        <w:rPr>
          <w:b/>
          <w:shd w:val="clear" w:color="auto" w:fill="FFFFFF"/>
        </w:rPr>
      </w:pPr>
      <w:r w:rsidRPr="00A70D1B">
        <w:rPr>
          <w:b/>
          <w:noProof/>
          <w:shd w:val="clear" w:color="auto" w:fill="FFFFFF"/>
          <w:lang w:eastAsia="pl-PL"/>
        </w:rPr>
        <w:drawing>
          <wp:anchor distT="0" distB="0" distL="114300" distR="114300" simplePos="0" relativeHeight="251992064" behindDoc="0" locked="0" layoutInCell="1" allowOverlap="1" wp14:anchorId="0B8554AD" wp14:editId="5CD7F732">
            <wp:simplePos x="0" y="0"/>
            <wp:positionH relativeFrom="margin">
              <wp:align>center</wp:align>
            </wp:positionH>
            <wp:positionV relativeFrom="paragraph">
              <wp:posOffset>349582</wp:posOffset>
            </wp:positionV>
            <wp:extent cx="3935730" cy="2157730"/>
            <wp:effectExtent l="0" t="0" r="7620" b="0"/>
            <wp:wrapSquare wrapText="bothSides"/>
            <wp:docPr id="54" name="Obraz 54" descr="Wykres prezentuje wskaźnik zatrudnienia osób w wieku 50-74 lata według płci osób oraz faktu pobierania lub niepobierania emerytury ustawowej w 2023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5730" cy="2157730"/>
                    </a:xfrm>
                    <a:prstGeom prst="rect">
                      <a:avLst/>
                    </a:prstGeom>
                    <a:noFill/>
                  </pic:spPr>
                </pic:pic>
              </a:graphicData>
            </a:graphic>
            <wp14:sizeRelH relativeFrom="page">
              <wp14:pctWidth>0</wp14:pctWidth>
            </wp14:sizeRelH>
            <wp14:sizeRelV relativeFrom="page">
              <wp14:pctHeight>0</wp14:pctHeight>
            </wp14:sizeRelV>
          </wp:anchor>
        </w:drawing>
      </w:r>
      <w:r w:rsidR="00772E57" w:rsidRPr="00A70D1B">
        <w:rPr>
          <w:b/>
          <w:shd w:val="clear" w:color="auto" w:fill="FFFFFF"/>
        </w:rPr>
        <w:t xml:space="preserve">Wykres 13. </w:t>
      </w:r>
      <w:r w:rsidR="00772E57" w:rsidRPr="00A70D1B">
        <w:rPr>
          <w:b/>
          <w:shd w:val="clear" w:color="auto" w:fill="FFFFFF"/>
        </w:rPr>
        <w:tab/>
        <w:t>Wskaźnik zatrudnienia osób w wieku 50-74 lata według płci osób oraz faktu pobierania lub niepobierania emerytury ustawowej w 2023 r.</w:t>
      </w:r>
    </w:p>
    <w:p w14:paraId="745A8486" w14:textId="6DF25D3A" w:rsidR="00772E57" w:rsidRPr="00A70D1B" w:rsidRDefault="00772E57" w:rsidP="00772E57">
      <w:pPr>
        <w:spacing w:line="276" w:lineRule="auto"/>
        <w:ind w:left="992" w:hanging="992"/>
        <w:jc w:val="both"/>
        <w:rPr>
          <w:b/>
          <w:shd w:val="clear" w:color="auto" w:fill="FFFFFF"/>
        </w:rPr>
      </w:pPr>
    </w:p>
    <w:p w14:paraId="24382D37" w14:textId="77777777" w:rsidR="00772E57" w:rsidRPr="00A70D1B" w:rsidRDefault="00772E57" w:rsidP="00772E57">
      <w:pPr>
        <w:pStyle w:val="Akapitzlist"/>
        <w:numPr>
          <w:ilvl w:val="0"/>
          <w:numId w:val="9"/>
        </w:numPr>
        <w:spacing w:line="288" w:lineRule="auto"/>
        <w:ind w:left="426" w:hanging="357"/>
        <w:rPr>
          <w:szCs w:val="19"/>
        </w:rPr>
      </w:pPr>
      <w:r w:rsidRPr="00A70D1B">
        <w:rPr>
          <w:rFonts w:eastAsia="Times New Roman" w:cs="Times New Roman"/>
          <w:szCs w:val="19"/>
          <w:lang w:eastAsia="pl-PL"/>
        </w:rPr>
        <w:lastRenderedPageBreak/>
        <w:t>wskaźnik</w:t>
      </w:r>
      <w:r w:rsidRPr="00A70D1B">
        <w:rPr>
          <w:szCs w:val="19"/>
        </w:rPr>
        <w:t xml:space="preserve"> zatrudnienia był zależny od wieku osób. Dla osób w wieku produkcyjnym wynosił 76,3% (przy czym dla osób pobierających emeryturę wyniósł 20,5%, a dla niepobierających – 80,4%). Dla osób w wieku poprodukcyjnym wskaźnik ten był zdecydowanie niższy i wynosił 11,7% (dla pobierających emeryturę wyniósł 8,9%, dla niepobierających tego świadczenia – 53,3%),</w:t>
      </w:r>
    </w:p>
    <w:p w14:paraId="1A2B6775" w14:textId="77777777" w:rsidR="00772E57" w:rsidRPr="00A70D1B" w:rsidRDefault="00772E57" w:rsidP="00772E57">
      <w:pPr>
        <w:pStyle w:val="Akapitzlist"/>
        <w:numPr>
          <w:ilvl w:val="0"/>
          <w:numId w:val="9"/>
        </w:numPr>
        <w:spacing w:line="288" w:lineRule="auto"/>
        <w:ind w:left="426" w:hanging="357"/>
        <w:rPr>
          <w:szCs w:val="19"/>
        </w:rPr>
      </w:pPr>
      <w:r w:rsidRPr="00A70D1B">
        <w:rPr>
          <w:szCs w:val="19"/>
        </w:rPr>
        <w:t>9,7% (</w:t>
      </w:r>
      <w:r w:rsidRPr="00A70D1B">
        <w:rPr>
          <w:rFonts w:eastAsia="Times New Roman" w:cs="Times New Roman"/>
          <w:szCs w:val="19"/>
          <w:lang w:eastAsia="pl-PL"/>
        </w:rPr>
        <w:t>568</w:t>
      </w:r>
      <w:r w:rsidRPr="00A70D1B">
        <w:rPr>
          <w:szCs w:val="19"/>
        </w:rPr>
        <w:t xml:space="preserve"> tys.) emerytów w wieku 50-74 lata pracowało, przy czym ponad połowa z nich (54,8%) pracowała w pełnym wymiarze czasu pracy (60,7% pracujących mężczyzn i 49,7% pracujących kobiet), pozostali – w niepełnym wymiarze,</w:t>
      </w:r>
    </w:p>
    <w:p w14:paraId="0E2CAA21" w14:textId="77777777" w:rsidR="00772E57" w:rsidRPr="00A70D1B" w:rsidRDefault="00772E57" w:rsidP="00772E57">
      <w:pPr>
        <w:pStyle w:val="Akapitzlist"/>
        <w:numPr>
          <w:ilvl w:val="0"/>
          <w:numId w:val="9"/>
        </w:numPr>
        <w:spacing w:line="288" w:lineRule="auto"/>
        <w:ind w:left="426" w:hanging="357"/>
        <w:rPr>
          <w:szCs w:val="19"/>
        </w:rPr>
      </w:pPr>
      <w:r w:rsidRPr="00A70D1B">
        <w:rPr>
          <w:szCs w:val="19"/>
        </w:rPr>
        <w:t xml:space="preserve">wśród </w:t>
      </w:r>
      <w:r w:rsidRPr="00A70D1B">
        <w:rPr>
          <w:rFonts w:eastAsia="Times New Roman" w:cs="Times New Roman"/>
          <w:szCs w:val="19"/>
          <w:lang w:eastAsia="pl-PL"/>
        </w:rPr>
        <w:t>ogółu</w:t>
      </w:r>
      <w:r w:rsidRPr="00A70D1B">
        <w:rPr>
          <w:szCs w:val="19"/>
        </w:rPr>
        <w:t xml:space="preserve"> pracujących emerytów przeważały kobiety – stanowiły 53,9%, podczas gdy – jak wspomniano wcześniej – odsetek kobiet wśród ogółu emerytów wynosił 62,6%, </w:t>
      </w:r>
    </w:p>
    <w:p w14:paraId="6287776C" w14:textId="77777777" w:rsidR="00772E57" w:rsidRPr="00A70D1B" w:rsidRDefault="00772E57" w:rsidP="00772E57">
      <w:pPr>
        <w:pStyle w:val="Akapitzlist"/>
        <w:numPr>
          <w:ilvl w:val="0"/>
          <w:numId w:val="9"/>
        </w:numPr>
        <w:spacing w:line="288" w:lineRule="auto"/>
        <w:ind w:left="426" w:hanging="357"/>
        <w:rPr>
          <w:szCs w:val="19"/>
        </w:rPr>
      </w:pPr>
      <w:r w:rsidRPr="00A70D1B">
        <w:rPr>
          <w:rFonts w:eastAsia="Times New Roman" w:cs="Times New Roman"/>
          <w:szCs w:val="19"/>
          <w:lang w:eastAsia="pl-PL"/>
        </w:rPr>
        <w:t>większość</w:t>
      </w:r>
      <w:r w:rsidRPr="00A70D1B">
        <w:rPr>
          <w:szCs w:val="19"/>
        </w:rPr>
        <w:t xml:space="preserve"> pracujących emerytów mieszkała w miastach (73,2%, czyli ponad 9 p. proc. więcej niż wynikałoby to z ogólnej struktury emerytów według miejsca zamieszkania),</w:t>
      </w:r>
    </w:p>
    <w:p w14:paraId="01FD565C" w14:textId="77777777" w:rsidR="00772E57" w:rsidRPr="00A70D1B" w:rsidRDefault="00772E57" w:rsidP="00772E57">
      <w:pPr>
        <w:pStyle w:val="Akapitzlist"/>
        <w:numPr>
          <w:ilvl w:val="0"/>
          <w:numId w:val="9"/>
        </w:numPr>
        <w:spacing w:line="288" w:lineRule="auto"/>
        <w:ind w:left="426" w:hanging="357"/>
        <w:rPr>
          <w:szCs w:val="19"/>
        </w:rPr>
      </w:pPr>
      <w:r w:rsidRPr="00A70D1B">
        <w:rPr>
          <w:szCs w:val="19"/>
        </w:rPr>
        <w:t xml:space="preserve">najwięcej </w:t>
      </w:r>
      <w:r w:rsidRPr="00A70D1B">
        <w:rPr>
          <w:rFonts w:eastAsia="Times New Roman" w:cs="Times New Roman"/>
          <w:szCs w:val="19"/>
          <w:lang w:eastAsia="pl-PL"/>
        </w:rPr>
        <w:t>emerytów</w:t>
      </w:r>
      <w:r w:rsidRPr="00A70D1B">
        <w:rPr>
          <w:szCs w:val="19"/>
        </w:rPr>
        <w:t xml:space="preserve"> pracowało w sekcji „opieka zdrowotna i pomoc społeczna” (13,9%), a w dalszej kolejności w edukacji (12,3%), handlu hurtowym i detalicznym, naprawie pojazdów (11,6%) oraz w przetwórstwie przemysłowym (10,7). W pozostałych sekcjach pracowało po mniej niż 10%,</w:t>
      </w:r>
    </w:p>
    <w:p w14:paraId="50373D37" w14:textId="3488BD3C" w:rsidR="00772E57" w:rsidRPr="00A70D1B" w:rsidRDefault="00772E57" w:rsidP="00772E57">
      <w:pPr>
        <w:pStyle w:val="Akapitzlist"/>
        <w:numPr>
          <w:ilvl w:val="0"/>
          <w:numId w:val="9"/>
        </w:numPr>
        <w:spacing w:line="288" w:lineRule="auto"/>
        <w:ind w:left="426" w:hanging="357"/>
        <w:rPr>
          <w:szCs w:val="19"/>
        </w:rPr>
      </w:pPr>
      <w:r w:rsidRPr="00A70D1B">
        <w:rPr>
          <w:szCs w:val="19"/>
        </w:rPr>
        <w:t xml:space="preserve">najczęściej </w:t>
      </w:r>
      <w:r w:rsidRPr="00A70D1B">
        <w:rPr>
          <w:rFonts w:eastAsia="Times New Roman" w:cs="Times New Roman"/>
          <w:szCs w:val="19"/>
          <w:lang w:eastAsia="pl-PL"/>
        </w:rPr>
        <w:t>wykonywanymi</w:t>
      </w:r>
      <w:r w:rsidRPr="00A70D1B">
        <w:rPr>
          <w:szCs w:val="19"/>
        </w:rPr>
        <w:t xml:space="preserve"> przez emerytów zawodami były zawody z grupy specjalistów – wykonywało je 28,7% pracujących emerytów. Znacznie mniej pracowało jako technicy i</w:t>
      </w:r>
      <w:r w:rsidR="002C0B09" w:rsidRPr="00A70D1B">
        <w:rPr>
          <w:szCs w:val="19"/>
        </w:rPr>
        <w:t> </w:t>
      </w:r>
      <w:r w:rsidRPr="00A70D1B">
        <w:rPr>
          <w:szCs w:val="19"/>
        </w:rPr>
        <w:t>inny średni personel (14,8%) oraz pracownicy usług i sprzedawcy (13,4%). Odsetek emerytów pracujących w pozostałych dużych grupach zawodów i specjalności był niższy niż 10%.</w:t>
      </w:r>
    </w:p>
    <w:p w14:paraId="0F595C19" w14:textId="14C740B4" w:rsidR="00772E57" w:rsidRPr="00A70D1B" w:rsidRDefault="00772E57" w:rsidP="00772E57">
      <w:pPr>
        <w:pStyle w:val="Nagwek1"/>
        <w:spacing w:before="240"/>
        <w:rPr>
          <w:rFonts w:ascii="Fira Sans" w:hAnsi="Fira Sans"/>
          <w:b/>
          <w:szCs w:val="19"/>
        </w:rPr>
      </w:pPr>
      <w:r w:rsidRPr="00A70D1B">
        <w:rPr>
          <w:rFonts w:ascii="Fira Sans" w:hAnsi="Fira Sans"/>
          <w:b/>
          <w:szCs w:val="19"/>
        </w:rPr>
        <w:t>Pobieranie renty inwalidzkiej lub innych świadczeń społecznych z tytułu niezdolności do pracy</w:t>
      </w:r>
    </w:p>
    <w:p w14:paraId="23760488" w14:textId="397CFBF0" w:rsidR="00772E57" w:rsidRPr="00A70D1B" w:rsidRDefault="00772E57" w:rsidP="00772E57">
      <w:pPr>
        <w:spacing w:line="288" w:lineRule="auto"/>
        <w:rPr>
          <w:szCs w:val="19"/>
        </w:rPr>
      </w:pPr>
      <w:r w:rsidRPr="00A70D1B">
        <w:rPr>
          <w:b/>
          <w:bCs/>
          <w:noProof/>
          <w:lang w:eastAsia="pl-PL"/>
        </w:rPr>
        <mc:AlternateContent>
          <mc:Choice Requires="wps">
            <w:drawing>
              <wp:anchor distT="45720" distB="45720" distL="114300" distR="114300" simplePos="0" relativeHeight="251973632" behindDoc="1" locked="0" layoutInCell="1" allowOverlap="1" wp14:anchorId="6D40E338" wp14:editId="5293CCDE">
                <wp:simplePos x="0" y="0"/>
                <wp:positionH relativeFrom="page">
                  <wp:posOffset>5751945</wp:posOffset>
                </wp:positionH>
                <wp:positionV relativeFrom="paragraph">
                  <wp:posOffset>7043</wp:posOffset>
                </wp:positionV>
                <wp:extent cx="1780540" cy="1432560"/>
                <wp:effectExtent l="0" t="0" r="0" b="0"/>
                <wp:wrapTight wrapText="bothSides">
                  <wp:wrapPolygon edited="0">
                    <wp:start x="693" y="0"/>
                    <wp:lineTo x="693" y="21255"/>
                    <wp:lineTo x="20799" y="21255"/>
                    <wp:lineTo x="20799" y="0"/>
                    <wp:lineTo x="693" y="0"/>
                  </wp:wrapPolygon>
                </wp:wrapTight>
                <wp:docPr id="43" name="Pole tekstowe 43" descr="Rentę inwalidzką lub inne świadczenia z tytułu niezdolności do pracy pobierało 4,4% osób w wieku 50-74 lata, przy czym wśród kobiet w tym wieku odsetek ten wynosił 2,4%, a wśród mężczyzn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1432560"/>
                        </a:xfrm>
                        <a:prstGeom prst="rect">
                          <a:avLst/>
                        </a:prstGeom>
                        <a:noFill/>
                        <a:ln w="9525">
                          <a:noFill/>
                          <a:miter lim="800000"/>
                          <a:headEnd/>
                          <a:tailEnd/>
                        </a:ln>
                      </wps:spPr>
                      <wps:txbx>
                        <w:txbxContent>
                          <w:p w14:paraId="0C616FD9" w14:textId="77777777" w:rsidR="00772E57" w:rsidRPr="00142D6C" w:rsidRDefault="00772E57" w:rsidP="00772E57">
                            <w:pPr>
                              <w:pStyle w:val="tekstzboku"/>
                              <w:spacing w:before="0"/>
                            </w:pPr>
                            <w:r>
                              <w:t>Rentę inwalidzką lub inne świadczenia z tytułu niezdolności do pracy pobierało 4,4% osób w wieku 50-74 lata, przy czym wśród kobiet w tym wieku odsetek ten wynosił 2,4%, a wśród mężczyzn 6,9%</w:t>
                            </w:r>
                          </w:p>
                          <w:p w14:paraId="110C8804" w14:textId="77777777" w:rsidR="00772E57" w:rsidRPr="00187A09" w:rsidRDefault="00772E57" w:rsidP="00772E57">
                            <w:pPr>
                              <w:pStyle w:val="Tekstpodstawowy2"/>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0E338" id="Pole tekstowe 43" o:spid="_x0000_s1048" type="#_x0000_t202" alt="Rentę inwalidzką lub inne świadczenia z tytułu niezdolności do pracy pobierało 4,4% osób w wieku 50-74 lata, przy czym wśród kobiet w tym wieku odsetek ten wynosił 2,4%, a wśród mężczyzn 6,9%" style="position:absolute;margin-left:452.9pt;margin-top:.55pt;width:140.2pt;height:112.8pt;z-index:-251342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" filled="f" stroked="f">
                <v:textbox>
                  <w:txbxContent>
                    <w:p w14:paraId="0C616FD9" w14:textId="77777777" w:rsidR="00772E57" w:rsidRPr="00142D6C" w:rsidRDefault="00772E57" w:rsidP="00772E57">
                      <w:pPr>
                        <w:pStyle w:val="tekstzboku"/>
                        <w:spacing w:before="0"/>
                      </w:pPr>
                      <w:r>
                        <w:t>Rentę inwalidzką lub inne świadczenia z tytułu niezdolności do pracy pobierało 4,4% osób w wieku 50-74 lata, przy czym wśród kobiet w tym wieku odsetek ten wynosił 2,4%, a wśród mężczyzn 6,9%</w:t>
                      </w:r>
                    </w:p>
                    <w:p w14:paraId="110C8804" w14:textId="77777777" w:rsidR="00772E57" w:rsidRPr="00187A09" w:rsidRDefault="00772E57" w:rsidP="00772E57">
                      <w:pPr>
                        <w:pStyle w:val="Tekstpodstawowy2"/>
                        <w:spacing w:before="0"/>
                      </w:pPr>
                    </w:p>
                  </w:txbxContent>
                </v:textbox>
                <w10:wrap type="tight" anchorx="page"/>
              </v:shape>
            </w:pict>
          </mc:Fallback>
        </mc:AlternateContent>
      </w:r>
      <w:r w:rsidRPr="00A70D1B">
        <w:rPr>
          <w:szCs w:val="19"/>
        </w:rPr>
        <w:t>W badaniu modułowym zbadano również fakt pobierania renty inwalidzkiej lub innych świadczeń społecznych z tytułu niezdolności do pracy oraz wiek przejścia na rentę.</w:t>
      </w:r>
    </w:p>
    <w:p w14:paraId="01989C11" w14:textId="77F26028" w:rsidR="00772E57" w:rsidRPr="00A70D1B" w:rsidRDefault="00772E57" w:rsidP="00772E57">
      <w:pPr>
        <w:spacing w:line="288" w:lineRule="auto"/>
        <w:rPr>
          <w:szCs w:val="19"/>
        </w:rPr>
      </w:pPr>
      <w:r w:rsidRPr="00A70D1B">
        <w:rPr>
          <w:szCs w:val="19"/>
        </w:rPr>
        <w:t>Spośród 11</w:t>
      </w:r>
      <w:r w:rsidR="00D913AE" w:rsidRPr="00A70D1B">
        <w:rPr>
          <w:szCs w:val="19"/>
        </w:rPr>
        <w:t> </w:t>
      </w:r>
      <w:r w:rsidRPr="00A70D1B">
        <w:rPr>
          <w:szCs w:val="19"/>
        </w:rPr>
        <w:t>372 tys. osób w wieku 50-74 lata rentę inwalidzką pobierało 503 tys. osób</w:t>
      </w:r>
      <w:r w:rsidRPr="00A70D1B">
        <w:rPr>
          <w:rStyle w:val="Odwoanieprzypisudolnego"/>
          <w:szCs w:val="19"/>
        </w:rPr>
        <w:footnoteReference w:id="11"/>
      </w:r>
      <w:r w:rsidRPr="00A70D1B">
        <w:rPr>
          <w:szCs w:val="19"/>
        </w:rPr>
        <w:t xml:space="preserve">, (z czego 145 tys. kobiet i 358 tys. mężczyzn), czyli 4,4% osób w tym wieku (odpowiednio 2,4% i </w:t>
      </w:r>
      <w:r w:rsidR="00BF6E67" w:rsidRPr="00A70D1B">
        <w:rPr>
          <w:szCs w:val="19"/>
        </w:rPr>
        <w:t> </w:t>
      </w:r>
      <w:r w:rsidRPr="00A70D1B">
        <w:rPr>
          <w:szCs w:val="19"/>
        </w:rPr>
        <w:t xml:space="preserve">6,9% dla kobiet i mężczyzn). </w:t>
      </w:r>
    </w:p>
    <w:p w14:paraId="56A7F6AA" w14:textId="07B17D3D" w:rsidR="00772E57" w:rsidRPr="00A70D1B" w:rsidRDefault="00772E57" w:rsidP="00772E57">
      <w:pPr>
        <w:spacing w:line="288" w:lineRule="auto"/>
        <w:rPr>
          <w:szCs w:val="19"/>
        </w:rPr>
      </w:pPr>
      <w:r w:rsidRPr="00A70D1B">
        <w:rPr>
          <w:szCs w:val="19"/>
        </w:rPr>
        <w:t>Jak wynika z przytoczonych powyżej danych wśród rencistów przeważali mężczyźni (71,2%). Nieco więcej rencistów mieszkało na wsi (50,5%). Ponad 86,9% rencistów było w wieku produkcyjnym.</w:t>
      </w:r>
    </w:p>
    <w:p w14:paraId="04AEC456" w14:textId="121DC911" w:rsidR="00772E57" w:rsidRPr="00A70D1B" w:rsidRDefault="00772E57" w:rsidP="00772E57">
      <w:pPr>
        <w:spacing w:line="288" w:lineRule="auto"/>
        <w:rPr>
          <w:szCs w:val="19"/>
        </w:rPr>
      </w:pPr>
      <w:r w:rsidRPr="00A70D1B">
        <w:rPr>
          <w:szCs w:val="19"/>
        </w:rPr>
        <w:t>Na rentę inwalidzką przechodziły osoby w różnym wieku. Najczęściej rozpoczynały pobieranie jej w wieku 45-54 lat. W tym wieku przeszło na rentę 36,0% rencistów (31,6% mężczyzn i 46,9% kobiet), ale 6,4% rozpoczęło pobieranie renty w znacznie młodszym wieku – mając 20-24 lata (5,6% mężczyzn i 8,3% kobiet). Znaczna część mężczyzn rozpoczęła pobieranie renty w wieku 35-44 lat (18,2%) oraz w wieku 55-59 (18,7%). Podsumowując, można stwierdzić, że 75</w:t>
      </w:r>
      <w:r w:rsidR="00CD06D9" w:rsidRPr="00A70D1B">
        <w:rPr>
          <w:szCs w:val="19"/>
        </w:rPr>
        <w:t>,1</w:t>
      </w:r>
      <w:r w:rsidRPr="00A70D1B">
        <w:rPr>
          <w:szCs w:val="19"/>
        </w:rPr>
        <w:t>% mężczyzn i 78</w:t>
      </w:r>
      <w:r w:rsidR="00CD06D9" w:rsidRPr="00A70D1B">
        <w:rPr>
          <w:szCs w:val="19"/>
        </w:rPr>
        <w:t>,6</w:t>
      </w:r>
      <w:r w:rsidRPr="00A70D1B">
        <w:rPr>
          <w:szCs w:val="19"/>
        </w:rPr>
        <w:t>% kobiet pobierających rentę zaczęło ją pobierać w</w:t>
      </w:r>
      <w:r w:rsidR="00BF6E67" w:rsidRPr="00A70D1B">
        <w:rPr>
          <w:szCs w:val="19"/>
        </w:rPr>
        <w:t> </w:t>
      </w:r>
      <w:r w:rsidRPr="00A70D1B">
        <w:rPr>
          <w:szCs w:val="19"/>
        </w:rPr>
        <w:t>wieku 30-59 lat.</w:t>
      </w:r>
    </w:p>
    <w:p w14:paraId="6D333F29" w14:textId="5918548D" w:rsidR="00BF6E67" w:rsidRPr="00A70D1B" w:rsidRDefault="00F459A8" w:rsidP="00947C98">
      <w:pPr>
        <w:spacing w:before="240" w:line="276" w:lineRule="auto"/>
        <w:ind w:left="992" w:hanging="992"/>
        <w:jc w:val="both"/>
        <w:rPr>
          <w:b/>
          <w:szCs w:val="19"/>
        </w:rPr>
      </w:pPr>
      <w:r w:rsidRPr="00A70D1B">
        <w:rPr>
          <w:noProof/>
          <w:sz w:val="18"/>
          <w:szCs w:val="18"/>
          <w:lang w:eastAsia="pl-PL"/>
        </w:rPr>
        <w:lastRenderedPageBreak/>
        <w:drawing>
          <wp:anchor distT="0" distB="0" distL="114300" distR="114300" simplePos="0" relativeHeight="251991040" behindDoc="0" locked="0" layoutInCell="1" allowOverlap="1" wp14:anchorId="03E9A97C" wp14:editId="64710AF9">
            <wp:simplePos x="0" y="0"/>
            <wp:positionH relativeFrom="margin">
              <wp:align>left</wp:align>
            </wp:positionH>
            <wp:positionV relativeFrom="paragraph">
              <wp:posOffset>400685</wp:posOffset>
            </wp:positionV>
            <wp:extent cx="5135880" cy="2216785"/>
            <wp:effectExtent l="0" t="0" r="7620" b="0"/>
            <wp:wrapSquare wrapText="bothSides"/>
            <wp:docPr id="53" name="Obraz 53" descr="Wykres prezentuje osoby w wieku 50-74 lata według płci i wieku rozpoczęcia pobierania renty inwalidzkie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5880" cy="2216785"/>
                    </a:xfrm>
                    <a:prstGeom prst="rect">
                      <a:avLst/>
                    </a:prstGeom>
                    <a:noFill/>
                  </pic:spPr>
                </pic:pic>
              </a:graphicData>
            </a:graphic>
            <wp14:sizeRelH relativeFrom="page">
              <wp14:pctWidth>0</wp14:pctWidth>
            </wp14:sizeRelH>
            <wp14:sizeRelV relativeFrom="page">
              <wp14:pctHeight>0</wp14:pctHeight>
            </wp14:sizeRelV>
          </wp:anchor>
        </w:drawing>
      </w:r>
      <w:r w:rsidR="00BF6E67" w:rsidRPr="00A70D1B">
        <w:rPr>
          <w:b/>
          <w:szCs w:val="19"/>
        </w:rPr>
        <w:t>Wykres 1</w:t>
      </w:r>
      <w:r w:rsidR="00150C3E" w:rsidRPr="00A70D1B">
        <w:rPr>
          <w:b/>
          <w:szCs w:val="19"/>
        </w:rPr>
        <w:t>4</w:t>
      </w:r>
      <w:r w:rsidR="00BF6E67" w:rsidRPr="00A70D1B">
        <w:rPr>
          <w:b/>
          <w:szCs w:val="19"/>
        </w:rPr>
        <w:t xml:space="preserve">. </w:t>
      </w:r>
      <w:r w:rsidR="00BF6E67" w:rsidRPr="00A70D1B">
        <w:rPr>
          <w:b/>
          <w:szCs w:val="19"/>
        </w:rPr>
        <w:tab/>
        <w:t xml:space="preserve">Osoby w wieku 50-74 lata według płci i wieku rozpoczęcia pobierania renty inwalidzkiej </w:t>
      </w:r>
    </w:p>
    <w:p w14:paraId="0CE6CE8A" w14:textId="3F0584C8" w:rsidR="00D809DD" w:rsidRPr="00A70D1B" w:rsidRDefault="00D809DD" w:rsidP="00D809DD">
      <w:pPr>
        <w:spacing w:before="240" w:line="288" w:lineRule="auto"/>
        <w:rPr>
          <w:sz w:val="18"/>
          <w:szCs w:val="18"/>
        </w:rPr>
      </w:pPr>
      <w:r w:rsidRPr="00A70D1B">
        <w:rPr>
          <w:b/>
          <w:sz w:val="18"/>
          <w:szCs w:val="18"/>
        </w:rPr>
        <w:t>U w a g a.</w:t>
      </w:r>
      <w:r w:rsidRPr="00A70D1B">
        <w:rPr>
          <w:sz w:val="18"/>
          <w:szCs w:val="18"/>
        </w:rPr>
        <w:t xml:space="preserve"> W przypadku kobiet, które rozpoczęły pobieranie renty inwalidzkiej w wieku 25-29 lat i 60-74 lata, konkretna wartość nie może być pokazana ze względu na wysoki losowy błąd próby.</w:t>
      </w:r>
    </w:p>
    <w:p w14:paraId="198A38B0" w14:textId="42ED20CF" w:rsidR="00BF6E67" w:rsidRPr="00A70D1B" w:rsidRDefault="00BF6E67" w:rsidP="00947C98">
      <w:pPr>
        <w:spacing w:before="240" w:line="288" w:lineRule="auto"/>
        <w:rPr>
          <w:szCs w:val="19"/>
        </w:rPr>
      </w:pPr>
      <w:r w:rsidRPr="00A70D1B">
        <w:rPr>
          <w:szCs w:val="19"/>
        </w:rPr>
        <w:t>Biorąc pod uwagę aktywność zawodową, 89,5% rencistów było osobami biernymi zawodowo, a jedynie 9,9% pracowało. Współczynnik aktywności zawodowej rencistów wynosił 10,5% i był wyższy w miastach (14,</w:t>
      </w:r>
      <w:r w:rsidR="00CD06D9" w:rsidRPr="00A70D1B">
        <w:rPr>
          <w:szCs w:val="19"/>
        </w:rPr>
        <w:t>9</w:t>
      </w:r>
      <w:r w:rsidRPr="00A70D1B">
        <w:rPr>
          <w:szCs w:val="19"/>
        </w:rPr>
        <w:t>%) niż na wsi (6,</w:t>
      </w:r>
      <w:r w:rsidR="00CD06D9" w:rsidRPr="00A70D1B">
        <w:rPr>
          <w:szCs w:val="19"/>
        </w:rPr>
        <w:t>3</w:t>
      </w:r>
      <w:r w:rsidRPr="00A70D1B">
        <w:rPr>
          <w:szCs w:val="19"/>
        </w:rPr>
        <w:t xml:space="preserve">%). </w:t>
      </w:r>
    </w:p>
    <w:p w14:paraId="672E8D4D" w14:textId="7899034E" w:rsidR="002653A4" w:rsidRPr="00A70D1B" w:rsidRDefault="00BF6E67" w:rsidP="00F459A8">
      <w:pPr>
        <w:spacing w:line="288" w:lineRule="auto"/>
        <w:rPr>
          <w:szCs w:val="19"/>
        </w:rPr>
      </w:pPr>
      <w:r w:rsidRPr="00A70D1B">
        <w:rPr>
          <w:szCs w:val="19"/>
        </w:rPr>
        <w:t>Analizując powyższe dane według płci rencistów należy stwierdzić, że mężczyźni pracowali częściej niż kobiety. Ich wskaźnik zatrudnienia wyniósł 11,2%, podczas gdy dla kobiet było to 6,</w:t>
      </w:r>
      <w:r w:rsidR="00CD06D9" w:rsidRPr="00A70D1B">
        <w:rPr>
          <w:szCs w:val="19"/>
        </w:rPr>
        <w:t>9</w:t>
      </w:r>
      <w:r w:rsidRPr="00A70D1B">
        <w:rPr>
          <w:szCs w:val="19"/>
        </w:rPr>
        <w:t>%. Biernymi zawodowo było 88,3% mężczyzn i 91,7% kobiet.</w:t>
      </w:r>
      <w:bookmarkEnd w:id="10"/>
    </w:p>
    <w:p w14:paraId="677CACD2" w14:textId="12596278" w:rsidR="00AE14FB" w:rsidRPr="00A70D1B" w:rsidRDefault="00AE14FB" w:rsidP="000E3CEC">
      <w:pPr>
        <w:pStyle w:val="Nagwek1"/>
        <w:rPr>
          <w:rFonts w:ascii="Fira Sans" w:hAnsi="Fira Sans"/>
          <w:b/>
          <w:szCs w:val="19"/>
        </w:rPr>
      </w:pPr>
      <w:r w:rsidRPr="00A70D1B">
        <w:rPr>
          <w:rFonts w:ascii="Fira Sans" w:hAnsi="Fira Sans"/>
          <w:b/>
          <w:szCs w:val="19"/>
        </w:rPr>
        <w:t>Uwagi metodologiczne</w:t>
      </w:r>
    </w:p>
    <w:p w14:paraId="34FED8D8" w14:textId="518735AA" w:rsidR="00155A1E" w:rsidRPr="00A70D1B" w:rsidRDefault="00155A1E" w:rsidP="00F459A8">
      <w:pPr>
        <w:spacing w:line="288" w:lineRule="auto"/>
        <w:rPr>
          <w:lang w:eastAsia="pl-PL"/>
        </w:rPr>
      </w:pPr>
      <w:r w:rsidRPr="00A70D1B">
        <w:rPr>
          <w:lang w:eastAsia="pl-PL"/>
        </w:rPr>
        <w:t xml:space="preserve">Niniejsza informacja sygnalna została przygotowana na podstawie uogólnionych wyników reprezentacyjnego </w:t>
      </w:r>
      <w:r w:rsidRPr="00A70D1B">
        <w:rPr>
          <w:b/>
          <w:lang w:eastAsia="pl-PL"/>
        </w:rPr>
        <w:t>Badania Aktywności Ekonomicznej Ludności (BAEL)</w:t>
      </w:r>
      <w:r w:rsidRPr="00A70D1B">
        <w:rPr>
          <w:lang w:eastAsia="pl-PL"/>
        </w:rPr>
        <w:t xml:space="preserve">. </w:t>
      </w:r>
    </w:p>
    <w:p w14:paraId="5BD83ABA" w14:textId="79D8210B" w:rsidR="00865495" w:rsidRPr="00A70D1B" w:rsidRDefault="009E7B27" w:rsidP="00F459A8">
      <w:pPr>
        <w:spacing w:line="288" w:lineRule="auto"/>
        <w:rPr>
          <w:b/>
          <w:lang w:eastAsia="pl-PL"/>
        </w:rPr>
      </w:pPr>
      <w:r w:rsidRPr="00A70D1B">
        <w:rPr>
          <w:b/>
          <w:lang w:eastAsia="pl-PL"/>
        </w:rPr>
        <w:t xml:space="preserve">Od 4 kwartału 2023 r. do uogólniania wyników badania na populację generalną zastosowano dane o ludności </w:t>
      </w:r>
      <w:r w:rsidR="0043274B" w:rsidRPr="00A70D1B">
        <w:rPr>
          <w:b/>
          <w:lang w:eastAsia="pl-PL"/>
        </w:rPr>
        <w:t xml:space="preserve">rezydującej </w:t>
      </w:r>
      <w:r w:rsidRPr="00A70D1B">
        <w:rPr>
          <w:b/>
          <w:lang w:eastAsia="pl-PL"/>
        </w:rPr>
        <w:t>Polski</w:t>
      </w:r>
      <w:r w:rsidR="00AF47FC" w:rsidRPr="00A70D1B">
        <w:rPr>
          <w:b/>
          <w:lang w:eastAsia="pl-PL"/>
        </w:rPr>
        <w:t xml:space="preserve"> zamieszkałej w mieszkaniach</w:t>
      </w:r>
      <w:r w:rsidRPr="00A70D1B">
        <w:rPr>
          <w:b/>
          <w:lang w:eastAsia="pl-PL"/>
        </w:rPr>
        <w:t>, pochodzące z bilansów opracowanych na podstawie wyników Narodowego Spisu Powszechnego Ludności i</w:t>
      </w:r>
      <w:r w:rsidR="00AD76C8" w:rsidRPr="00A70D1B">
        <w:rPr>
          <w:b/>
          <w:lang w:eastAsia="pl-PL"/>
        </w:rPr>
        <w:t> </w:t>
      </w:r>
      <w:r w:rsidRPr="00A70D1B">
        <w:rPr>
          <w:b/>
          <w:lang w:eastAsia="pl-PL"/>
        </w:rPr>
        <w:t xml:space="preserve">Mieszkań </w:t>
      </w:r>
      <w:r w:rsidR="0043274B" w:rsidRPr="00A70D1B">
        <w:rPr>
          <w:b/>
          <w:lang w:eastAsia="pl-PL"/>
        </w:rPr>
        <w:t xml:space="preserve">z </w:t>
      </w:r>
      <w:r w:rsidRPr="00A70D1B">
        <w:rPr>
          <w:b/>
          <w:lang w:eastAsia="pl-PL"/>
        </w:rPr>
        <w:t>2021</w:t>
      </w:r>
      <w:r w:rsidR="007571F0" w:rsidRPr="00A70D1B">
        <w:rPr>
          <w:b/>
          <w:lang w:eastAsia="pl-PL"/>
        </w:rPr>
        <w:t xml:space="preserve"> (do 3 kw. 2023 r. </w:t>
      </w:r>
      <w:r w:rsidR="00AF47FC" w:rsidRPr="00A70D1B">
        <w:rPr>
          <w:b/>
          <w:lang w:eastAsia="pl-PL"/>
        </w:rPr>
        <w:t xml:space="preserve">wyniki </w:t>
      </w:r>
      <w:r w:rsidR="007571F0" w:rsidRPr="00A70D1B">
        <w:rPr>
          <w:b/>
          <w:lang w:eastAsia="pl-PL"/>
        </w:rPr>
        <w:t>były uogólniane na populację generalną z</w:t>
      </w:r>
      <w:r w:rsidR="000D6A07" w:rsidRPr="00A70D1B">
        <w:rPr>
          <w:b/>
          <w:lang w:eastAsia="pl-PL"/>
        </w:rPr>
        <w:t> </w:t>
      </w:r>
      <w:r w:rsidR="007571F0" w:rsidRPr="00A70D1B">
        <w:rPr>
          <w:b/>
          <w:lang w:eastAsia="pl-PL"/>
        </w:rPr>
        <w:t>wykorzystaniem danych o ludności pochodzących z bilansów opracowanych na podstawie wyników NSP 2011).</w:t>
      </w:r>
      <w:r w:rsidRPr="00A70D1B">
        <w:rPr>
          <w:b/>
          <w:lang w:eastAsia="pl-PL"/>
        </w:rPr>
        <w:t xml:space="preserve"> Dane opublikowane w niniejszej informacji sygnalnej</w:t>
      </w:r>
      <w:r w:rsidR="00C74979" w:rsidRPr="00A70D1B">
        <w:rPr>
          <w:b/>
          <w:lang w:eastAsia="pl-PL"/>
        </w:rPr>
        <w:t xml:space="preserve">, jak i dołączonych tablicach </w:t>
      </w:r>
      <w:r w:rsidRPr="00A70D1B">
        <w:rPr>
          <w:b/>
          <w:lang w:eastAsia="pl-PL"/>
        </w:rPr>
        <w:t>za okres od 1 kw. 2021 r. do 3 kw. 202</w:t>
      </w:r>
      <w:r w:rsidR="00915222" w:rsidRPr="00A70D1B">
        <w:rPr>
          <w:b/>
          <w:lang w:eastAsia="pl-PL"/>
        </w:rPr>
        <w:t>3</w:t>
      </w:r>
      <w:r w:rsidRPr="00A70D1B">
        <w:rPr>
          <w:b/>
          <w:lang w:eastAsia="pl-PL"/>
        </w:rPr>
        <w:t xml:space="preserve"> r.</w:t>
      </w:r>
      <w:r w:rsidR="00BB1634" w:rsidRPr="00A70D1B">
        <w:rPr>
          <w:b/>
          <w:lang w:eastAsia="pl-PL"/>
        </w:rPr>
        <w:t>,</w:t>
      </w:r>
      <w:r w:rsidRPr="00A70D1B">
        <w:rPr>
          <w:b/>
          <w:lang w:eastAsia="pl-PL"/>
        </w:rPr>
        <w:t xml:space="preserve"> zostały przeliczone zgodnie z nową podstawą uogólniania danych</w:t>
      </w:r>
      <w:r w:rsidR="00D32B31" w:rsidRPr="00A70D1B">
        <w:rPr>
          <w:b/>
          <w:lang w:eastAsia="pl-PL"/>
        </w:rPr>
        <w:t>, są zatem porównywalne.</w:t>
      </w:r>
    </w:p>
    <w:p w14:paraId="505F7955" w14:textId="18FA722A" w:rsidR="00BF6E67" w:rsidRPr="00A70D1B" w:rsidRDefault="00BF6E67" w:rsidP="00F459A8">
      <w:pPr>
        <w:spacing w:line="288" w:lineRule="auto"/>
        <w:rPr>
          <w:lang w:eastAsia="pl-PL"/>
        </w:rPr>
      </w:pPr>
      <w:r w:rsidRPr="00A70D1B">
        <w:rPr>
          <w:lang w:eastAsia="pl-PL"/>
        </w:rPr>
        <w:t>Część informacji sygnalnej dotycząca przechodzenia z pracy na emeryturę została opracowana na podstawie wyników przeprowadzonego w 2023 r. badania modułowego. Prezentowane dane stanowią uśrednione wyniki za cały 2023 r.</w:t>
      </w:r>
      <w:r w:rsidR="00825B03" w:rsidRPr="00A70D1B">
        <w:t xml:space="preserve"> </w:t>
      </w:r>
      <w:r w:rsidR="00825B03" w:rsidRPr="00A70D1B">
        <w:rPr>
          <w:lang w:eastAsia="pl-PL"/>
        </w:rPr>
        <w:t>Pytania badania modułowego były częścią kwestionariusza indywidualnego ZD.</w:t>
      </w:r>
    </w:p>
    <w:p w14:paraId="09FB90AC" w14:textId="2351A984" w:rsidR="0043274B" w:rsidRPr="00A70D1B" w:rsidRDefault="0043274B" w:rsidP="00F459A8">
      <w:pPr>
        <w:spacing w:line="288" w:lineRule="auto"/>
        <w:rPr>
          <w:lang w:eastAsia="pl-PL"/>
        </w:rPr>
      </w:pPr>
      <w:r w:rsidRPr="00A70D1B">
        <w:rPr>
          <w:lang w:eastAsia="pl-PL"/>
        </w:rPr>
        <w:t xml:space="preserve">Badanie Aktywności Ekonomicznej Ludności (ang. </w:t>
      </w:r>
      <w:proofErr w:type="spellStart"/>
      <w:r w:rsidRPr="00A70D1B">
        <w:rPr>
          <w:lang w:eastAsia="pl-PL"/>
        </w:rPr>
        <w:t>Labour</w:t>
      </w:r>
      <w:proofErr w:type="spellEnd"/>
      <w:r w:rsidRPr="00A70D1B">
        <w:rPr>
          <w:lang w:eastAsia="pl-PL"/>
        </w:rPr>
        <w:t xml:space="preserve"> Force </w:t>
      </w:r>
      <w:proofErr w:type="spellStart"/>
      <w:r w:rsidRPr="00A70D1B">
        <w:rPr>
          <w:lang w:eastAsia="pl-PL"/>
        </w:rPr>
        <w:t>Survey</w:t>
      </w:r>
      <w:proofErr w:type="spellEnd"/>
      <w:r w:rsidRPr="00A70D1B">
        <w:rPr>
          <w:lang w:eastAsia="pl-PL"/>
        </w:rPr>
        <w:t xml:space="preserve"> – LFS) prowadzone jest w Polsce kwartalnie od maja 1992 r. i doskonalone zgodnie z zaleceniami Międzynaro</w:t>
      </w:r>
      <w:r w:rsidRPr="00A70D1B">
        <w:rPr>
          <w:lang w:eastAsia="pl-PL"/>
        </w:rPr>
        <w:softHyphen/>
        <w:t>dowej Organizacji Pracy i Eurostatu.</w:t>
      </w:r>
    </w:p>
    <w:p w14:paraId="3904D73E" w14:textId="0D20C490" w:rsidR="009C5691" w:rsidRPr="00A70D1B" w:rsidRDefault="009C5691" w:rsidP="00F459A8">
      <w:pPr>
        <w:spacing w:line="288" w:lineRule="auto"/>
        <w:rPr>
          <w:lang w:eastAsia="pl-PL"/>
        </w:rPr>
      </w:pPr>
      <w:r w:rsidRPr="00A70D1B">
        <w:rPr>
          <w:lang w:eastAsia="pl-PL"/>
        </w:rPr>
        <w:t xml:space="preserve">Podstawą metodologii BAEL od 1 kwartału 2021 r. są definicje pracujących, bezrobotnych oraz biernych zawodowo zgodne z Rezolucją dotyczącą statystyki pracy, zatrudnienia i niepełnego wykorzystania siły roboczej, wypracowaną w 2013 r. podczas 19 Międzynarodowej Konferencji Statystyków Pracy w Genewie (ICLS) i zarekomendowane przez Międzynarodową Organizację Pracy (MOP/ILO) do stosowania we wszystkich krajach. </w:t>
      </w:r>
      <w:r w:rsidRPr="00A70D1B">
        <w:rPr>
          <w:b/>
          <w:lang w:eastAsia="pl-PL"/>
        </w:rPr>
        <w:t>Przedmiotem badania jest sytuacja w</w:t>
      </w:r>
      <w:r w:rsidR="00425977" w:rsidRPr="00A70D1B">
        <w:rPr>
          <w:b/>
          <w:lang w:eastAsia="pl-PL"/>
        </w:rPr>
        <w:t> </w:t>
      </w:r>
      <w:r w:rsidRPr="00A70D1B">
        <w:rPr>
          <w:b/>
          <w:lang w:eastAsia="pl-PL"/>
        </w:rPr>
        <w:t>zakresie aktywności ekonomicznej ludności, tzn. fakt wykonywania pracy, pozostawania bezrobotnym lub biernym zawodowo w badanym tygodniu.</w:t>
      </w:r>
      <w:r w:rsidRPr="00A70D1B">
        <w:t xml:space="preserve"> </w:t>
      </w:r>
      <w:r w:rsidRPr="00A70D1B">
        <w:rPr>
          <w:lang w:eastAsia="pl-PL"/>
        </w:rPr>
        <w:t xml:space="preserve">W Unii Europejskiej wdrożenie zapisów ww. rezolucji nastąpiło poprzez ustanowienie nowych aktów prawnych. </w:t>
      </w:r>
      <w:r w:rsidRPr="00A70D1B">
        <w:rPr>
          <w:b/>
          <w:lang w:eastAsia="pl-PL"/>
        </w:rPr>
        <w:t xml:space="preserve">Od 2021 r. EU-LFS jest jednym z kluczowych badań objętych rozporządzeniem ramowym dla statystyki </w:t>
      </w:r>
      <w:r w:rsidRPr="00A70D1B">
        <w:rPr>
          <w:b/>
          <w:lang w:eastAsia="pl-PL"/>
        </w:rPr>
        <w:lastRenderedPageBreak/>
        <w:t>społecznej (tzw. IESS FR</w:t>
      </w:r>
      <w:r w:rsidR="00D460B0" w:rsidRPr="00A70D1B">
        <w:rPr>
          <w:rStyle w:val="Odwoanieprzypisudolnego"/>
          <w:b/>
          <w:lang w:eastAsia="pl-PL"/>
        </w:rPr>
        <w:footnoteReference w:id="12"/>
      </w:r>
      <w:r w:rsidRPr="00A70D1B">
        <w:rPr>
          <w:b/>
          <w:lang w:eastAsia="pl-PL"/>
        </w:rPr>
        <w:t>).</w:t>
      </w:r>
      <w:r w:rsidRPr="00A70D1B">
        <w:rPr>
          <w:lang w:eastAsia="pl-PL"/>
        </w:rPr>
        <w:t xml:space="preserve"> Towarzyszące IESS FR akty implementacyjne w dziedzinie zasobów pracy precyzują zakres badania zasadniczego i badań modułowych, określają organizację badania oraz szczegółowo definiują poszczególne populacje wyodrębniane ze względu na status osób na rynku pracy.</w:t>
      </w:r>
    </w:p>
    <w:p w14:paraId="03EC4F8F" w14:textId="77777777" w:rsidR="00DA331D" w:rsidRPr="00A70D1B" w:rsidRDefault="008862E5" w:rsidP="00F459A8">
      <w:pPr>
        <w:spacing w:after="0" w:line="288" w:lineRule="auto"/>
        <w:rPr>
          <w:lang w:eastAsia="pl-PL"/>
        </w:rPr>
      </w:pPr>
      <w:bookmarkStart w:id="13" w:name="_Hlk135746361"/>
      <w:r w:rsidRPr="00A70D1B">
        <w:rPr>
          <w:lang w:eastAsia="pl-PL"/>
        </w:rPr>
        <w:t xml:space="preserve">Szczegółowe wyniki badania, jak również aktualna metodologia – obowiązująca od </w:t>
      </w:r>
      <w:r w:rsidR="00950DD6" w:rsidRPr="00A70D1B">
        <w:rPr>
          <w:lang w:eastAsia="pl-PL"/>
        </w:rPr>
        <w:t>1</w:t>
      </w:r>
      <w:r w:rsidRPr="00A70D1B">
        <w:rPr>
          <w:lang w:eastAsia="pl-PL"/>
        </w:rPr>
        <w:t xml:space="preserve"> kw</w:t>
      </w:r>
      <w:r w:rsidR="00950DD6" w:rsidRPr="00A70D1B">
        <w:rPr>
          <w:lang w:eastAsia="pl-PL"/>
        </w:rPr>
        <w:t xml:space="preserve">artału </w:t>
      </w:r>
      <w:r w:rsidRPr="00A70D1B">
        <w:rPr>
          <w:lang w:eastAsia="pl-PL"/>
        </w:rPr>
        <w:t>2021</w:t>
      </w:r>
      <w:r w:rsidR="00DE6E82" w:rsidRPr="00A70D1B">
        <w:rPr>
          <w:lang w:eastAsia="pl-PL"/>
        </w:rPr>
        <w:t> </w:t>
      </w:r>
      <w:r w:rsidRPr="00A70D1B">
        <w:rPr>
          <w:lang w:eastAsia="pl-PL"/>
        </w:rPr>
        <w:t>r., znajdują się w kwartalnej publikacji „Aktywność ekonomiczna ludności Polski”</w:t>
      </w:r>
      <w:r w:rsidR="008E661D" w:rsidRPr="00A70D1B">
        <w:rPr>
          <w:lang w:eastAsia="pl-PL"/>
        </w:rPr>
        <w:t xml:space="preserve"> oraz w</w:t>
      </w:r>
      <w:r w:rsidR="008A06EF" w:rsidRPr="00A70D1B">
        <w:rPr>
          <w:lang w:eastAsia="pl-PL"/>
        </w:rPr>
        <w:t> </w:t>
      </w:r>
      <w:r w:rsidR="008E661D" w:rsidRPr="00A70D1B">
        <w:rPr>
          <w:lang w:eastAsia="pl-PL"/>
        </w:rPr>
        <w:t>Zeszycie metodologicznym</w:t>
      </w:r>
      <w:r w:rsidRPr="00A70D1B">
        <w:rPr>
          <w:lang w:eastAsia="pl-PL"/>
        </w:rPr>
        <w:t xml:space="preserve"> </w:t>
      </w:r>
      <w:r w:rsidR="00C911D2" w:rsidRPr="00A70D1B">
        <w:rPr>
          <w:lang w:eastAsia="pl-PL"/>
        </w:rPr>
        <w:t xml:space="preserve">BAEL, ww. opracowania </w:t>
      </w:r>
      <w:r w:rsidRPr="00A70D1B">
        <w:rPr>
          <w:lang w:eastAsia="pl-PL"/>
        </w:rPr>
        <w:t>dostępn</w:t>
      </w:r>
      <w:r w:rsidR="00C911D2" w:rsidRPr="00A70D1B">
        <w:rPr>
          <w:lang w:eastAsia="pl-PL"/>
        </w:rPr>
        <w:t>e</w:t>
      </w:r>
      <w:r w:rsidRPr="00A70D1B">
        <w:rPr>
          <w:lang w:eastAsia="pl-PL"/>
        </w:rPr>
        <w:t xml:space="preserve"> </w:t>
      </w:r>
      <w:r w:rsidR="00C911D2" w:rsidRPr="00A70D1B">
        <w:rPr>
          <w:lang w:eastAsia="pl-PL"/>
        </w:rPr>
        <w:t xml:space="preserve">są </w:t>
      </w:r>
      <w:r w:rsidRPr="00A70D1B">
        <w:rPr>
          <w:lang w:eastAsia="pl-PL"/>
        </w:rPr>
        <w:t xml:space="preserve">na stronie </w:t>
      </w:r>
      <w:r w:rsidR="003A6D52" w:rsidRPr="00A70D1B">
        <w:rPr>
          <w:lang w:eastAsia="pl-PL"/>
        </w:rPr>
        <w:t xml:space="preserve">internetowej </w:t>
      </w:r>
      <w:r w:rsidRPr="00A70D1B">
        <w:rPr>
          <w:lang w:eastAsia="pl-PL"/>
        </w:rPr>
        <w:t>GUS</w:t>
      </w:r>
      <w:bookmarkEnd w:id="13"/>
      <w:r w:rsidR="00C911D2" w:rsidRPr="00A70D1B">
        <w:rPr>
          <w:lang w:eastAsia="pl-PL"/>
        </w:rPr>
        <w:t>:</w:t>
      </w:r>
      <w:r w:rsidRPr="00A70D1B">
        <w:rPr>
          <w:lang w:eastAsia="pl-PL"/>
        </w:rPr>
        <w:t xml:space="preserve"> </w:t>
      </w:r>
    </w:p>
    <w:p w14:paraId="1BB4DD1F" w14:textId="1958AD67" w:rsidR="008E661D" w:rsidRPr="00A70D1B" w:rsidRDefault="00AC24C2" w:rsidP="00F459A8">
      <w:pPr>
        <w:spacing w:before="0" w:after="0" w:line="288" w:lineRule="auto"/>
      </w:pPr>
      <w:hyperlink r:id="rId24" w:history="1">
        <w:r w:rsidR="007E4219" w:rsidRPr="00A70D1B">
          <w:rPr>
            <w:rStyle w:val="Hipercze"/>
            <w:rFonts w:cstheme="minorBidi"/>
          </w:rPr>
          <w:t>https://stat.gov.pl/obszary-tematyczne/rynek-pracy/pracujacy-bezrobotni-bierni-zawodowo-wg-bael/aktywnosc-ekonomiczna-ludnosci-polski-1-kwartal-2024-roku,4,54.html</w:t>
        </w:r>
      </w:hyperlink>
      <w:r w:rsidR="007E4219" w:rsidRPr="00A70D1B">
        <w:t xml:space="preserve"> </w:t>
      </w:r>
    </w:p>
    <w:p w14:paraId="76DFA563" w14:textId="1E7E77BE" w:rsidR="00BF6E67" w:rsidRPr="00A70D1B" w:rsidRDefault="00AC24C2" w:rsidP="00294F1F">
      <w:pPr>
        <w:spacing w:after="0" w:line="288" w:lineRule="auto"/>
        <w:rPr>
          <w:szCs w:val="19"/>
        </w:rPr>
      </w:pPr>
      <w:hyperlink r:id="rId25" w:history="1">
        <w:r w:rsidR="008E661D" w:rsidRPr="00A70D1B">
          <w:rPr>
            <w:rStyle w:val="Hipercze"/>
            <w:rFonts w:cstheme="minorBidi"/>
            <w:szCs w:val="19"/>
          </w:rPr>
          <w:t>https://stat.gov.pl/obszary-tematyczne/rynek-pracy/zasady-metodyczne-rocznik-pracy/zeszyt-metodologiczny-badanie-aktywnosci-ekonomicznej-ludnosci,3,2.html</w:t>
        </w:r>
      </w:hyperlink>
      <w:r w:rsidR="008E661D" w:rsidRPr="00A70D1B">
        <w:rPr>
          <w:szCs w:val="19"/>
        </w:rPr>
        <w:t xml:space="preserve"> </w:t>
      </w:r>
    </w:p>
    <w:p w14:paraId="598EE512" w14:textId="0B25587D" w:rsidR="00BF6E67" w:rsidRPr="00A70D1B" w:rsidRDefault="00BF6E67" w:rsidP="00F459A8">
      <w:pPr>
        <w:spacing w:before="240" w:line="288" w:lineRule="auto"/>
        <w:rPr>
          <w:szCs w:val="19"/>
        </w:rPr>
      </w:pPr>
      <w:r w:rsidRPr="00A70D1B">
        <w:rPr>
          <w:szCs w:val="19"/>
        </w:rPr>
        <w:t xml:space="preserve">Badanie modułowe </w:t>
      </w:r>
      <w:r w:rsidRPr="00A70D1B">
        <w:rPr>
          <w:b/>
          <w:szCs w:val="19"/>
        </w:rPr>
        <w:t>„Przejście z pracy na emeryturę”</w:t>
      </w:r>
      <w:r w:rsidRPr="00A70D1B">
        <w:rPr>
          <w:szCs w:val="19"/>
        </w:rPr>
        <w:t xml:space="preserve"> jest jednym z sześciu regularnych, europejskich badań modułowych LFS, które począwszy od 2021 r. są realizowane dokładnie co 8 lat każdy</w:t>
      </w:r>
      <w:r w:rsidRPr="00A70D1B">
        <w:rPr>
          <w:rStyle w:val="Odwoanieprzypisudolnego"/>
          <w:szCs w:val="19"/>
        </w:rPr>
        <w:footnoteReference w:id="13"/>
      </w:r>
      <w:r w:rsidRPr="00A70D1B">
        <w:rPr>
          <w:szCs w:val="19"/>
        </w:rPr>
        <w:t xml:space="preserve">. Było ono </w:t>
      </w:r>
      <w:r w:rsidR="00EB6D9A" w:rsidRPr="00A70D1B">
        <w:rPr>
          <w:szCs w:val="19"/>
        </w:rPr>
        <w:t>przeprowadzone</w:t>
      </w:r>
      <w:r w:rsidRPr="00A70D1B">
        <w:rPr>
          <w:szCs w:val="19"/>
        </w:rPr>
        <w:t xml:space="preserve"> na części próby BAEL przez wszystkie kwartały 2023 r.</w:t>
      </w:r>
      <w:r w:rsidR="00EB6D9A" w:rsidRPr="00A70D1B">
        <w:rPr>
          <w:szCs w:val="19"/>
        </w:rPr>
        <w:t xml:space="preserve"> i dotyczyło osób </w:t>
      </w:r>
      <w:r w:rsidRPr="00A70D1B">
        <w:rPr>
          <w:szCs w:val="19"/>
        </w:rPr>
        <w:t>w wieku 50-74 lata. Badaniem objęto następujące zagadnienia:</w:t>
      </w:r>
    </w:p>
    <w:p w14:paraId="59F6D3C8" w14:textId="77777777" w:rsidR="00BF6E67" w:rsidRPr="00A70D1B" w:rsidRDefault="00BF6E67" w:rsidP="00F459A8">
      <w:pPr>
        <w:pStyle w:val="Akapitzlist"/>
        <w:numPr>
          <w:ilvl w:val="0"/>
          <w:numId w:val="12"/>
        </w:numPr>
        <w:spacing w:after="0" w:line="288" w:lineRule="auto"/>
        <w:ind w:left="425" w:hanging="357"/>
        <w:contextualSpacing w:val="0"/>
        <w:rPr>
          <w:szCs w:val="19"/>
        </w:rPr>
      </w:pPr>
      <w:r w:rsidRPr="00A70D1B">
        <w:rPr>
          <w:szCs w:val="19"/>
        </w:rPr>
        <w:t xml:space="preserve">pobieranie emerytury ustawowej w powiązaniu z aktywnością ekonomiczną osób po rozpoczęciu otrzymywania emerytury oraz w okresie ją poprzedzającym, </w:t>
      </w:r>
    </w:p>
    <w:p w14:paraId="6D277D3D" w14:textId="77777777" w:rsidR="00BF6E67" w:rsidRPr="00A70D1B" w:rsidRDefault="00BF6E67" w:rsidP="00F459A8">
      <w:pPr>
        <w:pStyle w:val="Akapitzlist"/>
        <w:numPr>
          <w:ilvl w:val="0"/>
          <w:numId w:val="12"/>
        </w:numPr>
        <w:spacing w:before="0" w:after="0" w:line="288" w:lineRule="auto"/>
        <w:ind w:left="425" w:hanging="357"/>
        <w:contextualSpacing w:val="0"/>
        <w:rPr>
          <w:szCs w:val="19"/>
        </w:rPr>
      </w:pPr>
      <w:r w:rsidRPr="00A70D1B">
        <w:rPr>
          <w:szCs w:val="19"/>
        </w:rPr>
        <w:t xml:space="preserve">główne powody zaprzestania lub kontynuacji pracy na początku otrzymywania emerytury oraz ewentualny powrót na rynek pracy w późniejszym terminie i główne powody tego powrotu, </w:t>
      </w:r>
    </w:p>
    <w:p w14:paraId="1EFC8858" w14:textId="77777777" w:rsidR="00BF6E67" w:rsidRPr="00A70D1B" w:rsidRDefault="00BF6E67" w:rsidP="00F459A8">
      <w:pPr>
        <w:pStyle w:val="Akapitzlist"/>
        <w:numPr>
          <w:ilvl w:val="0"/>
          <w:numId w:val="12"/>
        </w:numPr>
        <w:spacing w:before="0" w:after="0" w:line="288" w:lineRule="auto"/>
        <w:ind w:left="425" w:hanging="357"/>
        <w:contextualSpacing w:val="0"/>
        <w:rPr>
          <w:szCs w:val="19"/>
        </w:rPr>
      </w:pPr>
      <w:r w:rsidRPr="00A70D1B">
        <w:rPr>
          <w:szCs w:val="19"/>
        </w:rPr>
        <w:t xml:space="preserve">skalę korzystania z wypłat </w:t>
      </w:r>
      <w:r w:rsidRPr="00A70D1B">
        <w:rPr>
          <w:rFonts w:eastAsia="Times New Roman" w:cs="Calibri"/>
          <w:color w:val="000000"/>
          <w:szCs w:val="19"/>
          <w:lang w:eastAsia="pl-PL"/>
        </w:rPr>
        <w:t>w ramach pracowniczych programów emerytalnych (PPE) lub pracowniczych planów kapitałowych (PPK) oraz wypłat z posiadanych indywidualnych planów emerytalnych, np. z Indywidualnego Konta Emerytalnego (IKE) lub Indywidualnego Konta Zabezpieczenia Emerytalnego (IKZE),</w:t>
      </w:r>
    </w:p>
    <w:p w14:paraId="5907631F" w14:textId="77777777" w:rsidR="00BF6E67" w:rsidRPr="00A70D1B" w:rsidRDefault="00BF6E67" w:rsidP="00F459A8">
      <w:pPr>
        <w:pStyle w:val="Akapitzlist"/>
        <w:numPr>
          <w:ilvl w:val="0"/>
          <w:numId w:val="12"/>
        </w:numPr>
        <w:spacing w:before="0" w:line="288" w:lineRule="auto"/>
        <w:ind w:left="425" w:hanging="357"/>
        <w:contextualSpacing w:val="0"/>
        <w:rPr>
          <w:szCs w:val="19"/>
        </w:rPr>
      </w:pPr>
      <w:r w:rsidRPr="00A70D1B">
        <w:rPr>
          <w:szCs w:val="19"/>
        </w:rPr>
        <w:t>pobieranie renty inwalidzkiej lub innych świadczeń społecznych z tytułu niezdolności do pracy.</w:t>
      </w:r>
    </w:p>
    <w:p w14:paraId="0B727D39" w14:textId="77777777" w:rsidR="00BF6E67" w:rsidRPr="00A70D1B" w:rsidRDefault="00BF6E67" w:rsidP="00F459A8">
      <w:pPr>
        <w:spacing w:line="288" w:lineRule="auto"/>
        <w:rPr>
          <w:rFonts w:eastAsia="Times New Roman" w:cs="Calibri"/>
          <w:color w:val="000000"/>
          <w:szCs w:val="19"/>
          <w:lang w:eastAsia="pl-PL"/>
        </w:rPr>
      </w:pPr>
      <w:r w:rsidRPr="00A70D1B">
        <w:rPr>
          <w:rFonts w:eastAsia="Times New Roman" w:cs="Calibri"/>
          <w:b/>
          <w:color w:val="000000"/>
          <w:szCs w:val="19"/>
          <w:lang w:eastAsia="pl-PL"/>
        </w:rPr>
        <w:t>Emerytura w ramach ustawowego systemu emerytalnego</w:t>
      </w:r>
      <w:r w:rsidRPr="00A70D1B">
        <w:rPr>
          <w:rFonts w:eastAsia="Times New Roman" w:cs="Calibri"/>
          <w:color w:val="000000"/>
          <w:szCs w:val="19"/>
          <w:lang w:eastAsia="pl-PL"/>
        </w:rPr>
        <w:t xml:space="preserve"> może być wypłacana przez różne instytucje:</w:t>
      </w:r>
    </w:p>
    <w:p w14:paraId="423AA8D5" w14:textId="77777777" w:rsidR="00BF6E67" w:rsidRPr="00A70D1B" w:rsidRDefault="00BF6E67" w:rsidP="00F459A8">
      <w:pPr>
        <w:pStyle w:val="Akapitzlist"/>
        <w:numPr>
          <w:ilvl w:val="0"/>
          <w:numId w:val="11"/>
        </w:numPr>
        <w:spacing w:after="0" w:line="288" w:lineRule="auto"/>
        <w:ind w:left="425" w:hanging="357"/>
        <w:contextualSpacing w:val="0"/>
        <w:rPr>
          <w:rFonts w:eastAsia="Times New Roman" w:cs="Calibri"/>
          <w:color w:val="000000"/>
          <w:szCs w:val="19"/>
          <w:lang w:eastAsia="pl-PL"/>
        </w:rPr>
      </w:pPr>
      <w:r w:rsidRPr="00A70D1B">
        <w:rPr>
          <w:rFonts w:eastAsia="Times New Roman" w:cs="Calibri"/>
          <w:color w:val="000000"/>
          <w:szCs w:val="19"/>
          <w:lang w:eastAsia="pl-PL"/>
        </w:rPr>
        <w:t>Zakład Ubezpieczeń Społecznych (ZUS)</w:t>
      </w:r>
    </w:p>
    <w:p w14:paraId="5F6BC4E6" w14:textId="77777777" w:rsidR="00BF6E67" w:rsidRPr="00A70D1B" w:rsidRDefault="00BF6E67" w:rsidP="00F459A8">
      <w:pPr>
        <w:pStyle w:val="Akapitzlist"/>
        <w:numPr>
          <w:ilvl w:val="0"/>
          <w:numId w:val="11"/>
        </w:numPr>
        <w:spacing w:before="0" w:after="0" w:line="288" w:lineRule="auto"/>
        <w:ind w:left="425" w:hanging="357"/>
        <w:contextualSpacing w:val="0"/>
        <w:rPr>
          <w:rFonts w:eastAsia="Times New Roman" w:cs="Calibri"/>
          <w:color w:val="000000"/>
          <w:szCs w:val="19"/>
          <w:lang w:eastAsia="pl-PL"/>
        </w:rPr>
      </w:pPr>
      <w:r w:rsidRPr="00A70D1B">
        <w:rPr>
          <w:rFonts w:eastAsia="Times New Roman" w:cs="Calibri"/>
          <w:color w:val="000000"/>
          <w:szCs w:val="19"/>
          <w:lang w:eastAsia="pl-PL"/>
        </w:rPr>
        <w:t>Kasy Rolniczego Ubezpieczenia Społecznego (KRUS)</w:t>
      </w:r>
    </w:p>
    <w:p w14:paraId="446D9D5F" w14:textId="77777777" w:rsidR="00BF6E67" w:rsidRPr="00A70D1B" w:rsidRDefault="00BF6E67" w:rsidP="00F459A8">
      <w:pPr>
        <w:pStyle w:val="Akapitzlist"/>
        <w:numPr>
          <w:ilvl w:val="0"/>
          <w:numId w:val="11"/>
        </w:numPr>
        <w:spacing w:before="0" w:after="0" w:line="288" w:lineRule="auto"/>
        <w:ind w:left="425" w:hanging="357"/>
        <w:contextualSpacing w:val="0"/>
        <w:rPr>
          <w:rFonts w:eastAsia="Times New Roman" w:cs="Calibri"/>
          <w:color w:val="000000"/>
          <w:szCs w:val="19"/>
          <w:lang w:eastAsia="pl-PL"/>
        </w:rPr>
      </w:pPr>
      <w:r w:rsidRPr="00A70D1B">
        <w:rPr>
          <w:rFonts w:eastAsia="Times New Roman" w:cs="Calibri"/>
          <w:color w:val="000000"/>
          <w:szCs w:val="19"/>
          <w:lang w:eastAsia="pl-PL"/>
        </w:rPr>
        <w:t>Zakład Emerytalno-Rentowy MSWiA</w:t>
      </w:r>
    </w:p>
    <w:p w14:paraId="3C3B1BFB" w14:textId="77777777" w:rsidR="00BF6E67" w:rsidRPr="00A70D1B" w:rsidRDefault="00BF6E67" w:rsidP="00F459A8">
      <w:pPr>
        <w:pStyle w:val="Akapitzlist"/>
        <w:numPr>
          <w:ilvl w:val="0"/>
          <w:numId w:val="11"/>
        </w:numPr>
        <w:spacing w:before="0" w:after="0" w:line="288" w:lineRule="auto"/>
        <w:ind w:left="425" w:hanging="357"/>
        <w:contextualSpacing w:val="0"/>
        <w:rPr>
          <w:rFonts w:eastAsia="Times New Roman" w:cs="Calibri"/>
          <w:color w:val="000000"/>
          <w:szCs w:val="19"/>
          <w:lang w:eastAsia="pl-PL"/>
        </w:rPr>
      </w:pPr>
      <w:r w:rsidRPr="00A70D1B">
        <w:rPr>
          <w:rFonts w:eastAsia="Times New Roman" w:cs="Calibri"/>
          <w:color w:val="000000"/>
          <w:szCs w:val="19"/>
          <w:lang w:eastAsia="pl-PL"/>
        </w:rPr>
        <w:t>Wojskowe Biura Emerytalne</w:t>
      </w:r>
    </w:p>
    <w:p w14:paraId="42AD3730" w14:textId="77777777" w:rsidR="00BF6E67" w:rsidRPr="00A70D1B" w:rsidRDefault="00BF6E67" w:rsidP="00F459A8">
      <w:pPr>
        <w:pStyle w:val="Akapitzlist"/>
        <w:numPr>
          <w:ilvl w:val="0"/>
          <w:numId w:val="11"/>
        </w:numPr>
        <w:spacing w:before="0" w:after="0" w:line="288" w:lineRule="auto"/>
        <w:ind w:left="425" w:hanging="357"/>
        <w:contextualSpacing w:val="0"/>
        <w:rPr>
          <w:rFonts w:eastAsia="Times New Roman" w:cs="Calibri"/>
          <w:color w:val="000000"/>
          <w:szCs w:val="19"/>
          <w:lang w:eastAsia="pl-PL"/>
        </w:rPr>
      </w:pPr>
      <w:r w:rsidRPr="00A70D1B">
        <w:rPr>
          <w:rFonts w:eastAsia="Times New Roman" w:cs="Calibri"/>
          <w:color w:val="000000"/>
          <w:szCs w:val="19"/>
          <w:lang w:eastAsia="pl-PL"/>
        </w:rPr>
        <w:t>sądy, prokuratury, Ministerstwo Sprawiedliwości</w:t>
      </w:r>
    </w:p>
    <w:p w14:paraId="0A2AFF76" w14:textId="04220FC2" w:rsidR="00BF6E67" w:rsidRPr="00A70D1B" w:rsidRDefault="00BF6E67" w:rsidP="00F459A8">
      <w:pPr>
        <w:pStyle w:val="Akapitzlist"/>
        <w:numPr>
          <w:ilvl w:val="0"/>
          <w:numId w:val="11"/>
        </w:numPr>
        <w:spacing w:before="0" w:line="288" w:lineRule="auto"/>
        <w:ind w:left="425" w:hanging="357"/>
        <w:contextualSpacing w:val="0"/>
        <w:rPr>
          <w:rFonts w:eastAsia="Times New Roman" w:cs="Calibri"/>
          <w:color w:val="000000"/>
          <w:szCs w:val="19"/>
          <w:lang w:eastAsia="pl-PL"/>
        </w:rPr>
      </w:pPr>
      <w:r w:rsidRPr="00A70D1B">
        <w:rPr>
          <w:rFonts w:eastAsia="Times New Roman" w:cs="Calibri"/>
          <w:color w:val="000000"/>
          <w:szCs w:val="19"/>
          <w:lang w:eastAsia="pl-PL"/>
        </w:rPr>
        <w:t>Biur</w:t>
      </w:r>
      <w:r w:rsidR="00880227" w:rsidRPr="00A70D1B">
        <w:rPr>
          <w:rFonts w:eastAsia="Times New Roman" w:cs="Calibri"/>
          <w:color w:val="000000"/>
          <w:szCs w:val="19"/>
          <w:lang w:eastAsia="pl-PL"/>
        </w:rPr>
        <w:t>o</w:t>
      </w:r>
      <w:r w:rsidRPr="00A70D1B">
        <w:rPr>
          <w:rFonts w:eastAsia="Times New Roman" w:cs="Calibri"/>
          <w:color w:val="000000"/>
          <w:szCs w:val="19"/>
          <w:lang w:eastAsia="pl-PL"/>
        </w:rPr>
        <w:t xml:space="preserve"> Emerytalne Służby Więziennej</w:t>
      </w:r>
    </w:p>
    <w:p w14:paraId="2E970F3C" w14:textId="73A5627A" w:rsidR="00BF6E67" w:rsidRPr="00A70D1B" w:rsidRDefault="00BF6E67" w:rsidP="00F459A8">
      <w:pPr>
        <w:spacing w:line="288" w:lineRule="auto"/>
        <w:rPr>
          <w:rFonts w:eastAsia="Times New Roman" w:cs="Calibri"/>
          <w:color w:val="000000"/>
          <w:szCs w:val="19"/>
          <w:lang w:eastAsia="pl-PL"/>
        </w:rPr>
      </w:pPr>
      <w:r w:rsidRPr="00A70D1B">
        <w:rPr>
          <w:rFonts w:eastAsia="Times New Roman" w:cs="Calibri"/>
          <w:b/>
          <w:color w:val="000000"/>
          <w:szCs w:val="19"/>
          <w:lang w:eastAsia="pl-PL"/>
        </w:rPr>
        <w:t>Pracownicze programy emerytalne (PPE)</w:t>
      </w:r>
      <w:r w:rsidRPr="00A70D1B">
        <w:rPr>
          <w:rFonts w:eastAsia="Times New Roman" w:cs="Calibri"/>
          <w:color w:val="000000"/>
          <w:szCs w:val="19"/>
          <w:lang w:eastAsia="pl-PL"/>
        </w:rPr>
        <w:t xml:space="preserve"> są formą zorganizowanego, grupowego i systematycznego oszczędzania pieniędzy na okres emerytalny. W Polsce programy funkcjonują od 1999 r. i są jednym z elementów III filaru systemu emerytalnego. Są to programy emerytalne tworzone </w:t>
      </w:r>
      <w:r w:rsidRPr="00A70D1B">
        <w:rPr>
          <w:rFonts w:eastAsia="Times New Roman" w:cs="Calibri"/>
          <w:b/>
          <w:color w:val="000000"/>
          <w:szCs w:val="19"/>
          <w:lang w:eastAsia="pl-PL"/>
        </w:rPr>
        <w:t>przez pracodawców dla</w:t>
      </w:r>
      <w:r w:rsidRPr="00A70D1B">
        <w:rPr>
          <w:rFonts w:eastAsia="Times New Roman" w:cs="Calibri"/>
          <w:color w:val="000000"/>
          <w:szCs w:val="19"/>
          <w:lang w:eastAsia="pl-PL"/>
        </w:rPr>
        <w:t xml:space="preserve"> zatrudnianych przez nich </w:t>
      </w:r>
      <w:r w:rsidRPr="00A70D1B">
        <w:rPr>
          <w:rFonts w:eastAsia="Times New Roman" w:cs="Calibri"/>
          <w:b/>
          <w:color w:val="000000"/>
          <w:szCs w:val="19"/>
          <w:lang w:eastAsia="pl-PL"/>
        </w:rPr>
        <w:t>pracowników</w:t>
      </w:r>
      <w:r w:rsidRPr="00A70D1B">
        <w:rPr>
          <w:rFonts w:eastAsia="Times New Roman" w:cs="Calibri"/>
          <w:color w:val="000000"/>
          <w:szCs w:val="19"/>
          <w:lang w:eastAsia="pl-PL"/>
        </w:rPr>
        <w:t xml:space="preserve">. Uczestnikiem programu mogą zostać osoby zatrudnione w pełnym lub niepełnym wymiarze czasu pracy, na podstawie umowy o pracę, powołania, wyboru, mianowania lub spółdzielczej umowy o pracę. W ramach PPE odprowadzane są dwa rodzaje składek: podstawowa i dodatkowa. Pierwsza jest finansowana przez pracodawcę. Pracodawca, który przystąpił do PPE musi płacić tę składkę. Taki obowiązek nie spoczywa natomiast na pracowniku, który jeśli chce, może uiszczać składkę dodatkową z własnej </w:t>
      </w:r>
      <w:r w:rsidRPr="00A70D1B">
        <w:rPr>
          <w:rFonts w:eastAsia="Times New Roman" w:cs="Calibri"/>
          <w:color w:val="000000"/>
          <w:szCs w:val="19"/>
          <w:lang w:eastAsia="pl-PL"/>
        </w:rPr>
        <w:lastRenderedPageBreak/>
        <w:t>pensji. Wypłata może nastąpić na wniosek uczestnika po osiągnięciu przez niego 60 lat lub 55 lat, jeżeli ma już przyznaną emeryturę.</w:t>
      </w:r>
    </w:p>
    <w:p w14:paraId="74304191" w14:textId="77777777" w:rsidR="00BF6E67" w:rsidRPr="00A70D1B" w:rsidRDefault="00BF6E67" w:rsidP="00F459A8">
      <w:pPr>
        <w:spacing w:line="288" w:lineRule="auto"/>
        <w:rPr>
          <w:rFonts w:eastAsia="Times New Roman" w:cs="Calibri"/>
          <w:color w:val="000000"/>
          <w:szCs w:val="19"/>
          <w:lang w:eastAsia="pl-PL"/>
        </w:rPr>
      </w:pPr>
      <w:r w:rsidRPr="00A70D1B">
        <w:rPr>
          <w:rFonts w:eastAsia="Times New Roman" w:cs="Calibri"/>
          <w:b/>
          <w:color w:val="000000"/>
          <w:szCs w:val="19"/>
          <w:lang w:eastAsia="pl-PL"/>
        </w:rPr>
        <w:t>Pracownicze Plany Kapitałowe (PPK)</w:t>
      </w:r>
      <w:r w:rsidRPr="00A70D1B">
        <w:rPr>
          <w:rFonts w:eastAsia="Times New Roman" w:cs="Calibri"/>
          <w:color w:val="000000"/>
          <w:szCs w:val="19"/>
          <w:lang w:eastAsia="pl-PL"/>
        </w:rPr>
        <w:t xml:space="preserve"> to program prywatnego, długoterminowego oszczędzania, w którym oszczędności budowane są wspólnie przez pracowników, pracodawców i państwo.</w:t>
      </w:r>
    </w:p>
    <w:p w14:paraId="7A505088" w14:textId="77777777" w:rsidR="00BF6E67" w:rsidRPr="00A70D1B" w:rsidRDefault="00BF6E67" w:rsidP="00F459A8">
      <w:pPr>
        <w:spacing w:line="288" w:lineRule="auto"/>
        <w:rPr>
          <w:rFonts w:cs="Arial"/>
          <w:szCs w:val="19"/>
        </w:rPr>
      </w:pPr>
      <w:r w:rsidRPr="00A70D1B">
        <w:rPr>
          <w:rFonts w:cs="Arial"/>
          <w:b/>
          <w:szCs w:val="19"/>
        </w:rPr>
        <w:t>Indywidualne konto emerytalne (IKE)</w:t>
      </w:r>
      <w:r w:rsidRPr="00A70D1B">
        <w:rPr>
          <w:rFonts w:cs="Arial"/>
          <w:szCs w:val="19"/>
        </w:rPr>
        <w:t xml:space="preserve"> funkcjonuje od 20 kwietnia 2004 r. Jest ono elementem III filaru systemu emerytalnego. Jest to specjalne konto prowadzone dla oszczędzającego przez uprawnioną do tego instytucję. Na takie konto osoby fizyczne, które skończyły 16 lat, mogą wpłacać pieniądze, z zachowaniem zasad określonych w ustawie.</w:t>
      </w:r>
    </w:p>
    <w:p w14:paraId="762E7128" w14:textId="6CC087F5" w:rsidR="00BF6E67" w:rsidRPr="00A70D1B" w:rsidRDefault="00BF6E67" w:rsidP="00F459A8">
      <w:pPr>
        <w:spacing w:line="288" w:lineRule="auto"/>
        <w:rPr>
          <w:rFonts w:cs="Arial"/>
          <w:szCs w:val="19"/>
        </w:rPr>
      </w:pPr>
      <w:r w:rsidRPr="00A70D1B">
        <w:rPr>
          <w:rFonts w:cs="Arial"/>
          <w:b/>
          <w:szCs w:val="19"/>
        </w:rPr>
        <w:t>Indywidualne konto zabezpieczenia emerytalnego (IKZE)</w:t>
      </w:r>
      <w:r w:rsidRPr="00A70D1B">
        <w:rPr>
          <w:rFonts w:cs="Arial"/>
          <w:szCs w:val="19"/>
        </w:rPr>
        <w:t xml:space="preserve"> to dobrowolny produkt emerytalny. IKZE podobnie jak IKE może założyć osoba fizyczna, która ukończyła 16 lat. Wypłata środków zgromadzonych na IKZE następuje wyłącznie na wniosek oszczędzającego, po osiągnięciu przez niego wieku 65 lat oraz pod warunkiem dokonywania wpłat na IKZE co najmniej w 5 latach kalendarzowych. Środki zgromadzone przez oszczędzającego na IKZE mogą być, w zależności od wniosku oszczędzającego, wypłacone jednorazowo lub w ratach.</w:t>
      </w:r>
    </w:p>
    <w:p w14:paraId="6EB80031" w14:textId="1A7FBB52" w:rsidR="00BF6E67" w:rsidRPr="00A70D1B" w:rsidRDefault="00BF6E67" w:rsidP="00F459A8">
      <w:pPr>
        <w:spacing w:line="288" w:lineRule="auto"/>
        <w:rPr>
          <w:rFonts w:eastAsia="Times New Roman" w:cs="Calibri"/>
          <w:color w:val="000000"/>
          <w:szCs w:val="19"/>
          <w:lang w:eastAsia="pl-PL"/>
        </w:rPr>
      </w:pPr>
      <w:r w:rsidRPr="00A70D1B">
        <w:rPr>
          <w:rFonts w:eastAsia="Times New Roman" w:cs="Calibri"/>
          <w:b/>
          <w:color w:val="000000"/>
          <w:szCs w:val="19"/>
          <w:lang w:eastAsia="pl-PL"/>
        </w:rPr>
        <w:t>Emerytury pracownicze</w:t>
      </w:r>
      <w:r w:rsidRPr="00A70D1B">
        <w:rPr>
          <w:rFonts w:eastAsia="Times New Roman" w:cs="Calibri"/>
          <w:color w:val="000000"/>
          <w:szCs w:val="19"/>
          <w:lang w:eastAsia="pl-PL"/>
        </w:rPr>
        <w:t xml:space="preserve"> (z PPE i PPK)  </w:t>
      </w:r>
      <w:r w:rsidRPr="00A70D1B">
        <w:rPr>
          <w:rFonts w:eastAsia="Times New Roman" w:cs="Calibri"/>
          <w:b/>
          <w:color w:val="000000"/>
          <w:szCs w:val="19"/>
          <w:lang w:eastAsia="pl-PL"/>
        </w:rPr>
        <w:t>oraz e</w:t>
      </w:r>
      <w:r w:rsidRPr="00A70D1B">
        <w:rPr>
          <w:rFonts w:cs="Arial"/>
          <w:b/>
          <w:szCs w:val="19"/>
        </w:rPr>
        <w:t xml:space="preserve">merytury w ramach indywidualnego planu emerytalnego </w:t>
      </w:r>
      <w:r w:rsidRPr="00A70D1B">
        <w:rPr>
          <w:rFonts w:cs="Arial"/>
          <w:szCs w:val="19"/>
        </w:rPr>
        <w:t xml:space="preserve">(IKE, IKZE, ubezpieczenia na życie z funduszem kapitałowym) z formalnego punktu widzenia nie są świadczeniem emerytalnym, a jedynie wypłatą zgromadzonych na koncie danej osoby środków. </w:t>
      </w:r>
      <w:r w:rsidRPr="00A70D1B">
        <w:rPr>
          <w:rFonts w:eastAsia="Times New Roman" w:cs="Calibri"/>
          <w:color w:val="000000"/>
          <w:szCs w:val="19"/>
          <w:lang w:eastAsia="pl-PL"/>
        </w:rPr>
        <w:t xml:space="preserve">Wypłaty takich środków były traktowane w badaniu jako „emerytura”, jeśli były dokonywane z regularną częstotliwością (np. co miesiąc). W odniesieniu do takich wypłat, </w:t>
      </w:r>
      <w:r w:rsidRPr="00A70D1B">
        <w:rPr>
          <w:rFonts w:cs="Arial"/>
          <w:szCs w:val="19"/>
        </w:rPr>
        <w:t>na formularzu i w niniejszej notatce słowo emerytura zostało umieszczone w cudzysłowie.</w:t>
      </w:r>
    </w:p>
    <w:p w14:paraId="23EC50F6" w14:textId="77777777" w:rsidR="00BF6E67" w:rsidRPr="00A70D1B" w:rsidRDefault="00BF6E67" w:rsidP="00F459A8">
      <w:pPr>
        <w:spacing w:line="288" w:lineRule="auto"/>
        <w:rPr>
          <w:rFonts w:eastAsia="Times New Roman" w:cs="Arial"/>
          <w:szCs w:val="19"/>
          <w:lang w:eastAsia="pl-PL"/>
        </w:rPr>
      </w:pPr>
      <w:r w:rsidRPr="00A70D1B">
        <w:rPr>
          <w:rFonts w:eastAsia="Times New Roman" w:cs="Arial"/>
          <w:b/>
          <w:szCs w:val="19"/>
          <w:lang w:eastAsia="pl-PL"/>
        </w:rPr>
        <w:t>Renta rodzinna</w:t>
      </w:r>
      <w:r w:rsidRPr="00A70D1B">
        <w:rPr>
          <w:rFonts w:eastAsia="Times New Roman" w:cs="Arial"/>
          <w:szCs w:val="19"/>
          <w:lang w:eastAsia="pl-PL"/>
        </w:rPr>
        <w:t xml:space="preserve"> (po zmarłym współmałżonku) nie jest ustawową emeryturą.</w:t>
      </w:r>
    </w:p>
    <w:p w14:paraId="3BEABC44" w14:textId="7741547F" w:rsidR="00BF6E67" w:rsidRPr="00A70D1B" w:rsidRDefault="00BF6E67" w:rsidP="00F459A8">
      <w:pPr>
        <w:spacing w:before="0" w:line="288" w:lineRule="auto"/>
        <w:rPr>
          <w:rFonts w:eastAsia="Times New Roman" w:cs="Arial"/>
          <w:szCs w:val="19"/>
          <w:lang w:eastAsia="pl-PL"/>
        </w:rPr>
      </w:pPr>
      <w:r w:rsidRPr="00A70D1B">
        <w:rPr>
          <w:rFonts w:eastAsia="Times New Roman" w:cs="Arial"/>
          <w:szCs w:val="19"/>
          <w:lang w:eastAsia="pl-PL"/>
        </w:rPr>
        <w:t xml:space="preserve">Jeżeli jednak </w:t>
      </w:r>
      <w:r w:rsidRPr="00A70D1B">
        <w:rPr>
          <w:rFonts w:eastAsia="Times New Roman" w:cs="Arial"/>
          <w:b/>
          <w:szCs w:val="19"/>
          <w:lang w:eastAsia="pl-PL"/>
        </w:rPr>
        <w:t>zamiast własnej emerytury</w:t>
      </w:r>
      <w:r w:rsidRPr="00A70D1B">
        <w:rPr>
          <w:rFonts w:eastAsia="Times New Roman" w:cs="Arial"/>
          <w:szCs w:val="19"/>
          <w:lang w:eastAsia="pl-PL"/>
        </w:rPr>
        <w:t xml:space="preserve"> respondent pobierał rentę rodzinną ze względu na jej większą wysokość, wówczas renta ta w badaniu była traktowana jak emerytura. Jeżeli jednak osoba pobierała rentę rodzinną, ale nie miała uprawnień do swojej emerytury, np.</w:t>
      </w:r>
      <w:r w:rsidR="00535823" w:rsidRPr="00A70D1B">
        <w:rPr>
          <w:rFonts w:eastAsia="Times New Roman" w:cs="Arial"/>
          <w:szCs w:val="19"/>
          <w:lang w:eastAsia="pl-PL"/>
        </w:rPr>
        <w:t> </w:t>
      </w:r>
      <w:r w:rsidRPr="00A70D1B">
        <w:rPr>
          <w:rFonts w:eastAsia="Times New Roman" w:cs="Arial"/>
          <w:szCs w:val="19"/>
          <w:lang w:eastAsia="pl-PL"/>
        </w:rPr>
        <w:t>nigdy nie pracowała</w:t>
      </w:r>
      <w:r w:rsidRPr="00A70D1B">
        <w:rPr>
          <w:rFonts w:cs="Arial"/>
          <w:iCs/>
          <w:szCs w:val="19"/>
          <w:lang w:eastAsia="pl-PL"/>
        </w:rPr>
        <w:t xml:space="preserve"> lub pobierała rentę rodzinną, </w:t>
      </w:r>
      <w:r w:rsidRPr="00A70D1B">
        <w:rPr>
          <w:rFonts w:cs="Arial"/>
          <w:bCs/>
          <w:iCs/>
          <w:szCs w:val="19"/>
          <w:lang w:eastAsia="pl-PL"/>
        </w:rPr>
        <w:t>ale nadal pracowała (nie przeszła na emeryturę)</w:t>
      </w:r>
      <w:r w:rsidRPr="00A70D1B">
        <w:rPr>
          <w:rFonts w:eastAsia="Times New Roman" w:cs="Arial"/>
          <w:szCs w:val="19"/>
          <w:lang w:eastAsia="pl-PL"/>
        </w:rPr>
        <w:t>, to taka renta rodzinna nie była traktowana jako emerytura i nie należało jej uwzględniać.</w:t>
      </w:r>
    </w:p>
    <w:p w14:paraId="7B9FB272" w14:textId="77777777" w:rsidR="00BF6E67" w:rsidRPr="00A70D1B" w:rsidRDefault="00BF6E67" w:rsidP="00F459A8">
      <w:pPr>
        <w:tabs>
          <w:tab w:val="left" w:pos="317"/>
          <w:tab w:val="right" w:leader="dot" w:pos="3577"/>
        </w:tabs>
        <w:spacing w:line="288" w:lineRule="auto"/>
        <w:rPr>
          <w:rFonts w:cs="Arial"/>
          <w:szCs w:val="19"/>
        </w:rPr>
      </w:pPr>
      <w:r w:rsidRPr="00A70D1B">
        <w:rPr>
          <w:rFonts w:cs="Arial"/>
          <w:b/>
          <w:noProof/>
          <w:szCs w:val="19"/>
          <w:lang w:eastAsia="pl-PL"/>
        </w:rPr>
        <w:t>Renty z tytułu niezdolności do pracy lub inne okresowe świadczenia pieniężne z tytułu niezdolności do pracy</w:t>
      </w:r>
      <w:r w:rsidRPr="00A70D1B">
        <w:rPr>
          <w:rFonts w:cs="Arial"/>
          <w:szCs w:val="19"/>
        </w:rPr>
        <w:t xml:space="preserve"> mogą być wypłacane przez ZUS, KRUS lub inne instytucje. Jeśli rencista osiągnie powszechny wiek emerytalny, wówczas z urzędu otrzymuje  świadczenie emerytalne. </w:t>
      </w:r>
    </w:p>
    <w:p w14:paraId="50BAE479" w14:textId="2E4F7D97" w:rsidR="00BF6E67" w:rsidRPr="00A70D1B" w:rsidRDefault="00BF6E67" w:rsidP="00F459A8">
      <w:pPr>
        <w:tabs>
          <w:tab w:val="left" w:pos="317"/>
          <w:tab w:val="right" w:leader="dot" w:pos="3577"/>
        </w:tabs>
        <w:spacing w:line="288" w:lineRule="auto"/>
        <w:rPr>
          <w:rFonts w:cs="Arial"/>
          <w:szCs w:val="19"/>
        </w:rPr>
      </w:pPr>
      <w:r w:rsidRPr="00A70D1B">
        <w:rPr>
          <w:rFonts w:cs="Arial"/>
          <w:szCs w:val="19"/>
        </w:rPr>
        <w:t xml:space="preserve">Łączenie typowej renty z powodu niezdolności do pracy oraz świadczenia emerytalnego jest niemożliwe. Jedynie renta z tytułu niezdolności do pracy z powodu wypadku przy pracy lub choroby zawodowej może być łączona ze świadczeniem emerytalnym. </w:t>
      </w:r>
    </w:p>
    <w:p w14:paraId="2CDBC9A7" w14:textId="4191410F" w:rsidR="00BF6E67" w:rsidRPr="00A70D1B" w:rsidRDefault="00BF6E67" w:rsidP="00F459A8">
      <w:pPr>
        <w:tabs>
          <w:tab w:val="left" w:pos="317"/>
          <w:tab w:val="right" w:leader="dot" w:pos="3577"/>
        </w:tabs>
        <w:spacing w:line="288" w:lineRule="auto"/>
        <w:rPr>
          <w:rFonts w:cs="Arial"/>
          <w:szCs w:val="19"/>
        </w:rPr>
      </w:pPr>
      <w:r w:rsidRPr="00A70D1B">
        <w:rPr>
          <w:rFonts w:cs="Arial"/>
          <w:szCs w:val="19"/>
        </w:rPr>
        <w:t>Podstawą wszystkich uzyskanych danych w badaniu były deklaracje respondentów. W przypadku nieobecności podczas wywiadu osoby, której dotyczyło badanie, w całym badaniu (podstawowym i modułowym) dopuszczone zostały odpowiedzi w zastępstwie (przez inną osobę z gospodarstwa domowego znającą sytuację badanej osoby). Dodatkowo, w pytaniach modułowych dopuszczono pozycyjne braki odpowiedzi (wyłącznie w przypadku odpowiedzi w zastępstwie), stąd zaistniał niewielki odsetek odpowiedzi nieustalonych na poszczególne pytania.</w:t>
      </w:r>
    </w:p>
    <w:p w14:paraId="097A6504" w14:textId="5C3DC5F4" w:rsidR="00BF6E67" w:rsidRPr="00A70D1B" w:rsidRDefault="00F90066" w:rsidP="00F90066">
      <w:pPr>
        <w:tabs>
          <w:tab w:val="left" w:pos="317"/>
          <w:tab w:val="right" w:leader="dot" w:pos="3577"/>
        </w:tabs>
        <w:spacing w:line="260" w:lineRule="exact"/>
        <w:rPr>
          <w:rFonts w:cs="Arial"/>
          <w:szCs w:val="19"/>
        </w:rPr>
      </w:pPr>
      <w:r w:rsidRPr="00A70D1B">
        <w:rPr>
          <w:rFonts w:cs="Arial"/>
          <w:szCs w:val="19"/>
        </w:rPr>
        <w:t>W niektórych tablicach sumy składników mogą być różne od wielkości podanych w poz</w:t>
      </w:r>
      <w:r w:rsidR="00EF0CF2" w:rsidRPr="00A70D1B">
        <w:rPr>
          <w:rFonts w:cs="Arial"/>
          <w:szCs w:val="19"/>
        </w:rPr>
        <w:t>ycjach „Ogółem</w:t>
      </w:r>
      <w:r w:rsidRPr="00A70D1B">
        <w:rPr>
          <w:rFonts w:cs="Arial"/>
          <w:szCs w:val="19"/>
        </w:rPr>
        <w:t>”, wynika to z zaokrągleń dokonywanych przy uogólnianiu wyników badania.</w:t>
      </w:r>
      <w:r w:rsidRPr="00A70D1B">
        <w:rPr>
          <w:rFonts w:cs="Arial"/>
          <w:szCs w:val="19"/>
        </w:rPr>
        <w:cr/>
      </w:r>
      <w:r w:rsidR="00BF6E67" w:rsidRPr="00A70D1B">
        <w:rPr>
          <w:rFonts w:cs="Arial"/>
          <w:szCs w:val="19"/>
        </w:rPr>
        <w:t xml:space="preserve"> </w:t>
      </w:r>
    </w:p>
    <w:p w14:paraId="04939C46" w14:textId="7CD8B661" w:rsidR="00BF6E67" w:rsidRPr="00A70D1B" w:rsidRDefault="00BF6E67" w:rsidP="008B0DE7">
      <w:pPr>
        <w:spacing w:before="0" w:after="0"/>
        <w:rPr>
          <w:szCs w:val="19"/>
        </w:rPr>
        <w:sectPr w:rsidR="00BF6E67" w:rsidRPr="00A70D1B" w:rsidSect="003B18B6">
          <w:headerReference w:type="default" r:id="rId26"/>
          <w:footerReference w:type="default" r:id="rId27"/>
          <w:headerReference w:type="first" r:id="rId28"/>
          <w:footerReference w:type="first" r:id="rId29"/>
          <w:pgSz w:w="11906" w:h="16838"/>
          <w:pgMar w:top="720" w:right="3119" w:bottom="720" w:left="720" w:header="284" w:footer="283" w:gutter="0"/>
          <w:cols w:space="708"/>
          <w:titlePg/>
          <w:docGrid w:linePitch="360"/>
        </w:sectPr>
      </w:pPr>
    </w:p>
    <w:tbl>
      <w:tblPr>
        <w:tblStyle w:val="Tabela-Siatka"/>
        <w:tblpPr w:leftFromText="141" w:rightFromText="141" w:vertAnchor="page" w:horzAnchor="margin" w:tblpY="976"/>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F65D6" w:rsidRPr="00A70D1B" w14:paraId="42CCAD2B" w14:textId="77777777" w:rsidTr="00DF65D6">
        <w:trPr>
          <w:trHeight w:val="1626"/>
        </w:trPr>
        <w:tc>
          <w:tcPr>
            <w:tcW w:w="4926" w:type="dxa"/>
          </w:tcPr>
          <w:p w14:paraId="39A21BCB" w14:textId="77777777" w:rsidR="00DF65D6" w:rsidRPr="00A70D1B" w:rsidRDefault="00DF65D6" w:rsidP="00DF65D6">
            <w:pPr>
              <w:spacing w:before="0" w:after="0" w:line="276" w:lineRule="auto"/>
              <w:rPr>
                <w:rFonts w:cs="Arial"/>
                <w:sz w:val="20"/>
              </w:rPr>
            </w:pPr>
            <w:r w:rsidRPr="00A70D1B">
              <w:rPr>
                <w:rFonts w:cs="Arial"/>
                <w:sz w:val="20"/>
              </w:rPr>
              <w:lastRenderedPageBreak/>
              <w:t>Opracowanie merytoryczne:</w:t>
            </w:r>
          </w:p>
          <w:p w14:paraId="1B11048E" w14:textId="77777777" w:rsidR="00DF65D6" w:rsidRPr="00A70D1B" w:rsidRDefault="00DF65D6" w:rsidP="00DF65D6">
            <w:pPr>
              <w:spacing w:before="0" w:line="276" w:lineRule="auto"/>
              <w:rPr>
                <w:rFonts w:cs="Arial"/>
                <w:b/>
                <w:color w:val="000000" w:themeColor="text1"/>
                <w:sz w:val="20"/>
              </w:rPr>
            </w:pPr>
            <w:r w:rsidRPr="00A70D1B">
              <w:rPr>
                <w:rFonts w:cs="Arial"/>
                <w:b/>
                <w:color w:val="000000" w:themeColor="text1"/>
                <w:sz w:val="20"/>
              </w:rPr>
              <w:t>Departament Badań Społecznych i Rynku Pracy</w:t>
            </w:r>
          </w:p>
          <w:p w14:paraId="76E86BD6" w14:textId="77777777" w:rsidR="00DF65D6" w:rsidRPr="00A70D1B" w:rsidRDefault="00DF65D6" w:rsidP="00DF65D6">
            <w:pPr>
              <w:spacing w:before="0" w:after="0" w:line="276" w:lineRule="auto"/>
              <w:rPr>
                <w:b/>
                <w:lang w:val="fi-FI"/>
              </w:rPr>
            </w:pPr>
            <w:r w:rsidRPr="00A70D1B">
              <w:rPr>
                <w:b/>
                <w:lang w:val="fi-FI"/>
              </w:rPr>
              <w:t>Dyrektor dr Piotr Łysoń</w:t>
            </w:r>
          </w:p>
          <w:p w14:paraId="4D7DF00B" w14:textId="77777777" w:rsidR="00DF65D6" w:rsidRPr="00A70D1B" w:rsidRDefault="00DF65D6" w:rsidP="00DF65D6">
            <w:pPr>
              <w:pStyle w:val="Nagwek3"/>
              <w:spacing w:before="0" w:after="120" w:line="240" w:lineRule="auto"/>
              <w:outlineLvl w:val="2"/>
              <w:rPr>
                <w:rFonts w:ascii="Fira Sans" w:hAnsi="Fira Sans" w:cs="Arial"/>
                <w:color w:val="000000" w:themeColor="text1"/>
                <w:sz w:val="20"/>
                <w:lang w:val="fi-FI"/>
              </w:rPr>
            </w:pPr>
            <w:r w:rsidRPr="00A70D1B">
              <w:rPr>
                <w:rFonts w:ascii="Fira Sans" w:hAnsi="Fira Sans" w:cs="Arial"/>
                <w:color w:val="000000" w:themeColor="text1"/>
                <w:sz w:val="20"/>
                <w:lang w:val="fi-FI"/>
              </w:rPr>
              <w:t>Tel.: 22 449 40 27</w:t>
            </w:r>
          </w:p>
        </w:tc>
        <w:tc>
          <w:tcPr>
            <w:tcW w:w="4927" w:type="dxa"/>
          </w:tcPr>
          <w:p w14:paraId="736EC736" w14:textId="77777777" w:rsidR="00DF65D6" w:rsidRPr="00A70D1B" w:rsidRDefault="00DF65D6" w:rsidP="00DF65D6">
            <w:pPr>
              <w:spacing w:before="0" w:line="276" w:lineRule="auto"/>
              <w:rPr>
                <w:rFonts w:cs="Arial"/>
                <w:b/>
                <w:sz w:val="20"/>
              </w:rPr>
            </w:pPr>
            <w:r w:rsidRPr="00A70D1B">
              <w:rPr>
                <w:rFonts w:cs="Arial"/>
                <w:sz w:val="20"/>
              </w:rPr>
              <w:t>Rozpowszechnianie:</w:t>
            </w:r>
            <w:r w:rsidRPr="00A70D1B">
              <w:rPr>
                <w:rFonts w:cs="Arial"/>
                <w:sz w:val="20"/>
              </w:rPr>
              <w:br/>
            </w:r>
            <w:r w:rsidRPr="00A70D1B">
              <w:rPr>
                <w:rFonts w:cs="Arial"/>
                <w:b/>
                <w:sz w:val="20"/>
              </w:rPr>
              <w:t>Wydział Współpracy z Mediami</w:t>
            </w:r>
          </w:p>
          <w:p w14:paraId="7BDD4E10" w14:textId="77777777" w:rsidR="00DF65D6" w:rsidRPr="00A70D1B" w:rsidRDefault="00DF65D6" w:rsidP="00DF65D6">
            <w:r w:rsidRPr="00A70D1B">
              <w:t>Tel. komórkowy: +48 695 255 032</w:t>
            </w:r>
          </w:p>
          <w:p w14:paraId="7408A7EE" w14:textId="77777777" w:rsidR="00DF65D6" w:rsidRPr="00A70D1B" w:rsidRDefault="00DF65D6" w:rsidP="00DF65D6">
            <w:r w:rsidRPr="00A70D1B">
              <w:t>Tel. stacjonarne: +48 22 608 38 04, +48 22 449 41 45, +48 22 608 30 09</w:t>
            </w:r>
          </w:p>
          <w:p w14:paraId="0B1F59DD" w14:textId="77777777" w:rsidR="00DF65D6" w:rsidRPr="00A70D1B" w:rsidRDefault="00DF65D6" w:rsidP="00DF65D6">
            <w:r w:rsidRPr="00A70D1B">
              <w:rPr>
                <w:b/>
                <w:sz w:val="20"/>
              </w:rPr>
              <w:t>e-mail:</w:t>
            </w:r>
            <w:r w:rsidRPr="00A70D1B">
              <w:rPr>
                <w:sz w:val="20"/>
              </w:rPr>
              <w:t xml:space="preserve"> </w:t>
            </w:r>
            <w:hyperlink r:id="rId30" w:history="1">
              <w:r w:rsidRPr="00A70D1B">
                <w:rPr>
                  <w:rStyle w:val="Hipercze"/>
                  <w:rFonts w:eastAsiaTheme="majorEastAsia" w:cs="Arial"/>
                  <w:b/>
                  <w:color w:val="auto"/>
                  <w:sz w:val="20"/>
                  <w:szCs w:val="20"/>
                </w:rPr>
                <w:t>obslugaprasowa@stat.gov.pl</w:t>
              </w:r>
            </w:hyperlink>
          </w:p>
          <w:p w14:paraId="4CC72543" w14:textId="77777777" w:rsidR="00DF65D6" w:rsidRPr="00A70D1B" w:rsidRDefault="00DF65D6" w:rsidP="00DF65D6">
            <w:pPr>
              <w:spacing w:before="0" w:line="276" w:lineRule="auto"/>
              <w:rPr>
                <w:rFonts w:cs="Arial"/>
                <w:sz w:val="20"/>
                <w:lang w:val="fi-FI"/>
              </w:rPr>
            </w:pPr>
          </w:p>
          <w:p w14:paraId="0EED5B1A" w14:textId="77777777" w:rsidR="00DF65D6" w:rsidRPr="00A70D1B" w:rsidRDefault="00DF65D6" w:rsidP="00DF65D6">
            <w:pPr>
              <w:rPr>
                <w:sz w:val="18"/>
              </w:rPr>
            </w:pPr>
          </w:p>
        </w:tc>
      </w:tr>
      <w:tr w:rsidR="00DF65D6" w:rsidRPr="00A70D1B" w14:paraId="65BED167" w14:textId="77777777" w:rsidTr="00DF65D6">
        <w:trPr>
          <w:trHeight w:val="418"/>
        </w:trPr>
        <w:tc>
          <w:tcPr>
            <w:tcW w:w="4926" w:type="dxa"/>
            <w:vMerge w:val="restart"/>
          </w:tcPr>
          <w:p w14:paraId="411C115B" w14:textId="77777777" w:rsidR="00DF65D6" w:rsidRPr="00A70D1B" w:rsidRDefault="00DF65D6" w:rsidP="00DF65D6">
            <w:pPr>
              <w:rPr>
                <w:sz w:val="18"/>
              </w:rPr>
            </w:pPr>
          </w:p>
        </w:tc>
        <w:tc>
          <w:tcPr>
            <w:tcW w:w="4927" w:type="dxa"/>
            <w:vAlign w:val="center"/>
          </w:tcPr>
          <w:p w14:paraId="6CD29584" w14:textId="77777777" w:rsidR="00DF65D6" w:rsidRPr="00A70D1B" w:rsidRDefault="00DF65D6" w:rsidP="00DF65D6">
            <w:pPr>
              <w:ind w:firstLine="680"/>
              <w:rPr>
                <w:sz w:val="18"/>
              </w:rPr>
            </w:pPr>
            <w:r w:rsidRPr="00A70D1B">
              <w:rPr>
                <w:noProof/>
                <w:sz w:val="20"/>
                <w:lang w:eastAsia="pl-PL"/>
              </w:rPr>
              <w:drawing>
                <wp:anchor distT="0" distB="0" distL="114300" distR="114300" simplePos="0" relativeHeight="251927552" behindDoc="0" locked="0" layoutInCell="1" allowOverlap="1" wp14:anchorId="15B5E310" wp14:editId="7DD48B7D">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70D1B">
              <w:rPr>
                <w:sz w:val="20"/>
              </w:rPr>
              <w:t>www.stat.gov.pl</w:t>
            </w:r>
            <w:r w:rsidRPr="00A70D1B">
              <w:rPr>
                <w:sz w:val="18"/>
              </w:rPr>
              <w:t xml:space="preserve">      </w:t>
            </w:r>
          </w:p>
        </w:tc>
      </w:tr>
      <w:tr w:rsidR="00DF65D6" w:rsidRPr="00A70D1B" w14:paraId="4C148CE3" w14:textId="77777777" w:rsidTr="00DF65D6">
        <w:trPr>
          <w:trHeight w:val="418"/>
        </w:trPr>
        <w:tc>
          <w:tcPr>
            <w:tcW w:w="4926" w:type="dxa"/>
            <w:vMerge/>
          </w:tcPr>
          <w:p w14:paraId="64743E59" w14:textId="77777777" w:rsidR="00DF65D6" w:rsidRPr="00A70D1B" w:rsidRDefault="00DF65D6" w:rsidP="00DF65D6">
            <w:pPr>
              <w:rPr>
                <w:b/>
                <w:sz w:val="20"/>
              </w:rPr>
            </w:pPr>
          </w:p>
        </w:tc>
        <w:tc>
          <w:tcPr>
            <w:tcW w:w="4927" w:type="dxa"/>
            <w:vAlign w:val="center"/>
          </w:tcPr>
          <w:p w14:paraId="5A88C5AE" w14:textId="77777777" w:rsidR="00DF65D6" w:rsidRPr="00A70D1B" w:rsidRDefault="00DF65D6" w:rsidP="00DF65D6">
            <w:pPr>
              <w:ind w:firstLine="680"/>
              <w:rPr>
                <w:sz w:val="18"/>
              </w:rPr>
            </w:pPr>
            <w:r w:rsidRPr="00A70D1B">
              <w:rPr>
                <w:noProof/>
                <w:sz w:val="20"/>
                <w:lang w:eastAsia="pl-PL"/>
              </w:rPr>
              <w:drawing>
                <wp:anchor distT="0" distB="0" distL="114300" distR="114300" simplePos="0" relativeHeight="251932672" behindDoc="0" locked="0" layoutInCell="1" allowOverlap="1" wp14:anchorId="5DF840D4" wp14:editId="17DC0020">
                  <wp:simplePos x="0" y="0"/>
                  <wp:positionH relativeFrom="column">
                    <wp:posOffset>81280</wp:posOffset>
                  </wp:positionH>
                  <wp:positionV relativeFrom="paragraph">
                    <wp:posOffset>23495</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70D1B">
              <w:rPr>
                <w:sz w:val="20"/>
              </w:rPr>
              <w:t>@GUS_STAT</w:t>
            </w:r>
            <w:r w:rsidRPr="00A70D1B">
              <w:rPr>
                <w:noProof/>
                <w:sz w:val="20"/>
                <w:lang w:eastAsia="pl-PL"/>
              </w:rPr>
              <w:t xml:space="preserve"> </w:t>
            </w:r>
          </w:p>
        </w:tc>
      </w:tr>
      <w:tr w:rsidR="00DF65D6" w:rsidRPr="00A70D1B" w14:paraId="62CAE200" w14:textId="77777777" w:rsidTr="00DF65D6">
        <w:trPr>
          <w:trHeight w:val="476"/>
        </w:trPr>
        <w:tc>
          <w:tcPr>
            <w:tcW w:w="4926" w:type="dxa"/>
            <w:vMerge/>
          </w:tcPr>
          <w:p w14:paraId="4B6DB0CA" w14:textId="77777777" w:rsidR="00DF65D6" w:rsidRPr="00A70D1B" w:rsidRDefault="00DF65D6" w:rsidP="00DF65D6">
            <w:pPr>
              <w:rPr>
                <w:b/>
                <w:sz w:val="20"/>
              </w:rPr>
            </w:pPr>
          </w:p>
        </w:tc>
        <w:tc>
          <w:tcPr>
            <w:tcW w:w="4927" w:type="dxa"/>
          </w:tcPr>
          <w:p w14:paraId="4A24046F" w14:textId="77777777" w:rsidR="00DF65D6" w:rsidRPr="00A70D1B" w:rsidRDefault="00DF65D6" w:rsidP="00DF65D6">
            <w:pPr>
              <w:ind w:firstLine="680"/>
              <w:rPr>
                <w:sz w:val="18"/>
              </w:rPr>
            </w:pPr>
            <w:r w:rsidRPr="00A70D1B">
              <w:rPr>
                <w:noProof/>
                <w:sz w:val="20"/>
                <w:lang w:eastAsia="pl-PL"/>
              </w:rPr>
              <w:drawing>
                <wp:anchor distT="0" distB="0" distL="114300" distR="114300" simplePos="0" relativeHeight="251928576" behindDoc="0" locked="0" layoutInCell="1" allowOverlap="1" wp14:anchorId="6DFD8FCF" wp14:editId="3382DD47">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70D1B">
              <w:rPr>
                <w:sz w:val="20"/>
              </w:rPr>
              <w:t>@</w:t>
            </w:r>
            <w:proofErr w:type="spellStart"/>
            <w:r w:rsidRPr="00A70D1B">
              <w:rPr>
                <w:sz w:val="20"/>
              </w:rPr>
              <w:t>GlownyUrzadStatystyczny</w:t>
            </w:r>
            <w:proofErr w:type="spellEnd"/>
            <w:r w:rsidRPr="00A70D1B">
              <w:rPr>
                <w:noProof/>
                <w:sz w:val="20"/>
                <w:lang w:eastAsia="pl-PL"/>
              </w:rPr>
              <w:t xml:space="preserve"> </w:t>
            </w:r>
          </w:p>
        </w:tc>
      </w:tr>
      <w:tr w:rsidR="00DF65D6" w:rsidRPr="00A70D1B" w14:paraId="4B0B8619" w14:textId="77777777" w:rsidTr="00DF65D6">
        <w:trPr>
          <w:trHeight w:val="426"/>
        </w:trPr>
        <w:tc>
          <w:tcPr>
            <w:tcW w:w="4926" w:type="dxa"/>
          </w:tcPr>
          <w:p w14:paraId="1C4D0560" w14:textId="77777777" w:rsidR="00DF65D6" w:rsidRPr="00A70D1B" w:rsidRDefault="00DF65D6" w:rsidP="00DF65D6">
            <w:pPr>
              <w:rPr>
                <w:b/>
                <w:sz w:val="20"/>
              </w:rPr>
            </w:pPr>
          </w:p>
        </w:tc>
        <w:tc>
          <w:tcPr>
            <w:tcW w:w="4927" w:type="dxa"/>
          </w:tcPr>
          <w:p w14:paraId="51D3F284" w14:textId="77777777" w:rsidR="00DF65D6" w:rsidRPr="00A70D1B" w:rsidRDefault="00DF65D6" w:rsidP="00DF65D6">
            <w:pPr>
              <w:ind w:firstLine="680"/>
              <w:rPr>
                <w:noProof/>
                <w:sz w:val="20"/>
                <w:lang w:eastAsia="pl-PL"/>
              </w:rPr>
            </w:pPr>
            <w:r w:rsidRPr="00A70D1B">
              <w:rPr>
                <w:noProof/>
                <w:sz w:val="20"/>
                <w:lang w:eastAsia="pl-PL"/>
              </w:rPr>
              <w:drawing>
                <wp:anchor distT="0" distB="0" distL="114300" distR="114300" simplePos="0" relativeHeight="251929600" behindDoc="0" locked="0" layoutInCell="1" allowOverlap="1" wp14:anchorId="3E6FC7FB" wp14:editId="6157C432">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70D1B">
              <w:rPr>
                <w:sz w:val="20"/>
              </w:rPr>
              <w:t>gus_stat</w:t>
            </w:r>
            <w:proofErr w:type="spellEnd"/>
          </w:p>
        </w:tc>
      </w:tr>
      <w:tr w:rsidR="00DF65D6" w:rsidRPr="00A70D1B" w14:paraId="1446BF28" w14:textId="77777777" w:rsidTr="00DF65D6">
        <w:trPr>
          <w:trHeight w:val="504"/>
        </w:trPr>
        <w:tc>
          <w:tcPr>
            <w:tcW w:w="4926" w:type="dxa"/>
          </w:tcPr>
          <w:p w14:paraId="14244640" w14:textId="77777777" w:rsidR="00DF65D6" w:rsidRPr="00A70D1B" w:rsidRDefault="00DF65D6" w:rsidP="00DF65D6">
            <w:pPr>
              <w:rPr>
                <w:b/>
                <w:sz w:val="20"/>
              </w:rPr>
            </w:pPr>
          </w:p>
        </w:tc>
        <w:tc>
          <w:tcPr>
            <w:tcW w:w="4927" w:type="dxa"/>
          </w:tcPr>
          <w:p w14:paraId="4EA7BE92" w14:textId="77777777" w:rsidR="00DF65D6" w:rsidRPr="00A70D1B" w:rsidRDefault="00DF65D6" w:rsidP="00DF65D6">
            <w:pPr>
              <w:ind w:firstLine="680"/>
              <w:rPr>
                <w:noProof/>
                <w:sz w:val="20"/>
                <w:lang w:eastAsia="pl-PL"/>
              </w:rPr>
            </w:pPr>
            <w:r w:rsidRPr="00A70D1B">
              <w:rPr>
                <w:noProof/>
                <w:sz w:val="20"/>
                <w:lang w:eastAsia="pl-PL"/>
              </w:rPr>
              <w:drawing>
                <wp:anchor distT="0" distB="0" distL="114300" distR="114300" simplePos="0" relativeHeight="251930624" behindDoc="0" locked="0" layoutInCell="1" allowOverlap="1" wp14:anchorId="7F0E8E19" wp14:editId="6C6E5069">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70D1B">
              <w:rPr>
                <w:sz w:val="20"/>
              </w:rPr>
              <w:t>glownyurzadstatystycznygus</w:t>
            </w:r>
            <w:proofErr w:type="spellEnd"/>
          </w:p>
        </w:tc>
      </w:tr>
      <w:tr w:rsidR="00DF65D6" w:rsidRPr="00A70D1B" w14:paraId="3BD6937B" w14:textId="77777777" w:rsidTr="000F2CA6">
        <w:trPr>
          <w:trHeight w:val="1059"/>
        </w:trPr>
        <w:tc>
          <w:tcPr>
            <w:tcW w:w="4926" w:type="dxa"/>
          </w:tcPr>
          <w:p w14:paraId="79202C62" w14:textId="77777777" w:rsidR="00DF65D6" w:rsidRPr="00A70D1B" w:rsidRDefault="00DF65D6" w:rsidP="00DF65D6">
            <w:pPr>
              <w:rPr>
                <w:b/>
                <w:sz w:val="20"/>
              </w:rPr>
            </w:pPr>
          </w:p>
        </w:tc>
        <w:tc>
          <w:tcPr>
            <w:tcW w:w="4927" w:type="dxa"/>
          </w:tcPr>
          <w:p w14:paraId="6253970C" w14:textId="77777777" w:rsidR="00DF65D6" w:rsidRPr="00A70D1B" w:rsidRDefault="00DF65D6" w:rsidP="00DF65D6">
            <w:pPr>
              <w:ind w:firstLine="680"/>
              <w:rPr>
                <w:noProof/>
                <w:sz w:val="20"/>
                <w:lang w:eastAsia="pl-PL"/>
              </w:rPr>
            </w:pPr>
            <w:r w:rsidRPr="00A70D1B">
              <w:rPr>
                <w:noProof/>
                <w:sz w:val="20"/>
                <w:lang w:eastAsia="pl-PL"/>
              </w:rPr>
              <w:t>glownyurzadstatystyczny</w:t>
            </w:r>
            <w:r w:rsidRPr="00A70D1B">
              <w:rPr>
                <w:noProof/>
                <w:sz w:val="20"/>
                <w:lang w:eastAsia="pl-PL"/>
              </w:rPr>
              <w:drawing>
                <wp:anchor distT="0" distB="0" distL="114300" distR="114300" simplePos="0" relativeHeight="251931648" behindDoc="0" locked="0" layoutInCell="1" allowOverlap="1" wp14:anchorId="5F0FCBBF" wp14:editId="7C08451C">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F65D6" w:rsidRPr="00A70D1B" w14:paraId="7AFEA2BB" w14:textId="77777777" w:rsidTr="00DF65D6">
        <w:trPr>
          <w:trHeight w:val="4114"/>
        </w:trPr>
        <w:tc>
          <w:tcPr>
            <w:tcW w:w="9853" w:type="dxa"/>
            <w:gridSpan w:val="2"/>
            <w:shd w:val="clear" w:color="auto" w:fill="D9D9D9" w:themeFill="background1" w:themeFillShade="D9"/>
          </w:tcPr>
          <w:p w14:paraId="31E4B3A5" w14:textId="77777777" w:rsidR="00DF65D6" w:rsidRPr="00A70D1B" w:rsidRDefault="00DF65D6" w:rsidP="00DF65D6">
            <w:pPr>
              <w:shd w:val="clear" w:color="auto" w:fill="D9D9D9" w:themeFill="background1" w:themeFillShade="D9"/>
              <w:rPr>
                <w:b/>
              </w:rPr>
            </w:pPr>
            <w:r w:rsidRPr="00A70D1B">
              <w:rPr>
                <w:b/>
              </w:rPr>
              <w:t>Powiązane opracowania</w:t>
            </w:r>
          </w:p>
          <w:p w14:paraId="2DCC923D" w14:textId="77777777" w:rsidR="00DF65D6" w:rsidRPr="00A70D1B" w:rsidRDefault="00DF65D6" w:rsidP="00DF65D6">
            <w:pPr>
              <w:rPr>
                <w:rStyle w:val="Hipercze"/>
              </w:rPr>
            </w:pPr>
            <w:r w:rsidRPr="00A70D1B">
              <w:rPr>
                <w:rFonts w:cs="Times New Roman"/>
              </w:rPr>
              <w:fldChar w:fldCharType="begin"/>
            </w:r>
            <w:r w:rsidRPr="00A70D1B">
              <w:rPr>
                <w:rFonts w:cs="Times New Roman"/>
              </w:rPr>
              <w:instrText>HYPERLINK "https://stat.gov.pl/obszary-tematyczne/rynek-pracy/zasady-metodyczne-rocznik-pracy/zeszyt-metodologiczny-badanie-aktywnosci-ekonomicznej-ludnosci,3,2.html" \o "Link do opracowania pt. Zeszyt metodologiczny Badanie Aktywności Ekonomicznej Ludności (metodologia obowiązująca do 2020 r. włącznie)"</w:instrText>
            </w:r>
            <w:r w:rsidRPr="00A70D1B">
              <w:rPr>
                <w:rFonts w:cs="Times New Roman"/>
              </w:rPr>
              <w:fldChar w:fldCharType="separate"/>
            </w:r>
            <w:r w:rsidRPr="00A70D1B">
              <w:rPr>
                <w:rStyle w:val="Hipercze"/>
              </w:rPr>
              <w:t>Zeszyt metodologiczny. Badanie Aktywności Ekonomicznej Ludności</w:t>
            </w:r>
          </w:p>
          <w:p w14:paraId="1C130B13" w14:textId="6EDF8D65" w:rsidR="00DF65D6" w:rsidRPr="00A70D1B" w:rsidRDefault="00DF65D6" w:rsidP="00DF65D6">
            <w:pPr>
              <w:rPr>
                <w:rStyle w:val="Hipercze"/>
              </w:rPr>
            </w:pPr>
            <w:r w:rsidRPr="00A70D1B">
              <w:rPr>
                <w:rFonts w:cs="Times New Roman"/>
              </w:rPr>
              <w:fldChar w:fldCharType="end"/>
            </w:r>
            <w:r w:rsidRPr="00A70D1B">
              <w:rPr>
                <w:rFonts w:cs="Times New Roman"/>
              </w:rPr>
              <w:fldChar w:fldCharType="begin"/>
            </w:r>
            <w:r w:rsidR="009A1524" w:rsidRPr="00A70D1B">
              <w:rPr>
                <w:rFonts w:cs="Times New Roman"/>
              </w:rPr>
              <w:instrText>HYPERLINK "https://stat.gov.pl/obszary-tematyczne/rynek-pracy/pracujacy-bezrobotni-bierni-zawodowo-wg-bael/aktywnosc-ekonomiczna-ludnosci-polski-1-kwartal-2024-roku,4,54.html" \o "Link do publikacji BAEL"</w:instrText>
            </w:r>
            <w:r w:rsidRPr="00A70D1B">
              <w:rPr>
                <w:rFonts w:cs="Times New Roman"/>
              </w:rPr>
              <w:fldChar w:fldCharType="separate"/>
            </w:r>
            <w:r w:rsidRPr="00A70D1B">
              <w:rPr>
                <w:rStyle w:val="Hipercze"/>
              </w:rPr>
              <w:t>Aktywność ekonomiczna ludności Polski</w:t>
            </w:r>
          </w:p>
          <w:p w14:paraId="219C945F" w14:textId="77777777" w:rsidR="00DF65D6" w:rsidRPr="00A70D1B" w:rsidRDefault="00DF65D6" w:rsidP="00DF65D6">
            <w:pPr>
              <w:rPr>
                <w:rFonts w:cs="Times New Roman"/>
              </w:rPr>
            </w:pPr>
            <w:r w:rsidRPr="00A70D1B">
              <w:rPr>
                <w:rFonts w:cs="Times New Roman"/>
              </w:rPr>
              <w:fldChar w:fldCharType="end"/>
            </w:r>
            <w:hyperlink r:id="rId37" w:history="1">
              <w:r w:rsidRPr="00A70D1B">
                <w:rPr>
                  <w:rStyle w:val="Hipercze"/>
                </w:rPr>
                <w:t>Inne opracowania zawierające wyniki BAEL i modułów BAEL stat.gov.pl → Obszary tematyczne → Rynek pracy</w:t>
              </w:r>
            </w:hyperlink>
          </w:p>
          <w:p w14:paraId="0EF4CA65" w14:textId="77777777" w:rsidR="00DF65D6" w:rsidRPr="00A70D1B" w:rsidRDefault="00DF65D6" w:rsidP="00DF65D6">
            <w:pPr>
              <w:shd w:val="clear" w:color="auto" w:fill="D9D9D9" w:themeFill="background1" w:themeFillShade="D9"/>
              <w:spacing w:before="360"/>
              <w:rPr>
                <w:b/>
                <w:color w:val="000000" w:themeColor="text1"/>
                <w:szCs w:val="24"/>
              </w:rPr>
            </w:pPr>
            <w:r w:rsidRPr="00A70D1B">
              <w:rPr>
                <w:b/>
                <w:color w:val="000000" w:themeColor="text1"/>
                <w:szCs w:val="24"/>
              </w:rPr>
              <w:t>Temat dostępny w bazach danych</w:t>
            </w:r>
          </w:p>
          <w:p w14:paraId="60053BE9" w14:textId="77777777" w:rsidR="00DF65D6" w:rsidRPr="00A70D1B" w:rsidRDefault="00AC24C2" w:rsidP="00DF65D6">
            <w:hyperlink r:id="rId38" w:anchor="/" w:history="1">
              <w:r w:rsidR="00DF65D6" w:rsidRPr="00A70D1B">
                <w:rPr>
                  <w:rStyle w:val="Hipercze"/>
                </w:rPr>
                <w:t>Strateg → Obszary tematyczne → Rynek pracy</w:t>
              </w:r>
            </w:hyperlink>
          </w:p>
          <w:p w14:paraId="43D854D4" w14:textId="77777777" w:rsidR="00DF65D6" w:rsidRPr="00A70D1B" w:rsidRDefault="00AC24C2" w:rsidP="00DF65D6">
            <w:hyperlink r:id="rId39" w:history="1">
              <w:r w:rsidR="00DF65D6" w:rsidRPr="00A70D1B">
                <w:rPr>
                  <w:rStyle w:val="Hipercze"/>
                </w:rPr>
                <w:t>Bank Danych Lokalnych → Rynek pracy</w:t>
              </w:r>
            </w:hyperlink>
          </w:p>
          <w:p w14:paraId="5D3B142B" w14:textId="77777777" w:rsidR="00DF65D6" w:rsidRPr="00A70D1B" w:rsidRDefault="00DF65D6" w:rsidP="00DF65D6">
            <w:pPr>
              <w:shd w:val="clear" w:color="auto" w:fill="D9D9D9" w:themeFill="background1" w:themeFillShade="D9"/>
              <w:spacing w:before="360"/>
              <w:rPr>
                <w:b/>
                <w:color w:val="000000" w:themeColor="text1"/>
                <w:szCs w:val="24"/>
              </w:rPr>
            </w:pPr>
            <w:r w:rsidRPr="00A70D1B">
              <w:rPr>
                <w:b/>
                <w:color w:val="000000" w:themeColor="text1"/>
                <w:szCs w:val="24"/>
              </w:rPr>
              <w:t>Ważniejsze pojęcia dostępne w słowniku</w:t>
            </w:r>
          </w:p>
          <w:p w14:paraId="3E819694" w14:textId="77777777" w:rsidR="00DF65D6" w:rsidRPr="00A70D1B" w:rsidRDefault="00DF65D6" w:rsidP="00DF65D6">
            <w:pPr>
              <w:rPr>
                <w:rStyle w:val="Hipercze"/>
              </w:rPr>
            </w:pPr>
            <w:r w:rsidRPr="00A70D1B">
              <w:rPr>
                <w:rStyle w:val="Hipercze"/>
              </w:rPr>
              <w:fldChar w:fldCharType="begin"/>
            </w:r>
            <w:r w:rsidRPr="00A70D1B">
              <w:rPr>
                <w:rStyle w:val="Hipercze"/>
              </w:rPr>
              <w:instrText xml:space="preserve"> HYPERLINK "https://stat.gov.pl/metainformacje/slownik-pojec/pojecia-stosowane-w-statystyce-publicznej/4562,pojecie.html" \o "Link do słownika pojęć" </w:instrText>
            </w:r>
            <w:r w:rsidRPr="00A70D1B">
              <w:rPr>
                <w:rStyle w:val="Hipercze"/>
              </w:rPr>
              <w:fldChar w:fldCharType="separate"/>
            </w:r>
            <w:r w:rsidRPr="00A70D1B">
              <w:rPr>
                <w:rStyle w:val="Hipercze"/>
              </w:rPr>
              <w:t>Aktywność ekonomiczna według BAEL</w:t>
            </w:r>
          </w:p>
          <w:p w14:paraId="0C7A8742" w14:textId="77777777" w:rsidR="00DF65D6" w:rsidRPr="00A70D1B" w:rsidRDefault="00DF65D6" w:rsidP="00DF65D6">
            <w:pPr>
              <w:rPr>
                <w:rStyle w:val="Hipercze"/>
              </w:rPr>
            </w:pPr>
            <w:r w:rsidRPr="00A70D1B">
              <w:rPr>
                <w:rStyle w:val="Hipercze"/>
              </w:rPr>
              <w:fldChar w:fldCharType="end"/>
            </w:r>
            <w:r w:rsidRPr="00A70D1B">
              <w:rPr>
                <w:rStyle w:val="Hipercze"/>
              </w:rPr>
              <w:fldChar w:fldCharType="begin"/>
            </w:r>
            <w:r w:rsidRPr="00A70D1B">
              <w:rPr>
                <w:rStyle w:val="Hipercze"/>
              </w:rPr>
              <w:instrText>HYPERLINK "https://stat.gov.pl/metainformacje/slownik-pojec/pojecia-stosowane-w-statystyce-publicznej/4565,pojecie.html" \o "Link do słownika pojęć"</w:instrText>
            </w:r>
            <w:r w:rsidRPr="00A70D1B">
              <w:rPr>
                <w:rStyle w:val="Hipercze"/>
              </w:rPr>
              <w:fldChar w:fldCharType="separate"/>
            </w:r>
            <w:r w:rsidRPr="00A70D1B">
              <w:rPr>
                <w:rStyle w:val="Hipercze"/>
              </w:rPr>
              <w:t>Ludność aktywna zawodowo według BAEL</w:t>
            </w:r>
          </w:p>
          <w:p w14:paraId="53A39A22" w14:textId="77777777" w:rsidR="00DF65D6" w:rsidRPr="00A70D1B" w:rsidRDefault="00DF65D6" w:rsidP="00DF65D6">
            <w:pPr>
              <w:rPr>
                <w:rStyle w:val="Hipercze"/>
              </w:rPr>
            </w:pPr>
            <w:r w:rsidRPr="00A70D1B">
              <w:rPr>
                <w:rStyle w:val="Hipercze"/>
              </w:rPr>
              <w:fldChar w:fldCharType="end"/>
            </w:r>
            <w:hyperlink r:id="rId40" w:tooltip="Link do słownika pojęć" w:history="1">
              <w:r w:rsidRPr="00A70D1B">
                <w:rPr>
                  <w:rStyle w:val="Hipercze"/>
                </w:rPr>
                <w:t>Pracujący według BAEL</w:t>
              </w:r>
            </w:hyperlink>
            <w:r w:rsidRPr="00A70D1B">
              <w:rPr>
                <w:rStyle w:val="Hipercze"/>
              </w:rPr>
              <w:t xml:space="preserve"> </w:t>
            </w:r>
          </w:p>
          <w:p w14:paraId="465CFC2B" w14:textId="77777777" w:rsidR="00DF65D6" w:rsidRPr="00A70D1B" w:rsidRDefault="00AC24C2" w:rsidP="00DF65D6">
            <w:pPr>
              <w:rPr>
                <w:rStyle w:val="Hipercze"/>
              </w:rPr>
            </w:pPr>
            <w:hyperlink r:id="rId41" w:tooltip="Link do słownika pojęć" w:history="1">
              <w:r w:rsidR="00DF65D6" w:rsidRPr="00A70D1B">
                <w:rPr>
                  <w:rStyle w:val="Hipercze"/>
                </w:rPr>
                <w:t>Bezrobotni według BAEL</w:t>
              </w:r>
            </w:hyperlink>
          </w:p>
          <w:p w14:paraId="7842D416" w14:textId="77777777" w:rsidR="00DF65D6" w:rsidRPr="00A70D1B" w:rsidRDefault="00AC24C2" w:rsidP="00DF65D6">
            <w:pPr>
              <w:rPr>
                <w:rStyle w:val="Hipercze"/>
              </w:rPr>
            </w:pPr>
            <w:hyperlink r:id="rId42" w:tooltip="Link do słownika pojęć" w:history="1">
              <w:r w:rsidR="00DF65D6" w:rsidRPr="00A70D1B">
                <w:rPr>
                  <w:rStyle w:val="Hipercze"/>
                </w:rPr>
                <w:t>Ludność bierna zawodowo według BAEL</w:t>
              </w:r>
            </w:hyperlink>
          </w:p>
          <w:p w14:paraId="36CF415C" w14:textId="77777777" w:rsidR="00DF65D6" w:rsidRPr="00A70D1B" w:rsidRDefault="00AC24C2" w:rsidP="00DF65D6">
            <w:pPr>
              <w:rPr>
                <w:rFonts w:cs="Times New Roman"/>
              </w:rPr>
            </w:pPr>
            <w:hyperlink r:id="rId43" w:tooltip="Link do słownika pojęć" w:history="1">
              <w:r w:rsidR="00DF65D6" w:rsidRPr="00A70D1B">
                <w:rPr>
                  <w:rStyle w:val="Hipercze"/>
                </w:rPr>
                <w:t>Współczynnik aktywności zawodowej ludności według BAEL</w:t>
              </w:r>
            </w:hyperlink>
          </w:p>
          <w:p w14:paraId="480B3984" w14:textId="77777777" w:rsidR="00DF65D6" w:rsidRPr="00A70D1B" w:rsidRDefault="00AC24C2" w:rsidP="00DF65D6">
            <w:pPr>
              <w:rPr>
                <w:rStyle w:val="Hipercze"/>
              </w:rPr>
            </w:pPr>
            <w:hyperlink r:id="rId44" w:tooltip="Link do słownika pojęć" w:history="1">
              <w:r w:rsidR="00DF65D6" w:rsidRPr="00A70D1B">
                <w:rPr>
                  <w:rStyle w:val="Hipercze"/>
                </w:rPr>
                <w:t>Wskaźnik zatrudnienia według BAEL</w:t>
              </w:r>
            </w:hyperlink>
          </w:p>
          <w:p w14:paraId="31573E52" w14:textId="3FE1C144" w:rsidR="00DF65D6" w:rsidRPr="00A70D1B" w:rsidRDefault="00AC24C2" w:rsidP="00DF65D6">
            <w:pPr>
              <w:rPr>
                <w:rFonts w:cs="Times New Roman"/>
                <w:color w:val="0000FF"/>
                <w:u w:val="single"/>
              </w:rPr>
            </w:pPr>
            <w:hyperlink r:id="rId45" w:tooltip="Linik do słownika pojęć" w:history="1">
              <w:r w:rsidR="00DF65D6" w:rsidRPr="00A70D1B">
                <w:rPr>
                  <w:rStyle w:val="Hipercze"/>
                </w:rPr>
                <w:t>Stopa bezrobocia według BAEL</w:t>
              </w:r>
            </w:hyperlink>
          </w:p>
        </w:tc>
      </w:tr>
    </w:tbl>
    <w:tbl>
      <w:tblPr>
        <w:tblStyle w:val="Tabela-Siatka11"/>
        <w:tblW w:w="9851" w:type="dxa"/>
        <w:tblBorders>
          <w:left w:val="none" w:sz="0" w:space="0" w:color="auto"/>
          <w:right w:val="none" w:sz="0" w:space="0" w:color="auto"/>
        </w:tblBorders>
        <w:tblLook w:val="04A0" w:firstRow="1" w:lastRow="0" w:firstColumn="1" w:lastColumn="0" w:noHBand="0" w:noVBand="1"/>
      </w:tblPr>
      <w:tblGrid>
        <w:gridCol w:w="9851"/>
      </w:tblGrid>
      <w:tr w:rsidR="000F2CA6" w:rsidRPr="000F2CA6" w14:paraId="7E83F6CE" w14:textId="77777777" w:rsidTr="00B07D3F">
        <w:trPr>
          <w:trHeight w:val="739"/>
        </w:trPr>
        <w:tc>
          <w:tcPr>
            <w:tcW w:w="9851" w:type="dxa"/>
          </w:tcPr>
          <w:p w14:paraId="596BB110" w14:textId="77777777" w:rsidR="000F2CA6" w:rsidRPr="00A70D1B" w:rsidRDefault="000F2CA6" w:rsidP="000F2CA6">
            <w:pPr>
              <w:spacing w:before="240" w:after="0" w:line="240" w:lineRule="auto"/>
              <w:jc w:val="center"/>
              <w:rPr>
                <w:sz w:val="21"/>
                <w:szCs w:val="21"/>
              </w:rPr>
            </w:pPr>
            <w:bookmarkStart w:id="14" w:name="_Hlk143371215"/>
            <w:r w:rsidRPr="00A70D1B">
              <w:rPr>
                <w:rFonts w:ascii="Consolas" w:hAnsi="Consolas"/>
                <w:b/>
                <w:noProof/>
                <w:color w:val="231F20"/>
                <w:szCs w:val="21"/>
                <w:lang w:eastAsia="pl-PL"/>
              </w:rPr>
              <w:drawing>
                <wp:anchor distT="0" distB="0" distL="114300" distR="114300" simplePos="0" relativeHeight="251950080" behindDoc="0" locked="0" layoutInCell="1" allowOverlap="1" wp14:anchorId="4907BDBE" wp14:editId="4906FA70">
                  <wp:simplePos x="0" y="0"/>
                  <wp:positionH relativeFrom="column">
                    <wp:align>center</wp:align>
                  </wp:positionH>
                  <wp:positionV relativeFrom="paragraph">
                    <wp:posOffset>3810</wp:posOffset>
                  </wp:positionV>
                  <wp:extent cx="921600" cy="608400"/>
                  <wp:effectExtent l="0" t="0" r="0" b="1270"/>
                  <wp:wrapNone/>
                  <wp:docPr id="2107687572" name="Obraz 2107687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flipV="1">
                            <a:off x="0" y="0"/>
                            <a:ext cx="921600" cy="608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49113" w14:textId="77777777" w:rsidR="000F2CA6" w:rsidRPr="00A70D1B" w:rsidRDefault="000F2CA6" w:rsidP="000F2CA6">
            <w:pPr>
              <w:spacing w:before="240" w:after="0" w:line="240" w:lineRule="auto"/>
              <w:jc w:val="center"/>
              <w:rPr>
                <w:sz w:val="21"/>
                <w:szCs w:val="21"/>
              </w:rPr>
            </w:pPr>
          </w:p>
          <w:p w14:paraId="79EE4CB5" w14:textId="77777777" w:rsidR="000F2CA6" w:rsidRPr="00A70D1B" w:rsidRDefault="000F2CA6" w:rsidP="000F2CA6">
            <w:pPr>
              <w:spacing w:before="0" w:after="0" w:line="240" w:lineRule="auto"/>
              <w:jc w:val="center"/>
              <w:rPr>
                <w:b/>
                <w:bCs/>
                <w:noProof/>
                <w:color w:val="231F20"/>
                <w:szCs w:val="21"/>
                <w:lang w:eastAsia="pl-PL"/>
              </w:rPr>
            </w:pPr>
            <w:r w:rsidRPr="00A70D1B">
              <w:rPr>
                <w:b/>
                <w:bCs/>
                <w:noProof/>
                <w:color w:val="231F20"/>
                <w:szCs w:val="21"/>
                <w:lang w:eastAsia="pl-PL"/>
              </w:rPr>
              <w:t>UNIA EUROPEJSKA</w:t>
            </w:r>
          </w:p>
          <w:p w14:paraId="4601AE8B" w14:textId="73B64E22" w:rsidR="000F2CA6" w:rsidRPr="00A70D1B" w:rsidRDefault="000F2CA6" w:rsidP="000F2CA6">
            <w:pPr>
              <w:spacing w:after="0" w:line="240" w:lineRule="auto"/>
              <w:jc w:val="center"/>
              <w:rPr>
                <w:sz w:val="21"/>
                <w:szCs w:val="21"/>
              </w:rPr>
            </w:pPr>
            <w:r w:rsidRPr="00A70D1B">
              <w:rPr>
                <w:sz w:val="21"/>
                <w:szCs w:val="21"/>
              </w:rPr>
              <w:t>Informacja zawiera wyniki badania "</w:t>
            </w:r>
            <w:r w:rsidR="00914CA5" w:rsidRPr="00A70D1B">
              <w:rPr>
                <w:sz w:val="21"/>
                <w:szCs w:val="21"/>
              </w:rPr>
              <w:t>Emerytury i renty oraz aktywność na rynku pracy</w:t>
            </w:r>
            <w:r w:rsidRPr="00A70D1B">
              <w:rPr>
                <w:sz w:val="21"/>
                <w:szCs w:val="21"/>
              </w:rPr>
              <w:t xml:space="preserve">" </w:t>
            </w:r>
          </w:p>
          <w:p w14:paraId="4991EED3" w14:textId="77777777" w:rsidR="000F2CA6" w:rsidRPr="000F2CA6" w:rsidRDefault="000F2CA6" w:rsidP="000F2CA6">
            <w:pPr>
              <w:spacing w:before="0" w:after="0" w:line="240" w:lineRule="auto"/>
              <w:jc w:val="center"/>
              <w:rPr>
                <w:sz w:val="21"/>
                <w:szCs w:val="21"/>
              </w:rPr>
            </w:pPr>
            <w:r w:rsidRPr="00A70D1B">
              <w:rPr>
                <w:sz w:val="21"/>
                <w:szCs w:val="21"/>
              </w:rPr>
              <w:t>współfinansowanego ze środków Unii Europejskiej</w:t>
            </w:r>
          </w:p>
        </w:tc>
      </w:tr>
      <w:bookmarkEnd w:id="14"/>
    </w:tbl>
    <w:p w14:paraId="606C86DF" w14:textId="4E895ED8" w:rsidR="00D44F2E" w:rsidRPr="00D44F2E" w:rsidRDefault="00D44F2E" w:rsidP="00B07D3F">
      <w:pPr>
        <w:spacing w:before="0" w:after="0"/>
        <w:rPr>
          <w:sz w:val="18"/>
        </w:rPr>
      </w:pPr>
    </w:p>
    <w:sectPr w:rsidR="00D44F2E" w:rsidRPr="00D44F2E" w:rsidSect="00DF65D6">
      <w:headerReference w:type="default" r:id="rId47"/>
      <w:footerReference w:type="default" r:id="rId48"/>
      <w:pgSz w:w="11906" w:h="16838"/>
      <w:pgMar w:top="720" w:right="3119" w:bottom="720" w:left="851"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8E0E2" w14:textId="77777777" w:rsidR="00AC24C2" w:rsidRDefault="00AC24C2" w:rsidP="000662E2">
      <w:pPr>
        <w:spacing w:after="0" w:line="240" w:lineRule="auto"/>
      </w:pPr>
      <w:r>
        <w:separator/>
      </w:r>
    </w:p>
  </w:endnote>
  <w:endnote w:type="continuationSeparator" w:id="0">
    <w:p w14:paraId="4520FB50" w14:textId="77777777" w:rsidR="00AC24C2" w:rsidRDefault="00AC24C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Extra Condensed">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0DB7B35B" w14:textId="77777777" w:rsidR="00830EC6" w:rsidRDefault="00830EC6" w:rsidP="003B18B6">
        <w:pPr>
          <w:pStyle w:val="Stopka"/>
          <w:jc w:val="center"/>
        </w:pPr>
        <w:r>
          <w:fldChar w:fldCharType="begin"/>
        </w:r>
        <w:r>
          <w:instrText>PAGE   \* MERGEFORMAT</w:instrText>
        </w:r>
        <w:r>
          <w:fldChar w:fldCharType="separate"/>
        </w:r>
        <w:r w:rsidR="00C94AF3">
          <w:rPr>
            <w:noProof/>
          </w:rPr>
          <w:t>17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1D209747" w14:textId="77777777" w:rsidR="00830EC6" w:rsidRDefault="00830EC6" w:rsidP="003B18B6">
        <w:pPr>
          <w:pStyle w:val="Stopka"/>
          <w:jc w:val="center"/>
        </w:pPr>
        <w:r>
          <w:fldChar w:fldCharType="begin"/>
        </w:r>
        <w:r>
          <w:instrText>PAGE   \* MERGEFORMAT</w:instrText>
        </w:r>
        <w:r>
          <w:fldChar w:fldCharType="separate"/>
        </w:r>
        <w:r w:rsidR="00C94AF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38E0D23E" w14:textId="77777777" w:rsidR="00830EC6" w:rsidRDefault="00830EC6" w:rsidP="00E524F8">
        <w:pPr>
          <w:pStyle w:val="Stopka"/>
          <w:tabs>
            <w:tab w:val="clear" w:pos="9072"/>
            <w:tab w:val="right" w:pos="8080"/>
          </w:tabs>
          <w:ind w:right="-13"/>
          <w:jc w:val="center"/>
        </w:pPr>
        <w:r>
          <w:fldChar w:fldCharType="begin"/>
        </w:r>
        <w:r>
          <w:instrText>PAGE   \* MERGEFORMAT</w:instrText>
        </w:r>
        <w:r>
          <w:fldChar w:fldCharType="separate"/>
        </w:r>
        <w:r w:rsidR="00C94AF3">
          <w:rPr>
            <w:noProof/>
          </w:rPr>
          <w:t>19</w:t>
        </w:r>
        <w:r>
          <w:fldChar w:fldCharType="end"/>
        </w:r>
      </w:p>
    </w:sdtContent>
  </w:sdt>
  <w:p w14:paraId="05215D77" w14:textId="77777777" w:rsidR="00830EC6" w:rsidRDefault="00830E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DFCE7" w14:textId="77777777" w:rsidR="00AC24C2" w:rsidRDefault="00AC24C2" w:rsidP="000662E2">
      <w:pPr>
        <w:spacing w:after="0" w:line="240" w:lineRule="auto"/>
      </w:pPr>
      <w:r>
        <w:separator/>
      </w:r>
    </w:p>
  </w:footnote>
  <w:footnote w:type="continuationSeparator" w:id="0">
    <w:p w14:paraId="0454BAF3" w14:textId="77777777" w:rsidR="00AC24C2" w:rsidRDefault="00AC24C2" w:rsidP="000662E2">
      <w:pPr>
        <w:spacing w:after="0" w:line="240" w:lineRule="auto"/>
      </w:pPr>
      <w:r>
        <w:continuationSeparator/>
      </w:r>
    </w:p>
  </w:footnote>
  <w:footnote w:id="1">
    <w:p w14:paraId="5DCBCA5E" w14:textId="5AC795D7" w:rsidR="00830EC6" w:rsidRPr="002653A4" w:rsidRDefault="00830EC6" w:rsidP="00320A9B">
      <w:pPr>
        <w:pStyle w:val="Tekstprzypisudolnego"/>
        <w:spacing w:before="0"/>
        <w:rPr>
          <w:rStyle w:val="Hipercze"/>
          <w:rFonts w:cstheme="minorBidi"/>
          <w:color w:val="auto"/>
          <w:sz w:val="18"/>
          <w:szCs w:val="18"/>
          <w:u w:val="none"/>
        </w:rPr>
      </w:pPr>
      <w:r w:rsidRPr="00D10972">
        <w:rPr>
          <w:rStyle w:val="Odwoanieprzypisudolnego"/>
          <w:sz w:val="18"/>
          <w:szCs w:val="18"/>
        </w:rPr>
        <w:footnoteRef/>
      </w:r>
      <w:r w:rsidRPr="00D10972">
        <w:rPr>
          <w:sz w:val="18"/>
          <w:szCs w:val="18"/>
        </w:rPr>
        <w:t xml:space="preserve"> </w:t>
      </w:r>
      <w:r w:rsidRPr="00D10972">
        <w:rPr>
          <w:rStyle w:val="Hipercze"/>
          <w:rFonts w:cstheme="minorBidi"/>
          <w:color w:val="auto"/>
          <w:sz w:val="18"/>
          <w:szCs w:val="18"/>
          <w:u w:val="none"/>
        </w:rPr>
        <w:t xml:space="preserve">Do uogólniania wyników badania na populację generalną zastosowano dane o ludności rezydującej Polski pochodzące z bilansów opracowanych </w:t>
      </w:r>
      <w:r w:rsidRPr="00D10972">
        <w:rPr>
          <w:rStyle w:val="Hipercze"/>
          <w:rFonts w:cstheme="minorBidi"/>
          <w:b/>
          <w:color w:val="auto"/>
          <w:sz w:val="18"/>
          <w:szCs w:val="18"/>
          <w:u w:val="none"/>
        </w:rPr>
        <w:t>na podstawie wyników Narodowego Spisu Powszechnego Ludności i Mieszkań/NSP 2021.</w:t>
      </w:r>
      <w:r w:rsidRPr="00D10972">
        <w:rPr>
          <w:rStyle w:val="Hipercze"/>
          <w:rFonts w:cstheme="minorBidi"/>
          <w:color w:val="auto"/>
          <w:sz w:val="18"/>
          <w:szCs w:val="18"/>
          <w:u w:val="none"/>
        </w:rPr>
        <w:t xml:space="preserve"> Dane za okres od 1 kw. 2021 r. do 3 kw. 2023 r. zostały przeliczone zgodnie z nową podstawą uogólniania wyników</w:t>
      </w:r>
      <w:r w:rsidR="00310ABE" w:rsidRPr="00D10972">
        <w:rPr>
          <w:rStyle w:val="Hipercze"/>
          <w:rFonts w:cstheme="minorBidi"/>
          <w:color w:val="auto"/>
          <w:sz w:val="18"/>
          <w:szCs w:val="18"/>
          <w:u w:val="none"/>
        </w:rPr>
        <w:t>.</w:t>
      </w:r>
      <w:r w:rsidRPr="00D10972">
        <w:rPr>
          <w:rStyle w:val="Hipercze"/>
          <w:rFonts w:cstheme="minorBidi"/>
          <w:color w:val="auto"/>
          <w:sz w:val="18"/>
          <w:szCs w:val="18"/>
          <w:u w:val="none"/>
        </w:rPr>
        <w:t xml:space="preserve"> Patrz uwagi metodologiczne na str. </w:t>
      </w:r>
      <w:r w:rsidR="00402DF3">
        <w:rPr>
          <w:rStyle w:val="Hipercze"/>
          <w:rFonts w:cstheme="minorBidi"/>
          <w:color w:val="auto"/>
          <w:sz w:val="18"/>
          <w:szCs w:val="18"/>
          <w:u w:val="none"/>
        </w:rPr>
        <w:t>15</w:t>
      </w:r>
      <w:r w:rsidRPr="00D10972">
        <w:rPr>
          <w:rStyle w:val="Hipercze"/>
          <w:rFonts w:cstheme="minorBidi"/>
          <w:color w:val="auto"/>
          <w:sz w:val="18"/>
          <w:szCs w:val="18"/>
          <w:u w:val="none"/>
        </w:rPr>
        <w:t>.</w:t>
      </w:r>
    </w:p>
  </w:footnote>
  <w:footnote w:id="2">
    <w:p w14:paraId="7AAB3947" w14:textId="3C3931DF" w:rsidR="00830EC6" w:rsidRPr="002653A4" w:rsidRDefault="00830EC6" w:rsidP="00320A9B">
      <w:pPr>
        <w:pStyle w:val="Tekstprzypisudolnego"/>
        <w:spacing w:before="0"/>
        <w:jc w:val="both"/>
        <w:rPr>
          <w:sz w:val="18"/>
          <w:szCs w:val="18"/>
          <w:highlight w:val="yellow"/>
        </w:rPr>
      </w:pPr>
      <w:r w:rsidRPr="002653A4">
        <w:rPr>
          <w:rStyle w:val="Odwoanieprzypisudolnego"/>
          <w:sz w:val="18"/>
          <w:szCs w:val="18"/>
        </w:rPr>
        <w:footnoteRef/>
      </w:r>
      <w:r w:rsidRPr="002653A4">
        <w:rPr>
          <w:sz w:val="18"/>
          <w:szCs w:val="18"/>
        </w:rPr>
        <w:t xml:space="preserve"> </w:t>
      </w:r>
      <w:r w:rsidRPr="002653A4">
        <w:rPr>
          <w:rStyle w:val="Hipercze"/>
          <w:rFonts w:cstheme="minorBidi"/>
          <w:color w:val="auto"/>
          <w:sz w:val="18"/>
          <w:szCs w:val="18"/>
          <w:u w:val="none"/>
        </w:rPr>
        <w:t xml:space="preserve">Wyniki BAEL odnoszą się do ludności przebywającej lub zamierzającej przebywać na terenie kraju co najmniej 12 miesięcy, zamieszkałej w gospodarstwach domowych. </w:t>
      </w:r>
    </w:p>
  </w:footnote>
  <w:footnote w:id="3">
    <w:p w14:paraId="2DB283FF" w14:textId="77777777" w:rsidR="00830EC6" w:rsidRPr="00862514" w:rsidRDefault="00830EC6" w:rsidP="00320A9B">
      <w:pPr>
        <w:autoSpaceDE w:val="0"/>
        <w:autoSpaceDN w:val="0"/>
        <w:adjustRightInd w:val="0"/>
        <w:spacing w:before="0" w:after="0" w:line="240" w:lineRule="auto"/>
        <w:rPr>
          <w:sz w:val="18"/>
          <w:szCs w:val="18"/>
        </w:rPr>
      </w:pPr>
      <w:r w:rsidRPr="002653A4">
        <w:rPr>
          <w:rStyle w:val="Odwoanieprzypisudolnego"/>
          <w:sz w:val="18"/>
          <w:szCs w:val="18"/>
        </w:rPr>
        <w:footnoteRef/>
      </w:r>
      <w:r w:rsidRPr="002653A4">
        <w:rPr>
          <w:rStyle w:val="Hipercze"/>
          <w:rFonts w:cstheme="minorBidi"/>
          <w:color w:val="auto"/>
          <w:sz w:val="18"/>
          <w:szCs w:val="18"/>
          <w:u w:val="none"/>
        </w:rPr>
        <w:t xml:space="preserve"> Mężczyźni w</w:t>
      </w:r>
      <w:r w:rsidRPr="00862514">
        <w:rPr>
          <w:rStyle w:val="Hipercze"/>
          <w:rFonts w:cstheme="minorBidi"/>
          <w:color w:val="auto"/>
          <w:sz w:val="18"/>
          <w:szCs w:val="18"/>
          <w:u w:val="none"/>
        </w:rPr>
        <w:t xml:space="preserve"> wieku 18-64 lata i kobiety w wieku 18-59 lat.</w:t>
      </w:r>
    </w:p>
  </w:footnote>
  <w:footnote w:id="4">
    <w:p w14:paraId="43F1211C" w14:textId="5ED03E9E" w:rsidR="00830EC6" w:rsidRPr="000D6B9D" w:rsidRDefault="00830EC6" w:rsidP="00D81413">
      <w:pPr>
        <w:pStyle w:val="Tekstprzypisudolnego"/>
        <w:spacing w:before="0"/>
        <w:rPr>
          <w:sz w:val="18"/>
          <w:szCs w:val="18"/>
        </w:rPr>
      </w:pPr>
      <w:r w:rsidRPr="000D6B9D">
        <w:rPr>
          <w:rStyle w:val="Odwoanieprzypisudolnego"/>
          <w:sz w:val="18"/>
          <w:szCs w:val="18"/>
        </w:rPr>
        <w:footnoteRef/>
      </w:r>
      <w:r w:rsidRPr="000D6B9D">
        <w:rPr>
          <w:sz w:val="18"/>
          <w:szCs w:val="18"/>
        </w:rPr>
        <w:t xml:space="preserve"> Pracę w domu wykonują np. osoby</w:t>
      </w:r>
      <w:r>
        <w:rPr>
          <w:sz w:val="18"/>
          <w:szCs w:val="18"/>
        </w:rPr>
        <w:t>,</w:t>
      </w:r>
      <w:r w:rsidRPr="000D6B9D">
        <w:rPr>
          <w:sz w:val="18"/>
          <w:szCs w:val="18"/>
        </w:rPr>
        <w:t xml:space="preserve"> które prowadzą działalność gospodarczą i dom jest dla nich miejscem pracy oraz pracownicy zatrudnieni (najemni) wykonujący pracę w domu w formie pracy zdalnej.</w:t>
      </w:r>
    </w:p>
  </w:footnote>
  <w:footnote w:id="5">
    <w:p w14:paraId="4CDA303F" w14:textId="75FF2BE1" w:rsidR="00830EC6" w:rsidRPr="001F5C8D" w:rsidRDefault="00830EC6" w:rsidP="00B704FE">
      <w:pPr>
        <w:pStyle w:val="Tekstprzypisudolnego"/>
        <w:spacing w:before="0"/>
        <w:rPr>
          <w:sz w:val="18"/>
          <w:szCs w:val="18"/>
        </w:rPr>
      </w:pPr>
      <w:r w:rsidRPr="000D6B9D">
        <w:rPr>
          <w:rStyle w:val="Odwoanieprzypisudolnego"/>
          <w:sz w:val="18"/>
          <w:szCs w:val="18"/>
        </w:rPr>
        <w:footnoteRef/>
      </w:r>
      <w:r w:rsidRPr="000D6B9D">
        <w:rPr>
          <w:sz w:val="18"/>
          <w:szCs w:val="18"/>
        </w:rPr>
        <w:t xml:space="preserve"> Praca zdalna jest wykonywana poza zakładem pracy przy wykorzystaniu środków komunikacji elektronicznej.</w:t>
      </w:r>
    </w:p>
  </w:footnote>
  <w:footnote w:id="6">
    <w:p w14:paraId="79DC316B" w14:textId="20D4FA71" w:rsidR="00830EC6" w:rsidRDefault="00830EC6" w:rsidP="00320A9B">
      <w:pPr>
        <w:pStyle w:val="Tekstprzypisudolnego"/>
        <w:spacing w:before="0"/>
      </w:pPr>
      <w:r w:rsidRPr="002653A4">
        <w:rPr>
          <w:rStyle w:val="Odwoanieprzypisudolnego"/>
          <w:sz w:val="18"/>
          <w:szCs w:val="18"/>
        </w:rPr>
        <w:footnoteRef/>
      </w:r>
      <w:r w:rsidRPr="002653A4">
        <w:rPr>
          <w:sz w:val="18"/>
          <w:szCs w:val="18"/>
        </w:rPr>
        <w:t xml:space="preserve"> </w:t>
      </w:r>
      <w:r>
        <w:rPr>
          <w:sz w:val="18"/>
          <w:szCs w:val="18"/>
        </w:rPr>
        <w:t>P</w:t>
      </w:r>
      <w:r w:rsidRPr="009362C5">
        <w:rPr>
          <w:sz w:val="18"/>
          <w:szCs w:val="18"/>
        </w:rPr>
        <w:t xml:space="preserve">rzeciętny </w:t>
      </w:r>
      <w:r>
        <w:rPr>
          <w:sz w:val="18"/>
          <w:szCs w:val="18"/>
        </w:rPr>
        <w:t>czas</w:t>
      </w:r>
      <w:r w:rsidRPr="009362C5">
        <w:rPr>
          <w:sz w:val="18"/>
          <w:szCs w:val="18"/>
        </w:rPr>
        <w:t xml:space="preserve"> poszukiwania p</w:t>
      </w:r>
      <w:r>
        <w:rPr>
          <w:sz w:val="18"/>
          <w:szCs w:val="18"/>
        </w:rPr>
        <w:t>racy</w:t>
      </w:r>
      <w:r w:rsidRPr="009362C5">
        <w:rPr>
          <w:sz w:val="18"/>
          <w:szCs w:val="18"/>
        </w:rPr>
        <w:t xml:space="preserve"> </w:t>
      </w:r>
      <w:r>
        <w:rPr>
          <w:sz w:val="18"/>
          <w:szCs w:val="18"/>
        </w:rPr>
        <w:t xml:space="preserve">to okres, </w:t>
      </w:r>
      <w:r w:rsidRPr="00C55E20">
        <w:rPr>
          <w:b/>
          <w:sz w:val="18"/>
          <w:szCs w:val="18"/>
        </w:rPr>
        <w:t>od którego</w:t>
      </w:r>
      <w:r w:rsidRPr="009362C5">
        <w:rPr>
          <w:sz w:val="18"/>
          <w:szCs w:val="18"/>
        </w:rPr>
        <w:t xml:space="preserve"> osoby bezrobotne jej poszukują, ponieważ w większości </w:t>
      </w:r>
      <w:r>
        <w:rPr>
          <w:sz w:val="18"/>
          <w:szCs w:val="18"/>
        </w:rPr>
        <w:t xml:space="preserve">przypadków osoby te jeszcze </w:t>
      </w:r>
      <w:r w:rsidRPr="009362C5">
        <w:rPr>
          <w:sz w:val="18"/>
          <w:szCs w:val="18"/>
        </w:rPr>
        <w:t>nie znalazły</w:t>
      </w:r>
      <w:r>
        <w:rPr>
          <w:sz w:val="18"/>
          <w:szCs w:val="18"/>
        </w:rPr>
        <w:t xml:space="preserve"> pracy</w:t>
      </w:r>
      <w:r w:rsidRPr="009362C5">
        <w:rPr>
          <w:sz w:val="18"/>
          <w:szCs w:val="18"/>
        </w:rPr>
        <w:t>.</w:t>
      </w:r>
    </w:p>
  </w:footnote>
  <w:footnote w:id="7">
    <w:p w14:paraId="68114C53" w14:textId="1C72D558" w:rsidR="002653A4" w:rsidRPr="002653A4" w:rsidRDefault="002653A4" w:rsidP="002653A4">
      <w:pPr>
        <w:pStyle w:val="Tekstprzypisudolnego"/>
        <w:spacing w:before="0"/>
        <w:rPr>
          <w:sz w:val="18"/>
          <w:szCs w:val="18"/>
        </w:rPr>
      </w:pPr>
      <w:r w:rsidRPr="002653A4">
        <w:rPr>
          <w:rStyle w:val="Odwoanieprzypisudolnego"/>
          <w:sz w:val="18"/>
          <w:szCs w:val="18"/>
        </w:rPr>
        <w:footnoteRef/>
      </w:r>
      <w:r w:rsidRPr="002653A4">
        <w:rPr>
          <w:sz w:val="18"/>
          <w:szCs w:val="18"/>
        </w:rPr>
        <w:t xml:space="preserve"> Wyniki badania modułowego BAEL, patrz Uwagi metodologiczne</w:t>
      </w:r>
      <w:r w:rsidR="00D06EB3">
        <w:rPr>
          <w:sz w:val="18"/>
          <w:szCs w:val="18"/>
        </w:rPr>
        <w:t xml:space="preserve"> na str. 15</w:t>
      </w:r>
      <w:r w:rsidRPr="002653A4">
        <w:rPr>
          <w:sz w:val="18"/>
          <w:szCs w:val="18"/>
        </w:rPr>
        <w:t>.</w:t>
      </w:r>
    </w:p>
  </w:footnote>
  <w:footnote w:id="8">
    <w:p w14:paraId="5A237812" w14:textId="3B2867A4" w:rsidR="001E2A42" w:rsidRPr="001E2A42" w:rsidRDefault="001E2A42" w:rsidP="001E2A42">
      <w:pPr>
        <w:pStyle w:val="Tekstprzypisudolnego"/>
        <w:spacing w:before="0"/>
        <w:rPr>
          <w:sz w:val="18"/>
          <w:szCs w:val="18"/>
        </w:rPr>
      </w:pPr>
      <w:r w:rsidRPr="001E2A42">
        <w:rPr>
          <w:rStyle w:val="Odwoanieprzypisudolnego"/>
          <w:sz w:val="18"/>
          <w:szCs w:val="18"/>
        </w:rPr>
        <w:footnoteRef/>
      </w:r>
      <w:r w:rsidRPr="001E2A42">
        <w:rPr>
          <w:sz w:val="18"/>
          <w:szCs w:val="18"/>
        </w:rPr>
        <w:t xml:space="preserve"> Górna granica wieku produkcyjnego kobiet – 59 lat, mężczyzn – 64 lata.</w:t>
      </w:r>
    </w:p>
  </w:footnote>
  <w:footnote w:id="9">
    <w:p w14:paraId="4310C7CB" w14:textId="6D930D28" w:rsidR="007B2B2D" w:rsidRPr="007B2B2D" w:rsidRDefault="007B2B2D" w:rsidP="007B2B2D">
      <w:pPr>
        <w:pStyle w:val="Tekstprzypisudolnego"/>
        <w:spacing w:before="0"/>
        <w:rPr>
          <w:sz w:val="18"/>
          <w:szCs w:val="18"/>
        </w:rPr>
      </w:pPr>
      <w:r w:rsidRPr="007B2B2D">
        <w:rPr>
          <w:rStyle w:val="Odwoanieprzypisudolnego"/>
          <w:sz w:val="18"/>
          <w:szCs w:val="18"/>
        </w:rPr>
        <w:footnoteRef/>
      </w:r>
      <w:r w:rsidRPr="007B2B2D">
        <w:rPr>
          <w:sz w:val="18"/>
          <w:szCs w:val="18"/>
        </w:rPr>
        <w:t xml:space="preserve"> Dla 0,8% osób nie uzyskano odpowiedzi dot. sytuacji na rynku pracy w pierwszych sześciu miesiącach od przejścia na emeryturę.</w:t>
      </w:r>
    </w:p>
  </w:footnote>
  <w:footnote w:id="10">
    <w:p w14:paraId="6DF07386" w14:textId="0539085C" w:rsidR="007B2B2D" w:rsidRPr="007B2B2D" w:rsidRDefault="007B2B2D" w:rsidP="007B2B2D">
      <w:pPr>
        <w:pStyle w:val="Tekstprzypisudolnego"/>
        <w:spacing w:before="0"/>
        <w:rPr>
          <w:sz w:val="18"/>
          <w:szCs w:val="18"/>
        </w:rPr>
      </w:pPr>
      <w:r w:rsidRPr="007B2B2D">
        <w:rPr>
          <w:rStyle w:val="Odwoanieprzypisudolnego"/>
          <w:sz w:val="18"/>
          <w:szCs w:val="18"/>
        </w:rPr>
        <w:footnoteRef/>
      </w:r>
      <w:r w:rsidRPr="007B2B2D">
        <w:rPr>
          <w:sz w:val="18"/>
          <w:szCs w:val="18"/>
        </w:rPr>
        <w:t xml:space="preserve"> Maksymalny ustawowy wiek emerytalny oznacza wiek, w którym pracownik jest zmuszony przez prawo do odejścia z obecnej pracy – może to dotyczyć pracy w wybranych zawodach – np. sędzia jest przenoszony w stan spoczynku w wieku 65 lat.</w:t>
      </w:r>
    </w:p>
  </w:footnote>
  <w:footnote w:id="11">
    <w:p w14:paraId="6CC1D416" w14:textId="6903739D" w:rsidR="00772E57" w:rsidRPr="00772E57" w:rsidRDefault="00772E57" w:rsidP="00772E57">
      <w:pPr>
        <w:pStyle w:val="Tekstprzypisudolnego"/>
        <w:spacing w:before="0"/>
        <w:jc w:val="both"/>
        <w:rPr>
          <w:sz w:val="18"/>
          <w:szCs w:val="18"/>
        </w:rPr>
      </w:pPr>
      <w:r w:rsidRPr="00772E57">
        <w:rPr>
          <w:rStyle w:val="Odwoanieprzypisudolnego"/>
          <w:sz w:val="18"/>
          <w:szCs w:val="18"/>
        </w:rPr>
        <w:footnoteRef/>
      </w:r>
      <w:r w:rsidRPr="00772E57">
        <w:rPr>
          <w:sz w:val="18"/>
          <w:szCs w:val="18"/>
        </w:rPr>
        <w:t xml:space="preserve"> Podane dane dotyczące osób pobierających rentę inwalidzką, mogą też obejmować osoby pobierające inne niż renta świadczenia społeczne z tytułu niezdolności do pracy. Dla uproszczenia, w niniejszym opracowaniu wszystkich określono terminem „renciści”.</w:t>
      </w:r>
    </w:p>
  </w:footnote>
  <w:footnote w:id="12">
    <w:p w14:paraId="3D218D3F" w14:textId="327C69F3" w:rsidR="00D460B0" w:rsidRPr="00D460B0" w:rsidRDefault="00D460B0" w:rsidP="00EF7DF5">
      <w:pPr>
        <w:pStyle w:val="Tekstprzypisudolnego"/>
        <w:spacing w:before="0"/>
        <w:rPr>
          <w:sz w:val="18"/>
          <w:szCs w:val="18"/>
        </w:rPr>
      </w:pPr>
      <w:r w:rsidRPr="00D460B0">
        <w:rPr>
          <w:rStyle w:val="Odwoanieprzypisudolnego"/>
          <w:sz w:val="18"/>
          <w:szCs w:val="18"/>
        </w:rPr>
        <w:footnoteRef/>
      </w:r>
      <w:r w:rsidRPr="00D460B0">
        <w:rPr>
          <w:sz w:val="18"/>
          <w:szCs w:val="18"/>
        </w:rPr>
        <w:t xml:space="preserve"> Rozporządzenie Parlamentu Europejskiego i Rady (UE) 2019/1700 z dnia 10 października 2019 r. ustanawiające wspólne ramy statystyk europejskich dotyczących osób i gospodarstw domowych, opartych na danych na poziomie indywidualnym zbieranych metodą doboru próby. </w:t>
      </w:r>
    </w:p>
  </w:footnote>
  <w:footnote w:id="13">
    <w:p w14:paraId="3781F9F5" w14:textId="77777777" w:rsidR="00BF6E67" w:rsidRPr="00BF6E67" w:rsidRDefault="00BF6E67" w:rsidP="00BF6E67">
      <w:pPr>
        <w:pStyle w:val="Tekstprzypisudolnego"/>
        <w:spacing w:before="0"/>
        <w:jc w:val="both"/>
        <w:rPr>
          <w:sz w:val="18"/>
          <w:szCs w:val="18"/>
        </w:rPr>
      </w:pPr>
      <w:r w:rsidRPr="00BF6E67">
        <w:rPr>
          <w:rStyle w:val="Odwoanieprzypisudolnego"/>
          <w:sz w:val="18"/>
          <w:szCs w:val="18"/>
        </w:rPr>
        <w:footnoteRef/>
      </w:r>
      <w:r w:rsidRPr="00BF6E67">
        <w:rPr>
          <w:sz w:val="18"/>
          <w:szCs w:val="18"/>
        </w:rPr>
        <w:t xml:space="preserve"> Zgodnie z harmonogramem ujętym w rozporządzeniu delegowanym (UE) 2020/256 dotyczącym wieloletniego planowania kroczącego.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0CB5" w14:textId="77777777" w:rsidR="00830EC6" w:rsidRDefault="00830EC6">
    <w:pPr>
      <w:pStyle w:val="Nagwek"/>
    </w:pPr>
    <w:r>
      <w:rPr>
        <w:noProof/>
        <w:lang w:eastAsia="pl-PL"/>
      </w:rPr>
      <mc:AlternateContent>
        <mc:Choice Requires="wps">
          <w:drawing>
            <wp:anchor distT="0" distB="0" distL="114300" distR="114300" simplePos="0" relativeHeight="251673600" behindDoc="1" locked="0" layoutInCell="1" allowOverlap="1" wp14:anchorId="6714B679" wp14:editId="20A92B08">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D4606"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46E46494" w14:textId="77777777" w:rsidR="00830EC6" w:rsidRDefault="00830E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69997" w14:textId="77777777" w:rsidR="00830EC6" w:rsidRDefault="00830EC6">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14E49B0A" wp14:editId="211C8CE7">
          <wp:simplePos x="0" y="0"/>
          <wp:positionH relativeFrom="column">
            <wp:posOffset>13335</wp:posOffset>
          </wp:positionH>
          <wp:positionV relativeFrom="paragraph">
            <wp:posOffset>153670</wp:posOffset>
          </wp:positionV>
          <wp:extent cx="1125855" cy="431800"/>
          <wp:effectExtent l="0" t="0" r="0" b="6350"/>
          <wp:wrapSquare wrapText="bothSides"/>
          <wp:docPr id="29" name="Obraz 29"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rotWithShape="1">
                  <a:blip r:embed="rId1" cstate="print">
                    <a:extLst>
                      <a:ext uri="{28A0092B-C50C-407E-A947-70E740481C1C}">
                        <a14:useLocalDpi xmlns:a14="http://schemas.microsoft.com/office/drawing/2010/main" val="0"/>
                      </a:ext>
                    </a:extLst>
                  </a:blip>
                  <a:srcRect l="4276" t="19342" r="59741" b="19726"/>
                  <a:stretch/>
                </pic:blipFill>
                <pic:spPr bwMode="auto">
                  <a:xfrm>
                    <a:off x="0" y="0"/>
                    <a:ext cx="1125855" cy="43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F37172">
      <w:rPr>
        <w:noProof/>
        <w:lang w:eastAsia="pl-PL"/>
      </w:rPr>
      <mc:AlternateContent>
        <mc:Choice Requires="wps">
          <w:drawing>
            <wp:anchor distT="0" distB="0" distL="114300" distR="114300" simplePos="0" relativeHeight="251668480" behindDoc="0" locked="0" layoutInCell="1" allowOverlap="1" wp14:anchorId="5F562B38" wp14:editId="07C4F11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372AB0" w14:textId="77777777" w:rsidR="00830EC6" w:rsidRPr="003C6C8D" w:rsidRDefault="00830EC6" w:rsidP="005D2F6B">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62B38" id="Schemat blokowy: opóźnienie 6" o:spid="_x0000_s1049" alt="Napis &quot;Informacja sygnalna&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F372AB0" w14:textId="77777777" w:rsidR="00830EC6" w:rsidRPr="003C6C8D" w:rsidRDefault="00830EC6" w:rsidP="005D2F6B">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962C359" wp14:editId="4CECF0B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3291B"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02CF1804" w14:textId="77777777" w:rsidR="00830EC6" w:rsidRDefault="00830EC6">
    <w:pPr>
      <w:pStyle w:val="Nagwek"/>
      <w:rPr>
        <w:noProof/>
        <w:lang w:eastAsia="pl-PL"/>
      </w:rPr>
    </w:pPr>
  </w:p>
  <w:p w14:paraId="5DD902FB" w14:textId="77777777" w:rsidR="00830EC6" w:rsidRDefault="00830EC6">
    <w:pPr>
      <w:pStyle w:val="Nagwek"/>
      <w:rPr>
        <w:noProof/>
        <w:lang w:eastAsia="pl-PL"/>
      </w:rPr>
    </w:pPr>
  </w:p>
  <w:p w14:paraId="6954337F" w14:textId="77777777" w:rsidR="00830EC6" w:rsidRDefault="00830EC6">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38DA9B74" wp14:editId="2F47C133">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 26.08.2024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8B76691" w14:textId="115F71DA" w:rsidR="00830EC6" w:rsidRPr="00A01B40" w:rsidRDefault="00830EC6" w:rsidP="00F049AB">
                          <w:pPr>
                            <w:pStyle w:val="Datainformacjisygnalnej"/>
                          </w:pPr>
                          <w:r>
                            <w:t>2</w:t>
                          </w:r>
                          <w:r w:rsidR="007E4E3A">
                            <w:t>6</w:t>
                          </w:r>
                          <w:r>
                            <w:t>.0</w:t>
                          </w:r>
                          <w:r w:rsidR="007E4E3A">
                            <w:t>8</w:t>
                          </w:r>
                          <w:r>
                            <w:t>.2024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DA9B74" id="_x0000_t202" coordsize="21600,21600" o:spt="202" path="m,l,21600r21600,l21600,xe">
              <v:stroke joinstyle="miter"/>
              <v:path gradientshapeok="t" o:connecttype="rect"/>
            </v:shapetype>
            <v:shape id="_x0000_s1050" type="#_x0000_t202" alt="Data publikacji informacji sygnalnej: 26.08.2024 r."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" filled="f" stroked="f">
              <v:textbox>
                <w:txbxContent>
                  <w:p w14:paraId="58B76691" w14:textId="115F71DA" w:rsidR="00830EC6" w:rsidRPr="00A01B40" w:rsidRDefault="00830EC6" w:rsidP="00F049AB">
                    <w:pPr>
                      <w:pStyle w:val="Datainformacjisygnalnej"/>
                    </w:pPr>
                    <w:r>
                      <w:t>2</w:t>
                    </w:r>
                    <w:r w:rsidR="007E4E3A">
                      <w:t>6</w:t>
                    </w:r>
                    <w:r>
                      <w:t>.0</w:t>
                    </w:r>
                    <w:r w:rsidR="007E4E3A">
                      <w:t>8</w:t>
                    </w:r>
                    <w:r>
                      <w:t>.2024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B007" w14:textId="77777777" w:rsidR="00830EC6" w:rsidRDefault="00830EC6">
    <w:pPr>
      <w:pStyle w:val="Nagwek"/>
    </w:pPr>
  </w:p>
  <w:p w14:paraId="5472A5C1" w14:textId="77777777" w:rsidR="00830EC6" w:rsidRDefault="00830EC6">
    <w:pPr>
      <w:pStyle w:val="Nagwek"/>
    </w:pPr>
  </w:p>
  <w:p w14:paraId="2EEAAD05" w14:textId="77777777" w:rsidR="00830EC6" w:rsidRDefault="00830E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23.5pt;height:125pt;visibility:visible;mso-wrap-style:square" o:bullet="t">
        <v:imagedata r:id="rId1" o:title=""/>
      </v:shape>
    </w:pict>
  </w:numPicBullet>
  <w:numPicBullet w:numPicBulletId="1">
    <w:pict>
      <v:shape id="_x0000_i1125" type="#_x0000_t75" style="width:124pt;height:125pt;visibility:visible;mso-wrap-style:square" o:bullet="t">
        <v:imagedata r:id="rId2" o:title=""/>
      </v:shape>
    </w:pict>
  </w:numPicBullet>
  <w:abstractNum w:abstractNumId="0" w15:restartNumberingAfterBreak="0">
    <w:nsid w:val="07FB69B7"/>
    <w:multiLevelType w:val="hybridMultilevel"/>
    <w:tmpl w:val="A1221E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2"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8" w15:restartNumberingAfterBreak="0">
    <w:nsid w:val="3CF54088"/>
    <w:multiLevelType w:val="hybridMultilevel"/>
    <w:tmpl w:val="EBD04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B968AE"/>
    <w:multiLevelType w:val="hybridMultilevel"/>
    <w:tmpl w:val="40B03494"/>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0"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92B6579"/>
    <w:multiLevelType w:val="hybridMultilevel"/>
    <w:tmpl w:val="E77C03CC"/>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6"/>
  </w:num>
  <w:num w:numId="2">
    <w:abstractNumId w:val="2"/>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8"/>
  </w:num>
  <w:num w:numId="9">
    <w:abstractNumId w:val="11"/>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trackedChanges" w:enforcement="0"/>
  <w:defaultTabStop w:val="709"/>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079"/>
    <w:rsid w:val="00001965"/>
    <w:rsid w:val="00001C5B"/>
    <w:rsid w:val="00002397"/>
    <w:rsid w:val="00003437"/>
    <w:rsid w:val="000039D9"/>
    <w:rsid w:val="00004776"/>
    <w:rsid w:val="000047AB"/>
    <w:rsid w:val="00004B7B"/>
    <w:rsid w:val="00004F8C"/>
    <w:rsid w:val="00005312"/>
    <w:rsid w:val="00005E55"/>
    <w:rsid w:val="00006256"/>
    <w:rsid w:val="0000709F"/>
    <w:rsid w:val="000108B8"/>
    <w:rsid w:val="000112CC"/>
    <w:rsid w:val="0001158C"/>
    <w:rsid w:val="0001187A"/>
    <w:rsid w:val="000126C1"/>
    <w:rsid w:val="00012DB5"/>
    <w:rsid w:val="0001372E"/>
    <w:rsid w:val="00013F2B"/>
    <w:rsid w:val="00014AAF"/>
    <w:rsid w:val="000152F5"/>
    <w:rsid w:val="000162CD"/>
    <w:rsid w:val="00017101"/>
    <w:rsid w:val="00020141"/>
    <w:rsid w:val="0002068A"/>
    <w:rsid w:val="00022721"/>
    <w:rsid w:val="00022794"/>
    <w:rsid w:val="00023149"/>
    <w:rsid w:val="0002330C"/>
    <w:rsid w:val="0002364D"/>
    <w:rsid w:val="00023C3D"/>
    <w:rsid w:val="0002415C"/>
    <w:rsid w:val="000245D8"/>
    <w:rsid w:val="00024722"/>
    <w:rsid w:val="00025184"/>
    <w:rsid w:val="000257D6"/>
    <w:rsid w:val="000260E5"/>
    <w:rsid w:val="000269AA"/>
    <w:rsid w:val="00030267"/>
    <w:rsid w:val="0003183F"/>
    <w:rsid w:val="00031C1A"/>
    <w:rsid w:val="000321F9"/>
    <w:rsid w:val="00032359"/>
    <w:rsid w:val="00032BAB"/>
    <w:rsid w:val="00032DF1"/>
    <w:rsid w:val="00032E85"/>
    <w:rsid w:val="00034303"/>
    <w:rsid w:val="00034B35"/>
    <w:rsid w:val="00035E77"/>
    <w:rsid w:val="00036009"/>
    <w:rsid w:val="000422A6"/>
    <w:rsid w:val="00042F82"/>
    <w:rsid w:val="000436E6"/>
    <w:rsid w:val="00043D6D"/>
    <w:rsid w:val="0004582E"/>
    <w:rsid w:val="00045E5C"/>
    <w:rsid w:val="000462F6"/>
    <w:rsid w:val="000470AA"/>
    <w:rsid w:val="00050775"/>
    <w:rsid w:val="0005078B"/>
    <w:rsid w:val="000508D8"/>
    <w:rsid w:val="0005146B"/>
    <w:rsid w:val="000518AC"/>
    <w:rsid w:val="00052C14"/>
    <w:rsid w:val="00053422"/>
    <w:rsid w:val="0005623E"/>
    <w:rsid w:val="00057CA1"/>
    <w:rsid w:val="0006033B"/>
    <w:rsid w:val="00061059"/>
    <w:rsid w:val="00061150"/>
    <w:rsid w:val="00061467"/>
    <w:rsid w:val="000622CE"/>
    <w:rsid w:val="00063066"/>
    <w:rsid w:val="000647A9"/>
    <w:rsid w:val="00064C0A"/>
    <w:rsid w:val="00064FB1"/>
    <w:rsid w:val="000652DC"/>
    <w:rsid w:val="00065F6F"/>
    <w:rsid w:val="00066297"/>
    <w:rsid w:val="000662E2"/>
    <w:rsid w:val="00066883"/>
    <w:rsid w:val="00067892"/>
    <w:rsid w:val="00070039"/>
    <w:rsid w:val="00070561"/>
    <w:rsid w:val="000708BE"/>
    <w:rsid w:val="00070E64"/>
    <w:rsid w:val="0007124A"/>
    <w:rsid w:val="00071758"/>
    <w:rsid w:val="00071B39"/>
    <w:rsid w:val="00071BE7"/>
    <w:rsid w:val="0007294E"/>
    <w:rsid w:val="00072989"/>
    <w:rsid w:val="00074116"/>
    <w:rsid w:val="0007497D"/>
    <w:rsid w:val="00074DD8"/>
    <w:rsid w:val="00074FE9"/>
    <w:rsid w:val="00075635"/>
    <w:rsid w:val="00075759"/>
    <w:rsid w:val="000758F8"/>
    <w:rsid w:val="00076435"/>
    <w:rsid w:val="00077344"/>
    <w:rsid w:val="00077CE9"/>
    <w:rsid w:val="00077D8F"/>
    <w:rsid w:val="000806F7"/>
    <w:rsid w:val="00080B70"/>
    <w:rsid w:val="0008392C"/>
    <w:rsid w:val="00083A97"/>
    <w:rsid w:val="00083CCC"/>
    <w:rsid w:val="00084120"/>
    <w:rsid w:val="00084A24"/>
    <w:rsid w:val="00084B97"/>
    <w:rsid w:val="00085276"/>
    <w:rsid w:val="0008564F"/>
    <w:rsid w:val="000858EC"/>
    <w:rsid w:val="000860F1"/>
    <w:rsid w:val="00086438"/>
    <w:rsid w:val="00087835"/>
    <w:rsid w:val="0009015B"/>
    <w:rsid w:val="00090630"/>
    <w:rsid w:val="00091928"/>
    <w:rsid w:val="00091EAF"/>
    <w:rsid w:val="0009218B"/>
    <w:rsid w:val="00093281"/>
    <w:rsid w:val="000941C8"/>
    <w:rsid w:val="00094BA6"/>
    <w:rsid w:val="00095411"/>
    <w:rsid w:val="00095A5D"/>
    <w:rsid w:val="0009688C"/>
    <w:rsid w:val="00096A94"/>
    <w:rsid w:val="00096EBF"/>
    <w:rsid w:val="00097668"/>
    <w:rsid w:val="00097840"/>
    <w:rsid w:val="00097C78"/>
    <w:rsid w:val="00097E6F"/>
    <w:rsid w:val="000A083D"/>
    <w:rsid w:val="000A1550"/>
    <w:rsid w:val="000A16C1"/>
    <w:rsid w:val="000A2EDC"/>
    <w:rsid w:val="000A4DCD"/>
    <w:rsid w:val="000A6D25"/>
    <w:rsid w:val="000B0727"/>
    <w:rsid w:val="000B12D1"/>
    <w:rsid w:val="000B17E3"/>
    <w:rsid w:val="000B1979"/>
    <w:rsid w:val="000B297D"/>
    <w:rsid w:val="000B353A"/>
    <w:rsid w:val="000B36A3"/>
    <w:rsid w:val="000B5D1A"/>
    <w:rsid w:val="000B6C5E"/>
    <w:rsid w:val="000C03EE"/>
    <w:rsid w:val="000C0894"/>
    <w:rsid w:val="000C135D"/>
    <w:rsid w:val="000C13D4"/>
    <w:rsid w:val="000C18C7"/>
    <w:rsid w:val="000C1FEE"/>
    <w:rsid w:val="000C3F6E"/>
    <w:rsid w:val="000C4DE7"/>
    <w:rsid w:val="000C4E31"/>
    <w:rsid w:val="000C638D"/>
    <w:rsid w:val="000C64BF"/>
    <w:rsid w:val="000C65E9"/>
    <w:rsid w:val="000C68D1"/>
    <w:rsid w:val="000C69BB"/>
    <w:rsid w:val="000C709F"/>
    <w:rsid w:val="000C7CE7"/>
    <w:rsid w:val="000D070B"/>
    <w:rsid w:val="000D0C68"/>
    <w:rsid w:val="000D1169"/>
    <w:rsid w:val="000D1616"/>
    <w:rsid w:val="000D1B3A"/>
    <w:rsid w:val="000D1D43"/>
    <w:rsid w:val="000D225C"/>
    <w:rsid w:val="000D2299"/>
    <w:rsid w:val="000D2A5C"/>
    <w:rsid w:val="000D2B5F"/>
    <w:rsid w:val="000D2DE5"/>
    <w:rsid w:val="000D334B"/>
    <w:rsid w:val="000D3509"/>
    <w:rsid w:val="000D39F0"/>
    <w:rsid w:val="000D50C9"/>
    <w:rsid w:val="000D5734"/>
    <w:rsid w:val="000D6476"/>
    <w:rsid w:val="000D699E"/>
    <w:rsid w:val="000D6A07"/>
    <w:rsid w:val="000D6B9D"/>
    <w:rsid w:val="000D72E5"/>
    <w:rsid w:val="000D7972"/>
    <w:rsid w:val="000D7EA4"/>
    <w:rsid w:val="000E0437"/>
    <w:rsid w:val="000E06E3"/>
    <w:rsid w:val="000E0918"/>
    <w:rsid w:val="000E0C07"/>
    <w:rsid w:val="000E29C9"/>
    <w:rsid w:val="000E2B13"/>
    <w:rsid w:val="000E353A"/>
    <w:rsid w:val="000E3CEC"/>
    <w:rsid w:val="000E4FEA"/>
    <w:rsid w:val="000E6213"/>
    <w:rsid w:val="000E6720"/>
    <w:rsid w:val="000E6C11"/>
    <w:rsid w:val="000E79A9"/>
    <w:rsid w:val="000E7E60"/>
    <w:rsid w:val="000F065D"/>
    <w:rsid w:val="000F160D"/>
    <w:rsid w:val="000F1DA2"/>
    <w:rsid w:val="000F23BB"/>
    <w:rsid w:val="000F2CA6"/>
    <w:rsid w:val="000F2F67"/>
    <w:rsid w:val="000F31FF"/>
    <w:rsid w:val="000F34E3"/>
    <w:rsid w:val="000F35A7"/>
    <w:rsid w:val="000F3922"/>
    <w:rsid w:val="000F4AEE"/>
    <w:rsid w:val="000F642A"/>
    <w:rsid w:val="000F6E28"/>
    <w:rsid w:val="000F7428"/>
    <w:rsid w:val="000F75EF"/>
    <w:rsid w:val="000F76A5"/>
    <w:rsid w:val="000F7A50"/>
    <w:rsid w:val="00100A56"/>
    <w:rsid w:val="00100DAE"/>
    <w:rsid w:val="00100EC6"/>
    <w:rsid w:val="00100ED5"/>
    <w:rsid w:val="00100F3F"/>
    <w:rsid w:val="001011C3"/>
    <w:rsid w:val="001011D7"/>
    <w:rsid w:val="001028F7"/>
    <w:rsid w:val="0010294C"/>
    <w:rsid w:val="00102D4C"/>
    <w:rsid w:val="001039E0"/>
    <w:rsid w:val="0010408A"/>
    <w:rsid w:val="0010480C"/>
    <w:rsid w:val="00104A06"/>
    <w:rsid w:val="00104C92"/>
    <w:rsid w:val="00104F2C"/>
    <w:rsid w:val="0010592B"/>
    <w:rsid w:val="00106DA3"/>
    <w:rsid w:val="001070FF"/>
    <w:rsid w:val="00110214"/>
    <w:rsid w:val="001102E8"/>
    <w:rsid w:val="001104B2"/>
    <w:rsid w:val="00110D87"/>
    <w:rsid w:val="00111ED2"/>
    <w:rsid w:val="00112399"/>
    <w:rsid w:val="00112FD9"/>
    <w:rsid w:val="00113217"/>
    <w:rsid w:val="0011409E"/>
    <w:rsid w:val="0011456C"/>
    <w:rsid w:val="00114DB9"/>
    <w:rsid w:val="001152B3"/>
    <w:rsid w:val="00116087"/>
    <w:rsid w:val="001165A1"/>
    <w:rsid w:val="00117711"/>
    <w:rsid w:val="001178D2"/>
    <w:rsid w:val="00120493"/>
    <w:rsid w:val="00121635"/>
    <w:rsid w:val="001216C4"/>
    <w:rsid w:val="00122595"/>
    <w:rsid w:val="001227CC"/>
    <w:rsid w:val="00122EAC"/>
    <w:rsid w:val="00123B77"/>
    <w:rsid w:val="0012497A"/>
    <w:rsid w:val="00125D28"/>
    <w:rsid w:val="00126349"/>
    <w:rsid w:val="00126841"/>
    <w:rsid w:val="00126DC3"/>
    <w:rsid w:val="00126E49"/>
    <w:rsid w:val="00127E61"/>
    <w:rsid w:val="00130296"/>
    <w:rsid w:val="00130938"/>
    <w:rsid w:val="001315D6"/>
    <w:rsid w:val="00131C7F"/>
    <w:rsid w:val="00132541"/>
    <w:rsid w:val="00134145"/>
    <w:rsid w:val="00135F4B"/>
    <w:rsid w:val="00136736"/>
    <w:rsid w:val="00136740"/>
    <w:rsid w:val="00136D67"/>
    <w:rsid w:val="001407B4"/>
    <w:rsid w:val="00140D81"/>
    <w:rsid w:val="00141853"/>
    <w:rsid w:val="00141B2D"/>
    <w:rsid w:val="00142305"/>
    <w:rsid w:val="001423B6"/>
    <w:rsid w:val="0014283A"/>
    <w:rsid w:val="00143008"/>
    <w:rsid w:val="00143641"/>
    <w:rsid w:val="0014438E"/>
    <w:rsid w:val="001448A7"/>
    <w:rsid w:val="00144CD1"/>
    <w:rsid w:val="00144D09"/>
    <w:rsid w:val="00145400"/>
    <w:rsid w:val="001460A2"/>
    <w:rsid w:val="00146621"/>
    <w:rsid w:val="00147A33"/>
    <w:rsid w:val="00147C13"/>
    <w:rsid w:val="00150AEB"/>
    <w:rsid w:val="00150C3E"/>
    <w:rsid w:val="00150DF2"/>
    <w:rsid w:val="00150E64"/>
    <w:rsid w:val="00151AC7"/>
    <w:rsid w:val="001525E9"/>
    <w:rsid w:val="00152F95"/>
    <w:rsid w:val="00154433"/>
    <w:rsid w:val="00154BCE"/>
    <w:rsid w:val="001554DC"/>
    <w:rsid w:val="0015567E"/>
    <w:rsid w:val="00155815"/>
    <w:rsid w:val="00155865"/>
    <w:rsid w:val="00155A1E"/>
    <w:rsid w:val="00156762"/>
    <w:rsid w:val="001574CF"/>
    <w:rsid w:val="001576DE"/>
    <w:rsid w:val="001617E3"/>
    <w:rsid w:val="00162325"/>
    <w:rsid w:val="001623D6"/>
    <w:rsid w:val="0016353C"/>
    <w:rsid w:val="00163EE7"/>
    <w:rsid w:val="001647BA"/>
    <w:rsid w:val="001665BD"/>
    <w:rsid w:val="00166D6C"/>
    <w:rsid w:val="00170943"/>
    <w:rsid w:val="00170EA4"/>
    <w:rsid w:val="00171560"/>
    <w:rsid w:val="0017194B"/>
    <w:rsid w:val="00171F84"/>
    <w:rsid w:val="00172AD7"/>
    <w:rsid w:val="00172BD2"/>
    <w:rsid w:val="001730B4"/>
    <w:rsid w:val="0017322D"/>
    <w:rsid w:val="00173925"/>
    <w:rsid w:val="00174052"/>
    <w:rsid w:val="00174980"/>
    <w:rsid w:val="0017509B"/>
    <w:rsid w:val="00175561"/>
    <w:rsid w:val="0017665D"/>
    <w:rsid w:val="00180FEE"/>
    <w:rsid w:val="00181141"/>
    <w:rsid w:val="0018120E"/>
    <w:rsid w:val="0018215A"/>
    <w:rsid w:val="0018220D"/>
    <w:rsid w:val="00182473"/>
    <w:rsid w:val="00183DB6"/>
    <w:rsid w:val="0018457B"/>
    <w:rsid w:val="001848DD"/>
    <w:rsid w:val="00184DFE"/>
    <w:rsid w:val="001854A3"/>
    <w:rsid w:val="001855AA"/>
    <w:rsid w:val="00185797"/>
    <w:rsid w:val="0018727B"/>
    <w:rsid w:val="001874F8"/>
    <w:rsid w:val="001876E7"/>
    <w:rsid w:val="00187721"/>
    <w:rsid w:val="00187A09"/>
    <w:rsid w:val="00187B85"/>
    <w:rsid w:val="001914D1"/>
    <w:rsid w:val="00191684"/>
    <w:rsid w:val="00192C97"/>
    <w:rsid w:val="0019370D"/>
    <w:rsid w:val="0019391D"/>
    <w:rsid w:val="00194121"/>
    <w:rsid w:val="00194678"/>
    <w:rsid w:val="001951DA"/>
    <w:rsid w:val="00195DDE"/>
    <w:rsid w:val="00195FE2"/>
    <w:rsid w:val="0019606E"/>
    <w:rsid w:val="00197BEC"/>
    <w:rsid w:val="001A0020"/>
    <w:rsid w:val="001A2826"/>
    <w:rsid w:val="001A320F"/>
    <w:rsid w:val="001A5481"/>
    <w:rsid w:val="001A55BF"/>
    <w:rsid w:val="001A7D2E"/>
    <w:rsid w:val="001B0076"/>
    <w:rsid w:val="001B053D"/>
    <w:rsid w:val="001B11FA"/>
    <w:rsid w:val="001B1ACF"/>
    <w:rsid w:val="001B1E38"/>
    <w:rsid w:val="001B1F02"/>
    <w:rsid w:val="001B2539"/>
    <w:rsid w:val="001B2765"/>
    <w:rsid w:val="001B35DB"/>
    <w:rsid w:val="001B419B"/>
    <w:rsid w:val="001B58E8"/>
    <w:rsid w:val="001B5F27"/>
    <w:rsid w:val="001B5FE6"/>
    <w:rsid w:val="001B620B"/>
    <w:rsid w:val="001C07E3"/>
    <w:rsid w:val="001C0D47"/>
    <w:rsid w:val="001C0D96"/>
    <w:rsid w:val="001C0F98"/>
    <w:rsid w:val="001C1F42"/>
    <w:rsid w:val="001C2602"/>
    <w:rsid w:val="001C3209"/>
    <w:rsid w:val="001C3269"/>
    <w:rsid w:val="001C44F6"/>
    <w:rsid w:val="001C4772"/>
    <w:rsid w:val="001C5073"/>
    <w:rsid w:val="001C554B"/>
    <w:rsid w:val="001C5AD2"/>
    <w:rsid w:val="001C6880"/>
    <w:rsid w:val="001C6AA2"/>
    <w:rsid w:val="001D17FF"/>
    <w:rsid w:val="001D19B6"/>
    <w:rsid w:val="001D1DB4"/>
    <w:rsid w:val="001D23F1"/>
    <w:rsid w:val="001D25F9"/>
    <w:rsid w:val="001D2CF5"/>
    <w:rsid w:val="001D2D09"/>
    <w:rsid w:val="001D451B"/>
    <w:rsid w:val="001D485B"/>
    <w:rsid w:val="001D496B"/>
    <w:rsid w:val="001D4C19"/>
    <w:rsid w:val="001D5F05"/>
    <w:rsid w:val="001D61ED"/>
    <w:rsid w:val="001D6226"/>
    <w:rsid w:val="001D6C2F"/>
    <w:rsid w:val="001D7D8D"/>
    <w:rsid w:val="001E14E1"/>
    <w:rsid w:val="001E2752"/>
    <w:rsid w:val="001E2979"/>
    <w:rsid w:val="001E2A42"/>
    <w:rsid w:val="001E33E5"/>
    <w:rsid w:val="001E3983"/>
    <w:rsid w:val="001E3BF3"/>
    <w:rsid w:val="001E3DB1"/>
    <w:rsid w:val="001E40D5"/>
    <w:rsid w:val="001E5B2D"/>
    <w:rsid w:val="001E5B54"/>
    <w:rsid w:val="001E6852"/>
    <w:rsid w:val="001E7D66"/>
    <w:rsid w:val="001F008C"/>
    <w:rsid w:val="001F10C7"/>
    <w:rsid w:val="001F1383"/>
    <w:rsid w:val="001F1C5D"/>
    <w:rsid w:val="001F209D"/>
    <w:rsid w:val="001F279C"/>
    <w:rsid w:val="001F3735"/>
    <w:rsid w:val="001F4146"/>
    <w:rsid w:val="001F417E"/>
    <w:rsid w:val="001F49DD"/>
    <w:rsid w:val="001F49E2"/>
    <w:rsid w:val="001F4E57"/>
    <w:rsid w:val="001F5BB2"/>
    <w:rsid w:val="001F5C6D"/>
    <w:rsid w:val="001F5C8D"/>
    <w:rsid w:val="001F672C"/>
    <w:rsid w:val="001F6E28"/>
    <w:rsid w:val="001F7492"/>
    <w:rsid w:val="002003AF"/>
    <w:rsid w:val="0020100A"/>
    <w:rsid w:val="0020156C"/>
    <w:rsid w:val="00202265"/>
    <w:rsid w:val="002024BB"/>
    <w:rsid w:val="0020288C"/>
    <w:rsid w:val="00203FA4"/>
    <w:rsid w:val="0020455E"/>
    <w:rsid w:val="00205033"/>
    <w:rsid w:val="0020679C"/>
    <w:rsid w:val="00206933"/>
    <w:rsid w:val="00210C1B"/>
    <w:rsid w:val="00210EFD"/>
    <w:rsid w:val="00210F85"/>
    <w:rsid w:val="002127C5"/>
    <w:rsid w:val="0021315C"/>
    <w:rsid w:val="0021418F"/>
    <w:rsid w:val="00214203"/>
    <w:rsid w:val="0021481E"/>
    <w:rsid w:val="00214C1A"/>
    <w:rsid w:val="00215226"/>
    <w:rsid w:val="00215412"/>
    <w:rsid w:val="00215AC6"/>
    <w:rsid w:val="00216634"/>
    <w:rsid w:val="00216DE1"/>
    <w:rsid w:val="00216DE2"/>
    <w:rsid w:val="002172E3"/>
    <w:rsid w:val="00217A41"/>
    <w:rsid w:val="00217B43"/>
    <w:rsid w:val="00217BF2"/>
    <w:rsid w:val="00217D84"/>
    <w:rsid w:val="00220B18"/>
    <w:rsid w:val="00221343"/>
    <w:rsid w:val="00221414"/>
    <w:rsid w:val="00221686"/>
    <w:rsid w:val="00222549"/>
    <w:rsid w:val="00223D65"/>
    <w:rsid w:val="00223F1C"/>
    <w:rsid w:val="0022469F"/>
    <w:rsid w:val="00225852"/>
    <w:rsid w:val="00225FB9"/>
    <w:rsid w:val="0022643B"/>
    <w:rsid w:val="002265BB"/>
    <w:rsid w:val="002269E7"/>
    <w:rsid w:val="0022762E"/>
    <w:rsid w:val="00227B3E"/>
    <w:rsid w:val="00227EC5"/>
    <w:rsid w:val="0023192D"/>
    <w:rsid w:val="002320EE"/>
    <w:rsid w:val="002327D4"/>
    <w:rsid w:val="00233A12"/>
    <w:rsid w:val="00234474"/>
    <w:rsid w:val="00234A14"/>
    <w:rsid w:val="0023578F"/>
    <w:rsid w:val="00235E43"/>
    <w:rsid w:val="002362E6"/>
    <w:rsid w:val="0024068E"/>
    <w:rsid w:val="00240A14"/>
    <w:rsid w:val="00240DAB"/>
    <w:rsid w:val="00242C96"/>
    <w:rsid w:val="00242D31"/>
    <w:rsid w:val="002446F5"/>
    <w:rsid w:val="00244CF8"/>
    <w:rsid w:val="00244F4B"/>
    <w:rsid w:val="00245B47"/>
    <w:rsid w:val="00246A31"/>
    <w:rsid w:val="00247AB1"/>
    <w:rsid w:val="00247D2B"/>
    <w:rsid w:val="0025023B"/>
    <w:rsid w:val="0025051C"/>
    <w:rsid w:val="0025067B"/>
    <w:rsid w:val="00250C8A"/>
    <w:rsid w:val="002523BA"/>
    <w:rsid w:val="00253A0D"/>
    <w:rsid w:val="00253AD4"/>
    <w:rsid w:val="0025481E"/>
    <w:rsid w:val="00254C1B"/>
    <w:rsid w:val="00254E2B"/>
    <w:rsid w:val="00254EEE"/>
    <w:rsid w:val="0025596E"/>
    <w:rsid w:val="00256A66"/>
    <w:rsid w:val="00257043"/>
    <w:rsid w:val="002574F9"/>
    <w:rsid w:val="00257931"/>
    <w:rsid w:val="00260874"/>
    <w:rsid w:val="0026102F"/>
    <w:rsid w:val="002612B2"/>
    <w:rsid w:val="00262345"/>
    <w:rsid w:val="002627B0"/>
    <w:rsid w:val="00262B61"/>
    <w:rsid w:val="00262CC6"/>
    <w:rsid w:val="00262DF1"/>
    <w:rsid w:val="00263592"/>
    <w:rsid w:val="00263A2B"/>
    <w:rsid w:val="00263CB0"/>
    <w:rsid w:val="00263CDA"/>
    <w:rsid w:val="00263E08"/>
    <w:rsid w:val="00264F35"/>
    <w:rsid w:val="00265296"/>
    <w:rsid w:val="002653A4"/>
    <w:rsid w:val="00265AC0"/>
    <w:rsid w:val="00265CDC"/>
    <w:rsid w:val="00266B87"/>
    <w:rsid w:val="00266C1C"/>
    <w:rsid w:val="002708F9"/>
    <w:rsid w:val="00271018"/>
    <w:rsid w:val="00271094"/>
    <w:rsid w:val="0027138C"/>
    <w:rsid w:val="00271B2F"/>
    <w:rsid w:val="0027367C"/>
    <w:rsid w:val="0027374D"/>
    <w:rsid w:val="00274B2C"/>
    <w:rsid w:val="00275207"/>
    <w:rsid w:val="0027570E"/>
    <w:rsid w:val="00275DB0"/>
    <w:rsid w:val="00276811"/>
    <w:rsid w:val="0027700B"/>
    <w:rsid w:val="00277217"/>
    <w:rsid w:val="002811E6"/>
    <w:rsid w:val="002822FF"/>
    <w:rsid w:val="00282699"/>
    <w:rsid w:val="00282C42"/>
    <w:rsid w:val="002848AC"/>
    <w:rsid w:val="00284C08"/>
    <w:rsid w:val="00284D21"/>
    <w:rsid w:val="002863F6"/>
    <w:rsid w:val="0028724E"/>
    <w:rsid w:val="00291269"/>
    <w:rsid w:val="0029193A"/>
    <w:rsid w:val="002919DE"/>
    <w:rsid w:val="002926DF"/>
    <w:rsid w:val="00292E9A"/>
    <w:rsid w:val="00294445"/>
    <w:rsid w:val="00294A5B"/>
    <w:rsid w:val="00294F1F"/>
    <w:rsid w:val="002959BF"/>
    <w:rsid w:val="00296697"/>
    <w:rsid w:val="00296909"/>
    <w:rsid w:val="00296931"/>
    <w:rsid w:val="00297B5A"/>
    <w:rsid w:val="00297BAB"/>
    <w:rsid w:val="002A0069"/>
    <w:rsid w:val="002A0D72"/>
    <w:rsid w:val="002A0E57"/>
    <w:rsid w:val="002A3EB0"/>
    <w:rsid w:val="002A4789"/>
    <w:rsid w:val="002A5644"/>
    <w:rsid w:val="002A5EFD"/>
    <w:rsid w:val="002A5F40"/>
    <w:rsid w:val="002A61A0"/>
    <w:rsid w:val="002A70DF"/>
    <w:rsid w:val="002A71D1"/>
    <w:rsid w:val="002B01F4"/>
    <w:rsid w:val="002B0472"/>
    <w:rsid w:val="002B07DE"/>
    <w:rsid w:val="002B1B24"/>
    <w:rsid w:val="002B2C6B"/>
    <w:rsid w:val="002B45BD"/>
    <w:rsid w:val="002B46EB"/>
    <w:rsid w:val="002B4D65"/>
    <w:rsid w:val="002B616B"/>
    <w:rsid w:val="002B6B12"/>
    <w:rsid w:val="002B6B7B"/>
    <w:rsid w:val="002C033D"/>
    <w:rsid w:val="002C0B09"/>
    <w:rsid w:val="002C1288"/>
    <w:rsid w:val="002C1905"/>
    <w:rsid w:val="002C1DF6"/>
    <w:rsid w:val="002C21F0"/>
    <w:rsid w:val="002C277A"/>
    <w:rsid w:val="002C3540"/>
    <w:rsid w:val="002C375D"/>
    <w:rsid w:val="002C483F"/>
    <w:rsid w:val="002C514B"/>
    <w:rsid w:val="002C56E7"/>
    <w:rsid w:val="002C5A25"/>
    <w:rsid w:val="002C5D28"/>
    <w:rsid w:val="002C6395"/>
    <w:rsid w:val="002C643C"/>
    <w:rsid w:val="002D01DF"/>
    <w:rsid w:val="002D0FC5"/>
    <w:rsid w:val="002D12AB"/>
    <w:rsid w:val="002D173B"/>
    <w:rsid w:val="002D1B4B"/>
    <w:rsid w:val="002D2D06"/>
    <w:rsid w:val="002D35F7"/>
    <w:rsid w:val="002D377D"/>
    <w:rsid w:val="002D58CD"/>
    <w:rsid w:val="002D60BF"/>
    <w:rsid w:val="002D7A94"/>
    <w:rsid w:val="002D7C6B"/>
    <w:rsid w:val="002D7DF9"/>
    <w:rsid w:val="002E24DD"/>
    <w:rsid w:val="002E26F9"/>
    <w:rsid w:val="002E3EB3"/>
    <w:rsid w:val="002E3F7C"/>
    <w:rsid w:val="002E4814"/>
    <w:rsid w:val="002E5D06"/>
    <w:rsid w:val="002E6140"/>
    <w:rsid w:val="002E6985"/>
    <w:rsid w:val="002E6ADB"/>
    <w:rsid w:val="002E6CD6"/>
    <w:rsid w:val="002E71B6"/>
    <w:rsid w:val="002E7473"/>
    <w:rsid w:val="002F0DB1"/>
    <w:rsid w:val="002F0DD1"/>
    <w:rsid w:val="002F140B"/>
    <w:rsid w:val="002F35F6"/>
    <w:rsid w:val="002F5C8E"/>
    <w:rsid w:val="002F61B5"/>
    <w:rsid w:val="002F77C8"/>
    <w:rsid w:val="0030056D"/>
    <w:rsid w:val="003007D5"/>
    <w:rsid w:val="00300D75"/>
    <w:rsid w:val="00302CA2"/>
    <w:rsid w:val="00304F22"/>
    <w:rsid w:val="00305489"/>
    <w:rsid w:val="003055C0"/>
    <w:rsid w:val="00305AA3"/>
    <w:rsid w:val="00305D1B"/>
    <w:rsid w:val="00305F4F"/>
    <w:rsid w:val="0030653E"/>
    <w:rsid w:val="00306C7C"/>
    <w:rsid w:val="00306CCE"/>
    <w:rsid w:val="00306D2C"/>
    <w:rsid w:val="0030711C"/>
    <w:rsid w:val="00307B2D"/>
    <w:rsid w:val="00310ABE"/>
    <w:rsid w:val="00310B10"/>
    <w:rsid w:val="003122EA"/>
    <w:rsid w:val="003140C2"/>
    <w:rsid w:val="003144BA"/>
    <w:rsid w:val="0031456B"/>
    <w:rsid w:val="00314F86"/>
    <w:rsid w:val="003150A0"/>
    <w:rsid w:val="00315964"/>
    <w:rsid w:val="00315B02"/>
    <w:rsid w:val="0031678E"/>
    <w:rsid w:val="00317F4D"/>
    <w:rsid w:val="00320A9B"/>
    <w:rsid w:val="00320EE2"/>
    <w:rsid w:val="00321696"/>
    <w:rsid w:val="00322843"/>
    <w:rsid w:val="00322EDD"/>
    <w:rsid w:val="00323B68"/>
    <w:rsid w:val="00324318"/>
    <w:rsid w:val="00324BB0"/>
    <w:rsid w:val="003251F4"/>
    <w:rsid w:val="00325D34"/>
    <w:rsid w:val="00327482"/>
    <w:rsid w:val="0033029B"/>
    <w:rsid w:val="003309FA"/>
    <w:rsid w:val="00330B2F"/>
    <w:rsid w:val="00331DB3"/>
    <w:rsid w:val="003320EE"/>
    <w:rsid w:val="00332320"/>
    <w:rsid w:val="003326DF"/>
    <w:rsid w:val="00332A61"/>
    <w:rsid w:val="0033388E"/>
    <w:rsid w:val="00333ED8"/>
    <w:rsid w:val="00334C14"/>
    <w:rsid w:val="00334E56"/>
    <w:rsid w:val="003350EA"/>
    <w:rsid w:val="0033589E"/>
    <w:rsid w:val="00335F47"/>
    <w:rsid w:val="00337235"/>
    <w:rsid w:val="0033744F"/>
    <w:rsid w:val="00337BE6"/>
    <w:rsid w:val="00340543"/>
    <w:rsid w:val="00340D94"/>
    <w:rsid w:val="0034198E"/>
    <w:rsid w:val="0034276B"/>
    <w:rsid w:val="00343537"/>
    <w:rsid w:val="003438AE"/>
    <w:rsid w:val="00344A05"/>
    <w:rsid w:val="00344B4B"/>
    <w:rsid w:val="00344FD5"/>
    <w:rsid w:val="00345E3C"/>
    <w:rsid w:val="003470DD"/>
    <w:rsid w:val="00347206"/>
    <w:rsid w:val="00347D72"/>
    <w:rsid w:val="00350318"/>
    <w:rsid w:val="00350AF4"/>
    <w:rsid w:val="00352CA8"/>
    <w:rsid w:val="003531DF"/>
    <w:rsid w:val="00353959"/>
    <w:rsid w:val="00353F45"/>
    <w:rsid w:val="00355E06"/>
    <w:rsid w:val="00356B66"/>
    <w:rsid w:val="003571B3"/>
    <w:rsid w:val="00357611"/>
    <w:rsid w:val="003577F5"/>
    <w:rsid w:val="00357F75"/>
    <w:rsid w:val="003602A0"/>
    <w:rsid w:val="003610BD"/>
    <w:rsid w:val="00361D1A"/>
    <w:rsid w:val="0036432A"/>
    <w:rsid w:val="00364AF9"/>
    <w:rsid w:val="00364C90"/>
    <w:rsid w:val="003659F5"/>
    <w:rsid w:val="00367237"/>
    <w:rsid w:val="00367BA9"/>
    <w:rsid w:val="0037016E"/>
    <w:rsid w:val="0037077F"/>
    <w:rsid w:val="00371D46"/>
    <w:rsid w:val="00372129"/>
    <w:rsid w:val="00372411"/>
    <w:rsid w:val="0037352E"/>
    <w:rsid w:val="0037357A"/>
    <w:rsid w:val="003735F2"/>
    <w:rsid w:val="00373882"/>
    <w:rsid w:val="00373E99"/>
    <w:rsid w:val="003758A4"/>
    <w:rsid w:val="00375DF5"/>
    <w:rsid w:val="00376D4A"/>
    <w:rsid w:val="00376FBA"/>
    <w:rsid w:val="00380BCB"/>
    <w:rsid w:val="00381363"/>
    <w:rsid w:val="0038220B"/>
    <w:rsid w:val="00383310"/>
    <w:rsid w:val="00383403"/>
    <w:rsid w:val="003843DB"/>
    <w:rsid w:val="00384863"/>
    <w:rsid w:val="00384A2B"/>
    <w:rsid w:val="00385E77"/>
    <w:rsid w:val="00386087"/>
    <w:rsid w:val="00386849"/>
    <w:rsid w:val="00386996"/>
    <w:rsid w:val="00387103"/>
    <w:rsid w:val="00387FC1"/>
    <w:rsid w:val="00390041"/>
    <w:rsid w:val="00393761"/>
    <w:rsid w:val="003948AB"/>
    <w:rsid w:val="00394E26"/>
    <w:rsid w:val="00394E5E"/>
    <w:rsid w:val="00395D7C"/>
    <w:rsid w:val="00396082"/>
    <w:rsid w:val="00396691"/>
    <w:rsid w:val="00397D18"/>
    <w:rsid w:val="003A0898"/>
    <w:rsid w:val="003A0FCC"/>
    <w:rsid w:val="003A10ED"/>
    <w:rsid w:val="003A11AA"/>
    <w:rsid w:val="003A17D8"/>
    <w:rsid w:val="003A1B36"/>
    <w:rsid w:val="003A1D54"/>
    <w:rsid w:val="003A262C"/>
    <w:rsid w:val="003A2BEE"/>
    <w:rsid w:val="003A3923"/>
    <w:rsid w:val="003A4B91"/>
    <w:rsid w:val="003A57A8"/>
    <w:rsid w:val="003A589A"/>
    <w:rsid w:val="003A6D52"/>
    <w:rsid w:val="003A7040"/>
    <w:rsid w:val="003A7528"/>
    <w:rsid w:val="003A7637"/>
    <w:rsid w:val="003A7638"/>
    <w:rsid w:val="003B080C"/>
    <w:rsid w:val="003B0FE6"/>
    <w:rsid w:val="003B1454"/>
    <w:rsid w:val="003B18B6"/>
    <w:rsid w:val="003B1A75"/>
    <w:rsid w:val="003B4FE1"/>
    <w:rsid w:val="003B733E"/>
    <w:rsid w:val="003B754B"/>
    <w:rsid w:val="003B787B"/>
    <w:rsid w:val="003C080A"/>
    <w:rsid w:val="003C0867"/>
    <w:rsid w:val="003C0C0E"/>
    <w:rsid w:val="003C161B"/>
    <w:rsid w:val="003C225B"/>
    <w:rsid w:val="003C27EA"/>
    <w:rsid w:val="003C392D"/>
    <w:rsid w:val="003C4276"/>
    <w:rsid w:val="003C57AF"/>
    <w:rsid w:val="003C59E0"/>
    <w:rsid w:val="003C6C39"/>
    <w:rsid w:val="003C6C8D"/>
    <w:rsid w:val="003C71CC"/>
    <w:rsid w:val="003D0B95"/>
    <w:rsid w:val="003D0E1E"/>
    <w:rsid w:val="003D1045"/>
    <w:rsid w:val="003D2656"/>
    <w:rsid w:val="003D3660"/>
    <w:rsid w:val="003D3E0A"/>
    <w:rsid w:val="003D3F99"/>
    <w:rsid w:val="003D4E6D"/>
    <w:rsid w:val="003D4F95"/>
    <w:rsid w:val="003D5A4E"/>
    <w:rsid w:val="003D5F42"/>
    <w:rsid w:val="003D60A9"/>
    <w:rsid w:val="003D6862"/>
    <w:rsid w:val="003D7F3D"/>
    <w:rsid w:val="003E026A"/>
    <w:rsid w:val="003E16FD"/>
    <w:rsid w:val="003E2080"/>
    <w:rsid w:val="003E20B3"/>
    <w:rsid w:val="003E212F"/>
    <w:rsid w:val="003E217F"/>
    <w:rsid w:val="003E2470"/>
    <w:rsid w:val="003E2475"/>
    <w:rsid w:val="003E253F"/>
    <w:rsid w:val="003E38C9"/>
    <w:rsid w:val="003E3F64"/>
    <w:rsid w:val="003E4175"/>
    <w:rsid w:val="003E4316"/>
    <w:rsid w:val="003E4367"/>
    <w:rsid w:val="003E44FF"/>
    <w:rsid w:val="003E4E86"/>
    <w:rsid w:val="003E580A"/>
    <w:rsid w:val="003E7B30"/>
    <w:rsid w:val="003F01F2"/>
    <w:rsid w:val="003F0643"/>
    <w:rsid w:val="003F0E56"/>
    <w:rsid w:val="003F1FD0"/>
    <w:rsid w:val="003F23AC"/>
    <w:rsid w:val="003F3B9E"/>
    <w:rsid w:val="003F4026"/>
    <w:rsid w:val="003F4604"/>
    <w:rsid w:val="003F4C97"/>
    <w:rsid w:val="003F4DD5"/>
    <w:rsid w:val="003F65C7"/>
    <w:rsid w:val="003F666D"/>
    <w:rsid w:val="003F7FE6"/>
    <w:rsid w:val="00400193"/>
    <w:rsid w:val="004005C9"/>
    <w:rsid w:val="004008EB"/>
    <w:rsid w:val="00401150"/>
    <w:rsid w:val="00402574"/>
    <w:rsid w:val="00402DF3"/>
    <w:rsid w:val="00405E74"/>
    <w:rsid w:val="00406880"/>
    <w:rsid w:val="004071FC"/>
    <w:rsid w:val="0041013A"/>
    <w:rsid w:val="00410A9A"/>
    <w:rsid w:val="00411A76"/>
    <w:rsid w:val="00413098"/>
    <w:rsid w:val="0041312D"/>
    <w:rsid w:val="004136C7"/>
    <w:rsid w:val="00413DD8"/>
    <w:rsid w:val="004141B3"/>
    <w:rsid w:val="00414C88"/>
    <w:rsid w:val="00414D3E"/>
    <w:rsid w:val="00414F8D"/>
    <w:rsid w:val="00416225"/>
    <w:rsid w:val="00416598"/>
    <w:rsid w:val="00416680"/>
    <w:rsid w:val="00416A89"/>
    <w:rsid w:val="00416EAF"/>
    <w:rsid w:val="00421026"/>
    <w:rsid w:val="004212E7"/>
    <w:rsid w:val="004213AE"/>
    <w:rsid w:val="004217CF"/>
    <w:rsid w:val="0042329A"/>
    <w:rsid w:val="00423369"/>
    <w:rsid w:val="00423C88"/>
    <w:rsid w:val="004243BE"/>
    <w:rsid w:val="0042446D"/>
    <w:rsid w:val="0042468A"/>
    <w:rsid w:val="004256BB"/>
    <w:rsid w:val="00425743"/>
    <w:rsid w:val="00425977"/>
    <w:rsid w:val="00425A8A"/>
    <w:rsid w:val="00427144"/>
    <w:rsid w:val="004273E3"/>
    <w:rsid w:val="0042768F"/>
    <w:rsid w:val="0042795F"/>
    <w:rsid w:val="00427BF8"/>
    <w:rsid w:val="00427EBB"/>
    <w:rsid w:val="0043019D"/>
    <w:rsid w:val="00430DBB"/>
    <w:rsid w:val="00431470"/>
    <w:rsid w:val="0043177F"/>
    <w:rsid w:val="00431C02"/>
    <w:rsid w:val="0043274B"/>
    <w:rsid w:val="00432854"/>
    <w:rsid w:val="0043289B"/>
    <w:rsid w:val="004335F8"/>
    <w:rsid w:val="00433715"/>
    <w:rsid w:val="00434A6A"/>
    <w:rsid w:val="00434F14"/>
    <w:rsid w:val="004352C1"/>
    <w:rsid w:val="0043537D"/>
    <w:rsid w:val="00435E81"/>
    <w:rsid w:val="00437395"/>
    <w:rsid w:val="00440489"/>
    <w:rsid w:val="00440802"/>
    <w:rsid w:val="00441510"/>
    <w:rsid w:val="00442E36"/>
    <w:rsid w:val="00443152"/>
    <w:rsid w:val="00443CBD"/>
    <w:rsid w:val="004444E0"/>
    <w:rsid w:val="00445047"/>
    <w:rsid w:val="00445247"/>
    <w:rsid w:val="004459FF"/>
    <w:rsid w:val="00445C52"/>
    <w:rsid w:val="00446749"/>
    <w:rsid w:val="00446D0A"/>
    <w:rsid w:val="004475AA"/>
    <w:rsid w:val="00447C4D"/>
    <w:rsid w:val="00450CF0"/>
    <w:rsid w:val="00450EB1"/>
    <w:rsid w:val="00451E0E"/>
    <w:rsid w:val="004521A5"/>
    <w:rsid w:val="00453EB7"/>
    <w:rsid w:val="00454820"/>
    <w:rsid w:val="00457233"/>
    <w:rsid w:val="00457FD1"/>
    <w:rsid w:val="004612C4"/>
    <w:rsid w:val="00461F77"/>
    <w:rsid w:val="004622AF"/>
    <w:rsid w:val="0046230B"/>
    <w:rsid w:val="0046233B"/>
    <w:rsid w:val="004625D2"/>
    <w:rsid w:val="00462987"/>
    <w:rsid w:val="00462E2B"/>
    <w:rsid w:val="00463E39"/>
    <w:rsid w:val="00463E78"/>
    <w:rsid w:val="00464497"/>
    <w:rsid w:val="00464962"/>
    <w:rsid w:val="00464ABF"/>
    <w:rsid w:val="004655A9"/>
    <w:rsid w:val="004657FC"/>
    <w:rsid w:val="004661EE"/>
    <w:rsid w:val="00466D0A"/>
    <w:rsid w:val="00467807"/>
    <w:rsid w:val="0046790F"/>
    <w:rsid w:val="00471894"/>
    <w:rsid w:val="004727F9"/>
    <w:rsid w:val="00473011"/>
    <w:rsid w:val="00473111"/>
    <w:rsid w:val="004733F6"/>
    <w:rsid w:val="00473850"/>
    <w:rsid w:val="004738CF"/>
    <w:rsid w:val="00474E69"/>
    <w:rsid w:val="00476101"/>
    <w:rsid w:val="004761BE"/>
    <w:rsid w:val="004769A4"/>
    <w:rsid w:val="00476AD4"/>
    <w:rsid w:val="004805D1"/>
    <w:rsid w:val="00480A0E"/>
    <w:rsid w:val="00480ABA"/>
    <w:rsid w:val="00480B57"/>
    <w:rsid w:val="00481426"/>
    <w:rsid w:val="00481E63"/>
    <w:rsid w:val="00482631"/>
    <w:rsid w:val="00482809"/>
    <w:rsid w:val="004836EF"/>
    <w:rsid w:val="0048374B"/>
    <w:rsid w:val="00483E9F"/>
    <w:rsid w:val="00483F0B"/>
    <w:rsid w:val="00484110"/>
    <w:rsid w:val="00484E0C"/>
    <w:rsid w:val="00485230"/>
    <w:rsid w:val="00485991"/>
    <w:rsid w:val="00485A2C"/>
    <w:rsid w:val="004866B6"/>
    <w:rsid w:val="0048678B"/>
    <w:rsid w:val="00487267"/>
    <w:rsid w:val="004873E4"/>
    <w:rsid w:val="00487F8F"/>
    <w:rsid w:val="00490F20"/>
    <w:rsid w:val="00491A71"/>
    <w:rsid w:val="00491C22"/>
    <w:rsid w:val="00492B2C"/>
    <w:rsid w:val="00492C15"/>
    <w:rsid w:val="004943D6"/>
    <w:rsid w:val="00494DB9"/>
    <w:rsid w:val="00494F1F"/>
    <w:rsid w:val="00494FA0"/>
    <w:rsid w:val="004956CE"/>
    <w:rsid w:val="0049621B"/>
    <w:rsid w:val="004967DE"/>
    <w:rsid w:val="00497720"/>
    <w:rsid w:val="00497BB2"/>
    <w:rsid w:val="00497C05"/>
    <w:rsid w:val="00497C2F"/>
    <w:rsid w:val="004A194F"/>
    <w:rsid w:val="004A1D19"/>
    <w:rsid w:val="004A2672"/>
    <w:rsid w:val="004A279F"/>
    <w:rsid w:val="004A2D30"/>
    <w:rsid w:val="004A45D2"/>
    <w:rsid w:val="004A4A9D"/>
    <w:rsid w:val="004A5055"/>
    <w:rsid w:val="004A5C10"/>
    <w:rsid w:val="004A65BA"/>
    <w:rsid w:val="004A6886"/>
    <w:rsid w:val="004A70C8"/>
    <w:rsid w:val="004A71F1"/>
    <w:rsid w:val="004B06E0"/>
    <w:rsid w:val="004B0775"/>
    <w:rsid w:val="004B0EBC"/>
    <w:rsid w:val="004B215B"/>
    <w:rsid w:val="004B3472"/>
    <w:rsid w:val="004B3CC3"/>
    <w:rsid w:val="004B40F3"/>
    <w:rsid w:val="004B49D9"/>
    <w:rsid w:val="004B579D"/>
    <w:rsid w:val="004B5964"/>
    <w:rsid w:val="004B6E2C"/>
    <w:rsid w:val="004B7A2D"/>
    <w:rsid w:val="004B7C2A"/>
    <w:rsid w:val="004B7D95"/>
    <w:rsid w:val="004C1602"/>
    <w:rsid w:val="004C1895"/>
    <w:rsid w:val="004C2338"/>
    <w:rsid w:val="004C28D8"/>
    <w:rsid w:val="004C303B"/>
    <w:rsid w:val="004C3389"/>
    <w:rsid w:val="004C35F4"/>
    <w:rsid w:val="004C39C5"/>
    <w:rsid w:val="004C3E60"/>
    <w:rsid w:val="004C4BB7"/>
    <w:rsid w:val="004C56E3"/>
    <w:rsid w:val="004C5BD5"/>
    <w:rsid w:val="004C5D33"/>
    <w:rsid w:val="004C6D40"/>
    <w:rsid w:val="004C71A4"/>
    <w:rsid w:val="004C75BE"/>
    <w:rsid w:val="004C78CC"/>
    <w:rsid w:val="004D0088"/>
    <w:rsid w:val="004D04A4"/>
    <w:rsid w:val="004D1421"/>
    <w:rsid w:val="004D1B39"/>
    <w:rsid w:val="004D2393"/>
    <w:rsid w:val="004D23FF"/>
    <w:rsid w:val="004D2C98"/>
    <w:rsid w:val="004D3259"/>
    <w:rsid w:val="004D50C5"/>
    <w:rsid w:val="004D634E"/>
    <w:rsid w:val="004D68D1"/>
    <w:rsid w:val="004D6DAD"/>
    <w:rsid w:val="004D6DFC"/>
    <w:rsid w:val="004D7BB8"/>
    <w:rsid w:val="004E083D"/>
    <w:rsid w:val="004E0F8C"/>
    <w:rsid w:val="004E1DBE"/>
    <w:rsid w:val="004E3ACE"/>
    <w:rsid w:val="004E44DA"/>
    <w:rsid w:val="004E6AA8"/>
    <w:rsid w:val="004E706E"/>
    <w:rsid w:val="004E76CC"/>
    <w:rsid w:val="004E7C89"/>
    <w:rsid w:val="004E7FE4"/>
    <w:rsid w:val="004F0BC7"/>
    <w:rsid w:val="004F0C3C"/>
    <w:rsid w:val="004F0EC4"/>
    <w:rsid w:val="004F102D"/>
    <w:rsid w:val="004F1B7B"/>
    <w:rsid w:val="004F1FEA"/>
    <w:rsid w:val="004F2280"/>
    <w:rsid w:val="004F23BB"/>
    <w:rsid w:val="004F2D94"/>
    <w:rsid w:val="004F3720"/>
    <w:rsid w:val="004F376D"/>
    <w:rsid w:val="004F3AAB"/>
    <w:rsid w:val="004F3C3F"/>
    <w:rsid w:val="004F4A42"/>
    <w:rsid w:val="004F4DD2"/>
    <w:rsid w:val="004F51F7"/>
    <w:rsid w:val="004F584F"/>
    <w:rsid w:val="004F63FC"/>
    <w:rsid w:val="004F6778"/>
    <w:rsid w:val="004F6A30"/>
    <w:rsid w:val="004F6D80"/>
    <w:rsid w:val="004F740E"/>
    <w:rsid w:val="004F750D"/>
    <w:rsid w:val="004F75EC"/>
    <w:rsid w:val="004F7C78"/>
    <w:rsid w:val="00500761"/>
    <w:rsid w:val="00500D0A"/>
    <w:rsid w:val="00502245"/>
    <w:rsid w:val="0050225D"/>
    <w:rsid w:val="0050283D"/>
    <w:rsid w:val="00503636"/>
    <w:rsid w:val="0050363A"/>
    <w:rsid w:val="00504397"/>
    <w:rsid w:val="00504F2D"/>
    <w:rsid w:val="00505A92"/>
    <w:rsid w:val="00506924"/>
    <w:rsid w:val="00506BA4"/>
    <w:rsid w:val="00506F7B"/>
    <w:rsid w:val="0050735C"/>
    <w:rsid w:val="00507BC9"/>
    <w:rsid w:val="00511684"/>
    <w:rsid w:val="00513878"/>
    <w:rsid w:val="00513AEA"/>
    <w:rsid w:val="00513C30"/>
    <w:rsid w:val="0051499C"/>
    <w:rsid w:val="005162BA"/>
    <w:rsid w:val="00517F52"/>
    <w:rsid w:val="005203F1"/>
    <w:rsid w:val="00521BC3"/>
    <w:rsid w:val="0052342E"/>
    <w:rsid w:val="00523C25"/>
    <w:rsid w:val="00523EF6"/>
    <w:rsid w:val="00524007"/>
    <w:rsid w:val="0052416F"/>
    <w:rsid w:val="00524398"/>
    <w:rsid w:val="00524C14"/>
    <w:rsid w:val="00524CE4"/>
    <w:rsid w:val="00524ECB"/>
    <w:rsid w:val="00525265"/>
    <w:rsid w:val="00525383"/>
    <w:rsid w:val="005259ED"/>
    <w:rsid w:val="00527382"/>
    <w:rsid w:val="00527604"/>
    <w:rsid w:val="00527CC3"/>
    <w:rsid w:val="00527EF4"/>
    <w:rsid w:val="005306B4"/>
    <w:rsid w:val="00530B1C"/>
    <w:rsid w:val="0053111F"/>
    <w:rsid w:val="005311E8"/>
    <w:rsid w:val="0053139F"/>
    <w:rsid w:val="005316CB"/>
    <w:rsid w:val="00531873"/>
    <w:rsid w:val="00531DE5"/>
    <w:rsid w:val="0053214D"/>
    <w:rsid w:val="0053271A"/>
    <w:rsid w:val="005332B2"/>
    <w:rsid w:val="00533632"/>
    <w:rsid w:val="00533BC5"/>
    <w:rsid w:val="00534013"/>
    <w:rsid w:val="00534E4A"/>
    <w:rsid w:val="0053501E"/>
    <w:rsid w:val="0053565F"/>
    <w:rsid w:val="00535823"/>
    <w:rsid w:val="00536236"/>
    <w:rsid w:val="005365F3"/>
    <w:rsid w:val="00536E74"/>
    <w:rsid w:val="00536EA5"/>
    <w:rsid w:val="00540C5C"/>
    <w:rsid w:val="00541783"/>
    <w:rsid w:val="0054183F"/>
    <w:rsid w:val="00541E6E"/>
    <w:rsid w:val="0054251F"/>
    <w:rsid w:val="00542D2A"/>
    <w:rsid w:val="00543781"/>
    <w:rsid w:val="00543B1E"/>
    <w:rsid w:val="00544648"/>
    <w:rsid w:val="00544F3E"/>
    <w:rsid w:val="00545381"/>
    <w:rsid w:val="00545745"/>
    <w:rsid w:val="00545FCE"/>
    <w:rsid w:val="00546781"/>
    <w:rsid w:val="00546DE9"/>
    <w:rsid w:val="00547998"/>
    <w:rsid w:val="00550430"/>
    <w:rsid w:val="005508BA"/>
    <w:rsid w:val="005510F6"/>
    <w:rsid w:val="00551B1E"/>
    <w:rsid w:val="005520D8"/>
    <w:rsid w:val="00552BCA"/>
    <w:rsid w:val="0055475D"/>
    <w:rsid w:val="005548F3"/>
    <w:rsid w:val="00554952"/>
    <w:rsid w:val="00554CB0"/>
    <w:rsid w:val="00554FC3"/>
    <w:rsid w:val="00555CC2"/>
    <w:rsid w:val="00555CFB"/>
    <w:rsid w:val="00556ADB"/>
    <w:rsid w:val="00556CF1"/>
    <w:rsid w:val="00557228"/>
    <w:rsid w:val="00557549"/>
    <w:rsid w:val="005607B0"/>
    <w:rsid w:val="0056127E"/>
    <w:rsid w:val="00561AD2"/>
    <w:rsid w:val="00562913"/>
    <w:rsid w:val="00563939"/>
    <w:rsid w:val="005658EC"/>
    <w:rsid w:val="00565B83"/>
    <w:rsid w:val="00567193"/>
    <w:rsid w:val="005672B2"/>
    <w:rsid w:val="00567365"/>
    <w:rsid w:val="00570780"/>
    <w:rsid w:val="00571430"/>
    <w:rsid w:val="005717BB"/>
    <w:rsid w:val="00571FC4"/>
    <w:rsid w:val="005723A4"/>
    <w:rsid w:val="00572B3E"/>
    <w:rsid w:val="005731DF"/>
    <w:rsid w:val="00573B10"/>
    <w:rsid w:val="00574358"/>
    <w:rsid w:val="00574D5F"/>
    <w:rsid w:val="0057545D"/>
    <w:rsid w:val="005762A7"/>
    <w:rsid w:val="0057679A"/>
    <w:rsid w:val="00577904"/>
    <w:rsid w:val="00577E10"/>
    <w:rsid w:val="00580A28"/>
    <w:rsid w:val="00581A0F"/>
    <w:rsid w:val="005836FD"/>
    <w:rsid w:val="00583AD1"/>
    <w:rsid w:val="00583E66"/>
    <w:rsid w:val="00583F2F"/>
    <w:rsid w:val="0058411C"/>
    <w:rsid w:val="00584432"/>
    <w:rsid w:val="005849BA"/>
    <w:rsid w:val="005852F7"/>
    <w:rsid w:val="0058664B"/>
    <w:rsid w:val="005870C3"/>
    <w:rsid w:val="00587836"/>
    <w:rsid w:val="00587B13"/>
    <w:rsid w:val="00587CEE"/>
    <w:rsid w:val="00590800"/>
    <w:rsid w:val="0059086B"/>
    <w:rsid w:val="005909DA"/>
    <w:rsid w:val="0059147E"/>
    <w:rsid w:val="005916D7"/>
    <w:rsid w:val="005920A4"/>
    <w:rsid w:val="0059362A"/>
    <w:rsid w:val="005938AE"/>
    <w:rsid w:val="0059427F"/>
    <w:rsid w:val="00594DF3"/>
    <w:rsid w:val="0059561B"/>
    <w:rsid w:val="00595646"/>
    <w:rsid w:val="00595EB2"/>
    <w:rsid w:val="00595F2B"/>
    <w:rsid w:val="00597F14"/>
    <w:rsid w:val="005A0364"/>
    <w:rsid w:val="005A0C46"/>
    <w:rsid w:val="005A4126"/>
    <w:rsid w:val="005A4CD9"/>
    <w:rsid w:val="005A6126"/>
    <w:rsid w:val="005A61C4"/>
    <w:rsid w:val="005A6641"/>
    <w:rsid w:val="005A6925"/>
    <w:rsid w:val="005A698C"/>
    <w:rsid w:val="005A6EE1"/>
    <w:rsid w:val="005A7B1D"/>
    <w:rsid w:val="005B01EB"/>
    <w:rsid w:val="005B1034"/>
    <w:rsid w:val="005B115C"/>
    <w:rsid w:val="005B3553"/>
    <w:rsid w:val="005B3C24"/>
    <w:rsid w:val="005B480F"/>
    <w:rsid w:val="005B4D77"/>
    <w:rsid w:val="005B5526"/>
    <w:rsid w:val="005B5586"/>
    <w:rsid w:val="005B5A24"/>
    <w:rsid w:val="005B75C7"/>
    <w:rsid w:val="005C09FE"/>
    <w:rsid w:val="005C0CAC"/>
    <w:rsid w:val="005C0EB0"/>
    <w:rsid w:val="005C0F97"/>
    <w:rsid w:val="005C1738"/>
    <w:rsid w:val="005C1927"/>
    <w:rsid w:val="005C2A86"/>
    <w:rsid w:val="005C2D1F"/>
    <w:rsid w:val="005C3D5A"/>
    <w:rsid w:val="005C4A3E"/>
    <w:rsid w:val="005C52A3"/>
    <w:rsid w:val="005C57D9"/>
    <w:rsid w:val="005C7893"/>
    <w:rsid w:val="005C7B7C"/>
    <w:rsid w:val="005C7BB8"/>
    <w:rsid w:val="005D02F6"/>
    <w:rsid w:val="005D062E"/>
    <w:rsid w:val="005D0F0E"/>
    <w:rsid w:val="005D15BE"/>
    <w:rsid w:val="005D1913"/>
    <w:rsid w:val="005D286B"/>
    <w:rsid w:val="005D2F6B"/>
    <w:rsid w:val="005D3085"/>
    <w:rsid w:val="005D3B27"/>
    <w:rsid w:val="005D53C4"/>
    <w:rsid w:val="005D62BF"/>
    <w:rsid w:val="005D6434"/>
    <w:rsid w:val="005D64F2"/>
    <w:rsid w:val="005D7525"/>
    <w:rsid w:val="005D7535"/>
    <w:rsid w:val="005E0634"/>
    <w:rsid w:val="005E0799"/>
    <w:rsid w:val="005E1040"/>
    <w:rsid w:val="005E10F9"/>
    <w:rsid w:val="005E11FD"/>
    <w:rsid w:val="005E1200"/>
    <w:rsid w:val="005E1F9F"/>
    <w:rsid w:val="005E2804"/>
    <w:rsid w:val="005E2898"/>
    <w:rsid w:val="005E3F6A"/>
    <w:rsid w:val="005E4203"/>
    <w:rsid w:val="005E5734"/>
    <w:rsid w:val="005E5B9A"/>
    <w:rsid w:val="005E6B4B"/>
    <w:rsid w:val="005E7321"/>
    <w:rsid w:val="005E7734"/>
    <w:rsid w:val="005E7893"/>
    <w:rsid w:val="005E78CD"/>
    <w:rsid w:val="005F0E17"/>
    <w:rsid w:val="005F117A"/>
    <w:rsid w:val="005F1885"/>
    <w:rsid w:val="005F2062"/>
    <w:rsid w:val="005F382C"/>
    <w:rsid w:val="005F3E9B"/>
    <w:rsid w:val="005F421A"/>
    <w:rsid w:val="005F44CD"/>
    <w:rsid w:val="005F45EE"/>
    <w:rsid w:val="005F551B"/>
    <w:rsid w:val="005F5624"/>
    <w:rsid w:val="005F5A1C"/>
    <w:rsid w:val="005F5A80"/>
    <w:rsid w:val="005F6A47"/>
    <w:rsid w:val="005F6C19"/>
    <w:rsid w:val="0060022B"/>
    <w:rsid w:val="00602869"/>
    <w:rsid w:val="00602A96"/>
    <w:rsid w:val="00602C8A"/>
    <w:rsid w:val="006039AC"/>
    <w:rsid w:val="00604403"/>
    <w:rsid w:val="006044FF"/>
    <w:rsid w:val="00605422"/>
    <w:rsid w:val="006066C0"/>
    <w:rsid w:val="00607076"/>
    <w:rsid w:val="006070F4"/>
    <w:rsid w:val="006077E2"/>
    <w:rsid w:val="00607892"/>
    <w:rsid w:val="00607CC5"/>
    <w:rsid w:val="006103C3"/>
    <w:rsid w:val="00610446"/>
    <w:rsid w:val="00610830"/>
    <w:rsid w:val="00611060"/>
    <w:rsid w:val="006113BA"/>
    <w:rsid w:val="0061179B"/>
    <w:rsid w:val="006120CB"/>
    <w:rsid w:val="006125F9"/>
    <w:rsid w:val="00612844"/>
    <w:rsid w:val="00614471"/>
    <w:rsid w:val="00616193"/>
    <w:rsid w:val="00616551"/>
    <w:rsid w:val="00616AB3"/>
    <w:rsid w:val="00617131"/>
    <w:rsid w:val="00617172"/>
    <w:rsid w:val="006174B4"/>
    <w:rsid w:val="0062058D"/>
    <w:rsid w:val="00621173"/>
    <w:rsid w:val="0062149F"/>
    <w:rsid w:val="006219AB"/>
    <w:rsid w:val="00621B2C"/>
    <w:rsid w:val="006226FE"/>
    <w:rsid w:val="006243B4"/>
    <w:rsid w:val="0062472F"/>
    <w:rsid w:val="00625576"/>
    <w:rsid w:val="00626F80"/>
    <w:rsid w:val="00627CE7"/>
    <w:rsid w:val="00627D29"/>
    <w:rsid w:val="00630896"/>
    <w:rsid w:val="00630B74"/>
    <w:rsid w:val="00632661"/>
    <w:rsid w:val="00633014"/>
    <w:rsid w:val="00633DE1"/>
    <w:rsid w:val="006340CC"/>
    <w:rsid w:val="0063437B"/>
    <w:rsid w:val="00634CF9"/>
    <w:rsid w:val="00635217"/>
    <w:rsid w:val="0063545D"/>
    <w:rsid w:val="006354E7"/>
    <w:rsid w:val="0063641A"/>
    <w:rsid w:val="00636A2C"/>
    <w:rsid w:val="0064017E"/>
    <w:rsid w:val="00640EB6"/>
    <w:rsid w:val="00641842"/>
    <w:rsid w:val="0064275A"/>
    <w:rsid w:val="00643B36"/>
    <w:rsid w:val="00644511"/>
    <w:rsid w:val="006449D1"/>
    <w:rsid w:val="006464AC"/>
    <w:rsid w:val="00650411"/>
    <w:rsid w:val="00652D5B"/>
    <w:rsid w:val="00652E03"/>
    <w:rsid w:val="006531BC"/>
    <w:rsid w:val="006540E3"/>
    <w:rsid w:val="00654AEF"/>
    <w:rsid w:val="00654BB6"/>
    <w:rsid w:val="0065729C"/>
    <w:rsid w:val="006604E0"/>
    <w:rsid w:val="00662621"/>
    <w:rsid w:val="0066314E"/>
    <w:rsid w:val="006631AE"/>
    <w:rsid w:val="0066344D"/>
    <w:rsid w:val="006642C1"/>
    <w:rsid w:val="006670C2"/>
    <w:rsid w:val="006673CA"/>
    <w:rsid w:val="00667619"/>
    <w:rsid w:val="006713E7"/>
    <w:rsid w:val="00673C26"/>
    <w:rsid w:val="00673C40"/>
    <w:rsid w:val="00674DE5"/>
    <w:rsid w:val="0067504B"/>
    <w:rsid w:val="00676B58"/>
    <w:rsid w:val="00676C8A"/>
    <w:rsid w:val="00677ACA"/>
    <w:rsid w:val="00680A8A"/>
    <w:rsid w:val="00680A8E"/>
    <w:rsid w:val="00680C41"/>
    <w:rsid w:val="00680FC2"/>
    <w:rsid w:val="006812AF"/>
    <w:rsid w:val="00681864"/>
    <w:rsid w:val="00681F09"/>
    <w:rsid w:val="0068327D"/>
    <w:rsid w:val="006840A9"/>
    <w:rsid w:val="00684889"/>
    <w:rsid w:val="00685BC5"/>
    <w:rsid w:val="0068788F"/>
    <w:rsid w:val="006902C4"/>
    <w:rsid w:val="00691534"/>
    <w:rsid w:val="006932A9"/>
    <w:rsid w:val="00693880"/>
    <w:rsid w:val="006938E0"/>
    <w:rsid w:val="00693FFC"/>
    <w:rsid w:val="006943AE"/>
    <w:rsid w:val="006947DC"/>
    <w:rsid w:val="00694AF0"/>
    <w:rsid w:val="00694E6B"/>
    <w:rsid w:val="00695E54"/>
    <w:rsid w:val="00695E8F"/>
    <w:rsid w:val="00696F30"/>
    <w:rsid w:val="00697495"/>
    <w:rsid w:val="00697DD7"/>
    <w:rsid w:val="006A01D3"/>
    <w:rsid w:val="006A02E9"/>
    <w:rsid w:val="006A0F68"/>
    <w:rsid w:val="006A1A2B"/>
    <w:rsid w:val="006A1ADC"/>
    <w:rsid w:val="006A1B49"/>
    <w:rsid w:val="006A209E"/>
    <w:rsid w:val="006A25E2"/>
    <w:rsid w:val="006A27C3"/>
    <w:rsid w:val="006A33AA"/>
    <w:rsid w:val="006A348C"/>
    <w:rsid w:val="006A3645"/>
    <w:rsid w:val="006A4686"/>
    <w:rsid w:val="006A4691"/>
    <w:rsid w:val="006A5EE0"/>
    <w:rsid w:val="006A69BF"/>
    <w:rsid w:val="006B00F3"/>
    <w:rsid w:val="006B0984"/>
    <w:rsid w:val="006B0E9E"/>
    <w:rsid w:val="006B14C5"/>
    <w:rsid w:val="006B1692"/>
    <w:rsid w:val="006B1DCE"/>
    <w:rsid w:val="006B267D"/>
    <w:rsid w:val="006B41AB"/>
    <w:rsid w:val="006B486D"/>
    <w:rsid w:val="006B4D9E"/>
    <w:rsid w:val="006B5280"/>
    <w:rsid w:val="006B54C5"/>
    <w:rsid w:val="006B589D"/>
    <w:rsid w:val="006B5A10"/>
    <w:rsid w:val="006B5AE4"/>
    <w:rsid w:val="006B5C74"/>
    <w:rsid w:val="006B715E"/>
    <w:rsid w:val="006B7C01"/>
    <w:rsid w:val="006C050E"/>
    <w:rsid w:val="006C0869"/>
    <w:rsid w:val="006C2D4C"/>
    <w:rsid w:val="006C34AD"/>
    <w:rsid w:val="006C3759"/>
    <w:rsid w:val="006C408D"/>
    <w:rsid w:val="006C4F30"/>
    <w:rsid w:val="006C5248"/>
    <w:rsid w:val="006C5E73"/>
    <w:rsid w:val="006C6C64"/>
    <w:rsid w:val="006D024F"/>
    <w:rsid w:val="006D02D2"/>
    <w:rsid w:val="006D060E"/>
    <w:rsid w:val="006D07AA"/>
    <w:rsid w:val="006D0CE9"/>
    <w:rsid w:val="006D0EFC"/>
    <w:rsid w:val="006D1507"/>
    <w:rsid w:val="006D17B1"/>
    <w:rsid w:val="006D1C79"/>
    <w:rsid w:val="006D252F"/>
    <w:rsid w:val="006D2B2E"/>
    <w:rsid w:val="006D3954"/>
    <w:rsid w:val="006D4054"/>
    <w:rsid w:val="006D4745"/>
    <w:rsid w:val="006D481A"/>
    <w:rsid w:val="006D53F2"/>
    <w:rsid w:val="006D581C"/>
    <w:rsid w:val="006D6F41"/>
    <w:rsid w:val="006D72D0"/>
    <w:rsid w:val="006D7F07"/>
    <w:rsid w:val="006E026B"/>
    <w:rsid w:val="006E02EC"/>
    <w:rsid w:val="006E067E"/>
    <w:rsid w:val="006E1B4F"/>
    <w:rsid w:val="006E1F77"/>
    <w:rsid w:val="006E31D7"/>
    <w:rsid w:val="006E38BB"/>
    <w:rsid w:val="006E3978"/>
    <w:rsid w:val="006E3C4F"/>
    <w:rsid w:val="006E3F9F"/>
    <w:rsid w:val="006E55A4"/>
    <w:rsid w:val="006E5670"/>
    <w:rsid w:val="006E56D8"/>
    <w:rsid w:val="006E5B7C"/>
    <w:rsid w:val="006E5F77"/>
    <w:rsid w:val="006E6F41"/>
    <w:rsid w:val="006E73E6"/>
    <w:rsid w:val="006E7FB2"/>
    <w:rsid w:val="006F026F"/>
    <w:rsid w:val="006F053B"/>
    <w:rsid w:val="006F0AA4"/>
    <w:rsid w:val="006F1BAC"/>
    <w:rsid w:val="006F31AF"/>
    <w:rsid w:val="006F3566"/>
    <w:rsid w:val="006F3653"/>
    <w:rsid w:val="006F3D50"/>
    <w:rsid w:val="006F3E7E"/>
    <w:rsid w:val="006F60AD"/>
    <w:rsid w:val="006F6294"/>
    <w:rsid w:val="006F6E4B"/>
    <w:rsid w:val="00702143"/>
    <w:rsid w:val="00702CE2"/>
    <w:rsid w:val="00702D3A"/>
    <w:rsid w:val="00702EEA"/>
    <w:rsid w:val="00703F87"/>
    <w:rsid w:val="007042A6"/>
    <w:rsid w:val="007044CE"/>
    <w:rsid w:val="00704598"/>
    <w:rsid w:val="00704878"/>
    <w:rsid w:val="00705190"/>
    <w:rsid w:val="00705D35"/>
    <w:rsid w:val="00711D20"/>
    <w:rsid w:val="00712713"/>
    <w:rsid w:val="00713DC3"/>
    <w:rsid w:val="00713E51"/>
    <w:rsid w:val="00714806"/>
    <w:rsid w:val="00714A08"/>
    <w:rsid w:val="0071590B"/>
    <w:rsid w:val="00715C73"/>
    <w:rsid w:val="00715DF9"/>
    <w:rsid w:val="0071652E"/>
    <w:rsid w:val="007167DF"/>
    <w:rsid w:val="00716BA1"/>
    <w:rsid w:val="00717A27"/>
    <w:rsid w:val="007203BB"/>
    <w:rsid w:val="00720FFC"/>
    <w:rsid w:val="007211B1"/>
    <w:rsid w:val="00721BD1"/>
    <w:rsid w:val="0072237B"/>
    <w:rsid w:val="007223E8"/>
    <w:rsid w:val="0072341E"/>
    <w:rsid w:val="00723445"/>
    <w:rsid w:val="00724BA9"/>
    <w:rsid w:val="00725869"/>
    <w:rsid w:val="007259AA"/>
    <w:rsid w:val="00726545"/>
    <w:rsid w:val="007277DA"/>
    <w:rsid w:val="00731150"/>
    <w:rsid w:val="0073126B"/>
    <w:rsid w:val="00731D27"/>
    <w:rsid w:val="00732225"/>
    <w:rsid w:val="0073349F"/>
    <w:rsid w:val="007348AC"/>
    <w:rsid w:val="00734B84"/>
    <w:rsid w:val="00734EC5"/>
    <w:rsid w:val="0073583D"/>
    <w:rsid w:val="007359B3"/>
    <w:rsid w:val="00735BDF"/>
    <w:rsid w:val="0073632F"/>
    <w:rsid w:val="0073764F"/>
    <w:rsid w:val="00737AE2"/>
    <w:rsid w:val="00737D55"/>
    <w:rsid w:val="00737E74"/>
    <w:rsid w:val="00740957"/>
    <w:rsid w:val="00740A85"/>
    <w:rsid w:val="007410A8"/>
    <w:rsid w:val="00741987"/>
    <w:rsid w:val="00742174"/>
    <w:rsid w:val="00743910"/>
    <w:rsid w:val="00743926"/>
    <w:rsid w:val="0074406D"/>
    <w:rsid w:val="0074485D"/>
    <w:rsid w:val="00744A01"/>
    <w:rsid w:val="00746187"/>
    <w:rsid w:val="00747137"/>
    <w:rsid w:val="007476FD"/>
    <w:rsid w:val="007478F5"/>
    <w:rsid w:val="00750547"/>
    <w:rsid w:val="00751103"/>
    <w:rsid w:val="00751607"/>
    <w:rsid w:val="00751A92"/>
    <w:rsid w:val="00751D69"/>
    <w:rsid w:val="00752194"/>
    <w:rsid w:val="007525D7"/>
    <w:rsid w:val="0075261D"/>
    <w:rsid w:val="00754066"/>
    <w:rsid w:val="007564B3"/>
    <w:rsid w:val="0075719B"/>
    <w:rsid w:val="007571F0"/>
    <w:rsid w:val="007604B9"/>
    <w:rsid w:val="0076074A"/>
    <w:rsid w:val="0076254F"/>
    <w:rsid w:val="007625E1"/>
    <w:rsid w:val="00763634"/>
    <w:rsid w:val="0076517F"/>
    <w:rsid w:val="00766836"/>
    <w:rsid w:val="00766C13"/>
    <w:rsid w:val="00766DB7"/>
    <w:rsid w:val="00766DD4"/>
    <w:rsid w:val="007674FE"/>
    <w:rsid w:val="00770176"/>
    <w:rsid w:val="007708E6"/>
    <w:rsid w:val="00771104"/>
    <w:rsid w:val="007726C4"/>
    <w:rsid w:val="007729E8"/>
    <w:rsid w:val="00772A8E"/>
    <w:rsid w:val="00772E57"/>
    <w:rsid w:val="00772EFB"/>
    <w:rsid w:val="007732A9"/>
    <w:rsid w:val="00775BDA"/>
    <w:rsid w:val="00777062"/>
    <w:rsid w:val="007774DD"/>
    <w:rsid w:val="00777534"/>
    <w:rsid w:val="00777D83"/>
    <w:rsid w:val="007801F5"/>
    <w:rsid w:val="00780A0F"/>
    <w:rsid w:val="00780A9E"/>
    <w:rsid w:val="007825D0"/>
    <w:rsid w:val="007828F2"/>
    <w:rsid w:val="00782CE6"/>
    <w:rsid w:val="00783CA4"/>
    <w:rsid w:val="007842FB"/>
    <w:rsid w:val="00784E1E"/>
    <w:rsid w:val="007851AC"/>
    <w:rsid w:val="00785641"/>
    <w:rsid w:val="0078567B"/>
    <w:rsid w:val="00786124"/>
    <w:rsid w:val="0078699F"/>
    <w:rsid w:val="00786EDB"/>
    <w:rsid w:val="007873B7"/>
    <w:rsid w:val="00787638"/>
    <w:rsid w:val="00791E76"/>
    <w:rsid w:val="00791EEA"/>
    <w:rsid w:val="0079314F"/>
    <w:rsid w:val="0079514B"/>
    <w:rsid w:val="00795252"/>
    <w:rsid w:val="0079572B"/>
    <w:rsid w:val="00795978"/>
    <w:rsid w:val="00795EB0"/>
    <w:rsid w:val="007965AC"/>
    <w:rsid w:val="00797FA4"/>
    <w:rsid w:val="007A2DC1"/>
    <w:rsid w:val="007A2F1A"/>
    <w:rsid w:val="007A4015"/>
    <w:rsid w:val="007A40DE"/>
    <w:rsid w:val="007A4440"/>
    <w:rsid w:val="007A5391"/>
    <w:rsid w:val="007A5455"/>
    <w:rsid w:val="007A5A28"/>
    <w:rsid w:val="007A63DB"/>
    <w:rsid w:val="007A74EE"/>
    <w:rsid w:val="007A7B86"/>
    <w:rsid w:val="007B0396"/>
    <w:rsid w:val="007B09F2"/>
    <w:rsid w:val="007B13EE"/>
    <w:rsid w:val="007B213B"/>
    <w:rsid w:val="007B2202"/>
    <w:rsid w:val="007B2B2D"/>
    <w:rsid w:val="007B2E04"/>
    <w:rsid w:val="007B3018"/>
    <w:rsid w:val="007B3282"/>
    <w:rsid w:val="007B3513"/>
    <w:rsid w:val="007B3A72"/>
    <w:rsid w:val="007B4191"/>
    <w:rsid w:val="007B46F0"/>
    <w:rsid w:val="007B4B5F"/>
    <w:rsid w:val="007B4FD5"/>
    <w:rsid w:val="007B6C81"/>
    <w:rsid w:val="007C1314"/>
    <w:rsid w:val="007C2A29"/>
    <w:rsid w:val="007C3336"/>
    <w:rsid w:val="007C3873"/>
    <w:rsid w:val="007C422A"/>
    <w:rsid w:val="007C4467"/>
    <w:rsid w:val="007C459B"/>
    <w:rsid w:val="007C5255"/>
    <w:rsid w:val="007C53DA"/>
    <w:rsid w:val="007C623C"/>
    <w:rsid w:val="007C7A37"/>
    <w:rsid w:val="007C7D79"/>
    <w:rsid w:val="007D01BF"/>
    <w:rsid w:val="007D05D6"/>
    <w:rsid w:val="007D0869"/>
    <w:rsid w:val="007D14C4"/>
    <w:rsid w:val="007D25E6"/>
    <w:rsid w:val="007D2FCF"/>
    <w:rsid w:val="007D310D"/>
    <w:rsid w:val="007D3319"/>
    <w:rsid w:val="007D335D"/>
    <w:rsid w:val="007D3FAE"/>
    <w:rsid w:val="007D40A2"/>
    <w:rsid w:val="007D4466"/>
    <w:rsid w:val="007D44C6"/>
    <w:rsid w:val="007D5CDE"/>
    <w:rsid w:val="007D5FC8"/>
    <w:rsid w:val="007D605C"/>
    <w:rsid w:val="007D6EAE"/>
    <w:rsid w:val="007D76BA"/>
    <w:rsid w:val="007D7785"/>
    <w:rsid w:val="007E252C"/>
    <w:rsid w:val="007E3314"/>
    <w:rsid w:val="007E34DD"/>
    <w:rsid w:val="007E3514"/>
    <w:rsid w:val="007E3602"/>
    <w:rsid w:val="007E4219"/>
    <w:rsid w:val="007E4A67"/>
    <w:rsid w:val="007E4B03"/>
    <w:rsid w:val="007E4E3A"/>
    <w:rsid w:val="007E556F"/>
    <w:rsid w:val="007E5778"/>
    <w:rsid w:val="007E58F1"/>
    <w:rsid w:val="007E6E00"/>
    <w:rsid w:val="007F0BB6"/>
    <w:rsid w:val="007F0D60"/>
    <w:rsid w:val="007F1618"/>
    <w:rsid w:val="007F1CED"/>
    <w:rsid w:val="007F2525"/>
    <w:rsid w:val="007F30DA"/>
    <w:rsid w:val="007F324B"/>
    <w:rsid w:val="007F3496"/>
    <w:rsid w:val="007F440F"/>
    <w:rsid w:val="007F5322"/>
    <w:rsid w:val="007F637B"/>
    <w:rsid w:val="007F7555"/>
    <w:rsid w:val="0080031D"/>
    <w:rsid w:val="008010D9"/>
    <w:rsid w:val="00801FAA"/>
    <w:rsid w:val="008020CF"/>
    <w:rsid w:val="008023CF"/>
    <w:rsid w:val="00802BCA"/>
    <w:rsid w:val="0080317E"/>
    <w:rsid w:val="00803384"/>
    <w:rsid w:val="00803E1B"/>
    <w:rsid w:val="00805364"/>
    <w:rsid w:val="0080553C"/>
    <w:rsid w:val="008055D6"/>
    <w:rsid w:val="008056E4"/>
    <w:rsid w:val="00805B46"/>
    <w:rsid w:val="00805DB4"/>
    <w:rsid w:val="00806A2F"/>
    <w:rsid w:val="00806F0F"/>
    <w:rsid w:val="00807A08"/>
    <w:rsid w:val="00807B83"/>
    <w:rsid w:val="00810535"/>
    <w:rsid w:val="00810DDD"/>
    <w:rsid w:val="00810EB1"/>
    <w:rsid w:val="00811873"/>
    <w:rsid w:val="008124C7"/>
    <w:rsid w:val="00812A92"/>
    <w:rsid w:val="00813C1C"/>
    <w:rsid w:val="008144C4"/>
    <w:rsid w:val="008145AA"/>
    <w:rsid w:val="008163BE"/>
    <w:rsid w:val="008163CF"/>
    <w:rsid w:val="00817DF1"/>
    <w:rsid w:val="00821317"/>
    <w:rsid w:val="00821E33"/>
    <w:rsid w:val="00822335"/>
    <w:rsid w:val="00822CA1"/>
    <w:rsid w:val="00823593"/>
    <w:rsid w:val="008240B4"/>
    <w:rsid w:val="00825546"/>
    <w:rsid w:val="00825B03"/>
    <w:rsid w:val="00825DC2"/>
    <w:rsid w:val="00825E0D"/>
    <w:rsid w:val="00826719"/>
    <w:rsid w:val="008270B1"/>
    <w:rsid w:val="008273F0"/>
    <w:rsid w:val="00830961"/>
    <w:rsid w:val="0083097C"/>
    <w:rsid w:val="00830EC6"/>
    <w:rsid w:val="00830FD5"/>
    <w:rsid w:val="00831006"/>
    <w:rsid w:val="00833BB1"/>
    <w:rsid w:val="00833EE4"/>
    <w:rsid w:val="0083424C"/>
    <w:rsid w:val="008346F5"/>
    <w:rsid w:val="00834AD3"/>
    <w:rsid w:val="00834CA9"/>
    <w:rsid w:val="0083543D"/>
    <w:rsid w:val="00836D46"/>
    <w:rsid w:val="00837009"/>
    <w:rsid w:val="008371C8"/>
    <w:rsid w:val="0083744D"/>
    <w:rsid w:val="00837946"/>
    <w:rsid w:val="00837FEA"/>
    <w:rsid w:val="008411B3"/>
    <w:rsid w:val="008412D3"/>
    <w:rsid w:val="0084167B"/>
    <w:rsid w:val="008423C6"/>
    <w:rsid w:val="008426E7"/>
    <w:rsid w:val="00843795"/>
    <w:rsid w:val="00845301"/>
    <w:rsid w:val="00845C79"/>
    <w:rsid w:val="008461BE"/>
    <w:rsid w:val="00847F0F"/>
    <w:rsid w:val="00850285"/>
    <w:rsid w:val="00851D98"/>
    <w:rsid w:val="0085217B"/>
    <w:rsid w:val="00852448"/>
    <w:rsid w:val="00852487"/>
    <w:rsid w:val="00852EAD"/>
    <w:rsid w:val="008541D0"/>
    <w:rsid w:val="0085490D"/>
    <w:rsid w:val="00855F53"/>
    <w:rsid w:val="00856922"/>
    <w:rsid w:val="00857582"/>
    <w:rsid w:val="00857AC8"/>
    <w:rsid w:val="00857DC1"/>
    <w:rsid w:val="00860004"/>
    <w:rsid w:val="00860F41"/>
    <w:rsid w:val="00862514"/>
    <w:rsid w:val="00863200"/>
    <w:rsid w:val="00864828"/>
    <w:rsid w:val="00864B8C"/>
    <w:rsid w:val="00864D08"/>
    <w:rsid w:val="00864F63"/>
    <w:rsid w:val="00865495"/>
    <w:rsid w:val="00865A3F"/>
    <w:rsid w:val="00865DC0"/>
    <w:rsid w:val="008664EF"/>
    <w:rsid w:val="008669D0"/>
    <w:rsid w:val="00866F4C"/>
    <w:rsid w:val="00870224"/>
    <w:rsid w:val="00871731"/>
    <w:rsid w:val="00871C10"/>
    <w:rsid w:val="00872983"/>
    <w:rsid w:val="00873A3A"/>
    <w:rsid w:val="00873D50"/>
    <w:rsid w:val="00873ECC"/>
    <w:rsid w:val="00873EDA"/>
    <w:rsid w:val="00874824"/>
    <w:rsid w:val="00874EA5"/>
    <w:rsid w:val="00875D4F"/>
    <w:rsid w:val="0087671E"/>
    <w:rsid w:val="0087732F"/>
    <w:rsid w:val="008779A6"/>
    <w:rsid w:val="00877F6C"/>
    <w:rsid w:val="00880227"/>
    <w:rsid w:val="0088025F"/>
    <w:rsid w:val="0088061A"/>
    <w:rsid w:val="008809D7"/>
    <w:rsid w:val="0088173D"/>
    <w:rsid w:val="00881DEC"/>
    <w:rsid w:val="0088258A"/>
    <w:rsid w:val="008842FA"/>
    <w:rsid w:val="00884ABA"/>
    <w:rsid w:val="00884D19"/>
    <w:rsid w:val="00885203"/>
    <w:rsid w:val="00885C3A"/>
    <w:rsid w:val="00885E51"/>
    <w:rsid w:val="00886167"/>
    <w:rsid w:val="008862E5"/>
    <w:rsid w:val="00886332"/>
    <w:rsid w:val="008870A5"/>
    <w:rsid w:val="00887B2E"/>
    <w:rsid w:val="00887DF5"/>
    <w:rsid w:val="008905EB"/>
    <w:rsid w:val="00890A2F"/>
    <w:rsid w:val="00890A91"/>
    <w:rsid w:val="00890CCF"/>
    <w:rsid w:val="008925F0"/>
    <w:rsid w:val="00893FD6"/>
    <w:rsid w:val="0089448A"/>
    <w:rsid w:val="008946D8"/>
    <w:rsid w:val="0089499D"/>
    <w:rsid w:val="00894C96"/>
    <w:rsid w:val="00896BB2"/>
    <w:rsid w:val="00897707"/>
    <w:rsid w:val="00897877"/>
    <w:rsid w:val="0089790A"/>
    <w:rsid w:val="008A0037"/>
    <w:rsid w:val="008A065D"/>
    <w:rsid w:val="008A06EF"/>
    <w:rsid w:val="008A11C9"/>
    <w:rsid w:val="008A167B"/>
    <w:rsid w:val="008A210C"/>
    <w:rsid w:val="008A2170"/>
    <w:rsid w:val="008A2426"/>
    <w:rsid w:val="008A26D9"/>
    <w:rsid w:val="008A2F06"/>
    <w:rsid w:val="008A4E12"/>
    <w:rsid w:val="008A5DC7"/>
    <w:rsid w:val="008A647E"/>
    <w:rsid w:val="008A715D"/>
    <w:rsid w:val="008A71F3"/>
    <w:rsid w:val="008A7B5B"/>
    <w:rsid w:val="008B0DE7"/>
    <w:rsid w:val="008B12D2"/>
    <w:rsid w:val="008B158D"/>
    <w:rsid w:val="008B1B16"/>
    <w:rsid w:val="008B1BC9"/>
    <w:rsid w:val="008B2463"/>
    <w:rsid w:val="008B4F2D"/>
    <w:rsid w:val="008B6C56"/>
    <w:rsid w:val="008B72B4"/>
    <w:rsid w:val="008B761D"/>
    <w:rsid w:val="008B7E81"/>
    <w:rsid w:val="008B7EF3"/>
    <w:rsid w:val="008C00D7"/>
    <w:rsid w:val="008C0C29"/>
    <w:rsid w:val="008C2B4E"/>
    <w:rsid w:val="008C2FA1"/>
    <w:rsid w:val="008C36E8"/>
    <w:rsid w:val="008C38EA"/>
    <w:rsid w:val="008C3A05"/>
    <w:rsid w:val="008C3DAF"/>
    <w:rsid w:val="008C406C"/>
    <w:rsid w:val="008C4FED"/>
    <w:rsid w:val="008C5B89"/>
    <w:rsid w:val="008C6917"/>
    <w:rsid w:val="008C79ED"/>
    <w:rsid w:val="008C7C61"/>
    <w:rsid w:val="008C7C8D"/>
    <w:rsid w:val="008D02DA"/>
    <w:rsid w:val="008D1C7C"/>
    <w:rsid w:val="008D227C"/>
    <w:rsid w:val="008D3880"/>
    <w:rsid w:val="008D3F98"/>
    <w:rsid w:val="008D3F9E"/>
    <w:rsid w:val="008D4832"/>
    <w:rsid w:val="008D5A73"/>
    <w:rsid w:val="008D5AAC"/>
    <w:rsid w:val="008D5C33"/>
    <w:rsid w:val="008D5D28"/>
    <w:rsid w:val="008D6417"/>
    <w:rsid w:val="008D702C"/>
    <w:rsid w:val="008D7305"/>
    <w:rsid w:val="008D76BC"/>
    <w:rsid w:val="008E05B3"/>
    <w:rsid w:val="008E05F0"/>
    <w:rsid w:val="008E0C33"/>
    <w:rsid w:val="008E2BF9"/>
    <w:rsid w:val="008E38DB"/>
    <w:rsid w:val="008E555A"/>
    <w:rsid w:val="008E65F1"/>
    <w:rsid w:val="008E661D"/>
    <w:rsid w:val="008E706A"/>
    <w:rsid w:val="008E74EC"/>
    <w:rsid w:val="008E7DBA"/>
    <w:rsid w:val="008F0829"/>
    <w:rsid w:val="008F0ACB"/>
    <w:rsid w:val="008F1615"/>
    <w:rsid w:val="008F23CC"/>
    <w:rsid w:val="008F3638"/>
    <w:rsid w:val="008F390A"/>
    <w:rsid w:val="008F4441"/>
    <w:rsid w:val="008F59C6"/>
    <w:rsid w:val="008F659A"/>
    <w:rsid w:val="008F6B20"/>
    <w:rsid w:val="008F6D8C"/>
    <w:rsid w:val="008F6F31"/>
    <w:rsid w:val="008F74DF"/>
    <w:rsid w:val="008F7F00"/>
    <w:rsid w:val="009000C6"/>
    <w:rsid w:val="009001E3"/>
    <w:rsid w:val="0090047C"/>
    <w:rsid w:val="0090102E"/>
    <w:rsid w:val="009015ED"/>
    <w:rsid w:val="00902274"/>
    <w:rsid w:val="00902337"/>
    <w:rsid w:val="00903143"/>
    <w:rsid w:val="009045B8"/>
    <w:rsid w:val="00904685"/>
    <w:rsid w:val="0090549C"/>
    <w:rsid w:val="00906EEF"/>
    <w:rsid w:val="00907803"/>
    <w:rsid w:val="00907BDF"/>
    <w:rsid w:val="00910361"/>
    <w:rsid w:val="00911853"/>
    <w:rsid w:val="009127BA"/>
    <w:rsid w:val="00912A2F"/>
    <w:rsid w:val="00913516"/>
    <w:rsid w:val="00914CA5"/>
    <w:rsid w:val="00915043"/>
    <w:rsid w:val="00915161"/>
    <w:rsid w:val="00915222"/>
    <w:rsid w:val="00915B9C"/>
    <w:rsid w:val="0091730F"/>
    <w:rsid w:val="0091751F"/>
    <w:rsid w:val="00920AAE"/>
    <w:rsid w:val="00921003"/>
    <w:rsid w:val="00921C1C"/>
    <w:rsid w:val="00921D85"/>
    <w:rsid w:val="00921FC4"/>
    <w:rsid w:val="009227A6"/>
    <w:rsid w:val="009232F9"/>
    <w:rsid w:val="00923A22"/>
    <w:rsid w:val="00924E85"/>
    <w:rsid w:val="00926299"/>
    <w:rsid w:val="00926721"/>
    <w:rsid w:val="00927CA6"/>
    <w:rsid w:val="00930351"/>
    <w:rsid w:val="00930BE5"/>
    <w:rsid w:val="00931EE2"/>
    <w:rsid w:val="00932009"/>
    <w:rsid w:val="0093221B"/>
    <w:rsid w:val="009322A2"/>
    <w:rsid w:val="0093370E"/>
    <w:rsid w:val="00933889"/>
    <w:rsid w:val="009339F2"/>
    <w:rsid w:val="00933D71"/>
    <w:rsid w:val="00933EC1"/>
    <w:rsid w:val="0093432F"/>
    <w:rsid w:val="00934379"/>
    <w:rsid w:val="00934C19"/>
    <w:rsid w:val="00935517"/>
    <w:rsid w:val="00935A2F"/>
    <w:rsid w:val="009362C5"/>
    <w:rsid w:val="00937E0E"/>
    <w:rsid w:val="00940663"/>
    <w:rsid w:val="00941335"/>
    <w:rsid w:val="00942171"/>
    <w:rsid w:val="00942491"/>
    <w:rsid w:val="009424F1"/>
    <w:rsid w:val="00942EA8"/>
    <w:rsid w:val="00943CCB"/>
    <w:rsid w:val="009446AD"/>
    <w:rsid w:val="00944AF9"/>
    <w:rsid w:val="00945581"/>
    <w:rsid w:val="00946305"/>
    <w:rsid w:val="00947A7B"/>
    <w:rsid w:val="00947C98"/>
    <w:rsid w:val="00947F92"/>
    <w:rsid w:val="009503D0"/>
    <w:rsid w:val="00950C36"/>
    <w:rsid w:val="00950DD6"/>
    <w:rsid w:val="0095172A"/>
    <w:rsid w:val="009519A5"/>
    <w:rsid w:val="0095201C"/>
    <w:rsid w:val="0095221A"/>
    <w:rsid w:val="009530DB"/>
    <w:rsid w:val="00953326"/>
    <w:rsid w:val="0095338A"/>
    <w:rsid w:val="00953676"/>
    <w:rsid w:val="009549BB"/>
    <w:rsid w:val="00954CD7"/>
    <w:rsid w:val="009551D9"/>
    <w:rsid w:val="00955A00"/>
    <w:rsid w:val="00956070"/>
    <w:rsid w:val="0095666F"/>
    <w:rsid w:val="00956C61"/>
    <w:rsid w:val="00956F30"/>
    <w:rsid w:val="00961CDA"/>
    <w:rsid w:val="00961E11"/>
    <w:rsid w:val="0096206A"/>
    <w:rsid w:val="009625FE"/>
    <w:rsid w:val="00962DC8"/>
    <w:rsid w:val="00963445"/>
    <w:rsid w:val="009638EE"/>
    <w:rsid w:val="00963D0F"/>
    <w:rsid w:val="00963D7C"/>
    <w:rsid w:val="00963F00"/>
    <w:rsid w:val="009645B6"/>
    <w:rsid w:val="00965349"/>
    <w:rsid w:val="0096567E"/>
    <w:rsid w:val="00965773"/>
    <w:rsid w:val="00965B79"/>
    <w:rsid w:val="00965E5E"/>
    <w:rsid w:val="009666D9"/>
    <w:rsid w:val="00966C9A"/>
    <w:rsid w:val="009705EE"/>
    <w:rsid w:val="00970682"/>
    <w:rsid w:val="00971108"/>
    <w:rsid w:val="009726B5"/>
    <w:rsid w:val="00972711"/>
    <w:rsid w:val="009734E5"/>
    <w:rsid w:val="00974C75"/>
    <w:rsid w:val="0097604D"/>
    <w:rsid w:val="0097642C"/>
    <w:rsid w:val="00977873"/>
    <w:rsid w:val="00977927"/>
    <w:rsid w:val="0098000C"/>
    <w:rsid w:val="00980AE0"/>
    <w:rsid w:val="00980B8E"/>
    <w:rsid w:val="0098135C"/>
    <w:rsid w:val="009813B2"/>
    <w:rsid w:val="0098156A"/>
    <w:rsid w:val="00981609"/>
    <w:rsid w:val="0098190E"/>
    <w:rsid w:val="00982D69"/>
    <w:rsid w:val="00982E1F"/>
    <w:rsid w:val="00983BFE"/>
    <w:rsid w:val="00984619"/>
    <w:rsid w:val="009849EF"/>
    <w:rsid w:val="00985C2B"/>
    <w:rsid w:val="009860DD"/>
    <w:rsid w:val="009862E5"/>
    <w:rsid w:val="00987397"/>
    <w:rsid w:val="00987FE3"/>
    <w:rsid w:val="00991BAC"/>
    <w:rsid w:val="00991CD1"/>
    <w:rsid w:val="00991E50"/>
    <w:rsid w:val="009925B4"/>
    <w:rsid w:val="00993C0A"/>
    <w:rsid w:val="00996076"/>
    <w:rsid w:val="00996E90"/>
    <w:rsid w:val="0099757D"/>
    <w:rsid w:val="00997E4B"/>
    <w:rsid w:val="009A100E"/>
    <w:rsid w:val="009A1524"/>
    <w:rsid w:val="009A17BD"/>
    <w:rsid w:val="009A1A04"/>
    <w:rsid w:val="009A1CA1"/>
    <w:rsid w:val="009A2332"/>
    <w:rsid w:val="009A249B"/>
    <w:rsid w:val="009A2825"/>
    <w:rsid w:val="009A2C73"/>
    <w:rsid w:val="009A37E3"/>
    <w:rsid w:val="009A4935"/>
    <w:rsid w:val="009A4B11"/>
    <w:rsid w:val="009A6A0B"/>
    <w:rsid w:val="009A6CF2"/>
    <w:rsid w:val="009A6EA0"/>
    <w:rsid w:val="009A6EFF"/>
    <w:rsid w:val="009A7D33"/>
    <w:rsid w:val="009B03BC"/>
    <w:rsid w:val="009B0820"/>
    <w:rsid w:val="009B1162"/>
    <w:rsid w:val="009B2AFD"/>
    <w:rsid w:val="009B2BBD"/>
    <w:rsid w:val="009B3663"/>
    <w:rsid w:val="009B3DF7"/>
    <w:rsid w:val="009B428F"/>
    <w:rsid w:val="009B5A77"/>
    <w:rsid w:val="009B65A1"/>
    <w:rsid w:val="009B67B8"/>
    <w:rsid w:val="009B6BA6"/>
    <w:rsid w:val="009B6CC8"/>
    <w:rsid w:val="009B7D55"/>
    <w:rsid w:val="009C109D"/>
    <w:rsid w:val="009C1145"/>
    <w:rsid w:val="009C1335"/>
    <w:rsid w:val="009C18BF"/>
    <w:rsid w:val="009C18DA"/>
    <w:rsid w:val="009C1AB2"/>
    <w:rsid w:val="009C25BC"/>
    <w:rsid w:val="009C3908"/>
    <w:rsid w:val="009C4AA8"/>
    <w:rsid w:val="009C5691"/>
    <w:rsid w:val="009C6F8F"/>
    <w:rsid w:val="009C7251"/>
    <w:rsid w:val="009C725F"/>
    <w:rsid w:val="009C7D15"/>
    <w:rsid w:val="009D060B"/>
    <w:rsid w:val="009D2418"/>
    <w:rsid w:val="009D2C82"/>
    <w:rsid w:val="009D312C"/>
    <w:rsid w:val="009D3401"/>
    <w:rsid w:val="009D3E64"/>
    <w:rsid w:val="009D555D"/>
    <w:rsid w:val="009D6176"/>
    <w:rsid w:val="009D693F"/>
    <w:rsid w:val="009D6AEF"/>
    <w:rsid w:val="009D6CEA"/>
    <w:rsid w:val="009D6FB9"/>
    <w:rsid w:val="009D719C"/>
    <w:rsid w:val="009D7A0C"/>
    <w:rsid w:val="009D7DC3"/>
    <w:rsid w:val="009D7F04"/>
    <w:rsid w:val="009E1633"/>
    <w:rsid w:val="009E2D5A"/>
    <w:rsid w:val="009E2E91"/>
    <w:rsid w:val="009E6508"/>
    <w:rsid w:val="009E73BC"/>
    <w:rsid w:val="009E7512"/>
    <w:rsid w:val="009E76B3"/>
    <w:rsid w:val="009E7B27"/>
    <w:rsid w:val="009E7DCC"/>
    <w:rsid w:val="009F0EC7"/>
    <w:rsid w:val="009F1D6D"/>
    <w:rsid w:val="009F23E6"/>
    <w:rsid w:val="009F2617"/>
    <w:rsid w:val="009F38EC"/>
    <w:rsid w:val="009F3EE0"/>
    <w:rsid w:val="009F6606"/>
    <w:rsid w:val="009F7683"/>
    <w:rsid w:val="00A008DE"/>
    <w:rsid w:val="00A00C11"/>
    <w:rsid w:val="00A00F5B"/>
    <w:rsid w:val="00A00F80"/>
    <w:rsid w:val="00A01B40"/>
    <w:rsid w:val="00A01D85"/>
    <w:rsid w:val="00A02571"/>
    <w:rsid w:val="00A0427E"/>
    <w:rsid w:val="00A07C46"/>
    <w:rsid w:val="00A11FC1"/>
    <w:rsid w:val="00A12414"/>
    <w:rsid w:val="00A12446"/>
    <w:rsid w:val="00A1327F"/>
    <w:rsid w:val="00A136DC"/>
    <w:rsid w:val="00A139F5"/>
    <w:rsid w:val="00A140FD"/>
    <w:rsid w:val="00A149D7"/>
    <w:rsid w:val="00A150BB"/>
    <w:rsid w:val="00A16785"/>
    <w:rsid w:val="00A17549"/>
    <w:rsid w:val="00A178FE"/>
    <w:rsid w:val="00A20E48"/>
    <w:rsid w:val="00A2108C"/>
    <w:rsid w:val="00A210D1"/>
    <w:rsid w:val="00A21216"/>
    <w:rsid w:val="00A21472"/>
    <w:rsid w:val="00A214D4"/>
    <w:rsid w:val="00A2151D"/>
    <w:rsid w:val="00A229D5"/>
    <w:rsid w:val="00A22AFB"/>
    <w:rsid w:val="00A23188"/>
    <w:rsid w:val="00A23E41"/>
    <w:rsid w:val="00A250FC"/>
    <w:rsid w:val="00A2580E"/>
    <w:rsid w:val="00A26BE4"/>
    <w:rsid w:val="00A3032F"/>
    <w:rsid w:val="00A30A7A"/>
    <w:rsid w:val="00A3217A"/>
    <w:rsid w:val="00A32E16"/>
    <w:rsid w:val="00A3322A"/>
    <w:rsid w:val="00A3348B"/>
    <w:rsid w:val="00A3353B"/>
    <w:rsid w:val="00A33BDA"/>
    <w:rsid w:val="00A34927"/>
    <w:rsid w:val="00A3607B"/>
    <w:rsid w:val="00A361D3"/>
    <w:rsid w:val="00A36235"/>
    <w:rsid w:val="00A36274"/>
    <w:rsid w:val="00A365F4"/>
    <w:rsid w:val="00A37764"/>
    <w:rsid w:val="00A37DFF"/>
    <w:rsid w:val="00A37E6B"/>
    <w:rsid w:val="00A416DE"/>
    <w:rsid w:val="00A43814"/>
    <w:rsid w:val="00A44049"/>
    <w:rsid w:val="00A44372"/>
    <w:rsid w:val="00A44658"/>
    <w:rsid w:val="00A44780"/>
    <w:rsid w:val="00A453CD"/>
    <w:rsid w:val="00A454E5"/>
    <w:rsid w:val="00A462EA"/>
    <w:rsid w:val="00A46DBC"/>
    <w:rsid w:val="00A46E9B"/>
    <w:rsid w:val="00A4720D"/>
    <w:rsid w:val="00A474B5"/>
    <w:rsid w:val="00A47D80"/>
    <w:rsid w:val="00A50825"/>
    <w:rsid w:val="00A51507"/>
    <w:rsid w:val="00A519AA"/>
    <w:rsid w:val="00A53132"/>
    <w:rsid w:val="00A54935"/>
    <w:rsid w:val="00A54B17"/>
    <w:rsid w:val="00A55A98"/>
    <w:rsid w:val="00A55DF3"/>
    <w:rsid w:val="00A563F2"/>
    <w:rsid w:val="00A566E8"/>
    <w:rsid w:val="00A57663"/>
    <w:rsid w:val="00A57EB1"/>
    <w:rsid w:val="00A60563"/>
    <w:rsid w:val="00A6139F"/>
    <w:rsid w:val="00A621A9"/>
    <w:rsid w:val="00A640A3"/>
    <w:rsid w:val="00A654A8"/>
    <w:rsid w:val="00A66347"/>
    <w:rsid w:val="00A700B6"/>
    <w:rsid w:val="00A70936"/>
    <w:rsid w:val="00A709A4"/>
    <w:rsid w:val="00A70D1B"/>
    <w:rsid w:val="00A70FDE"/>
    <w:rsid w:val="00A71050"/>
    <w:rsid w:val="00A73544"/>
    <w:rsid w:val="00A75105"/>
    <w:rsid w:val="00A75B65"/>
    <w:rsid w:val="00A761BB"/>
    <w:rsid w:val="00A7712B"/>
    <w:rsid w:val="00A7744E"/>
    <w:rsid w:val="00A7751D"/>
    <w:rsid w:val="00A77559"/>
    <w:rsid w:val="00A77899"/>
    <w:rsid w:val="00A7789D"/>
    <w:rsid w:val="00A80A24"/>
    <w:rsid w:val="00A80B56"/>
    <w:rsid w:val="00A80F99"/>
    <w:rsid w:val="00A810F9"/>
    <w:rsid w:val="00A8123B"/>
    <w:rsid w:val="00A81313"/>
    <w:rsid w:val="00A814FC"/>
    <w:rsid w:val="00A81570"/>
    <w:rsid w:val="00A81FB5"/>
    <w:rsid w:val="00A827D0"/>
    <w:rsid w:val="00A82C96"/>
    <w:rsid w:val="00A82D31"/>
    <w:rsid w:val="00A82F84"/>
    <w:rsid w:val="00A835F1"/>
    <w:rsid w:val="00A84D71"/>
    <w:rsid w:val="00A85183"/>
    <w:rsid w:val="00A859CC"/>
    <w:rsid w:val="00A85E7E"/>
    <w:rsid w:val="00A8624C"/>
    <w:rsid w:val="00A86672"/>
    <w:rsid w:val="00A86E70"/>
    <w:rsid w:val="00A86ECC"/>
    <w:rsid w:val="00A86FCC"/>
    <w:rsid w:val="00A873BD"/>
    <w:rsid w:val="00A87CD4"/>
    <w:rsid w:val="00A90005"/>
    <w:rsid w:val="00A900BA"/>
    <w:rsid w:val="00A90A6D"/>
    <w:rsid w:val="00A90F92"/>
    <w:rsid w:val="00A92009"/>
    <w:rsid w:val="00A93297"/>
    <w:rsid w:val="00A93822"/>
    <w:rsid w:val="00A93C5A"/>
    <w:rsid w:val="00A95DF2"/>
    <w:rsid w:val="00A97058"/>
    <w:rsid w:val="00A971E5"/>
    <w:rsid w:val="00A978DF"/>
    <w:rsid w:val="00A97FFC"/>
    <w:rsid w:val="00AA055D"/>
    <w:rsid w:val="00AA099B"/>
    <w:rsid w:val="00AA0A10"/>
    <w:rsid w:val="00AA27EB"/>
    <w:rsid w:val="00AA2E16"/>
    <w:rsid w:val="00AA5401"/>
    <w:rsid w:val="00AA612D"/>
    <w:rsid w:val="00AA6B7C"/>
    <w:rsid w:val="00AA710D"/>
    <w:rsid w:val="00AA787E"/>
    <w:rsid w:val="00AB1407"/>
    <w:rsid w:val="00AB1644"/>
    <w:rsid w:val="00AB1A5D"/>
    <w:rsid w:val="00AB2042"/>
    <w:rsid w:val="00AB4435"/>
    <w:rsid w:val="00AB458A"/>
    <w:rsid w:val="00AB4708"/>
    <w:rsid w:val="00AB5096"/>
    <w:rsid w:val="00AB5713"/>
    <w:rsid w:val="00AB5C8B"/>
    <w:rsid w:val="00AB5CE2"/>
    <w:rsid w:val="00AB64F3"/>
    <w:rsid w:val="00AB6917"/>
    <w:rsid w:val="00AB6C9F"/>
    <w:rsid w:val="00AB6D25"/>
    <w:rsid w:val="00AB6ECF"/>
    <w:rsid w:val="00AB729F"/>
    <w:rsid w:val="00AC0A03"/>
    <w:rsid w:val="00AC185F"/>
    <w:rsid w:val="00AC1C28"/>
    <w:rsid w:val="00AC202C"/>
    <w:rsid w:val="00AC219B"/>
    <w:rsid w:val="00AC24C2"/>
    <w:rsid w:val="00AC424C"/>
    <w:rsid w:val="00AC5413"/>
    <w:rsid w:val="00AC57D4"/>
    <w:rsid w:val="00AC613E"/>
    <w:rsid w:val="00AC6208"/>
    <w:rsid w:val="00AC6F4F"/>
    <w:rsid w:val="00AD0505"/>
    <w:rsid w:val="00AD0E56"/>
    <w:rsid w:val="00AD10F9"/>
    <w:rsid w:val="00AD320D"/>
    <w:rsid w:val="00AD37A0"/>
    <w:rsid w:val="00AD393A"/>
    <w:rsid w:val="00AD4CC3"/>
    <w:rsid w:val="00AD5020"/>
    <w:rsid w:val="00AD50F9"/>
    <w:rsid w:val="00AD62C5"/>
    <w:rsid w:val="00AD6527"/>
    <w:rsid w:val="00AD65BE"/>
    <w:rsid w:val="00AD6DAA"/>
    <w:rsid w:val="00AD76C8"/>
    <w:rsid w:val="00AD7B46"/>
    <w:rsid w:val="00AE1382"/>
    <w:rsid w:val="00AE14FB"/>
    <w:rsid w:val="00AE229B"/>
    <w:rsid w:val="00AE238B"/>
    <w:rsid w:val="00AE281D"/>
    <w:rsid w:val="00AE2D4B"/>
    <w:rsid w:val="00AE3466"/>
    <w:rsid w:val="00AE38E4"/>
    <w:rsid w:val="00AE3AC3"/>
    <w:rsid w:val="00AE4F99"/>
    <w:rsid w:val="00AE576B"/>
    <w:rsid w:val="00AE5BD4"/>
    <w:rsid w:val="00AE6310"/>
    <w:rsid w:val="00AE7786"/>
    <w:rsid w:val="00AF08FC"/>
    <w:rsid w:val="00AF218A"/>
    <w:rsid w:val="00AF33A9"/>
    <w:rsid w:val="00AF3424"/>
    <w:rsid w:val="00AF39C9"/>
    <w:rsid w:val="00AF3AAC"/>
    <w:rsid w:val="00AF47FC"/>
    <w:rsid w:val="00AF5B24"/>
    <w:rsid w:val="00AF6233"/>
    <w:rsid w:val="00AF67B4"/>
    <w:rsid w:val="00AF6C9A"/>
    <w:rsid w:val="00AF731A"/>
    <w:rsid w:val="00AF7945"/>
    <w:rsid w:val="00AF7F9B"/>
    <w:rsid w:val="00B00EA1"/>
    <w:rsid w:val="00B00F4E"/>
    <w:rsid w:val="00B01176"/>
    <w:rsid w:val="00B015ED"/>
    <w:rsid w:val="00B0220C"/>
    <w:rsid w:val="00B03396"/>
    <w:rsid w:val="00B033E7"/>
    <w:rsid w:val="00B03A2F"/>
    <w:rsid w:val="00B03F22"/>
    <w:rsid w:val="00B0458B"/>
    <w:rsid w:val="00B0496D"/>
    <w:rsid w:val="00B04E82"/>
    <w:rsid w:val="00B064DA"/>
    <w:rsid w:val="00B06B72"/>
    <w:rsid w:val="00B07D3F"/>
    <w:rsid w:val="00B10188"/>
    <w:rsid w:val="00B105C7"/>
    <w:rsid w:val="00B1081F"/>
    <w:rsid w:val="00B10D1B"/>
    <w:rsid w:val="00B10E76"/>
    <w:rsid w:val="00B116A8"/>
    <w:rsid w:val="00B11B69"/>
    <w:rsid w:val="00B120C3"/>
    <w:rsid w:val="00B1254B"/>
    <w:rsid w:val="00B135DE"/>
    <w:rsid w:val="00B13CD6"/>
    <w:rsid w:val="00B13EA2"/>
    <w:rsid w:val="00B1438D"/>
    <w:rsid w:val="00B147B1"/>
    <w:rsid w:val="00B14817"/>
    <w:rsid w:val="00B14952"/>
    <w:rsid w:val="00B14EC8"/>
    <w:rsid w:val="00B152B9"/>
    <w:rsid w:val="00B15318"/>
    <w:rsid w:val="00B1571A"/>
    <w:rsid w:val="00B1589E"/>
    <w:rsid w:val="00B15F36"/>
    <w:rsid w:val="00B16102"/>
    <w:rsid w:val="00B16536"/>
    <w:rsid w:val="00B1676C"/>
    <w:rsid w:val="00B16871"/>
    <w:rsid w:val="00B16C1E"/>
    <w:rsid w:val="00B16E9B"/>
    <w:rsid w:val="00B1762F"/>
    <w:rsid w:val="00B2034C"/>
    <w:rsid w:val="00B20C43"/>
    <w:rsid w:val="00B20CCA"/>
    <w:rsid w:val="00B211CA"/>
    <w:rsid w:val="00B211EE"/>
    <w:rsid w:val="00B22D15"/>
    <w:rsid w:val="00B25B45"/>
    <w:rsid w:val="00B26854"/>
    <w:rsid w:val="00B2739C"/>
    <w:rsid w:val="00B30C6E"/>
    <w:rsid w:val="00B3142F"/>
    <w:rsid w:val="00B317BC"/>
    <w:rsid w:val="00B31E5A"/>
    <w:rsid w:val="00B32B01"/>
    <w:rsid w:val="00B3311E"/>
    <w:rsid w:val="00B3376A"/>
    <w:rsid w:val="00B342F3"/>
    <w:rsid w:val="00B3479F"/>
    <w:rsid w:val="00B35283"/>
    <w:rsid w:val="00B356E5"/>
    <w:rsid w:val="00B3622C"/>
    <w:rsid w:val="00B405D7"/>
    <w:rsid w:val="00B4129E"/>
    <w:rsid w:val="00B418A1"/>
    <w:rsid w:val="00B421EC"/>
    <w:rsid w:val="00B428AD"/>
    <w:rsid w:val="00B4295A"/>
    <w:rsid w:val="00B42B05"/>
    <w:rsid w:val="00B4309F"/>
    <w:rsid w:val="00B43B27"/>
    <w:rsid w:val="00B4400E"/>
    <w:rsid w:val="00B4468B"/>
    <w:rsid w:val="00B4495E"/>
    <w:rsid w:val="00B44FB1"/>
    <w:rsid w:val="00B46B60"/>
    <w:rsid w:val="00B46E61"/>
    <w:rsid w:val="00B47359"/>
    <w:rsid w:val="00B473A4"/>
    <w:rsid w:val="00B4784D"/>
    <w:rsid w:val="00B47DB8"/>
    <w:rsid w:val="00B47F2F"/>
    <w:rsid w:val="00B5057A"/>
    <w:rsid w:val="00B50E62"/>
    <w:rsid w:val="00B5391D"/>
    <w:rsid w:val="00B53F76"/>
    <w:rsid w:val="00B53FB7"/>
    <w:rsid w:val="00B5587C"/>
    <w:rsid w:val="00B559F6"/>
    <w:rsid w:val="00B55EDF"/>
    <w:rsid w:val="00B60128"/>
    <w:rsid w:val="00B6021E"/>
    <w:rsid w:val="00B60805"/>
    <w:rsid w:val="00B60ACA"/>
    <w:rsid w:val="00B6147A"/>
    <w:rsid w:val="00B6158A"/>
    <w:rsid w:val="00B62B41"/>
    <w:rsid w:val="00B6340B"/>
    <w:rsid w:val="00B63FF9"/>
    <w:rsid w:val="00B644CA"/>
    <w:rsid w:val="00B653AB"/>
    <w:rsid w:val="00B659E9"/>
    <w:rsid w:val="00B65F9E"/>
    <w:rsid w:val="00B66687"/>
    <w:rsid w:val="00B66B19"/>
    <w:rsid w:val="00B676C1"/>
    <w:rsid w:val="00B7001B"/>
    <w:rsid w:val="00B704FE"/>
    <w:rsid w:val="00B70972"/>
    <w:rsid w:val="00B71675"/>
    <w:rsid w:val="00B72A1A"/>
    <w:rsid w:val="00B7386E"/>
    <w:rsid w:val="00B744DB"/>
    <w:rsid w:val="00B746F7"/>
    <w:rsid w:val="00B75491"/>
    <w:rsid w:val="00B769B5"/>
    <w:rsid w:val="00B774B8"/>
    <w:rsid w:val="00B80D42"/>
    <w:rsid w:val="00B81469"/>
    <w:rsid w:val="00B81C89"/>
    <w:rsid w:val="00B82123"/>
    <w:rsid w:val="00B825AD"/>
    <w:rsid w:val="00B82CFF"/>
    <w:rsid w:val="00B84C43"/>
    <w:rsid w:val="00B84C66"/>
    <w:rsid w:val="00B84CA6"/>
    <w:rsid w:val="00B84D98"/>
    <w:rsid w:val="00B85272"/>
    <w:rsid w:val="00B855FF"/>
    <w:rsid w:val="00B85841"/>
    <w:rsid w:val="00B86A9B"/>
    <w:rsid w:val="00B90339"/>
    <w:rsid w:val="00B903FF"/>
    <w:rsid w:val="00B90DDF"/>
    <w:rsid w:val="00B914E9"/>
    <w:rsid w:val="00B92EAF"/>
    <w:rsid w:val="00B92F1D"/>
    <w:rsid w:val="00B95378"/>
    <w:rsid w:val="00B956EE"/>
    <w:rsid w:val="00B95C65"/>
    <w:rsid w:val="00B97D19"/>
    <w:rsid w:val="00BA00CC"/>
    <w:rsid w:val="00BA116D"/>
    <w:rsid w:val="00BA18B3"/>
    <w:rsid w:val="00BA25E9"/>
    <w:rsid w:val="00BA2941"/>
    <w:rsid w:val="00BA2BA1"/>
    <w:rsid w:val="00BA3447"/>
    <w:rsid w:val="00BA3562"/>
    <w:rsid w:val="00BA445A"/>
    <w:rsid w:val="00BA5003"/>
    <w:rsid w:val="00BA577F"/>
    <w:rsid w:val="00BA5961"/>
    <w:rsid w:val="00BA5ABB"/>
    <w:rsid w:val="00BA6609"/>
    <w:rsid w:val="00BB0216"/>
    <w:rsid w:val="00BB10E0"/>
    <w:rsid w:val="00BB1634"/>
    <w:rsid w:val="00BB168D"/>
    <w:rsid w:val="00BB16EA"/>
    <w:rsid w:val="00BB4547"/>
    <w:rsid w:val="00BB4729"/>
    <w:rsid w:val="00BB4F09"/>
    <w:rsid w:val="00BB533F"/>
    <w:rsid w:val="00BB54B5"/>
    <w:rsid w:val="00BB6481"/>
    <w:rsid w:val="00BB6872"/>
    <w:rsid w:val="00BB6A26"/>
    <w:rsid w:val="00BB6FB7"/>
    <w:rsid w:val="00BB764F"/>
    <w:rsid w:val="00BB7663"/>
    <w:rsid w:val="00BB78FB"/>
    <w:rsid w:val="00BB7ECA"/>
    <w:rsid w:val="00BC0488"/>
    <w:rsid w:val="00BC0902"/>
    <w:rsid w:val="00BC0E3B"/>
    <w:rsid w:val="00BC0EEB"/>
    <w:rsid w:val="00BC1204"/>
    <w:rsid w:val="00BC14AE"/>
    <w:rsid w:val="00BC1801"/>
    <w:rsid w:val="00BC29B1"/>
    <w:rsid w:val="00BC29C9"/>
    <w:rsid w:val="00BC2E4A"/>
    <w:rsid w:val="00BC3449"/>
    <w:rsid w:val="00BC3462"/>
    <w:rsid w:val="00BC350B"/>
    <w:rsid w:val="00BC3917"/>
    <w:rsid w:val="00BC4484"/>
    <w:rsid w:val="00BC500B"/>
    <w:rsid w:val="00BC61ED"/>
    <w:rsid w:val="00BC6281"/>
    <w:rsid w:val="00BC72D4"/>
    <w:rsid w:val="00BC7ED4"/>
    <w:rsid w:val="00BD056B"/>
    <w:rsid w:val="00BD0964"/>
    <w:rsid w:val="00BD1203"/>
    <w:rsid w:val="00BD1ACA"/>
    <w:rsid w:val="00BD1F9A"/>
    <w:rsid w:val="00BD4375"/>
    <w:rsid w:val="00BD4E33"/>
    <w:rsid w:val="00BD5BFC"/>
    <w:rsid w:val="00BD691A"/>
    <w:rsid w:val="00BD6926"/>
    <w:rsid w:val="00BD7DCF"/>
    <w:rsid w:val="00BE04E3"/>
    <w:rsid w:val="00BE051C"/>
    <w:rsid w:val="00BE1761"/>
    <w:rsid w:val="00BE1C91"/>
    <w:rsid w:val="00BE234E"/>
    <w:rsid w:val="00BE3361"/>
    <w:rsid w:val="00BE3839"/>
    <w:rsid w:val="00BE3E6A"/>
    <w:rsid w:val="00BE5A2C"/>
    <w:rsid w:val="00BE69CA"/>
    <w:rsid w:val="00BF088E"/>
    <w:rsid w:val="00BF092B"/>
    <w:rsid w:val="00BF16D6"/>
    <w:rsid w:val="00BF1F06"/>
    <w:rsid w:val="00BF26FC"/>
    <w:rsid w:val="00BF301C"/>
    <w:rsid w:val="00BF3180"/>
    <w:rsid w:val="00BF3217"/>
    <w:rsid w:val="00BF33EE"/>
    <w:rsid w:val="00BF3EC1"/>
    <w:rsid w:val="00BF4921"/>
    <w:rsid w:val="00BF50AD"/>
    <w:rsid w:val="00BF58B7"/>
    <w:rsid w:val="00BF6E67"/>
    <w:rsid w:val="00BF73E1"/>
    <w:rsid w:val="00C0089F"/>
    <w:rsid w:val="00C0097F"/>
    <w:rsid w:val="00C02626"/>
    <w:rsid w:val="00C02FB8"/>
    <w:rsid w:val="00C030DE"/>
    <w:rsid w:val="00C03781"/>
    <w:rsid w:val="00C047DB"/>
    <w:rsid w:val="00C051A8"/>
    <w:rsid w:val="00C05C2A"/>
    <w:rsid w:val="00C05DB2"/>
    <w:rsid w:val="00C06836"/>
    <w:rsid w:val="00C07987"/>
    <w:rsid w:val="00C121E7"/>
    <w:rsid w:val="00C122EA"/>
    <w:rsid w:val="00C13295"/>
    <w:rsid w:val="00C13EF5"/>
    <w:rsid w:val="00C1411C"/>
    <w:rsid w:val="00C1500D"/>
    <w:rsid w:val="00C15707"/>
    <w:rsid w:val="00C166F0"/>
    <w:rsid w:val="00C16DFE"/>
    <w:rsid w:val="00C17A11"/>
    <w:rsid w:val="00C21124"/>
    <w:rsid w:val="00C22105"/>
    <w:rsid w:val="00C22C69"/>
    <w:rsid w:val="00C230F8"/>
    <w:rsid w:val="00C2366D"/>
    <w:rsid w:val="00C244B6"/>
    <w:rsid w:val="00C25146"/>
    <w:rsid w:val="00C252DB"/>
    <w:rsid w:val="00C25D7B"/>
    <w:rsid w:val="00C26E79"/>
    <w:rsid w:val="00C2765E"/>
    <w:rsid w:val="00C27A3A"/>
    <w:rsid w:val="00C27B2C"/>
    <w:rsid w:val="00C27BD3"/>
    <w:rsid w:val="00C27BF1"/>
    <w:rsid w:val="00C27F99"/>
    <w:rsid w:val="00C30833"/>
    <w:rsid w:val="00C30E3B"/>
    <w:rsid w:val="00C3135B"/>
    <w:rsid w:val="00C32357"/>
    <w:rsid w:val="00C33A63"/>
    <w:rsid w:val="00C3453B"/>
    <w:rsid w:val="00C34564"/>
    <w:rsid w:val="00C34636"/>
    <w:rsid w:val="00C3521F"/>
    <w:rsid w:val="00C35233"/>
    <w:rsid w:val="00C35652"/>
    <w:rsid w:val="00C35671"/>
    <w:rsid w:val="00C35C4F"/>
    <w:rsid w:val="00C3702F"/>
    <w:rsid w:val="00C377A6"/>
    <w:rsid w:val="00C41733"/>
    <w:rsid w:val="00C41C33"/>
    <w:rsid w:val="00C42752"/>
    <w:rsid w:val="00C43FA8"/>
    <w:rsid w:val="00C4428A"/>
    <w:rsid w:val="00C44AC5"/>
    <w:rsid w:val="00C44BDC"/>
    <w:rsid w:val="00C44CFE"/>
    <w:rsid w:val="00C4500A"/>
    <w:rsid w:val="00C45058"/>
    <w:rsid w:val="00C4512D"/>
    <w:rsid w:val="00C45AFC"/>
    <w:rsid w:val="00C45F69"/>
    <w:rsid w:val="00C4601F"/>
    <w:rsid w:val="00C46375"/>
    <w:rsid w:val="00C470DB"/>
    <w:rsid w:val="00C500D4"/>
    <w:rsid w:val="00C50804"/>
    <w:rsid w:val="00C508DC"/>
    <w:rsid w:val="00C5096D"/>
    <w:rsid w:val="00C50DF9"/>
    <w:rsid w:val="00C525C1"/>
    <w:rsid w:val="00C545D8"/>
    <w:rsid w:val="00C54ACF"/>
    <w:rsid w:val="00C55406"/>
    <w:rsid w:val="00C55489"/>
    <w:rsid w:val="00C55E20"/>
    <w:rsid w:val="00C56C38"/>
    <w:rsid w:val="00C5700A"/>
    <w:rsid w:val="00C57772"/>
    <w:rsid w:val="00C57E86"/>
    <w:rsid w:val="00C61917"/>
    <w:rsid w:val="00C61A0C"/>
    <w:rsid w:val="00C62238"/>
    <w:rsid w:val="00C626FC"/>
    <w:rsid w:val="00C62D42"/>
    <w:rsid w:val="00C645AC"/>
    <w:rsid w:val="00C64817"/>
    <w:rsid w:val="00C64A37"/>
    <w:rsid w:val="00C64E04"/>
    <w:rsid w:val="00C66664"/>
    <w:rsid w:val="00C66BB0"/>
    <w:rsid w:val="00C67595"/>
    <w:rsid w:val="00C67711"/>
    <w:rsid w:val="00C7099C"/>
    <w:rsid w:val="00C7158E"/>
    <w:rsid w:val="00C71E09"/>
    <w:rsid w:val="00C720DC"/>
    <w:rsid w:val="00C7233B"/>
    <w:rsid w:val="00C7250B"/>
    <w:rsid w:val="00C7253B"/>
    <w:rsid w:val="00C72A6F"/>
    <w:rsid w:val="00C72EE0"/>
    <w:rsid w:val="00C7346B"/>
    <w:rsid w:val="00C74979"/>
    <w:rsid w:val="00C76967"/>
    <w:rsid w:val="00C76BF8"/>
    <w:rsid w:val="00C7737E"/>
    <w:rsid w:val="00C77C0E"/>
    <w:rsid w:val="00C80863"/>
    <w:rsid w:val="00C80C73"/>
    <w:rsid w:val="00C81191"/>
    <w:rsid w:val="00C82DD5"/>
    <w:rsid w:val="00C840D6"/>
    <w:rsid w:val="00C8490B"/>
    <w:rsid w:val="00C85746"/>
    <w:rsid w:val="00C865B5"/>
    <w:rsid w:val="00C86969"/>
    <w:rsid w:val="00C86D19"/>
    <w:rsid w:val="00C878EE"/>
    <w:rsid w:val="00C87D58"/>
    <w:rsid w:val="00C90D70"/>
    <w:rsid w:val="00C911D2"/>
    <w:rsid w:val="00C9135C"/>
    <w:rsid w:val="00C91454"/>
    <w:rsid w:val="00C91687"/>
    <w:rsid w:val="00C920F1"/>
    <w:rsid w:val="00C922C3"/>
    <w:rsid w:val="00C924A8"/>
    <w:rsid w:val="00C929F3"/>
    <w:rsid w:val="00C933BB"/>
    <w:rsid w:val="00C93B93"/>
    <w:rsid w:val="00C940BB"/>
    <w:rsid w:val="00C945FE"/>
    <w:rsid w:val="00C94AF3"/>
    <w:rsid w:val="00C94D7D"/>
    <w:rsid w:val="00C95294"/>
    <w:rsid w:val="00C9584D"/>
    <w:rsid w:val="00C96165"/>
    <w:rsid w:val="00C96FAA"/>
    <w:rsid w:val="00C97A04"/>
    <w:rsid w:val="00CA0B56"/>
    <w:rsid w:val="00CA107B"/>
    <w:rsid w:val="00CA188B"/>
    <w:rsid w:val="00CA1F64"/>
    <w:rsid w:val="00CA216A"/>
    <w:rsid w:val="00CA24D9"/>
    <w:rsid w:val="00CA24F2"/>
    <w:rsid w:val="00CA33B9"/>
    <w:rsid w:val="00CA3AEE"/>
    <w:rsid w:val="00CA3E0F"/>
    <w:rsid w:val="00CA4195"/>
    <w:rsid w:val="00CA484D"/>
    <w:rsid w:val="00CA4FB6"/>
    <w:rsid w:val="00CA6B90"/>
    <w:rsid w:val="00CA6BF9"/>
    <w:rsid w:val="00CB011D"/>
    <w:rsid w:val="00CB07BB"/>
    <w:rsid w:val="00CB0B49"/>
    <w:rsid w:val="00CB2457"/>
    <w:rsid w:val="00CB2921"/>
    <w:rsid w:val="00CB2F90"/>
    <w:rsid w:val="00CB5395"/>
    <w:rsid w:val="00CB655C"/>
    <w:rsid w:val="00CB6AD4"/>
    <w:rsid w:val="00CB7A82"/>
    <w:rsid w:val="00CC0175"/>
    <w:rsid w:val="00CC0B5E"/>
    <w:rsid w:val="00CC0CC6"/>
    <w:rsid w:val="00CC1290"/>
    <w:rsid w:val="00CC1796"/>
    <w:rsid w:val="00CC1D35"/>
    <w:rsid w:val="00CC1FD1"/>
    <w:rsid w:val="00CC2D2B"/>
    <w:rsid w:val="00CC46DD"/>
    <w:rsid w:val="00CC4FA1"/>
    <w:rsid w:val="00CC6B2B"/>
    <w:rsid w:val="00CC6E83"/>
    <w:rsid w:val="00CC739E"/>
    <w:rsid w:val="00CC73E0"/>
    <w:rsid w:val="00CC7C3B"/>
    <w:rsid w:val="00CC7C7E"/>
    <w:rsid w:val="00CD02DE"/>
    <w:rsid w:val="00CD06D9"/>
    <w:rsid w:val="00CD0DDF"/>
    <w:rsid w:val="00CD1EBB"/>
    <w:rsid w:val="00CD28CF"/>
    <w:rsid w:val="00CD2929"/>
    <w:rsid w:val="00CD376E"/>
    <w:rsid w:val="00CD39E7"/>
    <w:rsid w:val="00CD3EE5"/>
    <w:rsid w:val="00CD42A3"/>
    <w:rsid w:val="00CD54AF"/>
    <w:rsid w:val="00CD5757"/>
    <w:rsid w:val="00CD58B7"/>
    <w:rsid w:val="00CD5D51"/>
    <w:rsid w:val="00CD5DEA"/>
    <w:rsid w:val="00CD7967"/>
    <w:rsid w:val="00CE129C"/>
    <w:rsid w:val="00CE15E1"/>
    <w:rsid w:val="00CE1E7F"/>
    <w:rsid w:val="00CE2A23"/>
    <w:rsid w:val="00CE3540"/>
    <w:rsid w:val="00CE430B"/>
    <w:rsid w:val="00CE4779"/>
    <w:rsid w:val="00CE4896"/>
    <w:rsid w:val="00CE632A"/>
    <w:rsid w:val="00CE6753"/>
    <w:rsid w:val="00CE6819"/>
    <w:rsid w:val="00CF02BB"/>
    <w:rsid w:val="00CF08F4"/>
    <w:rsid w:val="00CF106E"/>
    <w:rsid w:val="00CF18C0"/>
    <w:rsid w:val="00CF18EE"/>
    <w:rsid w:val="00CF1D7A"/>
    <w:rsid w:val="00CF2276"/>
    <w:rsid w:val="00CF30BD"/>
    <w:rsid w:val="00CF39CB"/>
    <w:rsid w:val="00CF3A00"/>
    <w:rsid w:val="00CF4099"/>
    <w:rsid w:val="00CF4421"/>
    <w:rsid w:val="00CF4B98"/>
    <w:rsid w:val="00CF6406"/>
    <w:rsid w:val="00CF6766"/>
    <w:rsid w:val="00CF6C79"/>
    <w:rsid w:val="00CF6E26"/>
    <w:rsid w:val="00CF7439"/>
    <w:rsid w:val="00CF7562"/>
    <w:rsid w:val="00CF774D"/>
    <w:rsid w:val="00D00796"/>
    <w:rsid w:val="00D02E55"/>
    <w:rsid w:val="00D031A4"/>
    <w:rsid w:val="00D03872"/>
    <w:rsid w:val="00D04F98"/>
    <w:rsid w:val="00D05D74"/>
    <w:rsid w:val="00D062C0"/>
    <w:rsid w:val="00D06C67"/>
    <w:rsid w:val="00D06EB3"/>
    <w:rsid w:val="00D10972"/>
    <w:rsid w:val="00D1198E"/>
    <w:rsid w:val="00D119C5"/>
    <w:rsid w:val="00D14143"/>
    <w:rsid w:val="00D14145"/>
    <w:rsid w:val="00D154A2"/>
    <w:rsid w:val="00D1575B"/>
    <w:rsid w:val="00D1596E"/>
    <w:rsid w:val="00D16486"/>
    <w:rsid w:val="00D1667D"/>
    <w:rsid w:val="00D16CA3"/>
    <w:rsid w:val="00D17E38"/>
    <w:rsid w:val="00D20C71"/>
    <w:rsid w:val="00D20F9A"/>
    <w:rsid w:val="00D21031"/>
    <w:rsid w:val="00D21E73"/>
    <w:rsid w:val="00D2277E"/>
    <w:rsid w:val="00D2357A"/>
    <w:rsid w:val="00D24F24"/>
    <w:rsid w:val="00D25F9A"/>
    <w:rsid w:val="00D261A2"/>
    <w:rsid w:val="00D274A5"/>
    <w:rsid w:val="00D27C76"/>
    <w:rsid w:val="00D3038A"/>
    <w:rsid w:val="00D30D9E"/>
    <w:rsid w:val="00D30DBA"/>
    <w:rsid w:val="00D31A9E"/>
    <w:rsid w:val="00D31BCD"/>
    <w:rsid w:val="00D3234E"/>
    <w:rsid w:val="00D32B31"/>
    <w:rsid w:val="00D32E33"/>
    <w:rsid w:val="00D334E2"/>
    <w:rsid w:val="00D33938"/>
    <w:rsid w:val="00D3393F"/>
    <w:rsid w:val="00D33AB8"/>
    <w:rsid w:val="00D34B47"/>
    <w:rsid w:val="00D35BA9"/>
    <w:rsid w:val="00D35D11"/>
    <w:rsid w:val="00D36345"/>
    <w:rsid w:val="00D40652"/>
    <w:rsid w:val="00D411F9"/>
    <w:rsid w:val="00D41A9D"/>
    <w:rsid w:val="00D41B9C"/>
    <w:rsid w:val="00D427A2"/>
    <w:rsid w:val="00D446C4"/>
    <w:rsid w:val="00D44BF4"/>
    <w:rsid w:val="00D44DEB"/>
    <w:rsid w:val="00D44F2E"/>
    <w:rsid w:val="00D45D76"/>
    <w:rsid w:val="00D45EAC"/>
    <w:rsid w:val="00D460B0"/>
    <w:rsid w:val="00D467D5"/>
    <w:rsid w:val="00D47151"/>
    <w:rsid w:val="00D475C5"/>
    <w:rsid w:val="00D47E3E"/>
    <w:rsid w:val="00D500B1"/>
    <w:rsid w:val="00D505DC"/>
    <w:rsid w:val="00D50CAE"/>
    <w:rsid w:val="00D50FA3"/>
    <w:rsid w:val="00D512B1"/>
    <w:rsid w:val="00D51B04"/>
    <w:rsid w:val="00D51F73"/>
    <w:rsid w:val="00D530B6"/>
    <w:rsid w:val="00D5361B"/>
    <w:rsid w:val="00D53DD5"/>
    <w:rsid w:val="00D54D6C"/>
    <w:rsid w:val="00D55281"/>
    <w:rsid w:val="00D5579D"/>
    <w:rsid w:val="00D579DB"/>
    <w:rsid w:val="00D6004A"/>
    <w:rsid w:val="00D614C0"/>
    <w:rsid w:val="00D616D2"/>
    <w:rsid w:val="00D61715"/>
    <w:rsid w:val="00D61B72"/>
    <w:rsid w:val="00D62108"/>
    <w:rsid w:val="00D62410"/>
    <w:rsid w:val="00D62586"/>
    <w:rsid w:val="00D62D4A"/>
    <w:rsid w:val="00D63962"/>
    <w:rsid w:val="00D63B5F"/>
    <w:rsid w:val="00D64104"/>
    <w:rsid w:val="00D64538"/>
    <w:rsid w:val="00D6462B"/>
    <w:rsid w:val="00D655D7"/>
    <w:rsid w:val="00D65DF6"/>
    <w:rsid w:val="00D66BE3"/>
    <w:rsid w:val="00D67588"/>
    <w:rsid w:val="00D677CD"/>
    <w:rsid w:val="00D67D6F"/>
    <w:rsid w:val="00D70597"/>
    <w:rsid w:val="00D709CE"/>
    <w:rsid w:val="00D70A0F"/>
    <w:rsid w:val="00D70EF7"/>
    <w:rsid w:val="00D71D01"/>
    <w:rsid w:val="00D720A4"/>
    <w:rsid w:val="00D7231C"/>
    <w:rsid w:val="00D727F9"/>
    <w:rsid w:val="00D736EC"/>
    <w:rsid w:val="00D74354"/>
    <w:rsid w:val="00D75635"/>
    <w:rsid w:val="00D761E1"/>
    <w:rsid w:val="00D769DC"/>
    <w:rsid w:val="00D76BCB"/>
    <w:rsid w:val="00D800FE"/>
    <w:rsid w:val="00D809DD"/>
    <w:rsid w:val="00D8110B"/>
    <w:rsid w:val="00D81413"/>
    <w:rsid w:val="00D82D93"/>
    <w:rsid w:val="00D82FB0"/>
    <w:rsid w:val="00D8356A"/>
    <w:rsid w:val="00D8397C"/>
    <w:rsid w:val="00D83ACD"/>
    <w:rsid w:val="00D8561F"/>
    <w:rsid w:val="00D856A6"/>
    <w:rsid w:val="00D856FF"/>
    <w:rsid w:val="00D85715"/>
    <w:rsid w:val="00D858F0"/>
    <w:rsid w:val="00D85E31"/>
    <w:rsid w:val="00D87067"/>
    <w:rsid w:val="00D87D59"/>
    <w:rsid w:val="00D907DF"/>
    <w:rsid w:val="00D90987"/>
    <w:rsid w:val="00D9123C"/>
    <w:rsid w:val="00D913AE"/>
    <w:rsid w:val="00D91BBA"/>
    <w:rsid w:val="00D92E9C"/>
    <w:rsid w:val="00D9477E"/>
    <w:rsid w:val="00D94EED"/>
    <w:rsid w:val="00D95272"/>
    <w:rsid w:val="00D95880"/>
    <w:rsid w:val="00D95DED"/>
    <w:rsid w:val="00D96026"/>
    <w:rsid w:val="00D972F6"/>
    <w:rsid w:val="00DA14AB"/>
    <w:rsid w:val="00DA1D41"/>
    <w:rsid w:val="00DA331D"/>
    <w:rsid w:val="00DA3664"/>
    <w:rsid w:val="00DA3A67"/>
    <w:rsid w:val="00DA3B23"/>
    <w:rsid w:val="00DA4AD3"/>
    <w:rsid w:val="00DA4F3C"/>
    <w:rsid w:val="00DA5246"/>
    <w:rsid w:val="00DA5859"/>
    <w:rsid w:val="00DA6D8F"/>
    <w:rsid w:val="00DA7C1C"/>
    <w:rsid w:val="00DB0BF2"/>
    <w:rsid w:val="00DB0D68"/>
    <w:rsid w:val="00DB147A"/>
    <w:rsid w:val="00DB19AC"/>
    <w:rsid w:val="00DB1B7A"/>
    <w:rsid w:val="00DB26BA"/>
    <w:rsid w:val="00DB32AA"/>
    <w:rsid w:val="00DB3563"/>
    <w:rsid w:val="00DB389E"/>
    <w:rsid w:val="00DB40B7"/>
    <w:rsid w:val="00DB6371"/>
    <w:rsid w:val="00DB706E"/>
    <w:rsid w:val="00DB7205"/>
    <w:rsid w:val="00DB7D32"/>
    <w:rsid w:val="00DB7FB1"/>
    <w:rsid w:val="00DC0827"/>
    <w:rsid w:val="00DC0A22"/>
    <w:rsid w:val="00DC1420"/>
    <w:rsid w:val="00DC158A"/>
    <w:rsid w:val="00DC1A37"/>
    <w:rsid w:val="00DC201F"/>
    <w:rsid w:val="00DC2834"/>
    <w:rsid w:val="00DC2896"/>
    <w:rsid w:val="00DC2BF2"/>
    <w:rsid w:val="00DC2E03"/>
    <w:rsid w:val="00DC2F2A"/>
    <w:rsid w:val="00DC3165"/>
    <w:rsid w:val="00DC31F6"/>
    <w:rsid w:val="00DC336D"/>
    <w:rsid w:val="00DC363A"/>
    <w:rsid w:val="00DC47E0"/>
    <w:rsid w:val="00DC55D6"/>
    <w:rsid w:val="00DC5679"/>
    <w:rsid w:val="00DC6708"/>
    <w:rsid w:val="00DD00FB"/>
    <w:rsid w:val="00DD011A"/>
    <w:rsid w:val="00DD127E"/>
    <w:rsid w:val="00DD1528"/>
    <w:rsid w:val="00DD15A1"/>
    <w:rsid w:val="00DD26B5"/>
    <w:rsid w:val="00DD2850"/>
    <w:rsid w:val="00DD33DB"/>
    <w:rsid w:val="00DD5661"/>
    <w:rsid w:val="00DD711D"/>
    <w:rsid w:val="00DD7627"/>
    <w:rsid w:val="00DD7771"/>
    <w:rsid w:val="00DD7B57"/>
    <w:rsid w:val="00DE115A"/>
    <w:rsid w:val="00DE2326"/>
    <w:rsid w:val="00DE2400"/>
    <w:rsid w:val="00DE3C2B"/>
    <w:rsid w:val="00DE3F49"/>
    <w:rsid w:val="00DE4A2F"/>
    <w:rsid w:val="00DE58F1"/>
    <w:rsid w:val="00DE6B58"/>
    <w:rsid w:val="00DE6E82"/>
    <w:rsid w:val="00DF09D7"/>
    <w:rsid w:val="00DF0B64"/>
    <w:rsid w:val="00DF15A8"/>
    <w:rsid w:val="00DF369A"/>
    <w:rsid w:val="00DF4D24"/>
    <w:rsid w:val="00DF5125"/>
    <w:rsid w:val="00DF526C"/>
    <w:rsid w:val="00DF5E1E"/>
    <w:rsid w:val="00DF5E32"/>
    <w:rsid w:val="00DF60E6"/>
    <w:rsid w:val="00DF65D6"/>
    <w:rsid w:val="00DF67B2"/>
    <w:rsid w:val="00DF711C"/>
    <w:rsid w:val="00DF7B73"/>
    <w:rsid w:val="00E000CE"/>
    <w:rsid w:val="00E00AC8"/>
    <w:rsid w:val="00E01436"/>
    <w:rsid w:val="00E01D55"/>
    <w:rsid w:val="00E02244"/>
    <w:rsid w:val="00E022D3"/>
    <w:rsid w:val="00E02C4B"/>
    <w:rsid w:val="00E03E79"/>
    <w:rsid w:val="00E045BD"/>
    <w:rsid w:val="00E04C88"/>
    <w:rsid w:val="00E04D6C"/>
    <w:rsid w:val="00E05EE3"/>
    <w:rsid w:val="00E06936"/>
    <w:rsid w:val="00E077DA"/>
    <w:rsid w:val="00E10C78"/>
    <w:rsid w:val="00E111A1"/>
    <w:rsid w:val="00E114AE"/>
    <w:rsid w:val="00E12EB2"/>
    <w:rsid w:val="00E13C8A"/>
    <w:rsid w:val="00E1449C"/>
    <w:rsid w:val="00E14D03"/>
    <w:rsid w:val="00E154F2"/>
    <w:rsid w:val="00E15DF8"/>
    <w:rsid w:val="00E16509"/>
    <w:rsid w:val="00E17B77"/>
    <w:rsid w:val="00E17C2B"/>
    <w:rsid w:val="00E20E7A"/>
    <w:rsid w:val="00E22889"/>
    <w:rsid w:val="00E22E50"/>
    <w:rsid w:val="00E231AB"/>
    <w:rsid w:val="00E23337"/>
    <w:rsid w:val="00E23488"/>
    <w:rsid w:val="00E237D5"/>
    <w:rsid w:val="00E2388B"/>
    <w:rsid w:val="00E23C6B"/>
    <w:rsid w:val="00E24077"/>
    <w:rsid w:val="00E25327"/>
    <w:rsid w:val="00E259EA"/>
    <w:rsid w:val="00E25D33"/>
    <w:rsid w:val="00E260E4"/>
    <w:rsid w:val="00E26DFD"/>
    <w:rsid w:val="00E277BA"/>
    <w:rsid w:val="00E27D5C"/>
    <w:rsid w:val="00E30CC5"/>
    <w:rsid w:val="00E315FE"/>
    <w:rsid w:val="00E31AD7"/>
    <w:rsid w:val="00E32061"/>
    <w:rsid w:val="00E322C9"/>
    <w:rsid w:val="00E328CF"/>
    <w:rsid w:val="00E32BE8"/>
    <w:rsid w:val="00E32EE0"/>
    <w:rsid w:val="00E33087"/>
    <w:rsid w:val="00E33831"/>
    <w:rsid w:val="00E33917"/>
    <w:rsid w:val="00E33EBE"/>
    <w:rsid w:val="00E33F48"/>
    <w:rsid w:val="00E34013"/>
    <w:rsid w:val="00E35C42"/>
    <w:rsid w:val="00E35CD7"/>
    <w:rsid w:val="00E3665F"/>
    <w:rsid w:val="00E3772A"/>
    <w:rsid w:val="00E37AF1"/>
    <w:rsid w:val="00E40AC0"/>
    <w:rsid w:val="00E40CE0"/>
    <w:rsid w:val="00E413AC"/>
    <w:rsid w:val="00E41577"/>
    <w:rsid w:val="00E41DBA"/>
    <w:rsid w:val="00E42A9B"/>
    <w:rsid w:val="00E42BEA"/>
    <w:rsid w:val="00E42FF9"/>
    <w:rsid w:val="00E4434D"/>
    <w:rsid w:val="00E44790"/>
    <w:rsid w:val="00E45C21"/>
    <w:rsid w:val="00E4638C"/>
    <w:rsid w:val="00E46D5A"/>
    <w:rsid w:val="00E4714C"/>
    <w:rsid w:val="00E50BDD"/>
    <w:rsid w:val="00E50FE1"/>
    <w:rsid w:val="00E5178D"/>
    <w:rsid w:val="00E51AEB"/>
    <w:rsid w:val="00E522A7"/>
    <w:rsid w:val="00E524F8"/>
    <w:rsid w:val="00E52A3E"/>
    <w:rsid w:val="00E52E79"/>
    <w:rsid w:val="00E5349E"/>
    <w:rsid w:val="00E535F7"/>
    <w:rsid w:val="00E53EFF"/>
    <w:rsid w:val="00E5418A"/>
    <w:rsid w:val="00E54315"/>
    <w:rsid w:val="00E54452"/>
    <w:rsid w:val="00E55720"/>
    <w:rsid w:val="00E56A73"/>
    <w:rsid w:val="00E574A0"/>
    <w:rsid w:val="00E57630"/>
    <w:rsid w:val="00E57C9D"/>
    <w:rsid w:val="00E61A8E"/>
    <w:rsid w:val="00E63B0C"/>
    <w:rsid w:val="00E64848"/>
    <w:rsid w:val="00E65377"/>
    <w:rsid w:val="00E65F10"/>
    <w:rsid w:val="00E664C5"/>
    <w:rsid w:val="00E666F6"/>
    <w:rsid w:val="00E671A2"/>
    <w:rsid w:val="00E671F1"/>
    <w:rsid w:val="00E67473"/>
    <w:rsid w:val="00E701E7"/>
    <w:rsid w:val="00E70228"/>
    <w:rsid w:val="00E71364"/>
    <w:rsid w:val="00E7199C"/>
    <w:rsid w:val="00E73A37"/>
    <w:rsid w:val="00E73C57"/>
    <w:rsid w:val="00E74160"/>
    <w:rsid w:val="00E7492E"/>
    <w:rsid w:val="00E75897"/>
    <w:rsid w:val="00E75BFA"/>
    <w:rsid w:val="00E7607E"/>
    <w:rsid w:val="00E76936"/>
    <w:rsid w:val="00E76D26"/>
    <w:rsid w:val="00E76EE5"/>
    <w:rsid w:val="00E772E9"/>
    <w:rsid w:val="00E776B4"/>
    <w:rsid w:val="00E7786E"/>
    <w:rsid w:val="00E80308"/>
    <w:rsid w:val="00E805B4"/>
    <w:rsid w:val="00E8073F"/>
    <w:rsid w:val="00E82780"/>
    <w:rsid w:val="00E8481C"/>
    <w:rsid w:val="00E849A8"/>
    <w:rsid w:val="00E853E0"/>
    <w:rsid w:val="00E8663A"/>
    <w:rsid w:val="00E87EEC"/>
    <w:rsid w:val="00E87F4C"/>
    <w:rsid w:val="00E90D63"/>
    <w:rsid w:val="00E90FDC"/>
    <w:rsid w:val="00E9145B"/>
    <w:rsid w:val="00E91A1C"/>
    <w:rsid w:val="00E91FE9"/>
    <w:rsid w:val="00E922B8"/>
    <w:rsid w:val="00E928DC"/>
    <w:rsid w:val="00E92A55"/>
    <w:rsid w:val="00E92B59"/>
    <w:rsid w:val="00E92D62"/>
    <w:rsid w:val="00E93150"/>
    <w:rsid w:val="00E94382"/>
    <w:rsid w:val="00E949B6"/>
    <w:rsid w:val="00E95036"/>
    <w:rsid w:val="00E950C7"/>
    <w:rsid w:val="00E95B8E"/>
    <w:rsid w:val="00E96656"/>
    <w:rsid w:val="00E96C32"/>
    <w:rsid w:val="00E97591"/>
    <w:rsid w:val="00E97EC2"/>
    <w:rsid w:val="00EA0F02"/>
    <w:rsid w:val="00EA22D0"/>
    <w:rsid w:val="00EA25B1"/>
    <w:rsid w:val="00EA3288"/>
    <w:rsid w:val="00EA34B0"/>
    <w:rsid w:val="00EA3E56"/>
    <w:rsid w:val="00EA4EB1"/>
    <w:rsid w:val="00EA52C5"/>
    <w:rsid w:val="00EA6223"/>
    <w:rsid w:val="00EA74AD"/>
    <w:rsid w:val="00EA7E66"/>
    <w:rsid w:val="00EB052A"/>
    <w:rsid w:val="00EB1390"/>
    <w:rsid w:val="00EB20A9"/>
    <w:rsid w:val="00EB2C71"/>
    <w:rsid w:val="00EB309B"/>
    <w:rsid w:val="00EB3333"/>
    <w:rsid w:val="00EB3785"/>
    <w:rsid w:val="00EB3B41"/>
    <w:rsid w:val="00EB3E09"/>
    <w:rsid w:val="00EB4340"/>
    <w:rsid w:val="00EB4C4F"/>
    <w:rsid w:val="00EB4F89"/>
    <w:rsid w:val="00EB556D"/>
    <w:rsid w:val="00EB5856"/>
    <w:rsid w:val="00EB5A7D"/>
    <w:rsid w:val="00EB5CF8"/>
    <w:rsid w:val="00EB6D9A"/>
    <w:rsid w:val="00EC0984"/>
    <w:rsid w:val="00EC2FE9"/>
    <w:rsid w:val="00EC305E"/>
    <w:rsid w:val="00EC356A"/>
    <w:rsid w:val="00EC3EFE"/>
    <w:rsid w:val="00EC542E"/>
    <w:rsid w:val="00EC5518"/>
    <w:rsid w:val="00EC6481"/>
    <w:rsid w:val="00EC6558"/>
    <w:rsid w:val="00EC65C9"/>
    <w:rsid w:val="00EC6D35"/>
    <w:rsid w:val="00EC7C93"/>
    <w:rsid w:val="00ED06A5"/>
    <w:rsid w:val="00ED16D2"/>
    <w:rsid w:val="00ED1761"/>
    <w:rsid w:val="00ED1BEC"/>
    <w:rsid w:val="00ED1D82"/>
    <w:rsid w:val="00ED20F7"/>
    <w:rsid w:val="00ED55C0"/>
    <w:rsid w:val="00ED5B64"/>
    <w:rsid w:val="00ED629B"/>
    <w:rsid w:val="00ED64D0"/>
    <w:rsid w:val="00ED682B"/>
    <w:rsid w:val="00ED70FB"/>
    <w:rsid w:val="00ED750C"/>
    <w:rsid w:val="00ED7ADB"/>
    <w:rsid w:val="00EE026F"/>
    <w:rsid w:val="00EE0723"/>
    <w:rsid w:val="00EE0B31"/>
    <w:rsid w:val="00EE0C48"/>
    <w:rsid w:val="00EE0E7D"/>
    <w:rsid w:val="00EE1C79"/>
    <w:rsid w:val="00EE2263"/>
    <w:rsid w:val="00EE2D01"/>
    <w:rsid w:val="00EE41D5"/>
    <w:rsid w:val="00EE44C8"/>
    <w:rsid w:val="00EE5889"/>
    <w:rsid w:val="00EE6017"/>
    <w:rsid w:val="00EE71C2"/>
    <w:rsid w:val="00EE779D"/>
    <w:rsid w:val="00EE7ACF"/>
    <w:rsid w:val="00EF072C"/>
    <w:rsid w:val="00EF0CF2"/>
    <w:rsid w:val="00EF1899"/>
    <w:rsid w:val="00EF18AC"/>
    <w:rsid w:val="00EF1B50"/>
    <w:rsid w:val="00EF2BCC"/>
    <w:rsid w:val="00EF2D64"/>
    <w:rsid w:val="00EF2D6D"/>
    <w:rsid w:val="00EF3992"/>
    <w:rsid w:val="00EF3E3A"/>
    <w:rsid w:val="00EF472A"/>
    <w:rsid w:val="00EF4BA6"/>
    <w:rsid w:val="00EF563E"/>
    <w:rsid w:val="00EF5825"/>
    <w:rsid w:val="00EF5B4E"/>
    <w:rsid w:val="00EF66DD"/>
    <w:rsid w:val="00EF70D6"/>
    <w:rsid w:val="00EF7D7D"/>
    <w:rsid w:val="00EF7DF5"/>
    <w:rsid w:val="00F0166F"/>
    <w:rsid w:val="00F0274C"/>
    <w:rsid w:val="00F02824"/>
    <w:rsid w:val="00F037A4"/>
    <w:rsid w:val="00F04752"/>
    <w:rsid w:val="00F047A1"/>
    <w:rsid w:val="00F049AB"/>
    <w:rsid w:val="00F05502"/>
    <w:rsid w:val="00F05F07"/>
    <w:rsid w:val="00F06379"/>
    <w:rsid w:val="00F064B6"/>
    <w:rsid w:val="00F065D1"/>
    <w:rsid w:val="00F06FFA"/>
    <w:rsid w:val="00F070A3"/>
    <w:rsid w:val="00F0794A"/>
    <w:rsid w:val="00F07B08"/>
    <w:rsid w:val="00F07EBE"/>
    <w:rsid w:val="00F104FC"/>
    <w:rsid w:val="00F11D95"/>
    <w:rsid w:val="00F12666"/>
    <w:rsid w:val="00F12CF5"/>
    <w:rsid w:val="00F13869"/>
    <w:rsid w:val="00F13E6A"/>
    <w:rsid w:val="00F13FED"/>
    <w:rsid w:val="00F142DB"/>
    <w:rsid w:val="00F14739"/>
    <w:rsid w:val="00F1497A"/>
    <w:rsid w:val="00F14C14"/>
    <w:rsid w:val="00F14FD1"/>
    <w:rsid w:val="00F164AF"/>
    <w:rsid w:val="00F169AA"/>
    <w:rsid w:val="00F16AFF"/>
    <w:rsid w:val="00F16B22"/>
    <w:rsid w:val="00F16D32"/>
    <w:rsid w:val="00F172C5"/>
    <w:rsid w:val="00F17DC1"/>
    <w:rsid w:val="00F20D79"/>
    <w:rsid w:val="00F21751"/>
    <w:rsid w:val="00F219EC"/>
    <w:rsid w:val="00F21DCC"/>
    <w:rsid w:val="00F22847"/>
    <w:rsid w:val="00F22DA5"/>
    <w:rsid w:val="00F22FDA"/>
    <w:rsid w:val="00F24242"/>
    <w:rsid w:val="00F2424C"/>
    <w:rsid w:val="00F255DF"/>
    <w:rsid w:val="00F25664"/>
    <w:rsid w:val="00F25A34"/>
    <w:rsid w:val="00F26919"/>
    <w:rsid w:val="00F27200"/>
    <w:rsid w:val="00F27C8F"/>
    <w:rsid w:val="00F30C2A"/>
    <w:rsid w:val="00F30CC6"/>
    <w:rsid w:val="00F3108F"/>
    <w:rsid w:val="00F32749"/>
    <w:rsid w:val="00F32B47"/>
    <w:rsid w:val="00F37172"/>
    <w:rsid w:val="00F371E5"/>
    <w:rsid w:val="00F373E9"/>
    <w:rsid w:val="00F37B98"/>
    <w:rsid w:val="00F4027D"/>
    <w:rsid w:val="00F427B2"/>
    <w:rsid w:val="00F42F26"/>
    <w:rsid w:val="00F43314"/>
    <w:rsid w:val="00F437C1"/>
    <w:rsid w:val="00F43A91"/>
    <w:rsid w:val="00F43D6F"/>
    <w:rsid w:val="00F4477E"/>
    <w:rsid w:val="00F449B9"/>
    <w:rsid w:val="00F44F37"/>
    <w:rsid w:val="00F45519"/>
    <w:rsid w:val="00F45927"/>
    <w:rsid w:val="00F459A8"/>
    <w:rsid w:val="00F46269"/>
    <w:rsid w:val="00F473DF"/>
    <w:rsid w:val="00F5089C"/>
    <w:rsid w:val="00F514BD"/>
    <w:rsid w:val="00F537C7"/>
    <w:rsid w:val="00F54642"/>
    <w:rsid w:val="00F55189"/>
    <w:rsid w:val="00F55D6A"/>
    <w:rsid w:val="00F57C62"/>
    <w:rsid w:val="00F600DC"/>
    <w:rsid w:val="00F60BA8"/>
    <w:rsid w:val="00F61883"/>
    <w:rsid w:val="00F64C46"/>
    <w:rsid w:val="00F64D38"/>
    <w:rsid w:val="00F6575F"/>
    <w:rsid w:val="00F65AA3"/>
    <w:rsid w:val="00F66755"/>
    <w:rsid w:val="00F67D8F"/>
    <w:rsid w:val="00F70D35"/>
    <w:rsid w:val="00F71352"/>
    <w:rsid w:val="00F726AC"/>
    <w:rsid w:val="00F72D35"/>
    <w:rsid w:val="00F76720"/>
    <w:rsid w:val="00F77A09"/>
    <w:rsid w:val="00F802BE"/>
    <w:rsid w:val="00F80E93"/>
    <w:rsid w:val="00F81067"/>
    <w:rsid w:val="00F81235"/>
    <w:rsid w:val="00F81464"/>
    <w:rsid w:val="00F82C2A"/>
    <w:rsid w:val="00F83F32"/>
    <w:rsid w:val="00F849EE"/>
    <w:rsid w:val="00F84A58"/>
    <w:rsid w:val="00F84EE7"/>
    <w:rsid w:val="00F85D3B"/>
    <w:rsid w:val="00F86015"/>
    <w:rsid w:val="00F86024"/>
    <w:rsid w:val="00F8611A"/>
    <w:rsid w:val="00F872B8"/>
    <w:rsid w:val="00F87B19"/>
    <w:rsid w:val="00F90066"/>
    <w:rsid w:val="00F911DF"/>
    <w:rsid w:val="00F92041"/>
    <w:rsid w:val="00F9221E"/>
    <w:rsid w:val="00F92BBE"/>
    <w:rsid w:val="00F9337F"/>
    <w:rsid w:val="00F93FCA"/>
    <w:rsid w:val="00F945F3"/>
    <w:rsid w:val="00FA17B4"/>
    <w:rsid w:val="00FA1A04"/>
    <w:rsid w:val="00FA21F6"/>
    <w:rsid w:val="00FA2274"/>
    <w:rsid w:val="00FA2737"/>
    <w:rsid w:val="00FA2E21"/>
    <w:rsid w:val="00FA33C2"/>
    <w:rsid w:val="00FA4177"/>
    <w:rsid w:val="00FA447A"/>
    <w:rsid w:val="00FA5128"/>
    <w:rsid w:val="00FA54A8"/>
    <w:rsid w:val="00FA64B8"/>
    <w:rsid w:val="00FA6A03"/>
    <w:rsid w:val="00FB0D87"/>
    <w:rsid w:val="00FB18B4"/>
    <w:rsid w:val="00FB1B10"/>
    <w:rsid w:val="00FB20EF"/>
    <w:rsid w:val="00FB21EC"/>
    <w:rsid w:val="00FB2B2F"/>
    <w:rsid w:val="00FB39A9"/>
    <w:rsid w:val="00FB39E1"/>
    <w:rsid w:val="00FB42D4"/>
    <w:rsid w:val="00FB4391"/>
    <w:rsid w:val="00FB4F30"/>
    <w:rsid w:val="00FB5840"/>
    <w:rsid w:val="00FB5906"/>
    <w:rsid w:val="00FB5D0E"/>
    <w:rsid w:val="00FB5E9E"/>
    <w:rsid w:val="00FB60DC"/>
    <w:rsid w:val="00FB691D"/>
    <w:rsid w:val="00FB762F"/>
    <w:rsid w:val="00FB7D58"/>
    <w:rsid w:val="00FC1275"/>
    <w:rsid w:val="00FC145F"/>
    <w:rsid w:val="00FC14E2"/>
    <w:rsid w:val="00FC186E"/>
    <w:rsid w:val="00FC283E"/>
    <w:rsid w:val="00FC2AED"/>
    <w:rsid w:val="00FC2C14"/>
    <w:rsid w:val="00FC2CF7"/>
    <w:rsid w:val="00FC3237"/>
    <w:rsid w:val="00FC43BD"/>
    <w:rsid w:val="00FC46A9"/>
    <w:rsid w:val="00FC50B9"/>
    <w:rsid w:val="00FC5CD0"/>
    <w:rsid w:val="00FC696C"/>
    <w:rsid w:val="00FC6DF8"/>
    <w:rsid w:val="00FD060A"/>
    <w:rsid w:val="00FD08AE"/>
    <w:rsid w:val="00FD13E8"/>
    <w:rsid w:val="00FD15AF"/>
    <w:rsid w:val="00FD1639"/>
    <w:rsid w:val="00FD2962"/>
    <w:rsid w:val="00FD330A"/>
    <w:rsid w:val="00FD3EBC"/>
    <w:rsid w:val="00FD54A1"/>
    <w:rsid w:val="00FD5BBD"/>
    <w:rsid w:val="00FD5EA7"/>
    <w:rsid w:val="00FD5F37"/>
    <w:rsid w:val="00FD63B8"/>
    <w:rsid w:val="00FD6437"/>
    <w:rsid w:val="00FD6603"/>
    <w:rsid w:val="00FD707A"/>
    <w:rsid w:val="00FD72FA"/>
    <w:rsid w:val="00FD76D6"/>
    <w:rsid w:val="00FE0EBC"/>
    <w:rsid w:val="00FE101A"/>
    <w:rsid w:val="00FE20D2"/>
    <w:rsid w:val="00FE24B6"/>
    <w:rsid w:val="00FE36CF"/>
    <w:rsid w:val="00FE4D13"/>
    <w:rsid w:val="00FE5048"/>
    <w:rsid w:val="00FE5570"/>
    <w:rsid w:val="00FE572F"/>
    <w:rsid w:val="00FE66C0"/>
    <w:rsid w:val="00FE7839"/>
    <w:rsid w:val="00FF0246"/>
    <w:rsid w:val="00FF068A"/>
    <w:rsid w:val="00FF0C1F"/>
    <w:rsid w:val="00FF1362"/>
    <w:rsid w:val="00FF168D"/>
    <w:rsid w:val="00FF1894"/>
    <w:rsid w:val="00FF20C3"/>
    <w:rsid w:val="00FF2F1E"/>
    <w:rsid w:val="00FF325E"/>
    <w:rsid w:val="00FF4F58"/>
    <w:rsid w:val="00FF52E8"/>
    <w:rsid w:val="00FF5BC8"/>
    <w:rsid w:val="00FF6E6B"/>
    <w:rsid w:val="00FF6FE3"/>
    <w:rsid w:val="00FF7422"/>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26C07"/>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C0C0E"/>
    <w:rPr>
      <w:color w:val="605E5C"/>
      <w:shd w:val="clear" w:color="auto" w:fill="E1DFDD"/>
    </w:rPr>
  </w:style>
  <w:style w:type="character" w:customStyle="1" w:styleId="Nierozpoznanawzmianka6">
    <w:name w:val="Nierozpoznana wzmianka6"/>
    <w:basedOn w:val="Domylnaczcionkaakapitu"/>
    <w:uiPriority w:val="99"/>
    <w:semiHidden/>
    <w:unhideWhenUsed/>
    <w:rsid w:val="009C5691"/>
    <w:rPr>
      <w:color w:val="605E5C"/>
      <w:shd w:val="clear" w:color="auto" w:fill="E1DFDD"/>
    </w:rPr>
  </w:style>
  <w:style w:type="character" w:styleId="Odwoanieprzypisukocowego">
    <w:name w:val="endnote reference"/>
    <w:basedOn w:val="Domylnaczcionkaakapitu"/>
    <w:uiPriority w:val="99"/>
    <w:semiHidden/>
    <w:unhideWhenUsed/>
    <w:rsid w:val="00D45D76"/>
    <w:rPr>
      <w:vertAlign w:val="superscript"/>
    </w:rPr>
  </w:style>
  <w:style w:type="character" w:customStyle="1" w:styleId="Nierozpoznanawzmianka7">
    <w:name w:val="Nierozpoznana wzmianka7"/>
    <w:basedOn w:val="Domylnaczcionkaakapitu"/>
    <w:uiPriority w:val="99"/>
    <w:semiHidden/>
    <w:unhideWhenUsed/>
    <w:rsid w:val="0005078B"/>
    <w:rPr>
      <w:color w:val="605E5C"/>
      <w:shd w:val="clear" w:color="auto" w:fill="E1DFDD"/>
    </w:rPr>
  </w:style>
  <w:style w:type="character" w:customStyle="1" w:styleId="Nierozpoznanawzmianka8">
    <w:name w:val="Nierozpoznana wzmianka8"/>
    <w:basedOn w:val="Domylnaczcionkaakapitu"/>
    <w:uiPriority w:val="99"/>
    <w:semiHidden/>
    <w:unhideWhenUsed/>
    <w:rsid w:val="009D2C82"/>
    <w:rPr>
      <w:color w:val="605E5C"/>
      <w:shd w:val="clear" w:color="auto" w:fill="E1DFDD"/>
    </w:rPr>
  </w:style>
  <w:style w:type="character" w:customStyle="1" w:styleId="Nierozpoznanawzmianka9">
    <w:name w:val="Nierozpoznana wzmianka9"/>
    <w:basedOn w:val="Domylnaczcionkaakapitu"/>
    <w:uiPriority w:val="99"/>
    <w:semiHidden/>
    <w:unhideWhenUsed/>
    <w:rsid w:val="00087835"/>
    <w:rPr>
      <w:color w:val="605E5C"/>
      <w:shd w:val="clear" w:color="auto" w:fill="E1DFDD"/>
    </w:rPr>
  </w:style>
  <w:style w:type="character" w:customStyle="1" w:styleId="Nierozpoznanawzmianka10">
    <w:name w:val="Nierozpoznana wzmianka10"/>
    <w:basedOn w:val="Domylnaczcionkaakapitu"/>
    <w:uiPriority w:val="99"/>
    <w:semiHidden/>
    <w:unhideWhenUsed/>
    <w:rsid w:val="008E661D"/>
    <w:rPr>
      <w:color w:val="605E5C"/>
      <w:shd w:val="clear" w:color="auto" w:fill="E1DFDD"/>
    </w:rPr>
  </w:style>
  <w:style w:type="character" w:customStyle="1" w:styleId="Nierozpoznanawzmianka11">
    <w:name w:val="Nierozpoznana wzmianka11"/>
    <w:basedOn w:val="Domylnaczcionkaakapitu"/>
    <w:uiPriority w:val="99"/>
    <w:semiHidden/>
    <w:unhideWhenUsed/>
    <w:rsid w:val="00546781"/>
    <w:rPr>
      <w:color w:val="605E5C"/>
      <w:shd w:val="clear" w:color="auto" w:fill="E1DFDD"/>
    </w:rPr>
  </w:style>
  <w:style w:type="paragraph" w:styleId="Zwykytekst">
    <w:name w:val="Plain Text"/>
    <w:basedOn w:val="Normalny"/>
    <w:link w:val="ZwykytekstZnak"/>
    <w:uiPriority w:val="99"/>
    <w:unhideWhenUsed/>
    <w:rsid w:val="00D44F2E"/>
    <w:pPr>
      <w:spacing w:before="0"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D44F2E"/>
    <w:rPr>
      <w:rFonts w:ascii="Consolas" w:hAnsi="Consolas"/>
      <w:sz w:val="21"/>
      <w:szCs w:val="21"/>
    </w:rPr>
  </w:style>
  <w:style w:type="table" w:customStyle="1" w:styleId="Tabela-Siatka1">
    <w:name w:val="Tabela - Siatka1"/>
    <w:basedOn w:val="Standardowy"/>
    <w:next w:val="Tabela-Siatka"/>
    <w:uiPriority w:val="39"/>
    <w:rsid w:val="0033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2">
    <w:name w:val="Nierozpoznana wzmianka12"/>
    <w:basedOn w:val="Domylnaczcionkaakapitu"/>
    <w:uiPriority w:val="99"/>
    <w:semiHidden/>
    <w:unhideWhenUsed/>
    <w:rsid w:val="00FF2F1E"/>
    <w:rPr>
      <w:color w:val="605E5C"/>
      <w:shd w:val="clear" w:color="auto" w:fill="E1DFDD"/>
    </w:rPr>
  </w:style>
  <w:style w:type="character" w:customStyle="1" w:styleId="Nierozpoznanawzmianka13">
    <w:name w:val="Nierozpoznana wzmianka13"/>
    <w:basedOn w:val="Domylnaczcionkaakapitu"/>
    <w:uiPriority w:val="99"/>
    <w:semiHidden/>
    <w:unhideWhenUsed/>
    <w:rsid w:val="0064275A"/>
    <w:rPr>
      <w:color w:val="605E5C"/>
      <w:shd w:val="clear" w:color="auto" w:fill="E1DFDD"/>
    </w:rPr>
  </w:style>
  <w:style w:type="character" w:customStyle="1" w:styleId="Nierozpoznanawzmianka14">
    <w:name w:val="Nierozpoznana wzmianka14"/>
    <w:basedOn w:val="Domylnaczcionkaakapitu"/>
    <w:uiPriority w:val="99"/>
    <w:semiHidden/>
    <w:unhideWhenUsed/>
    <w:rsid w:val="00C50804"/>
    <w:rPr>
      <w:color w:val="605E5C"/>
      <w:shd w:val="clear" w:color="auto" w:fill="E1DFDD"/>
    </w:rPr>
  </w:style>
  <w:style w:type="table" w:customStyle="1" w:styleId="Tabela-Siatka11">
    <w:name w:val="Tabela - Siatka11"/>
    <w:basedOn w:val="Standardowy"/>
    <w:next w:val="Tabela-Siatka"/>
    <w:uiPriority w:val="39"/>
    <w:rsid w:val="000F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E4219"/>
    <w:pPr>
      <w:spacing w:after="0" w:line="240" w:lineRule="auto"/>
    </w:pPr>
    <w:rPr>
      <w:rFonts w:ascii="Fira Sans" w:hAnsi="Fira Sans"/>
      <w:sz w:val="19"/>
    </w:rPr>
  </w:style>
  <w:style w:type="character" w:customStyle="1" w:styleId="Nierozpoznanawzmianka15">
    <w:name w:val="Nierozpoznana wzmianka15"/>
    <w:basedOn w:val="Domylnaczcionkaakapitu"/>
    <w:uiPriority w:val="99"/>
    <w:semiHidden/>
    <w:unhideWhenUsed/>
    <w:rsid w:val="007E4219"/>
    <w:rPr>
      <w:color w:val="605E5C"/>
      <w:shd w:val="clear" w:color="auto" w:fill="E1DFDD"/>
    </w:rPr>
  </w:style>
  <w:style w:type="paragraph" w:styleId="Tekstpodstawowy2">
    <w:name w:val="Body Text 2"/>
    <w:basedOn w:val="Normalny"/>
    <w:link w:val="Tekstpodstawowy2Znak"/>
    <w:rsid w:val="0093035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930351"/>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9" Type="http://schemas.openxmlformats.org/officeDocument/2006/relationships/hyperlink" Target="https://bdl.stat.gov.pl/bdl/dane/podgrup/temat" TargetMode="External"/><Relationship Id="rId21" Type="http://schemas.openxmlformats.org/officeDocument/2006/relationships/image" Target="media/image14.png"/><Relationship Id="rId34" Type="http://schemas.openxmlformats.org/officeDocument/2006/relationships/image" Target="media/image21.png"/><Relationship Id="rId42" Type="http://schemas.openxmlformats.org/officeDocument/2006/relationships/hyperlink" Target="https://stat.gov.pl/metainformacje/slownik-pojec/pojecia-stosowane-w-statystyce-publicznej/4561,pojecie.html"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png"/><Relationship Id="rId29" Type="http://schemas.openxmlformats.org/officeDocument/2006/relationships/footer" Target="footer2.xml"/><Relationship Id="rId11" Type="http://schemas.openxmlformats.org/officeDocument/2006/relationships/image" Target="media/image4.png"/><Relationship Id="rId24" Type="http://schemas.openxmlformats.org/officeDocument/2006/relationships/hyperlink" Target="https://stat.gov.pl/obszary-tematyczne/rynek-pracy/pracujacy-bezrobotni-bierni-zawodowo-wg-bael/aktywnosc-ekonomiczna-ludnosci-polski-1-kwartal-2024-roku,4,54.html" TargetMode="External"/><Relationship Id="rId32" Type="http://schemas.openxmlformats.org/officeDocument/2006/relationships/image" Target="media/image19.png"/><Relationship Id="rId37" Type="http://schemas.openxmlformats.org/officeDocument/2006/relationships/hyperlink" Target="https://stat.gov.pl/obszary-tematyczne/rynek-pracy/pracujacy-bezrobotni-bierni-zawodowo-wg-bael/" TargetMode="External"/><Relationship Id="rId40" Type="http://schemas.openxmlformats.org/officeDocument/2006/relationships/hyperlink" Target="https://stat.gov.pl/metainformacje/slownik-pojec/pojecia-stosowane-w-statystyce-publicznej/4563,pojecie.html" TargetMode="External"/><Relationship Id="rId45" Type="http://schemas.openxmlformats.org/officeDocument/2006/relationships/hyperlink" Target="https://stat.gov.pl/metainformacje/slownik-pojec/pojecia-stosowane-w-statystyce-publicznej/4572,pojecie.html"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8.png"/><Relationship Id="rId44" Type="http://schemas.openxmlformats.org/officeDocument/2006/relationships/hyperlink" Target="https://stat.gov.pl/metainformacje/slownik-pojec/pojecia-stosowane-w-statystyce-publicznej/4575,pojeci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hyperlink" Target="mailto:obslugaprasowa@stat.gov.pl" TargetMode="External"/><Relationship Id="rId35" Type="http://schemas.openxmlformats.org/officeDocument/2006/relationships/image" Target="media/image22.png"/><Relationship Id="rId43" Type="http://schemas.openxmlformats.org/officeDocument/2006/relationships/hyperlink" Target="https://stat.gov.pl/metainformacje/slownik-pojec/pojecia-stosowane-w-statystyce-publicznej/4573,pojecie.html" TargetMode="External"/><Relationship Id="rId48"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stat.gov.pl/obszary-tematyczne/rynek-pracy/zasady-metodyczne-rocznik-pracy/zeszyt-metodologiczny-badanie-aktywnosci-ekonomicznej-ludnosci,3,2.html" TargetMode="External"/><Relationship Id="rId33" Type="http://schemas.openxmlformats.org/officeDocument/2006/relationships/image" Target="media/image20.png"/><Relationship Id="rId38" Type="http://schemas.openxmlformats.org/officeDocument/2006/relationships/hyperlink" Target="https://strateg.stat.gov.pl/" TargetMode="External"/><Relationship Id="rId46" Type="http://schemas.openxmlformats.org/officeDocument/2006/relationships/image" Target="media/image24.emf"/><Relationship Id="rId20" Type="http://schemas.openxmlformats.org/officeDocument/2006/relationships/image" Target="media/image13.png"/><Relationship Id="rId41" Type="http://schemas.openxmlformats.org/officeDocument/2006/relationships/hyperlink" Target="https://stat.gov.pl/metainformacje/slownik-pojec/pojecia-stosowane-w-statystyce-publicznej/4560,pojecie.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Pracujacy bezrobotni i bierni zawodowo (wyniki wstepne BAEL) - 2 kwartał 2024 roku.docx.docx</NazwaPliku>
    <Odbiorcy2 xmlns="1E9983FF-DC4B-4F4E-A072-0441E2B88E6D" xsi:nil="true"/>
    <Osoba xmlns="1E9983FF-DC4B-4F4E-A072-0441E2B88E6D">STAT\LACZYNSKAM</Osoba>
  </documentManagement>
</p:properties>
</file>

<file path=customXml/itemProps1.xml><?xml version="1.0" encoding="utf-8"?>
<ds:datastoreItem xmlns:ds="http://schemas.openxmlformats.org/officeDocument/2006/customXml" ds:itemID="{7AD82946-E990-404C-BFEF-510AF4E4E444}"/>
</file>

<file path=customXml/itemProps2.xml><?xml version="1.0" encoding="utf-8"?>
<ds:datastoreItem xmlns:ds="http://schemas.openxmlformats.org/officeDocument/2006/customXml" ds:itemID="{E637980F-39FA-45DC-8377-EE1BA5D7741D}"/>
</file>

<file path=customXml/itemProps3.xml><?xml version="1.0" encoding="utf-8"?>
<ds:datastoreItem xmlns:ds="http://schemas.openxmlformats.org/officeDocument/2006/customXml" ds:itemID="{037E9C3E-3CC5-40C0-A774-47B8E48CCF08}"/>
</file>

<file path=docProps/app.xml><?xml version="1.0" encoding="utf-8"?>
<Properties xmlns="http://schemas.openxmlformats.org/officeDocument/2006/extended-properties" xmlns:vt="http://schemas.openxmlformats.org/officeDocument/2006/docPropsVTypes">
  <Template>Normal</Template>
  <TotalTime>2</TotalTime>
  <Pages>18</Pages>
  <Words>6967</Words>
  <Characters>41805</Characters>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Pracujacy bezrobotni i bierni zawodowo (wyniki wstepne BAEL) - 2 kwartał 2024 roku</dc:title>
  <dc:creator>Główny Urząd Statystyczny</dc:creator>
  <dc:description/>
  <cp:lastPrinted>2024-08-22T09:59:00Z</cp:lastPrinted>
  <dcterms:created xsi:type="dcterms:W3CDTF">2024-08-22T10:15:00Z</dcterms:created>
  <dcterms:modified xsi:type="dcterms:W3CDTF">2024-08-22T10:47:00Z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