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D605C" w:rsidR="00393761" w:rsidP="00F049AB" w:rsidRDefault="00511FF1" w14:paraId="66008B5C" w14:textId="25909A82">
      <w:pPr>
        <w:pStyle w:val="Tytuinfomacjisygnalnej"/>
      </w:pPr>
      <w:r>
        <w:t>Zmiany w popycie</w:t>
      </w:r>
      <w:r w:rsidR="00E8588B">
        <w:t xml:space="preserve"> na usługi w </w:t>
      </w:r>
      <w:r w:rsidR="00E433DB">
        <w:t xml:space="preserve">latach 2015 i </w:t>
      </w:r>
      <w:r w:rsidR="00E8588B">
        <w:t xml:space="preserve">2020 </w:t>
      </w:r>
      <w:r w:rsidRPr="007D605C" w:rsidR="00364AF9">
        <w:rPr>
          <w:sz w:val="32"/>
        </w:rPr>
        <w:tab/>
      </w:r>
    </w:p>
    <w:p w:rsidRPr="007D0869" w:rsidR="00DE58F1" w:rsidP="00F049AB" w:rsidRDefault="00731D27" w14:paraId="1E690351" w14:textId="34714152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761CBDBF" wp14:anchorId="2FC13F9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Wskaźnik prezentujący dynamikę kosztów zakupu usług rok do roku" title="Dynamika kosztów zakupu usług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991DA9" w:rsidP="00CB6AD4" w:rsidRDefault="00991DA9" w14:paraId="30951E30" w14:textId="5CBCDA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</w:t>
                            </w:r>
                            <w:r w:rsidRPr="00F049AB">
                              <w:rPr>
                                <w:rStyle w:val="WartowskanikaZnak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</w:rPr>
                              <w:t>3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4</w:t>
                            </w:r>
                          </w:p>
                          <w:p w:rsidRPr="007D605C" w:rsidR="00991DA9" w:rsidP="00F049AB" w:rsidRDefault="00991DA9" w14:paraId="63B3F253" w14:textId="3ECFD7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Dynamika kosztów zakupu usług</w:t>
                            </w:r>
                            <w:r w:rsidR="003D7096">
                              <w:t xml:space="preserve"> obcych</w:t>
                            </w:r>
                            <w: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Tytuł: Dynamika kosztów zakupu usług rok do roku — opis: Wskaźnik prezentujący dynamikę kosztów zakupu usług rok do roku" o:spid="_x0000_s1026" fillcolor="#001d77" stroked="f" arcsize="10923f" w14:anchorId="2FC13F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">
                <v:stroke joinstyle="miter"/>
                <v:textbox>
                  <w:txbxContent>
                    <w:p w:rsidRPr="007D605C" w:rsidR="00991DA9" w:rsidP="00CB6AD4" w:rsidRDefault="00991DA9" w14:paraId="30951E30" w14:textId="5CBCDA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</w:t>
                      </w:r>
                      <w:r w:rsidRPr="00F049AB">
                        <w:rPr>
                          <w:rStyle w:val="WartowskanikaZnak"/>
                        </w:rPr>
                        <w:t>5</w:t>
                      </w:r>
                      <w:r>
                        <w:rPr>
                          <w:rStyle w:val="WartowskanikaZnak"/>
                        </w:rPr>
                        <w:t>3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4</w:t>
                      </w:r>
                    </w:p>
                    <w:p w:rsidRPr="007D605C" w:rsidR="00991DA9" w:rsidP="00F049AB" w:rsidRDefault="00991DA9" w14:paraId="63B3F253" w14:textId="3ECFD7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Dynamika kosztów zakupu usług</w:t>
                      </w:r>
                      <w:r w:rsidR="003D7096">
                        <w:t xml:space="preserve"> obcych</w:t>
                      </w:r>
                      <w: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="00A94593">
        <w:t>W 2020 r. war</w:t>
      </w:r>
      <w:r w:rsidR="004917D5">
        <w:t>tość kosztów poniesionych przez przedsiębiorstwa</w:t>
      </w:r>
      <w:bookmarkStart w:name="_Ref109282962" w:id="0"/>
      <w:r w:rsidR="005D477E">
        <w:rPr>
          <w:rStyle w:val="Odwoanieprzypisudolnego"/>
        </w:rPr>
        <w:footnoteReference w:id="1"/>
      </w:r>
      <w:bookmarkEnd w:id="0"/>
      <w:r w:rsidR="004917D5">
        <w:t xml:space="preserve"> na zakup usług obcych wyniósł 526,</w:t>
      </w:r>
      <w:r w:rsidR="005E5ADF">
        <w:t>1 mld</w:t>
      </w:r>
      <w:r w:rsidR="00C27BFB">
        <w:t xml:space="preserve"> zł</w:t>
      </w:r>
      <w:r w:rsidR="004917D5">
        <w:t>.</w:t>
      </w:r>
      <w:r w:rsidRPr="00D8143C" w:rsidR="00DE6B58">
        <w:t xml:space="preserve"> </w:t>
      </w:r>
      <w:r w:rsidR="00373C44">
        <w:t>Dynamika kosztów zakupu usług wzrosła o 22</w:t>
      </w:r>
      <w:r w:rsidR="005E5ADF">
        <w:t xml:space="preserve">,0 </w:t>
      </w:r>
      <w:r w:rsidR="00AF1D2A">
        <w:t>p.</w:t>
      </w:r>
      <w:r w:rsidR="005E5ADF">
        <w:t xml:space="preserve"> proc. w st</w:t>
      </w:r>
      <w:r w:rsidR="00A94593">
        <w:t>o</w:t>
      </w:r>
      <w:r w:rsidR="005E5ADF">
        <w:t>sunku do analogicznej dynamiki z 2015 r.</w:t>
      </w:r>
    </w:p>
    <w:p w:rsidR="00E95B8E" w:rsidP="00E95B8E" w:rsidRDefault="000647A9" w14:paraId="3DB10F9F" w14:textId="45093F42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49213263" wp14:anchorId="6367A9BC">
                <wp:simplePos x="0" y="0"/>
                <wp:positionH relativeFrom="column">
                  <wp:posOffset>5275580</wp:posOffset>
                </wp:positionH>
                <wp:positionV relativeFrom="paragraph">
                  <wp:posOffset>212090</wp:posOffset>
                </wp:positionV>
                <wp:extent cx="1725295" cy="977900"/>
                <wp:effectExtent l="0" t="0" r="0" b="0"/>
                <wp:wrapTight wrapText="bothSides">
                  <wp:wrapPolygon edited="0">
                    <wp:start x="715" y="0"/>
                    <wp:lineTo x="715" y="21039"/>
                    <wp:lineTo x="20749" y="21039"/>
                    <wp:lineTo x="20749" y="0"/>
                    <wp:lineTo x="715" y="0"/>
                  </wp:wrapPolygon>
                </wp:wrapTight>
                <wp:docPr id="2" name="Pole tekstowe 2" descr="Podmioty prowadzące działalność związaną z przetwór-stwem przemysłowym zakupiły usługi obce o wartości 156,2 miliardów PLN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95B8E" w:rsidR="00991DA9" w:rsidP="005F45EE" w:rsidRDefault="00991DA9" w14:paraId="66113316" w14:textId="1E2A834C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Podmioty prowadzące działalność związaną z przetwórstwem przemysłowym zakupiły usługi obce o wartości 156,2</w:t>
                            </w:r>
                            <w:r w:rsidR="00C27BFB"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367A9BC">
                <v:stroke joinstyle="miter"/>
                <v:path gradientshapeok="t" o:connecttype="rect"/>
              </v:shapetype>
              <v:shape id="_x0000_s1027" style="position:absolute;margin-left:415.4pt;margin-top:16.7pt;width:135.85pt;height:7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Tytuł: Kluczowa informacja — opis: Podmioty prowadzące działalność związaną z przetwór-stwem przemysłowym zakupiły usługi obce o wartości 156,2 miliardów PLN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">
                <v:textbox>
                  <w:txbxContent>
                    <w:p w:rsidRPr="00E95B8E" w:rsidR="00991DA9" w:rsidP="005F45EE" w:rsidRDefault="00991DA9" w14:paraId="66113316" w14:textId="1E2A834C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Podmioty prowadzące działalność związaną z przetwórstwem przemysłowym zakupiły usługi obce o wartości 156,2</w:t>
                      </w:r>
                      <w:r w:rsidR="00C27BFB">
                        <w:t xml:space="preserve">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="005E5ADF">
        <w:rPr>
          <w:rFonts w:ascii="Fira Sans" w:hAnsi="Fira Sans"/>
          <w:b/>
          <w:szCs w:val="19"/>
        </w:rPr>
        <w:t>Popyt na usługi</w:t>
      </w:r>
    </w:p>
    <w:p w:rsidR="00DE6B58" w:rsidP="00216634" w:rsidRDefault="002F7626" w14:paraId="6189446F" w14:textId="4B9BB0AC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2020 r. p</w:t>
      </w:r>
      <w:r w:rsidR="005E5ADF">
        <w:rPr>
          <w:rFonts w:eastAsia="Times New Roman" w:cs="Times New Roman"/>
          <w:szCs w:val="19"/>
          <w:lang w:eastAsia="pl-PL"/>
        </w:rPr>
        <w:t xml:space="preserve">odmioty </w:t>
      </w:r>
      <w:r w:rsidRPr="005E5ADF" w:rsidR="005E5ADF">
        <w:rPr>
          <w:rFonts w:eastAsia="Times New Roman" w:cs="Times New Roman"/>
          <w:szCs w:val="19"/>
          <w:lang w:eastAsia="pl-PL"/>
        </w:rPr>
        <w:t>z</w:t>
      </w:r>
      <w:r w:rsidR="003D7096">
        <w:rPr>
          <w:rFonts w:eastAsia="Times New Roman" w:cs="Times New Roman"/>
          <w:szCs w:val="19"/>
          <w:lang w:eastAsia="pl-PL"/>
        </w:rPr>
        <w:t xml:space="preserve"> liczbą pracujących</w:t>
      </w:r>
      <w:r w:rsidRPr="005E5ADF" w:rsidR="005E5ADF">
        <w:rPr>
          <w:rFonts w:eastAsia="Times New Roman" w:cs="Times New Roman"/>
          <w:szCs w:val="19"/>
          <w:lang w:eastAsia="pl-PL"/>
        </w:rPr>
        <w:t xml:space="preserve"> 50 osób i więcej zakupiły od innych przedsiębiorstw usługi o wartości </w:t>
      </w:r>
      <w:r w:rsidR="005E5ADF">
        <w:rPr>
          <w:rFonts w:eastAsia="Times New Roman" w:cs="Times New Roman"/>
          <w:szCs w:val="19"/>
          <w:lang w:eastAsia="pl-PL"/>
        </w:rPr>
        <w:t>526,1</w:t>
      </w:r>
      <w:r w:rsidR="00C27BFB">
        <w:rPr>
          <w:rFonts w:eastAsia="Times New Roman" w:cs="Times New Roman"/>
          <w:szCs w:val="19"/>
          <w:lang w:eastAsia="pl-PL"/>
        </w:rPr>
        <w:t xml:space="preserve"> mld zł</w:t>
      </w:r>
      <w:r w:rsidRPr="005E5ADF" w:rsidR="005E5ADF">
        <w:rPr>
          <w:rFonts w:eastAsia="Times New Roman" w:cs="Times New Roman"/>
          <w:szCs w:val="19"/>
          <w:lang w:eastAsia="pl-PL"/>
        </w:rPr>
        <w:t xml:space="preserve"> (wzrost </w:t>
      </w:r>
      <w:r w:rsidR="0010337A">
        <w:rPr>
          <w:rFonts w:eastAsia="Times New Roman" w:cs="Times New Roman"/>
          <w:szCs w:val="19"/>
          <w:lang w:eastAsia="pl-PL"/>
        </w:rPr>
        <w:t xml:space="preserve">o </w:t>
      </w:r>
      <w:r w:rsidRPr="005E5ADF" w:rsidR="0010337A">
        <w:rPr>
          <w:rFonts w:eastAsia="Times New Roman" w:cs="Times New Roman"/>
          <w:szCs w:val="19"/>
          <w:lang w:eastAsia="pl-PL"/>
        </w:rPr>
        <w:t>5</w:t>
      </w:r>
      <w:r w:rsidR="0010337A">
        <w:rPr>
          <w:rFonts w:eastAsia="Times New Roman" w:cs="Times New Roman"/>
          <w:szCs w:val="19"/>
          <w:lang w:eastAsia="pl-PL"/>
        </w:rPr>
        <w:t>3</w:t>
      </w:r>
      <w:r w:rsidRPr="005E5ADF" w:rsidR="0010337A">
        <w:rPr>
          <w:rFonts w:eastAsia="Times New Roman" w:cs="Times New Roman"/>
          <w:szCs w:val="19"/>
          <w:lang w:eastAsia="pl-PL"/>
        </w:rPr>
        <w:t>,</w:t>
      </w:r>
      <w:r w:rsidR="0010337A">
        <w:rPr>
          <w:rFonts w:eastAsia="Times New Roman" w:cs="Times New Roman"/>
          <w:szCs w:val="19"/>
          <w:lang w:eastAsia="pl-PL"/>
        </w:rPr>
        <w:t>4% w porównaniu z 2015 r.</w:t>
      </w:r>
      <w:r w:rsidR="005E5ADF">
        <w:rPr>
          <w:rFonts w:eastAsia="Times New Roman" w:cs="Times New Roman"/>
          <w:szCs w:val="19"/>
          <w:lang w:eastAsia="pl-PL"/>
        </w:rPr>
        <w:t xml:space="preserve">). </w:t>
      </w:r>
      <w:r w:rsidR="003D7096">
        <w:rPr>
          <w:rFonts w:eastAsia="Times New Roman" w:cs="Times New Roman"/>
          <w:szCs w:val="19"/>
          <w:lang w:eastAsia="pl-PL"/>
        </w:rPr>
        <w:t>Najwyższe koszty zakupu usług odnotowano w przypadku podmiotów p</w:t>
      </w:r>
      <w:r w:rsidR="005E5ADF">
        <w:rPr>
          <w:rFonts w:eastAsia="Times New Roman" w:cs="Times New Roman"/>
          <w:szCs w:val="19"/>
          <w:lang w:eastAsia="pl-PL"/>
        </w:rPr>
        <w:t>rowadząc</w:t>
      </w:r>
      <w:r w:rsidR="003D7096">
        <w:rPr>
          <w:rFonts w:eastAsia="Times New Roman" w:cs="Times New Roman"/>
          <w:szCs w:val="19"/>
          <w:lang w:eastAsia="pl-PL"/>
        </w:rPr>
        <w:t>ych</w:t>
      </w:r>
      <w:r w:rsidR="005E5ADF">
        <w:rPr>
          <w:rFonts w:eastAsia="Times New Roman" w:cs="Times New Roman"/>
          <w:szCs w:val="19"/>
          <w:lang w:eastAsia="pl-PL"/>
        </w:rPr>
        <w:t xml:space="preserve"> działalność zakwalifikowaną do sekcji C „Przetwórstwo przemysłowe”</w:t>
      </w:r>
      <w:r w:rsidR="003D7096">
        <w:rPr>
          <w:rFonts w:eastAsia="Times New Roman" w:cs="Times New Roman"/>
          <w:szCs w:val="19"/>
          <w:lang w:eastAsia="pl-PL"/>
        </w:rPr>
        <w:t xml:space="preserve">, a ich udział w całkowitej </w:t>
      </w:r>
      <w:r w:rsidR="003850C7">
        <w:rPr>
          <w:rFonts w:eastAsia="Times New Roman" w:cs="Times New Roman"/>
          <w:szCs w:val="19"/>
          <w:lang w:eastAsia="pl-PL"/>
        </w:rPr>
        <w:t xml:space="preserve">wartości usług nabytych przez badane przedsiębiorstwa wyniósł </w:t>
      </w:r>
      <w:r w:rsidR="00AF1D2A">
        <w:rPr>
          <w:rFonts w:eastAsia="Times New Roman" w:cs="Times New Roman"/>
          <w:szCs w:val="19"/>
          <w:lang w:eastAsia="pl-PL"/>
        </w:rPr>
        <w:t>29,7%</w:t>
      </w:r>
      <w:r w:rsidR="003850C7">
        <w:rPr>
          <w:rFonts w:eastAsia="Times New Roman" w:cs="Times New Roman"/>
          <w:szCs w:val="19"/>
          <w:lang w:eastAsia="pl-PL"/>
        </w:rPr>
        <w:t xml:space="preserve"> (spadek udziału </w:t>
      </w:r>
      <w:r w:rsidR="00AF1D2A">
        <w:rPr>
          <w:rFonts w:eastAsia="Times New Roman" w:cs="Times New Roman"/>
          <w:szCs w:val="19"/>
          <w:lang w:eastAsia="pl-PL"/>
        </w:rPr>
        <w:t>o 1,3 p. proc</w:t>
      </w:r>
      <w:r w:rsidR="003850C7">
        <w:rPr>
          <w:rFonts w:eastAsia="Times New Roman" w:cs="Times New Roman"/>
          <w:szCs w:val="19"/>
          <w:lang w:eastAsia="pl-PL"/>
        </w:rPr>
        <w:t xml:space="preserve"> w stosunku do 2015 r.</w:t>
      </w:r>
      <w:r w:rsidR="00AF1D2A">
        <w:rPr>
          <w:rFonts w:eastAsia="Times New Roman" w:cs="Times New Roman"/>
          <w:szCs w:val="19"/>
          <w:lang w:eastAsia="pl-PL"/>
        </w:rPr>
        <w:t xml:space="preserve">). W dalszej kolejności były </w:t>
      </w:r>
      <w:r w:rsidR="003850C7">
        <w:rPr>
          <w:rFonts w:eastAsia="Times New Roman" w:cs="Times New Roman"/>
          <w:szCs w:val="19"/>
          <w:lang w:eastAsia="pl-PL"/>
        </w:rPr>
        <w:t xml:space="preserve">to </w:t>
      </w:r>
      <w:r w:rsidR="00AF1D2A">
        <w:rPr>
          <w:rFonts w:eastAsia="Times New Roman" w:cs="Times New Roman"/>
          <w:szCs w:val="19"/>
          <w:lang w:eastAsia="pl-PL"/>
        </w:rPr>
        <w:t>podmioty prowadzące działalność związaną z handlem</w:t>
      </w:r>
      <w:r w:rsidRPr="00AF1D2A" w:rsidR="00AF1D2A">
        <w:rPr>
          <w:rFonts w:eastAsia="Times New Roman" w:cs="Times New Roman"/>
          <w:szCs w:val="19"/>
          <w:lang w:eastAsia="pl-PL"/>
        </w:rPr>
        <w:t xml:space="preserve"> hurtowy</w:t>
      </w:r>
      <w:r w:rsidR="00AF1D2A">
        <w:rPr>
          <w:rFonts w:eastAsia="Times New Roman" w:cs="Times New Roman"/>
          <w:szCs w:val="19"/>
          <w:lang w:eastAsia="pl-PL"/>
        </w:rPr>
        <w:t>m</w:t>
      </w:r>
      <w:r w:rsidRPr="00AF1D2A" w:rsidR="00AF1D2A">
        <w:rPr>
          <w:rFonts w:eastAsia="Times New Roman" w:cs="Times New Roman"/>
          <w:szCs w:val="19"/>
          <w:lang w:eastAsia="pl-PL"/>
        </w:rPr>
        <w:t xml:space="preserve"> i detaliczny</w:t>
      </w:r>
      <w:r w:rsidR="00AF1D2A">
        <w:rPr>
          <w:rFonts w:eastAsia="Times New Roman" w:cs="Times New Roman"/>
          <w:szCs w:val="19"/>
          <w:lang w:eastAsia="pl-PL"/>
        </w:rPr>
        <w:t>m; naprawą</w:t>
      </w:r>
      <w:r w:rsidRPr="00AF1D2A" w:rsidR="00AF1D2A">
        <w:rPr>
          <w:rFonts w:eastAsia="Times New Roman" w:cs="Times New Roman"/>
          <w:szCs w:val="19"/>
          <w:lang w:eastAsia="pl-PL"/>
        </w:rPr>
        <w:t xml:space="preserve"> pojazdów sam</w:t>
      </w:r>
      <w:r w:rsidR="00AF1D2A">
        <w:rPr>
          <w:rFonts w:eastAsia="Times New Roman" w:cs="Times New Roman"/>
          <w:szCs w:val="19"/>
          <w:lang w:eastAsia="pl-PL"/>
        </w:rPr>
        <w:t>ochodowych, włączając motocykle (sekcja G) oraz działalność związaną z t</w:t>
      </w:r>
      <w:r w:rsidRPr="00AF1D2A" w:rsidR="00AF1D2A">
        <w:rPr>
          <w:rFonts w:eastAsia="Times New Roman" w:cs="Times New Roman"/>
          <w:szCs w:val="19"/>
          <w:lang w:eastAsia="pl-PL"/>
        </w:rPr>
        <w:t>ransport</w:t>
      </w:r>
      <w:r w:rsidR="00AF1D2A">
        <w:rPr>
          <w:rFonts w:eastAsia="Times New Roman" w:cs="Times New Roman"/>
          <w:szCs w:val="19"/>
          <w:lang w:eastAsia="pl-PL"/>
        </w:rPr>
        <w:t>em i gospodarką magazynową (sekcja H). Ich udziały stanowiły odpowiednio 17,2% (wzrost o 0,9 p. proc. w porównaniu z 2015 r.) oraz 16,3% (</w:t>
      </w:r>
      <w:r w:rsidR="007B3361">
        <w:rPr>
          <w:rFonts w:eastAsia="Times New Roman" w:cs="Times New Roman"/>
          <w:szCs w:val="19"/>
          <w:lang w:eastAsia="pl-PL"/>
        </w:rPr>
        <w:t xml:space="preserve">wzrost o </w:t>
      </w:r>
      <w:r>
        <w:rPr>
          <w:rFonts w:eastAsia="Times New Roman" w:cs="Times New Roman"/>
          <w:szCs w:val="19"/>
          <w:lang w:eastAsia="pl-PL"/>
        </w:rPr>
        <w:t>4,5</w:t>
      </w:r>
      <w:r w:rsidR="007B3361">
        <w:rPr>
          <w:rFonts w:eastAsia="Times New Roman" w:cs="Times New Roman"/>
          <w:szCs w:val="19"/>
          <w:lang w:eastAsia="pl-PL"/>
        </w:rPr>
        <w:t xml:space="preserve"> p. proc.).</w:t>
      </w:r>
    </w:p>
    <w:p w:rsidRPr="001F6FEE" w:rsidR="001365AE" w:rsidP="00070970" w:rsidRDefault="001365AE" w14:paraId="206EE891" w14:textId="587C14C0">
      <w:pPr>
        <w:spacing w:line="288" w:lineRule="auto"/>
        <w:ind w:left="851" w:hanging="851"/>
        <w:rPr>
          <w:rFonts w:eastAsia="Times New Roman" w:cs="Times New Roman"/>
          <w:szCs w:val="19"/>
          <w:lang w:eastAsia="pl-PL"/>
        </w:rPr>
      </w:pPr>
      <w:r>
        <w:rPr>
          <w:b/>
          <w:sz w:val="18"/>
          <w:szCs w:val="18"/>
        </w:rPr>
        <w:t>Wykres 1</w:t>
      </w:r>
      <w:r w:rsidRPr="00191D1C">
        <w:rPr>
          <w:b/>
          <w:sz w:val="18"/>
          <w:szCs w:val="18"/>
        </w:rPr>
        <w:t>.</w:t>
      </w:r>
      <w:r w:rsidR="00C8465F">
        <w:rPr>
          <w:b/>
          <w:sz w:val="18"/>
          <w:szCs w:val="18"/>
          <w:shd w:val="clear" w:color="auto" w:fill="FFFFFF"/>
        </w:rPr>
        <w:t xml:space="preserve"> Udział </w:t>
      </w:r>
      <w:r w:rsidR="004C1BB1">
        <w:rPr>
          <w:b/>
          <w:sz w:val="18"/>
          <w:szCs w:val="18"/>
          <w:shd w:val="clear" w:color="auto" w:fill="FFFFFF"/>
        </w:rPr>
        <w:t xml:space="preserve">kosztów zakupu </w:t>
      </w:r>
      <w:r w:rsidRPr="00191D1C">
        <w:rPr>
          <w:b/>
          <w:sz w:val="18"/>
          <w:szCs w:val="18"/>
          <w:shd w:val="clear" w:color="auto" w:fill="FFFFFF"/>
        </w:rPr>
        <w:t xml:space="preserve">usług obcych </w:t>
      </w:r>
      <w:r w:rsidR="00C8465F">
        <w:rPr>
          <w:b/>
          <w:sz w:val="18"/>
          <w:szCs w:val="18"/>
          <w:shd w:val="clear" w:color="auto" w:fill="FFFFFF"/>
        </w:rPr>
        <w:t>w usługach obcych ogółem dla badanych działalnoś</w:t>
      </w:r>
      <w:r w:rsidR="004C1BB1">
        <w:rPr>
          <w:b/>
          <w:sz w:val="18"/>
          <w:szCs w:val="18"/>
          <w:shd w:val="clear" w:color="auto" w:fill="FFFFFF"/>
        </w:rPr>
        <w:t>ci</w:t>
      </w:r>
      <w:bookmarkStart w:name="_Ref109108913" w:id="1"/>
      <w:r w:rsidR="00070970">
        <w:rPr>
          <w:rStyle w:val="Odwoanieprzypisudolnego"/>
          <w:b/>
          <w:sz w:val="18"/>
          <w:szCs w:val="18"/>
          <w:shd w:val="clear" w:color="auto" w:fill="FFFFFF"/>
        </w:rPr>
        <w:footnoteReference w:id="2"/>
      </w:r>
      <w:bookmarkEnd w:id="1"/>
      <w:r w:rsidR="004C1BB1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 xml:space="preserve">w </w:t>
      </w:r>
      <w:r w:rsidR="00865DD7">
        <w:rPr>
          <w:b/>
          <w:sz w:val="18"/>
          <w:szCs w:val="18"/>
          <w:shd w:val="clear" w:color="auto" w:fill="FFFFFF"/>
        </w:rPr>
        <w:t>latach 2015 i 2020</w:t>
      </w:r>
    </w:p>
    <w:p w:rsidRPr="001203A5" w:rsidR="009B1F9D" w:rsidP="001203A5" w:rsidRDefault="001365AE" w14:paraId="51329FEB" w14:textId="36F86939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72C966B6" wp14:editId="448D24D5">
            <wp:extent cx="5064760" cy="2943225"/>
            <wp:effectExtent l="0" t="0" r="2540" b="0"/>
            <wp:docPr id="19" name="Wykres 19" descr="Wykres 1 przedstawiający strukturę kosztów zakupu usług obcych według rodzaju prowadzonej działalności w 2020 roku" title="Wykres 1 Struktura kosztów zakupu usług obcych według rodzaju prowadzonej działalności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1451F" w:rsidP="002F3CFA" w:rsidRDefault="0051451F" w14:paraId="75C13161" w14:textId="0727B235">
      <w:pPr>
        <w:spacing w:line="288" w:lineRule="auto"/>
        <w:rPr>
          <w:szCs w:val="19"/>
        </w:rPr>
      </w:pPr>
      <w:r w:rsidRPr="004C1BB1">
        <w:rPr>
          <w:szCs w:val="19"/>
        </w:rPr>
        <w:lastRenderedPageBreak/>
        <w:t xml:space="preserve">Największy udział w kosztach zakupu usług obcych ogółem stanowiły usługi transportowe i gospodarka </w:t>
      </w:r>
      <w:r w:rsidR="002025A5">
        <w:rPr>
          <w:szCs w:val="19"/>
        </w:rPr>
        <w:t xml:space="preserve">magazynowa </w:t>
      </w:r>
      <w:r w:rsidR="004C1BB1">
        <w:rPr>
          <w:szCs w:val="19"/>
        </w:rPr>
        <w:t>(23,3%; wzrost o 3,5 p. proc. w porównaniu z 2015 r.), pozostałe usługi (18,8%; spadek o 3,6 p. proc.) oraz pozostałe usługi związane z obsługą działalności gospodarczej (13,0%; wzrost o 1,9 p. proc.).</w:t>
      </w:r>
    </w:p>
    <w:p w:rsidRPr="00A47ACD" w:rsidR="00DC28B7" w:rsidP="00AE4565" w:rsidRDefault="004C1BB1" w14:paraId="542A33C1" w14:textId="7FF31AF7">
      <w:pPr>
        <w:spacing w:after="0"/>
        <w:ind w:left="851" w:hanging="851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</w:rPr>
        <w:t xml:space="preserve">Wykres </w:t>
      </w:r>
      <w:r w:rsidR="00A47ACD">
        <w:rPr>
          <w:b/>
          <w:sz w:val="18"/>
          <w:szCs w:val="18"/>
        </w:rPr>
        <w:t>2</w:t>
      </w:r>
      <w:r w:rsidRPr="00191D1C">
        <w:rPr>
          <w:b/>
          <w:sz w:val="18"/>
          <w:szCs w:val="18"/>
        </w:rPr>
        <w:t>.</w:t>
      </w:r>
      <w:r w:rsidRPr="00191D1C">
        <w:rPr>
          <w:b/>
          <w:sz w:val="18"/>
          <w:szCs w:val="18"/>
          <w:shd w:val="clear" w:color="auto" w:fill="FFFFFF"/>
        </w:rPr>
        <w:t xml:space="preserve"> </w:t>
      </w:r>
      <w:r w:rsidR="00507BB3">
        <w:rPr>
          <w:b/>
          <w:sz w:val="18"/>
          <w:szCs w:val="18"/>
          <w:shd w:val="clear" w:color="auto" w:fill="FFFFFF"/>
        </w:rPr>
        <w:t>Udział</w:t>
      </w:r>
      <w:r w:rsidR="00AE4565">
        <w:rPr>
          <w:b/>
          <w:sz w:val="18"/>
          <w:szCs w:val="18"/>
          <w:shd w:val="clear" w:color="auto" w:fill="FFFFFF"/>
        </w:rPr>
        <w:t xml:space="preserve"> poszczególnych rodzajów usług w usługach obcych ogółem </w:t>
      </w:r>
      <w:r w:rsidRPr="00191D1C">
        <w:rPr>
          <w:b/>
          <w:sz w:val="18"/>
          <w:szCs w:val="18"/>
          <w:shd w:val="clear" w:color="auto" w:fill="FFFFFF"/>
        </w:rPr>
        <w:t xml:space="preserve">zakupionych przez </w:t>
      </w:r>
      <w:r w:rsidR="00507BB3">
        <w:rPr>
          <w:b/>
          <w:sz w:val="18"/>
          <w:szCs w:val="18"/>
          <w:shd w:val="clear" w:color="auto" w:fill="FFFFFF"/>
        </w:rPr>
        <w:t xml:space="preserve">badane </w:t>
      </w:r>
      <w:r w:rsidRPr="00191D1C">
        <w:rPr>
          <w:b/>
          <w:sz w:val="18"/>
          <w:szCs w:val="18"/>
          <w:shd w:val="clear" w:color="auto" w:fill="FFFFFF"/>
        </w:rPr>
        <w:t>przedsiębiorstwa</w:t>
      </w:r>
      <w:r w:rsidRPr="003A0DEF" w:rsidR="003A0DEF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Pr="003A0DEF" w:rsidR="003A0DEF">
        <w:rPr>
          <w:b/>
          <w:sz w:val="18"/>
          <w:szCs w:val="18"/>
          <w:shd w:val="clear" w:color="auto" w:fill="FFFFFF"/>
          <w:vertAlign w:val="superscript"/>
        </w:rPr>
        <w:instrText xml:space="preserve"> NOTEREF _Ref109282962 \h </w:instrText>
      </w:r>
      <w:r w:rsidR="003A0DEF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Pr="003A0DEF" w:rsidR="003A0DEF">
        <w:rPr>
          <w:b/>
          <w:sz w:val="18"/>
          <w:szCs w:val="18"/>
          <w:shd w:val="clear" w:color="auto" w:fill="FFFFFF"/>
          <w:vertAlign w:val="superscript"/>
        </w:rPr>
      </w:r>
      <w:r w:rsidRPr="003A0DEF" w:rsidR="003A0DEF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95603A">
        <w:rPr>
          <w:b/>
          <w:sz w:val="18"/>
          <w:szCs w:val="18"/>
          <w:shd w:val="clear" w:color="auto" w:fill="FFFFFF"/>
          <w:vertAlign w:val="superscript"/>
        </w:rPr>
        <w:t>1</w:t>
      </w:r>
      <w:r w:rsidRPr="003A0DEF" w:rsidR="003A0DEF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Pr="00191D1C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 xml:space="preserve">w </w:t>
      </w:r>
      <w:r w:rsidR="00934690">
        <w:rPr>
          <w:b/>
          <w:sz w:val="18"/>
          <w:szCs w:val="18"/>
          <w:shd w:val="clear" w:color="auto" w:fill="FFFFFF"/>
        </w:rPr>
        <w:t>latach 2015 i 2020</w:t>
      </w:r>
    </w:p>
    <w:p w:rsidR="00DB4F5B" w:rsidP="00AE0C37" w:rsidRDefault="00DB4F5B" w14:paraId="22FD2658" w14:textId="19694065">
      <w:pPr>
        <w:pStyle w:val="Nagwek1"/>
        <w:rPr>
          <w:rFonts w:ascii="Fira Sans" w:hAnsi="Fira Sans"/>
          <w:b/>
          <w:szCs w:val="19"/>
        </w:rPr>
      </w:pPr>
      <w:r>
        <w:rPr>
          <w:b/>
          <w:noProof/>
          <w:sz w:val="18"/>
          <w:szCs w:val="18"/>
          <w:shd w:val="clear" w:color="auto" w:fill="FFFFFF"/>
        </w:rPr>
        <w:drawing>
          <wp:inline distT="0" distB="0" distL="0" distR="0" wp14:anchorId="75D8260D" wp14:editId="29BEAF1C">
            <wp:extent cx="5088255" cy="7934325"/>
            <wp:effectExtent l="0" t="0" r="0" b="0"/>
            <wp:docPr id="20" name="Wykres 20" descr="Wykres 2 przedstawiający strukturę usług obcych zakupionych przez przedsiębiorstwa w 2020 roku" title="Wykres 2. Struktura usług obcych zakupionych przez przedsiębiorstwa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5465E" w:rsidP="0055465E" w:rsidRDefault="0055465E" w14:paraId="64FB223E" w14:textId="540207D0">
      <w:pPr>
        <w:rPr>
          <w:noProof/>
          <w:sz w:val="18"/>
          <w:szCs w:val="18"/>
          <w:lang w:eastAsia="pl-PL"/>
        </w:rPr>
      </w:pPr>
      <w:r w:rsidRPr="00E109CD">
        <w:rPr>
          <w:noProof/>
          <w:sz w:val="18"/>
          <w:szCs w:val="18"/>
          <w:lang w:eastAsia="pl-PL"/>
        </w:rPr>
        <w:t xml:space="preserve">u. </w:t>
      </w:r>
      <w:r w:rsidR="008E7817">
        <w:rPr>
          <w:noProof/>
          <w:sz w:val="18"/>
          <w:szCs w:val="18"/>
          <w:lang w:eastAsia="pl-PL"/>
        </w:rPr>
        <w:t>–</w:t>
      </w:r>
      <w:r w:rsidRPr="00E109CD">
        <w:rPr>
          <w:noProof/>
          <w:sz w:val="18"/>
          <w:szCs w:val="18"/>
          <w:lang w:eastAsia="pl-PL"/>
        </w:rPr>
        <w:t xml:space="preserve"> usługi</w:t>
      </w:r>
    </w:p>
    <w:p w:rsidR="00954B57" w:rsidP="002F3CFA" w:rsidRDefault="002575FE" w14:paraId="4426911A" w14:textId="13923BDB">
      <w:pPr>
        <w:spacing w:line="288" w:lineRule="auto"/>
        <w:rPr>
          <w:noProof/>
          <w:lang w:eastAsia="pl-PL"/>
        </w:rPr>
      </w:pPr>
      <w:r>
        <w:rPr>
          <w:noProof/>
          <w:lang w:eastAsia="pl-PL"/>
        </w:rPr>
        <w:lastRenderedPageBreak/>
        <w:t>W przypadku 60,1% podmiotów</w:t>
      </w:r>
      <w:r w:rsidRPr="003A0DEF" w:rsidR="003A0DEF">
        <w:rPr>
          <w:noProof/>
          <w:vertAlign w:val="superscript"/>
          <w:lang w:eastAsia="pl-PL"/>
        </w:rPr>
        <w:fldChar w:fldCharType="begin"/>
      </w:r>
      <w:r w:rsidRPr="003A0DEF" w:rsidR="003A0DEF">
        <w:rPr>
          <w:noProof/>
          <w:vertAlign w:val="superscript"/>
          <w:lang w:eastAsia="pl-PL"/>
        </w:rPr>
        <w:instrText xml:space="preserve"> NOTEREF _Ref109282962 \h </w:instrText>
      </w:r>
      <w:r w:rsidR="003A0DEF">
        <w:rPr>
          <w:noProof/>
          <w:vertAlign w:val="superscript"/>
          <w:lang w:eastAsia="pl-PL"/>
        </w:rPr>
        <w:instrText xml:space="preserve"> \* MERGEFORMAT </w:instrText>
      </w:r>
      <w:r w:rsidRPr="003A0DEF" w:rsidR="003A0DEF">
        <w:rPr>
          <w:noProof/>
          <w:vertAlign w:val="superscript"/>
          <w:lang w:eastAsia="pl-PL"/>
        </w:rPr>
      </w:r>
      <w:r w:rsidRPr="003A0DEF" w:rsidR="003A0DEF">
        <w:rPr>
          <w:noProof/>
          <w:vertAlign w:val="superscript"/>
          <w:lang w:eastAsia="pl-PL"/>
        </w:rPr>
        <w:fldChar w:fldCharType="separate"/>
      </w:r>
      <w:r w:rsidR="0095603A">
        <w:rPr>
          <w:noProof/>
          <w:vertAlign w:val="superscript"/>
          <w:lang w:eastAsia="pl-PL"/>
        </w:rPr>
        <w:t>1</w:t>
      </w:r>
      <w:r w:rsidRPr="003A0DEF" w:rsidR="003A0DEF">
        <w:rPr>
          <w:noProof/>
          <w:vertAlign w:val="superscript"/>
          <w:lang w:eastAsia="pl-PL"/>
        </w:rPr>
        <w:fldChar w:fldCharType="end"/>
      </w:r>
      <w:r>
        <w:rPr>
          <w:noProof/>
          <w:lang w:eastAsia="pl-PL"/>
        </w:rPr>
        <w:t xml:space="preserve"> (wzrost o 6,7 p. proc. w porównaniu z 2015 r.) usługi nabyto od obcego przedsiębiorstwa na podstawie stałej umowy, natomiast 24,8% (spadek o 5,2 p. proc.) - od obcego kontrahenta na podstawie jednorazowego zlecenia. Podmioty, które pozyskały usługi wewnąt</w:t>
      </w:r>
      <w:r w:rsidR="00321005">
        <w:rPr>
          <w:noProof/>
          <w:lang w:eastAsia="pl-PL"/>
        </w:rPr>
        <w:t>rz przedsiębiorstwa stanowiły 10,2</w:t>
      </w:r>
      <w:r>
        <w:rPr>
          <w:noProof/>
          <w:lang w:eastAsia="pl-PL"/>
        </w:rPr>
        <w:t xml:space="preserve">% </w:t>
      </w:r>
      <w:r w:rsidR="003D76BC">
        <w:rPr>
          <w:noProof/>
          <w:lang w:eastAsia="pl-PL"/>
        </w:rPr>
        <w:t xml:space="preserve">wszystkich podmiotów </w:t>
      </w:r>
      <w:r w:rsidR="00321005">
        <w:rPr>
          <w:noProof/>
          <w:lang w:eastAsia="pl-PL"/>
        </w:rPr>
        <w:t>(spadek o 2,1 p. proc.), a 4,9</w:t>
      </w:r>
      <w:r>
        <w:rPr>
          <w:noProof/>
          <w:lang w:eastAsia="pl-PL"/>
        </w:rPr>
        <w:t>% (wzrost o 0,6 p. proc.) - w ramach grupy przedsiębiorstw.</w:t>
      </w:r>
    </w:p>
    <w:p w:rsidR="003C0ADB" w:rsidP="002F3CFA" w:rsidRDefault="003C0ADB" w14:paraId="70EC6588" w14:textId="5C82316F">
      <w:pPr>
        <w:spacing w:line="288" w:lineRule="auto"/>
        <w:rPr>
          <w:noProof/>
          <w:lang w:eastAsia="pl-PL"/>
        </w:rPr>
      </w:pPr>
      <w:r>
        <w:rPr>
          <w:noProof/>
          <w:lang w:eastAsia="pl-PL"/>
        </w:rPr>
        <w:t>W 2020 r. podmioty</w:t>
      </w:r>
      <w:r w:rsidRPr="003A0DEF" w:rsidR="003A0DEF">
        <w:rPr>
          <w:noProof/>
          <w:vertAlign w:val="superscript"/>
          <w:lang w:eastAsia="pl-PL"/>
        </w:rPr>
        <w:fldChar w:fldCharType="begin"/>
      </w:r>
      <w:r w:rsidRPr="003A0DEF" w:rsidR="003A0DEF">
        <w:rPr>
          <w:noProof/>
          <w:vertAlign w:val="superscript"/>
          <w:lang w:eastAsia="pl-PL"/>
        </w:rPr>
        <w:instrText xml:space="preserve"> NOTEREF _Ref109282962 \h </w:instrText>
      </w:r>
      <w:r w:rsidR="003A0DEF">
        <w:rPr>
          <w:noProof/>
          <w:vertAlign w:val="superscript"/>
          <w:lang w:eastAsia="pl-PL"/>
        </w:rPr>
        <w:instrText xml:space="preserve"> \* MERGEFORMAT </w:instrText>
      </w:r>
      <w:r w:rsidRPr="003A0DEF" w:rsidR="003A0DEF">
        <w:rPr>
          <w:noProof/>
          <w:vertAlign w:val="superscript"/>
          <w:lang w:eastAsia="pl-PL"/>
        </w:rPr>
      </w:r>
      <w:r w:rsidRPr="003A0DEF" w:rsidR="003A0DEF">
        <w:rPr>
          <w:noProof/>
          <w:vertAlign w:val="superscript"/>
          <w:lang w:eastAsia="pl-PL"/>
        </w:rPr>
        <w:fldChar w:fldCharType="separate"/>
      </w:r>
      <w:r w:rsidR="0095603A">
        <w:rPr>
          <w:noProof/>
          <w:vertAlign w:val="superscript"/>
          <w:lang w:eastAsia="pl-PL"/>
        </w:rPr>
        <w:t>1</w:t>
      </w:r>
      <w:r w:rsidRPr="003A0DEF" w:rsidR="003A0DEF">
        <w:rPr>
          <w:noProof/>
          <w:vertAlign w:val="superscript"/>
          <w:lang w:eastAsia="pl-PL"/>
        </w:rPr>
        <w:fldChar w:fldCharType="end"/>
      </w:r>
      <w:r>
        <w:rPr>
          <w:noProof/>
          <w:lang w:eastAsia="pl-PL"/>
        </w:rPr>
        <w:t xml:space="preserve"> z liczbą pracujących 50 osób i więcej naby</w:t>
      </w:r>
      <w:r w:rsidR="00CB2EC5">
        <w:rPr>
          <w:noProof/>
          <w:lang w:eastAsia="pl-PL"/>
        </w:rPr>
        <w:t>wa</w:t>
      </w:r>
      <w:r>
        <w:rPr>
          <w:noProof/>
          <w:lang w:eastAsia="pl-PL"/>
        </w:rPr>
        <w:t xml:space="preserve">ły usługi obce </w:t>
      </w:r>
      <w:r w:rsidR="00CB2EC5">
        <w:rPr>
          <w:noProof/>
          <w:lang w:eastAsia="pl-PL"/>
        </w:rPr>
        <w:t xml:space="preserve">głównie </w:t>
      </w:r>
      <w:r>
        <w:rPr>
          <w:noProof/>
          <w:lang w:eastAsia="pl-PL"/>
        </w:rPr>
        <w:t xml:space="preserve">od kontrahentów krajowych zlokalizowanych na terenie tego samego województwa (58,1%; spadek o 2,9 p. proc. w porównaniu do 2015 r.), a w przypadku 35,4% (wzrost o 2,1 p. proc.) - były to podmioty mające swoją siedzibę w kraju, ale na terenie innego województwa. Znacznie mniejsze zainteresowanie podmioty wykazały zakupem </w:t>
      </w:r>
      <w:r w:rsidR="00321005">
        <w:rPr>
          <w:noProof/>
          <w:lang w:eastAsia="pl-PL"/>
        </w:rPr>
        <w:t>usług poza granicami kraju – 5,6</w:t>
      </w:r>
      <w:r>
        <w:rPr>
          <w:noProof/>
          <w:lang w:eastAsia="pl-PL"/>
        </w:rPr>
        <w:t>% nabytych usług pochodziło z kra</w:t>
      </w:r>
      <w:bookmarkStart w:name="_GoBack" w:id="2"/>
      <w:bookmarkEnd w:id="2"/>
      <w:r>
        <w:rPr>
          <w:noProof/>
          <w:lang w:eastAsia="pl-PL"/>
        </w:rPr>
        <w:t>jów Unii Europejskiej</w:t>
      </w:r>
      <w:r w:rsidR="00CB2EC5">
        <w:rPr>
          <w:noProof/>
          <w:lang w:eastAsia="pl-PL"/>
        </w:rPr>
        <w:t xml:space="preserve"> (wzrost o 0,6 p. proc.)</w:t>
      </w:r>
      <w:r w:rsidR="00321005">
        <w:rPr>
          <w:noProof/>
          <w:lang w:eastAsia="pl-PL"/>
        </w:rPr>
        <w:t>, a tylko 0,9</w:t>
      </w:r>
      <w:r>
        <w:rPr>
          <w:noProof/>
          <w:lang w:eastAsia="pl-PL"/>
        </w:rPr>
        <w:t>% (wzrost o 0,2 p. proc.) spoza Unii Europejskiej.</w:t>
      </w:r>
    </w:p>
    <w:p w:rsidR="009B1F9D" w:rsidP="002F3CFA" w:rsidRDefault="00CB2EC5" w14:paraId="0737E392" w14:textId="1D1ED3A7">
      <w:pPr>
        <w:spacing w:line="288" w:lineRule="auto"/>
        <w:rPr>
          <w:noProof/>
          <w:lang w:eastAsia="pl-PL"/>
        </w:rPr>
      </w:pPr>
      <w:r>
        <w:rPr>
          <w:noProof/>
          <w:lang w:eastAsia="pl-PL"/>
        </w:rPr>
        <w:t>Ponad połowa badanych podmiotów</w:t>
      </w:r>
      <w:r w:rsidRPr="003A0DEF" w:rsidR="003A0DEF">
        <w:rPr>
          <w:noProof/>
          <w:vertAlign w:val="superscript"/>
          <w:lang w:eastAsia="pl-PL"/>
        </w:rPr>
        <w:fldChar w:fldCharType="begin"/>
      </w:r>
      <w:r w:rsidRPr="003A0DEF" w:rsidR="003A0DEF">
        <w:rPr>
          <w:noProof/>
          <w:vertAlign w:val="superscript"/>
          <w:lang w:eastAsia="pl-PL"/>
        </w:rPr>
        <w:instrText xml:space="preserve"> NOTEREF _Ref109282962 \h </w:instrText>
      </w:r>
      <w:r w:rsidR="003A0DEF">
        <w:rPr>
          <w:noProof/>
          <w:vertAlign w:val="superscript"/>
          <w:lang w:eastAsia="pl-PL"/>
        </w:rPr>
        <w:instrText xml:space="preserve"> \* MERGEFORMAT </w:instrText>
      </w:r>
      <w:r w:rsidRPr="003A0DEF" w:rsidR="003A0DEF">
        <w:rPr>
          <w:noProof/>
          <w:vertAlign w:val="superscript"/>
          <w:lang w:eastAsia="pl-PL"/>
        </w:rPr>
      </w:r>
      <w:r w:rsidRPr="003A0DEF" w:rsidR="003A0DEF">
        <w:rPr>
          <w:noProof/>
          <w:vertAlign w:val="superscript"/>
          <w:lang w:eastAsia="pl-PL"/>
        </w:rPr>
        <w:fldChar w:fldCharType="separate"/>
      </w:r>
      <w:r w:rsidR="0095603A">
        <w:rPr>
          <w:noProof/>
          <w:vertAlign w:val="superscript"/>
          <w:lang w:eastAsia="pl-PL"/>
        </w:rPr>
        <w:t>1</w:t>
      </w:r>
      <w:r w:rsidRPr="003A0DEF" w:rsidR="003A0DEF">
        <w:rPr>
          <w:noProof/>
          <w:vertAlign w:val="superscript"/>
          <w:lang w:eastAsia="pl-PL"/>
        </w:rPr>
        <w:fldChar w:fldCharType="end"/>
      </w:r>
      <w:r w:rsidR="009B1F9D">
        <w:rPr>
          <w:noProof/>
          <w:lang w:eastAsia="pl-PL"/>
        </w:rPr>
        <w:t xml:space="preserve"> (55,4%; w stosunku do 2015 r. wzrost o 4,8 p. proc.) nie </w:t>
      </w:r>
      <w:r w:rsidR="003850C7">
        <w:rPr>
          <w:noProof/>
          <w:lang w:eastAsia="pl-PL"/>
        </w:rPr>
        <w:t xml:space="preserve">zadeklarowała występowania </w:t>
      </w:r>
      <w:r w:rsidR="009B1F9D">
        <w:rPr>
          <w:noProof/>
          <w:lang w:eastAsia="pl-PL"/>
        </w:rPr>
        <w:t>barier związanych z zakupem usług od nierezydentów</w:t>
      </w:r>
      <w:bookmarkStart w:name="_Ref126747290" w:id="3"/>
      <w:r w:rsidR="009B1F9D">
        <w:rPr>
          <w:rStyle w:val="Odwoanieprzypisudolnego"/>
          <w:noProof/>
          <w:lang w:eastAsia="pl-PL"/>
        </w:rPr>
        <w:footnoteReference w:id="3"/>
      </w:r>
      <w:bookmarkEnd w:id="3"/>
      <w:r w:rsidR="009B1F9D">
        <w:rPr>
          <w:noProof/>
          <w:lang w:eastAsia="pl-PL"/>
        </w:rPr>
        <w:t>. Lokalizacja dostawcy usług stanowiła trudność w outsourcingu usług dla 13,1% podmiotów (spadek o 2,4 p. proc.), natomiast 9,4% przedsiębiorstw (spadek o 1,3 p. proc.) wskazało na bariery ekonomiczne tj. wyższe koszty usług nabywanych u dostawców zagranicznych.</w:t>
      </w:r>
    </w:p>
    <w:p w:rsidRPr="00003BA7" w:rsidR="00DB4F5B" w:rsidP="00003BA7" w:rsidRDefault="009B1F9D" w14:paraId="64B4D15D" w14:textId="1D29DB45">
      <w:pPr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</w:rPr>
        <w:t>Wykres 3</w:t>
      </w:r>
      <w:r w:rsidRPr="00191D1C">
        <w:rPr>
          <w:b/>
          <w:sz w:val="18"/>
          <w:szCs w:val="18"/>
        </w:rPr>
        <w:t>.</w:t>
      </w:r>
      <w:r>
        <w:rPr>
          <w:b/>
          <w:sz w:val="18"/>
          <w:szCs w:val="18"/>
          <w:shd w:val="clear" w:color="auto" w:fill="FFFFFF"/>
        </w:rPr>
        <w:t xml:space="preserve"> Bariery zakupu </w:t>
      </w:r>
      <w:r w:rsidRPr="00191D1C">
        <w:rPr>
          <w:b/>
          <w:sz w:val="18"/>
          <w:szCs w:val="18"/>
          <w:shd w:val="clear" w:color="auto" w:fill="FFFFFF"/>
        </w:rPr>
        <w:t xml:space="preserve">usług obcych </w:t>
      </w:r>
      <w:r>
        <w:rPr>
          <w:b/>
          <w:sz w:val="18"/>
          <w:szCs w:val="18"/>
          <w:shd w:val="clear" w:color="auto" w:fill="FFFFFF"/>
        </w:rPr>
        <w:t>od nierezydentów</w:t>
      </w:r>
      <w:r w:rsidRPr="003850C7" w:rsidR="003850C7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Pr="003850C7" w:rsidR="003850C7">
        <w:rPr>
          <w:b/>
          <w:sz w:val="18"/>
          <w:szCs w:val="18"/>
          <w:shd w:val="clear" w:color="auto" w:fill="FFFFFF"/>
          <w:vertAlign w:val="superscript"/>
        </w:rPr>
        <w:instrText xml:space="preserve"> NOTEREF _Ref126747290 \h </w:instrText>
      </w:r>
      <w:r w:rsidRPr="003850C7" w:rsidR="003850C7">
        <w:rPr>
          <w:b/>
          <w:sz w:val="18"/>
          <w:szCs w:val="18"/>
          <w:shd w:val="clear" w:color="auto" w:fill="FFFFFF"/>
          <w:vertAlign w:val="superscript"/>
        </w:rPr>
      </w:r>
      <w:r w:rsidR="003850C7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Pr="003850C7" w:rsidR="003850C7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95603A">
        <w:rPr>
          <w:b/>
          <w:sz w:val="18"/>
          <w:szCs w:val="18"/>
          <w:shd w:val="clear" w:color="auto" w:fill="FFFFFF"/>
          <w:vertAlign w:val="superscript"/>
        </w:rPr>
        <w:t>3</w:t>
      </w:r>
      <w:r w:rsidRPr="003850C7" w:rsidR="003850C7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>
        <w:rPr>
          <w:b/>
          <w:sz w:val="18"/>
          <w:szCs w:val="18"/>
          <w:shd w:val="clear" w:color="auto" w:fill="FFFFFF"/>
        </w:rPr>
        <w:t xml:space="preserve"> </w:t>
      </w:r>
      <w:r w:rsidRPr="00191D1C">
        <w:rPr>
          <w:b/>
          <w:sz w:val="18"/>
          <w:szCs w:val="18"/>
          <w:shd w:val="clear" w:color="auto" w:fill="FFFFFF"/>
        </w:rPr>
        <w:t xml:space="preserve">w </w:t>
      </w:r>
      <w:r w:rsidR="00934690">
        <w:rPr>
          <w:b/>
          <w:sz w:val="18"/>
          <w:szCs w:val="18"/>
          <w:shd w:val="clear" w:color="auto" w:fill="FFFFFF"/>
        </w:rPr>
        <w:t>latach 2015 i 2020</w:t>
      </w:r>
    </w:p>
    <w:p w:rsidR="00DB4F5B" w:rsidP="00AE0C37" w:rsidRDefault="00003BA7" w14:paraId="07D0BCFF" w14:textId="3C943AF9">
      <w:pPr>
        <w:pStyle w:val="Nagwek1"/>
        <w:rPr>
          <w:rFonts w:ascii="Fira Sans" w:hAnsi="Fira Sans"/>
          <w:b/>
          <w:szCs w:val="19"/>
        </w:rPr>
      </w:pPr>
      <w:r>
        <w:rPr>
          <w:noProof/>
        </w:rPr>
        <w:drawing>
          <wp:inline distT="0" distB="0" distL="0" distR="0" wp14:anchorId="1DA7466A" wp14:editId="2FC333CC">
            <wp:extent cx="5088255" cy="3252084"/>
            <wp:effectExtent l="0" t="0" r="0" b="5715"/>
            <wp:docPr id="3" name="Wykres 3" descr="Wykres 3 przedstawiający bariery zakupu usług obcych od nierezydentów w 2020 roku" title="Wykres 3 Bariery zakupu usług obcych od nierezydentów w 2020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75A17" w:rsidP="002F3CFA" w:rsidRDefault="00375A17" w14:paraId="777C4B08" w14:textId="65E5BFB0">
      <w:pPr>
        <w:spacing w:line="288" w:lineRule="auto"/>
        <w:rPr>
          <w:noProof/>
          <w:lang w:eastAsia="pl-PL"/>
        </w:rPr>
      </w:pPr>
      <w:r>
        <w:rPr>
          <w:noProof/>
          <w:lang w:eastAsia="pl-PL"/>
        </w:rPr>
        <w:t>W 2020 r. 68,5% podmiotów</w:t>
      </w:r>
      <w:r w:rsidRPr="003A0DEF" w:rsidR="003A0DEF">
        <w:rPr>
          <w:noProof/>
          <w:vertAlign w:val="superscript"/>
          <w:lang w:eastAsia="pl-PL"/>
        </w:rPr>
        <w:fldChar w:fldCharType="begin"/>
      </w:r>
      <w:r w:rsidRPr="003A0DEF" w:rsidR="003A0DEF">
        <w:rPr>
          <w:noProof/>
          <w:vertAlign w:val="superscript"/>
          <w:lang w:eastAsia="pl-PL"/>
        </w:rPr>
        <w:instrText xml:space="preserve"> NOTEREF _Ref109282962 \h </w:instrText>
      </w:r>
      <w:r w:rsidR="003A0DEF">
        <w:rPr>
          <w:noProof/>
          <w:vertAlign w:val="superscript"/>
          <w:lang w:eastAsia="pl-PL"/>
        </w:rPr>
        <w:instrText xml:space="preserve"> \* MERGEFORMAT </w:instrText>
      </w:r>
      <w:r w:rsidRPr="003A0DEF" w:rsidR="003A0DEF">
        <w:rPr>
          <w:noProof/>
          <w:vertAlign w:val="superscript"/>
          <w:lang w:eastAsia="pl-PL"/>
        </w:rPr>
      </w:r>
      <w:r w:rsidRPr="003A0DEF" w:rsidR="003A0DEF">
        <w:rPr>
          <w:noProof/>
          <w:vertAlign w:val="superscript"/>
          <w:lang w:eastAsia="pl-PL"/>
        </w:rPr>
        <w:fldChar w:fldCharType="separate"/>
      </w:r>
      <w:r w:rsidR="0095603A">
        <w:rPr>
          <w:noProof/>
          <w:vertAlign w:val="superscript"/>
          <w:lang w:eastAsia="pl-PL"/>
        </w:rPr>
        <w:t>1</w:t>
      </w:r>
      <w:r w:rsidRPr="003A0DEF" w:rsidR="003A0DEF">
        <w:rPr>
          <w:noProof/>
          <w:vertAlign w:val="superscript"/>
          <w:lang w:eastAsia="pl-PL"/>
        </w:rPr>
        <w:fldChar w:fldCharType="end"/>
      </w:r>
      <w:r>
        <w:rPr>
          <w:noProof/>
          <w:lang w:eastAsia="pl-PL"/>
        </w:rPr>
        <w:t xml:space="preserve"> (wzrost o 1,7 p. proc.) zadeklar</w:t>
      </w:r>
      <w:r w:rsidR="00CB2EC5">
        <w:rPr>
          <w:noProof/>
          <w:lang w:eastAsia="pl-PL"/>
        </w:rPr>
        <w:t>owało pozostawienie outsourcingu</w:t>
      </w:r>
      <w:r>
        <w:rPr>
          <w:noProof/>
          <w:lang w:eastAsia="pl-PL"/>
        </w:rPr>
        <w:t xml:space="preserve"> usług na obecnym poziomie w ciągu kolejnych dwóch lat. Zwiększenie zakupu usług obcych planowało 26,8% (wzrost o 1,8 p. proc.) podmiotów, natomiast zmniejszenie – 4,7% (spadek o 3,5 p. proc. w porównaniu z 2015 r.).</w:t>
      </w:r>
    </w:p>
    <w:p w:rsidR="00951554" w:rsidP="00AE0C37" w:rsidRDefault="00AE0C37" w14:paraId="329253EB" w14:textId="0EC8E961">
      <w:pPr>
        <w:pStyle w:val="Nagwek1"/>
        <w:rPr>
          <w:rFonts w:ascii="Fira Sans" w:hAnsi="Fira Sans"/>
          <w:b/>
          <w:szCs w:val="19"/>
        </w:rPr>
      </w:pPr>
      <w:r w:rsidRPr="00EF25F9">
        <w:rPr>
          <w:rFonts w:ascii="Fira Sans" w:hAnsi="Fira Sans"/>
          <w:b/>
          <w:szCs w:val="19"/>
        </w:rPr>
        <w:lastRenderedPageBreak/>
        <w:t>Nota metodologiczna</w:t>
      </w:r>
    </w:p>
    <w:p w:rsidRPr="00703736" w:rsidR="00AE0C37" w:rsidP="002F3CFA" w:rsidRDefault="00AE0C37" w14:paraId="0AA26DDC" w14:textId="2B61422D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Źródłem danych dotyczących zapotrzebowania przedsiębiorstw na wybrane rodzaje usług, kierunków pozyskiwania usług (kraj/zagranica), barier uniemożliwiających ich nabywanie oraz planów przedsiębiorstw w zakresie pozyskiwania usług były wyniki badania „Popyt na usługi” za 2020 r. </w:t>
      </w:r>
      <w:r w:rsidR="0042589E">
        <w:rPr>
          <w:szCs w:val="19"/>
          <w:shd w:val="clear" w:color="auto" w:fill="FFFFFF"/>
        </w:rPr>
        <w:t xml:space="preserve">Zgodnie z </w:t>
      </w:r>
      <w:r w:rsidRPr="0042589E" w:rsidR="0042589E">
        <w:rPr>
          <w:szCs w:val="19"/>
          <w:shd w:val="clear" w:color="auto" w:fill="FFFFFF"/>
        </w:rPr>
        <w:t>Program</w:t>
      </w:r>
      <w:r w:rsidR="0042589E">
        <w:rPr>
          <w:szCs w:val="19"/>
          <w:shd w:val="clear" w:color="auto" w:fill="FFFFFF"/>
        </w:rPr>
        <w:t>em</w:t>
      </w:r>
      <w:r w:rsidRPr="0042589E" w:rsidR="0042589E">
        <w:rPr>
          <w:szCs w:val="19"/>
          <w:shd w:val="clear" w:color="auto" w:fill="FFFFFF"/>
        </w:rPr>
        <w:t xml:space="preserve"> badań statystycznych</w:t>
      </w:r>
      <w:r w:rsidR="0042589E">
        <w:rPr>
          <w:szCs w:val="19"/>
          <w:shd w:val="clear" w:color="auto" w:fill="FFFFFF"/>
        </w:rPr>
        <w:t xml:space="preserve"> </w:t>
      </w:r>
      <w:r w:rsidRPr="0042589E" w:rsidR="0042589E">
        <w:rPr>
          <w:szCs w:val="19"/>
          <w:shd w:val="clear" w:color="auto" w:fill="FFFFFF"/>
        </w:rPr>
        <w:t>statystyki publicznej</w:t>
      </w:r>
      <w:r w:rsidR="00B4516D">
        <w:rPr>
          <w:szCs w:val="19"/>
          <w:shd w:val="clear" w:color="auto" w:fill="FFFFFF"/>
        </w:rPr>
        <w:t xml:space="preserve"> (PBSSP)</w:t>
      </w:r>
      <w:r w:rsidR="0042589E">
        <w:rPr>
          <w:szCs w:val="19"/>
          <w:shd w:val="clear" w:color="auto" w:fill="FFFFFF"/>
        </w:rPr>
        <w:t xml:space="preserve"> badanie jest realizowane co 5 lat. </w:t>
      </w:r>
      <w:r>
        <w:rPr>
          <w:szCs w:val="19"/>
          <w:shd w:val="clear" w:color="auto" w:fill="FFFFFF"/>
        </w:rPr>
        <w:t>Zakres podmiotowy badania dotyczy podmiotów gospodarki narodowej z liczbą pracujących 50 osób i więcej prowadzących działalność gospodarczą zaklasyfikowaną według P</w:t>
      </w:r>
      <w:r w:rsidR="00CB2EC5">
        <w:rPr>
          <w:szCs w:val="19"/>
          <w:shd w:val="clear" w:color="auto" w:fill="FFFFFF"/>
        </w:rPr>
        <w:t xml:space="preserve">olskiej </w:t>
      </w:r>
      <w:r>
        <w:rPr>
          <w:szCs w:val="19"/>
          <w:shd w:val="clear" w:color="auto" w:fill="FFFFFF"/>
        </w:rPr>
        <w:t>K</w:t>
      </w:r>
      <w:r w:rsidR="00CB2EC5">
        <w:rPr>
          <w:szCs w:val="19"/>
          <w:shd w:val="clear" w:color="auto" w:fill="FFFFFF"/>
        </w:rPr>
        <w:t xml:space="preserve">lasyfikacji </w:t>
      </w:r>
      <w:r>
        <w:rPr>
          <w:szCs w:val="19"/>
          <w:shd w:val="clear" w:color="auto" w:fill="FFFFFF"/>
        </w:rPr>
        <w:t>D</w:t>
      </w:r>
      <w:r w:rsidR="00CB2EC5">
        <w:rPr>
          <w:szCs w:val="19"/>
          <w:shd w:val="clear" w:color="auto" w:fill="FFFFFF"/>
        </w:rPr>
        <w:t>ziałalności (PKD 2007)</w:t>
      </w:r>
      <w:r>
        <w:rPr>
          <w:szCs w:val="19"/>
          <w:shd w:val="clear" w:color="auto" w:fill="FFFFFF"/>
        </w:rPr>
        <w:t xml:space="preserve"> do sekcji: C</w:t>
      </w:r>
      <w:r w:rsidR="001C77AB">
        <w:rPr>
          <w:szCs w:val="19"/>
          <w:shd w:val="clear" w:color="auto" w:fill="FFFFFF"/>
        </w:rPr>
        <w:t xml:space="preserve"> „Przetwórstwo przemysłowe”</w:t>
      </w:r>
      <w:r>
        <w:rPr>
          <w:szCs w:val="19"/>
          <w:shd w:val="clear" w:color="auto" w:fill="FFFFFF"/>
        </w:rPr>
        <w:t>, F</w:t>
      </w:r>
      <w:r w:rsidR="001C77AB">
        <w:rPr>
          <w:szCs w:val="19"/>
          <w:shd w:val="clear" w:color="auto" w:fill="FFFFFF"/>
        </w:rPr>
        <w:t xml:space="preserve"> „Budownictwo”</w:t>
      </w:r>
      <w:r>
        <w:rPr>
          <w:szCs w:val="19"/>
          <w:shd w:val="clear" w:color="auto" w:fill="FFFFFF"/>
        </w:rPr>
        <w:t>, G</w:t>
      </w:r>
      <w:r w:rsidR="001C77AB">
        <w:rPr>
          <w:szCs w:val="19"/>
          <w:shd w:val="clear" w:color="auto" w:fill="FFFFFF"/>
        </w:rPr>
        <w:t xml:space="preserve"> „Handel hurtowy i detaliczny; naprawa pojazdów samochodowych, włączając motocykle”</w:t>
      </w:r>
      <w:r>
        <w:rPr>
          <w:szCs w:val="19"/>
          <w:shd w:val="clear" w:color="auto" w:fill="FFFFFF"/>
        </w:rPr>
        <w:t>, H</w:t>
      </w:r>
      <w:r w:rsidR="001C77AB">
        <w:rPr>
          <w:szCs w:val="19"/>
          <w:shd w:val="clear" w:color="auto" w:fill="FFFFFF"/>
        </w:rPr>
        <w:t xml:space="preserve"> „Transport i gospodarka magazynowa”</w:t>
      </w:r>
      <w:r>
        <w:rPr>
          <w:szCs w:val="19"/>
          <w:shd w:val="clear" w:color="auto" w:fill="FFFFFF"/>
        </w:rPr>
        <w:t>, I</w:t>
      </w:r>
      <w:r w:rsidR="001C77AB">
        <w:rPr>
          <w:szCs w:val="19"/>
          <w:shd w:val="clear" w:color="auto" w:fill="FFFFFF"/>
        </w:rPr>
        <w:t xml:space="preserve"> „Działalność związana z zakwaterowaniem i usługami gastronomicznymi”</w:t>
      </w:r>
      <w:r>
        <w:rPr>
          <w:szCs w:val="19"/>
          <w:shd w:val="clear" w:color="auto" w:fill="FFFFFF"/>
        </w:rPr>
        <w:t>, K</w:t>
      </w:r>
      <w:r w:rsidR="0042589E">
        <w:rPr>
          <w:szCs w:val="19"/>
          <w:shd w:val="clear" w:color="auto" w:fill="FFFFFF"/>
        </w:rPr>
        <w:t xml:space="preserve"> „Działalność finansowa i ubezpieczeniowa”</w:t>
      </w:r>
      <w:r>
        <w:rPr>
          <w:szCs w:val="19"/>
          <w:shd w:val="clear" w:color="auto" w:fill="FFFFFF"/>
        </w:rPr>
        <w:t>, L</w:t>
      </w:r>
      <w:r w:rsidR="0042589E">
        <w:rPr>
          <w:szCs w:val="19"/>
          <w:shd w:val="clear" w:color="auto" w:fill="FFFFFF"/>
        </w:rPr>
        <w:t xml:space="preserve"> „Działalność związana z obsługą rynku nieruchomości”</w:t>
      </w:r>
      <w:r>
        <w:rPr>
          <w:szCs w:val="19"/>
          <w:shd w:val="clear" w:color="auto" w:fill="FFFFFF"/>
        </w:rPr>
        <w:t>, M</w:t>
      </w:r>
      <w:r w:rsidR="0042589E">
        <w:rPr>
          <w:szCs w:val="19"/>
          <w:shd w:val="clear" w:color="auto" w:fill="FFFFFF"/>
        </w:rPr>
        <w:t xml:space="preserve"> „Działalność profesjonalna, naukowa i techniczna”</w:t>
      </w:r>
      <w:r>
        <w:rPr>
          <w:szCs w:val="19"/>
          <w:shd w:val="clear" w:color="auto" w:fill="FFFFFF"/>
        </w:rPr>
        <w:t xml:space="preserve">, N </w:t>
      </w:r>
      <w:r w:rsidR="0042589E">
        <w:rPr>
          <w:szCs w:val="19"/>
          <w:shd w:val="clear" w:color="auto" w:fill="FFFFFF"/>
        </w:rPr>
        <w:t xml:space="preserve">„Działalność w zakresie usług administrowania i działalność wspierająca” </w:t>
      </w:r>
      <w:r>
        <w:rPr>
          <w:szCs w:val="19"/>
          <w:shd w:val="clear" w:color="auto" w:fill="FFFFFF"/>
        </w:rPr>
        <w:t xml:space="preserve">oraz do </w:t>
      </w:r>
      <w:r w:rsidR="002025A5">
        <w:rPr>
          <w:szCs w:val="19"/>
          <w:shd w:val="clear" w:color="auto" w:fill="FFFFFF"/>
        </w:rPr>
        <w:t xml:space="preserve">wybranych </w:t>
      </w:r>
      <w:r>
        <w:rPr>
          <w:szCs w:val="19"/>
          <w:shd w:val="clear" w:color="auto" w:fill="FFFFFF"/>
        </w:rPr>
        <w:t>działów</w:t>
      </w:r>
      <w:r w:rsidR="002025A5">
        <w:rPr>
          <w:szCs w:val="19"/>
          <w:shd w:val="clear" w:color="auto" w:fill="FFFFFF"/>
        </w:rPr>
        <w:t xml:space="preserve"> Sekcji J</w:t>
      </w:r>
      <w:r>
        <w:rPr>
          <w:szCs w:val="19"/>
          <w:shd w:val="clear" w:color="auto" w:fill="FFFFFF"/>
        </w:rPr>
        <w:t>: 58</w:t>
      </w:r>
      <w:r w:rsidR="0042589E">
        <w:rPr>
          <w:szCs w:val="19"/>
          <w:shd w:val="clear" w:color="auto" w:fill="FFFFFF"/>
        </w:rPr>
        <w:t xml:space="preserve"> „Działalność wydawnicza”</w:t>
      </w:r>
      <w:r>
        <w:rPr>
          <w:szCs w:val="19"/>
          <w:shd w:val="clear" w:color="auto" w:fill="FFFFFF"/>
        </w:rPr>
        <w:t>, 61</w:t>
      </w:r>
      <w:r w:rsidR="0042589E">
        <w:rPr>
          <w:szCs w:val="19"/>
          <w:shd w:val="clear" w:color="auto" w:fill="FFFFFF"/>
        </w:rPr>
        <w:t xml:space="preserve"> „Telekomunikacja”</w:t>
      </w:r>
      <w:r>
        <w:rPr>
          <w:szCs w:val="19"/>
          <w:shd w:val="clear" w:color="auto" w:fill="FFFFFF"/>
        </w:rPr>
        <w:t>, 62</w:t>
      </w:r>
      <w:r w:rsidR="0042589E">
        <w:rPr>
          <w:szCs w:val="19"/>
          <w:shd w:val="clear" w:color="auto" w:fill="FFFFFF"/>
        </w:rPr>
        <w:t xml:space="preserve"> „Działalność związana z oprogramowaniem i doradztwem w zakresie informatyki oraz działalność powiązana”</w:t>
      </w:r>
      <w:r>
        <w:rPr>
          <w:szCs w:val="19"/>
          <w:shd w:val="clear" w:color="auto" w:fill="FFFFFF"/>
        </w:rPr>
        <w:t xml:space="preserve"> i 63</w:t>
      </w:r>
      <w:r w:rsidR="0042589E">
        <w:rPr>
          <w:szCs w:val="19"/>
          <w:shd w:val="clear" w:color="auto" w:fill="FFFFFF"/>
        </w:rPr>
        <w:t xml:space="preserve"> „Działalność usługowa w zakresie informacji”</w:t>
      </w:r>
      <w:r>
        <w:rPr>
          <w:szCs w:val="19"/>
          <w:shd w:val="clear" w:color="auto" w:fill="FFFFFF"/>
        </w:rPr>
        <w:t>.</w:t>
      </w:r>
      <w:r w:rsidR="0042589E">
        <w:rPr>
          <w:szCs w:val="19"/>
          <w:shd w:val="clear" w:color="auto" w:fill="FFFFFF"/>
        </w:rPr>
        <w:t xml:space="preserve"> </w:t>
      </w:r>
    </w:p>
    <w:p w:rsidRPr="00AE0C37" w:rsidR="00AE0C37" w:rsidP="00AE0C37" w:rsidRDefault="00AE0C37" w14:paraId="1D45678E" w14:textId="77777777">
      <w:pPr>
        <w:rPr>
          <w:lang w:eastAsia="pl-PL"/>
        </w:rPr>
        <w:sectPr w:rsidRPr="00AE0C37" w:rsidR="00AE0C37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 w14:paraId="196D0BDA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05DA311F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DE2400" w14:paraId="1E9B29DC" w14:textId="16E0742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381D9D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Pr="00DE2400" w:rsidR="00DE2400" w:rsidP="00991DA9" w:rsidRDefault="00DE2400" w14:paraId="41A1AE38" w14:textId="55469EF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381D9D">
              <w:rPr>
                <w:b/>
                <w:lang w:val="fi-FI"/>
              </w:rPr>
              <w:t>Ewa Adach-Stankiewicz</w:t>
            </w:r>
          </w:p>
          <w:p w:rsidRPr="00AB24E4" w:rsidR="00DE2400" w:rsidP="00B16871" w:rsidRDefault="00DE2400" w14:paraId="5425F0B4" w14:textId="5FEAA30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81D9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:rsidRPr="004A1D19" w:rsidR="00DE2400" w:rsidP="00DE2400" w:rsidRDefault="00DE2400" w14:paraId="4E8FFA16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991DA9" w:rsidRDefault="00DE2400" w14:paraId="047A0FE3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991DA9" w:rsidRDefault="00DE2400" w14:paraId="59C02E89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991DA9" w:rsidRDefault="00DE2400" w14:paraId="3CC62B04" w14:textId="77777777">
            <w:pPr>
              <w:rPr>
                <w:sz w:val="18"/>
              </w:rPr>
            </w:pPr>
          </w:p>
        </w:tc>
      </w:tr>
      <w:tr w:rsidR="00DE2400" w:rsidTr="00B84C43" w14:paraId="28647E7C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DE2400" w:rsidP="00991DA9" w:rsidRDefault="00DE2400" w14:paraId="076C640B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DE2400" w:rsidP="00991DA9" w:rsidRDefault="00DE2400" w14:paraId="6446B629" w14:textId="575B0CB9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DE2400" w:rsidP="00991DA9" w:rsidRDefault="00DE2400" w14:paraId="07C73DA1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7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P="00991DA9" w:rsidRDefault="00DE2400" w14:paraId="01941133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editId="704A9D15" wp14:anchorId="5018E5A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 w14:paraId="36A99721" w14:textId="77777777">
        <w:trPr>
          <w:trHeight w:val="418"/>
        </w:trPr>
        <w:tc>
          <w:tcPr>
            <w:tcW w:w="4926" w:type="dxa"/>
            <w:vMerge/>
          </w:tcPr>
          <w:p w:rsidRPr="00C91687" w:rsidR="00DE2400" w:rsidP="00991DA9" w:rsidRDefault="00DE2400" w14:paraId="325534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P="00991DA9" w:rsidRDefault="00531873" w14:paraId="09C3C6AD" w14:textId="1B4377E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editId="1078FD4F" wp14:anchorId="601D1D7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DE2400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 w14:paraId="549C3B1C" w14:textId="77777777">
        <w:trPr>
          <w:trHeight w:val="476"/>
        </w:trPr>
        <w:tc>
          <w:tcPr>
            <w:tcW w:w="4926" w:type="dxa"/>
            <w:vMerge/>
          </w:tcPr>
          <w:p w:rsidRPr="00C91687" w:rsidR="00DE2400" w:rsidP="00991DA9" w:rsidRDefault="00DE2400" w14:paraId="231798A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P="00991DA9" w:rsidRDefault="00531873" w14:paraId="5B472D28" w14:textId="4EA23A0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editId="200AFBDD" wp14:anchorId="171E4E2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DE2400">
              <w:rPr>
                <w:sz w:val="20"/>
              </w:rPr>
              <w:t>@</w:t>
            </w:r>
            <w:proofErr w:type="spellStart"/>
            <w:r w:rsidRPr="003D5F42" w:rsidR="00DE2400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 w14:paraId="4884FF26" w14:textId="77777777">
        <w:trPr>
          <w:trHeight w:val="426"/>
        </w:trPr>
        <w:tc>
          <w:tcPr>
            <w:tcW w:w="4926" w:type="dxa"/>
          </w:tcPr>
          <w:p w:rsidRPr="00C91687" w:rsidR="00531873" w:rsidP="00531873" w:rsidRDefault="00531873" w14:paraId="282131A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P="00531873" w:rsidRDefault="00531873" w14:paraId="1C7B7D5C" w14:textId="5165892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5495C907" wp14:anchorId="0C16ECD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 w14:paraId="2C7A5D68" w14:textId="77777777">
        <w:trPr>
          <w:trHeight w:val="504"/>
        </w:trPr>
        <w:tc>
          <w:tcPr>
            <w:tcW w:w="4926" w:type="dxa"/>
          </w:tcPr>
          <w:p w:rsidRPr="00C91687" w:rsidR="00531873" w:rsidP="00531873" w:rsidRDefault="00531873" w14:paraId="627AA4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P="00531873" w:rsidRDefault="00531873" w14:paraId="15F67F32" w14:textId="6D0277E9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448A684C" wp14:anchorId="0FC606A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 w14:paraId="373CEFAE" w14:textId="77777777">
        <w:trPr>
          <w:trHeight w:val="1546"/>
        </w:trPr>
        <w:tc>
          <w:tcPr>
            <w:tcW w:w="4926" w:type="dxa"/>
          </w:tcPr>
          <w:p w:rsidRPr="00C91687" w:rsidR="00531873" w:rsidP="00531873" w:rsidRDefault="00531873" w14:paraId="7F9FD05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P="00531873" w:rsidRDefault="00531873" w14:paraId="3108BCBA" w14:textId="01C1236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editId="5DFF71AE" wp14:anchorId="033A47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Tr="00B84C43" w14:paraId="385E56C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531873" w:rsidP="00531873" w:rsidRDefault="00531873" w14:paraId="08948A60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8A27E4" w:rsidR="00531873" w:rsidP="00531873" w:rsidRDefault="00531873" w14:paraId="7D9034BF" w14:textId="67487909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BE0925">
              <w:rPr>
                <w:rFonts w:cs="Times New Roman"/>
              </w:rPr>
              <w:instrText>HYPERLINK "https://stat.gov.pl/obszary-tematyczne/ceny-handel/handel/uslugi-biznesowe-w-2020-roku,16,7.html" \o "Linko do opracowania pt. Usługi biznesowe w 2020"</w:instrText>
            </w:r>
            <w:r>
              <w:rPr>
                <w:rFonts w:cs="Times New Roman"/>
              </w:rPr>
              <w:fldChar w:fldCharType="separate"/>
            </w:r>
            <w:r w:rsidRPr="008A27E4" w:rsidR="008A27E4">
              <w:rPr>
                <w:rStyle w:val="Hipercze"/>
              </w:rPr>
              <w:t>Usł</w:t>
            </w:r>
            <w:r w:rsidR="008A27E4">
              <w:rPr>
                <w:rStyle w:val="Hipercze"/>
              </w:rPr>
              <w:t>ugi biznesowe</w:t>
            </w:r>
            <w:r w:rsidR="00B703BD">
              <w:rPr>
                <w:rStyle w:val="Hipercze"/>
              </w:rPr>
              <w:t xml:space="preserve"> w 2020</w:t>
            </w:r>
          </w:p>
          <w:p w:rsidR="008A27E4" w:rsidP="008A27E4" w:rsidRDefault="00531873" w14:paraId="65BC75DB" w14:textId="4EE68142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  <w:r w:rsidR="008A27E4">
              <w:rPr>
                <w:rFonts w:cs="Times New Roman"/>
              </w:rPr>
              <w:t xml:space="preserve"> </w:t>
            </w:r>
          </w:p>
          <w:p w:rsidRPr="00694D63" w:rsidR="00531873" w:rsidP="00531873" w:rsidRDefault="00531873" w14:paraId="6EC7A51E" w14:textId="0A32337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E02451" w:rsidR="00531873" w:rsidP="00531873" w:rsidRDefault="0095603A" w14:paraId="7C166DC6" w14:textId="7431C00C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w:tooltip="Link do słownika pojęć Usługi" w:history="1" r:id="rId24">
              <w:r w:rsidRPr="00BE0925" w:rsidR="00E02451">
                <w:rPr>
                  <w:rStyle w:val="Hipercze"/>
                </w:rPr>
                <w:t>u</w:t>
              </w:r>
              <w:r w:rsidRPr="00E02451" w:rsidR="00B93080">
                <w:rPr>
                  <w:rStyle w:val="Hipercze"/>
                </w:rPr>
                <w:t>sługi</w:t>
              </w:r>
            </w:hyperlink>
          </w:p>
          <w:p w:rsidRPr="00E02451" w:rsidR="00531873" w:rsidP="00531873" w:rsidRDefault="00531873" w14:paraId="1F14F0C1" w14:textId="568C0E37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B93080">
              <w:rPr>
                <w:rFonts w:cs="Times New Roman"/>
              </w:rPr>
              <w:instrText>HYPERLINK "https://stat.gov.pl/metainformacje/slownik-pojec/pojecia-stosowane-w-statystyce-publicznej/313,pojecie.html" \o "Link do słownika pojęć Popyt"</w:instrText>
            </w:r>
            <w:r>
              <w:rPr>
                <w:rFonts w:cs="Times New Roman"/>
              </w:rPr>
              <w:fldChar w:fldCharType="separate"/>
            </w:r>
            <w:r w:rsidR="00E02451">
              <w:rPr>
                <w:rStyle w:val="Hipercze"/>
              </w:rPr>
              <w:t>p</w:t>
            </w:r>
            <w:r w:rsidRPr="00E02451" w:rsidR="00B93080">
              <w:rPr>
                <w:rStyle w:val="Hipercze"/>
              </w:rPr>
              <w:t>opyt</w:t>
            </w:r>
          </w:p>
          <w:p w:rsidRPr="00E02451" w:rsidR="00531873" w:rsidP="00531873" w:rsidRDefault="00531873" w14:paraId="32159E9A" w14:textId="5BDB716F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</w:p>
          <w:p w:rsidRPr="00B93080" w:rsidR="00B93080" w:rsidP="00B93080" w:rsidRDefault="00B93080" w14:paraId="59EB711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1634A8FA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 w14:paraId="366352B6" w14:textId="77777777">
        <w:trPr>
          <w:trHeight w:val="1912"/>
        </w:trPr>
        <w:tc>
          <w:tcPr>
            <w:tcW w:w="4379" w:type="dxa"/>
          </w:tcPr>
          <w:p w:rsidRPr="004A1D19" w:rsidR="000470AA" w:rsidP="00D00796" w:rsidRDefault="000470AA" w14:paraId="7D4342A1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B93080" w:rsidR="000470AA" w:rsidP="00D00796" w:rsidRDefault="000470AA" w14:paraId="18600317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 w14:paraId="1B68E34A" w14:textId="77777777">
      <w:pPr>
        <w:rPr>
          <w:sz w:val="20"/>
        </w:rPr>
      </w:pPr>
    </w:p>
    <w:p w:rsidR="000470AA" w:rsidP="000470AA" w:rsidRDefault="000470AA" w14:paraId="21E45930" w14:textId="77777777">
      <w:pPr>
        <w:rPr>
          <w:sz w:val="18"/>
        </w:rPr>
      </w:pPr>
    </w:p>
    <w:p w:rsidRPr="00001C5B" w:rsidR="00D261A2" w:rsidP="00AD0E56" w:rsidRDefault="00D261A2" w14:paraId="7C19EFAE" w14:textId="528A22DA">
      <w:pPr>
        <w:rPr>
          <w:sz w:val="18"/>
        </w:rPr>
      </w:pPr>
    </w:p>
    <w:sectPr w:rsidRPr="00001C5B" w:rsidR="00D261A2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88F98" w14:textId="77777777" w:rsidR="00991DA9" w:rsidRDefault="00991DA9" w:rsidP="000662E2">
      <w:pPr>
        <w:spacing w:after="0" w:line="240" w:lineRule="auto"/>
      </w:pPr>
      <w:r>
        <w:separator/>
      </w:r>
    </w:p>
  </w:endnote>
  <w:endnote w:type="continuationSeparator" w:id="0">
    <w:p w14:paraId="6579CCD8" w14:textId="77777777" w:rsidR="00991DA9" w:rsidRDefault="00991D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2FB5D3A-FDCF-4E15-9C9B-61AEAC38197D}"/>
    <w:embedBold r:id="rId2" w:fontKey="{7070164C-72EE-4070-95FB-EBD73EAF4D1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775FEE9-FBFC-47C8-BA73-018E4B1A992D}"/>
    <w:embedBold r:id="rId4" w:fontKey="{3FC221CF-E8D6-4088-AAC0-D65431C65D2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8BF3D2C-0AA2-4D77-8DB0-7C460E9D99AE}"/>
    <w:embedBold r:id="rId6" w:fontKey="{31DE1864-7FF3-4709-AD3F-4C5FEA431C8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5D6CC56-6A2D-43E0-9EC8-7D2B97B3EFF6}"/>
    <w:embedItalic r:id="rId8" w:fontKey="{30099EC7-53D5-43E7-AC9C-088A6D2D0E5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4B3D1E0-FF32-41A3-8DEF-D9F4E2C70F7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373C53B-34FB-41C3-821B-A556F2890FE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B432D50-D85A-4E23-83EC-10D43E2F1A0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761601"/>
      <w:docPartObj>
        <w:docPartGallery w:val="Page Numbers (Bottom of Page)"/>
        <w:docPartUnique/>
      </w:docPartObj>
    </w:sdtPr>
    <w:sdtEndPr/>
    <w:sdtContent>
      <w:p w14:paraId="6E91F2FF" w14:textId="77777777" w:rsidR="00991DA9" w:rsidRDefault="00991DA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03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9214416"/>
      <w:docPartObj>
        <w:docPartGallery w:val="Page Numbers (Bottom of Page)"/>
        <w:docPartUnique/>
      </w:docPartObj>
    </w:sdtPr>
    <w:sdtEndPr/>
    <w:sdtContent>
      <w:p w14:paraId="7A63DCE2" w14:textId="77777777" w:rsidR="00991DA9" w:rsidRDefault="00991DA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03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991DA9" w:rsidRDefault="00991DA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03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5FDD2" w14:textId="77777777" w:rsidR="00991DA9" w:rsidRDefault="00991DA9" w:rsidP="000662E2">
      <w:pPr>
        <w:spacing w:after="0" w:line="240" w:lineRule="auto"/>
      </w:pPr>
      <w:r>
        <w:separator/>
      </w:r>
    </w:p>
  </w:footnote>
  <w:footnote w:type="continuationSeparator" w:id="0">
    <w:p w14:paraId="3680ED1E" w14:textId="77777777" w:rsidR="00991DA9" w:rsidRDefault="00991DA9" w:rsidP="000662E2">
      <w:pPr>
        <w:spacing w:after="0" w:line="240" w:lineRule="auto"/>
      </w:pPr>
      <w:r>
        <w:continuationSeparator/>
      </w:r>
    </w:p>
  </w:footnote>
  <w:footnote w:id="1">
    <w:p w14:paraId="34EBD3D1" w14:textId="433F4985" w:rsidR="00991DA9" w:rsidRPr="009B1F9D" w:rsidRDefault="00991DA9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B1F9D">
        <w:rPr>
          <w:sz w:val="16"/>
          <w:szCs w:val="16"/>
        </w:rPr>
        <w:t xml:space="preserve">Dotyczy podmiotów gospodarki narodowej zatrudniających 50 osób i więcej prowadzących działalność gospodarczą zaklasyfikowaną według PKD do sekcji: </w:t>
      </w:r>
      <w:r w:rsidRPr="001203A5">
        <w:rPr>
          <w:sz w:val="16"/>
          <w:szCs w:val="16"/>
        </w:rPr>
        <w:t xml:space="preserve">C „Przetwórstwo przemysłowe”, F „Budownictwo”, G „Handel hurtowy i detaliczny; naprawa pojazdów samochodowych, włączając motocykle”, H „Transport i gospodarka magazynowa”, I „Działalność związana z zakwaterowaniem i usługami gastronomicznymi”, K „Działalność finansowa i ubezpieczeniowa”, L „Działalność związana z obsługą rynku nieruchomości”, M „Działalność profesjonalna, naukowa i techniczna”, N „Działalność w zakresie usług administrowania i </w:t>
      </w:r>
      <w:r w:rsidR="002025A5">
        <w:rPr>
          <w:sz w:val="16"/>
          <w:szCs w:val="16"/>
        </w:rPr>
        <w:t>działalność wspierająca” oraz do wybranych</w:t>
      </w:r>
      <w:r w:rsidRPr="001203A5">
        <w:rPr>
          <w:sz w:val="16"/>
          <w:szCs w:val="16"/>
        </w:rPr>
        <w:t xml:space="preserve"> działów</w:t>
      </w:r>
      <w:r w:rsidR="002025A5">
        <w:rPr>
          <w:sz w:val="16"/>
          <w:szCs w:val="16"/>
        </w:rPr>
        <w:t xml:space="preserve"> Sekcji J</w:t>
      </w:r>
      <w:r w:rsidRPr="001203A5">
        <w:rPr>
          <w:sz w:val="16"/>
          <w:szCs w:val="16"/>
        </w:rPr>
        <w:t>: 58 „Działalność wydawnicza”, 61 „Telekomunikacja”, 62 „Działalność związana z op</w:t>
      </w:r>
      <w:r w:rsidR="00120CF5">
        <w:rPr>
          <w:sz w:val="16"/>
          <w:szCs w:val="16"/>
        </w:rPr>
        <w:t>rogramowaniem i doradztwem w za</w:t>
      </w:r>
      <w:r w:rsidRPr="001203A5">
        <w:rPr>
          <w:sz w:val="16"/>
          <w:szCs w:val="16"/>
        </w:rPr>
        <w:t>kresie informatyki oraz działalność powiązana” i 63 „Dzi</w:t>
      </w:r>
      <w:r w:rsidR="002025A5">
        <w:rPr>
          <w:sz w:val="16"/>
          <w:szCs w:val="16"/>
        </w:rPr>
        <w:t>ałalność usługowa w zakresie in</w:t>
      </w:r>
      <w:r w:rsidRPr="001203A5">
        <w:rPr>
          <w:sz w:val="16"/>
          <w:szCs w:val="16"/>
        </w:rPr>
        <w:t>formacji”.</w:t>
      </w:r>
    </w:p>
  </w:footnote>
  <w:footnote w:id="2">
    <w:p w14:paraId="61759D91" w14:textId="47AD451E" w:rsidR="00070970" w:rsidRPr="009B1F9D" w:rsidRDefault="00070970" w:rsidP="00070970">
      <w:pPr>
        <w:pStyle w:val="Tekstprzypisudolnego"/>
        <w:rPr>
          <w:sz w:val="16"/>
          <w:szCs w:val="16"/>
        </w:rPr>
      </w:pPr>
      <w:r w:rsidRPr="009B1F9D">
        <w:rPr>
          <w:rStyle w:val="Odwoanieprzypisudolnego"/>
          <w:sz w:val="16"/>
          <w:szCs w:val="16"/>
        </w:rPr>
        <w:footnoteRef/>
      </w:r>
      <w:r w:rsidRPr="009B1F9D">
        <w:rPr>
          <w:sz w:val="16"/>
          <w:szCs w:val="16"/>
        </w:rPr>
        <w:t xml:space="preserve"> Nazwy grupowań wg Polskiej Klasyfikacji Działalności (PKD 2007) – patrz str. </w:t>
      </w:r>
      <w:r w:rsidR="00321005">
        <w:rPr>
          <w:sz w:val="16"/>
          <w:szCs w:val="16"/>
        </w:rPr>
        <w:t>4</w:t>
      </w:r>
      <w:r>
        <w:rPr>
          <w:sz w:val="16"/>
          <w:szCs w:val="16"/>
        </w:rPr>
        <w:t>.</w:t>
      </w:r>
    </w:p>
  </w:footnote>
  <w:footnote w:id="3">
    <w:p w14:paraId="78268177" w14:textId="77777777" w:rsidR="00991DA9" w:rsidRPr="009B1F9D" w:rsidRDefault="00991DA9" w:rsidP="009B1F9D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B1F9D">
        <w:rPr>
          <w:sz w:val="16"/>
          <w:szCs w:val="16"/>
        </w:rPr>
        <w:t>Zgodnie z ustawą z dnia 27 lipca 2002 r. Prawo dewizowe nierezydentami są:</w:t>
      </w:r>
    </w:p>
    <w:p w14:paraId="7841B98C" w14:textId="1506D88A" w:rsidR="00991DA9" w:rsidRDefault="00991DA9" w:rsidP="00E91173">
      <w:pPr>
        <w:pStyle w:val="Tekstprzypisudolnego"/>
        <w:numPr>
          <w:ilvl w:val="0"/>
          <w:numId w:val="7"/>
        </w:numPr>
        <w:spacing w:before="0"/>
        <w:rPr>
          <w:sz w:val="16"/>
          <w:szCs w:val="16"/>
        </w:rPr>
      </w:pPr>
      <w:r w:rsidRPr="009B1F9D">
        <w:rPr>
          <w:sz w:val="16"/>
          <w:szCs w:val="16"/>
        </w:rPr>
        <w:t>osoby fizyczne mające miejsce zamieszkania za granicą oraz osoby prawne mające siedzibę za granicą, a także inne podmioty mające siedzibę za granicą, posiadające zdolność zaciągania zobowiązań i na-bywania praw we własnym imieniu; nierezydentami są również znajdujące się za granicą oddziały, przedstawicielstwa i przedsiębiorstwa utworzone przez rezydentów,</w:t>
      </w:r>
    </w:p>
    <w:p w14:paraId="048636EB" w14:textId="2684FBEF" w:rsidR="00991DA9" w:rsidRPr="00E91173" w:rsidRDefault="00991DA9" w:rsidP="009B1F9D">
      <w:pPr>
        <w:pStyle w:val="Tekstprzypisudolnego"/>
        <w:numPr>
          <w:ilvl w:val="0"/>
          <w:numId w:val="7"/>
        </w:numPr>
        <w:spacing w:before="0"/>
        <w:rPr>
          <w:sz w:val="16"/>
          <w:szCs w:val="16"/>
        </w:rPr>
      </w:pPr>
      <w:r w:rsidRPr="00E91173">
        <w:rPr>
          <w:sz w:val="16"/>
          <w:szCs w:val="16"/>
        </w:rPr>
        <w:t>obce przedstawicielstwa dyplomatyczne, urzędy konsularne i inne obce przedstawicielstwa oraz misje specjalne i organizacje międzynarodowe, korzystające z immunitetów i przywilejów dyplomatycznych lub konsularnych.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991DA9" w:rsidRDefault="00991DA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991DA9" w:rsidRDefault="00991D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991DA9" w:rsidRDefault="00991DA9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3F3D666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" title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C5EB8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991DA9" w:rsidRPr="003C6C8D" w:rsidRDefault="00991DA9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Tytuł: Napis &quot;Informacja Sygnalna&quot;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991DA9" w:rsidRPr="003C6C8D" w:rsidRDefault="00991DA9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991DA9" w:rsidRDefault="00991DA9">
    <w:pPr>
      <w:pStyle w:val="Nagwek"/>
      <w:rPr>
        <w:noProof/>
        <w:lang w:eastAsia="pl-PL"/>
      </w:rPr>
    </w:pPr>
  </w:p>
  <w:p w14:paraId="45C1A999" w14:textId="77777777" w:rsidR="00991DA9" w:rsidRDefault="00991DA9">
    <w:pPr>
      <w:pStyle w:val="Nagwek"/>
      <w:rPr>
        <w:noProof/>
        <w:lang w:eastAsia="pl-PL"/>
      </w:rPr>
    </w:pPr>
  </w:p>
  <w:p w14:paraId="3194277A" w14:textId="5E6F66AE" w:rsidR="00991DA9" w:rsidRDefault="00991DA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22DFEE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5 września 2022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7589867" w:rsidR="00991DA9" w:rsidRPr="00A01B40" w:rsidRDefault="00511FF1" w:rsidP="00F049AB">
                          <w:pPr>
                            <w:pStyle w:val="Datainformacjisygnalnej"/>
                          </w:pPr>
                          <w:r>
                            <w:t>15.02.2023</w:t>
                          </w:r>
                          <w:r w:rsidR="00991DA9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Tytuł: Data publikacji informacji sygnalnej — opis: Data publikacji informacji sygnalnej 15 wrześni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" filled="f" stroked="f">
              <v:textbox>
                <w:txbxContent>
                  <w:p w14:paraId="71967FEA" w14:textId="17589867" w:rsidR="00991DA9" w:rsidRPr="00A01B40" w:rsidRDefault="00511FF1" w:rsidP="00F049AB">
                    <w:pPr>
                      <w:pStyle w:val="Datainformacjisygnalnej"/>
                    </w:pPr>
                    <w:r>
                      <w:t>15.02.2023</w:t>
                    </w:r>
                    <w:r w:rsidR="00991DA9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991DA9" w:rsidRDefault="00991DA9">
    <w:pPr>
      <w:pStyle w:val="Nagwek"/>
    </w:pPr>
  </w:p>
  <w:p w14:paraId="0738E4E9" w14:textId="77777777" w:rsidR="00991DA9" w:rsidRDefault="00991D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2AD2181"/>
    <w:multiLevelType w:val="hybridMultilevel"/>
    <w:tmpl w:val="06EC0CE6"/>
    <w:lvl w:ilvl="0" w:tplc="ACCA392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BA7"/>
    <w:rsid w:val="0000709F"/>
    <w:rsid w:val="000108B8"/>
    <w:rsid w:val="000152F5"/>
    <w:rsid w:val="00015C84"/>
    <w:rsid w:val="0004582E"/>
    <w:rsid w:val="000470AA"/>
    <w:rsid w:val="00055166"/>
    <w:rsid w:val="00057CA1"/>
    <w:rsid w:val="000647A9"/>
    <w:rsid w:val="000662E2"/>
    <w:rsid w:val="00066883"/>
    <w:rsid w:val="00070970"/>
    <w:rsid w:val="00071B39"/>
    <w:rsid w:val="00073FA8"/>
    <w:rsid w:val="00074DD8"/>
    <w:rsid w:val="00075759"/>
    <w:rsid w:val="000806F7"/>
    <w:rsid w:val="00087B5B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1011C3"/>
    <w:rsid w:val="0010337A"/>
    <w:rsid w:val="00106DA3"/>
    <w:rsid w:val="00110214"/>
    <w:rsid w:val="00110D87"/>
    <w:rsid w:val="00112399"/>
    <w:rsid w:val="00114DB9"/>
    <w:rsid w:val="00116087"/>
    <w:rsid w:val="00117711"/>
    <w:rsid w:val="001203A5"/>
    <w:rsid w:val="00120CF5"/>
    <w:rsid w:val="00130296"/>
    <w:rsid w:val="00134145"/>
    <w:rsid w:val="001365AE"/>
    <w:rsid w:val="00136736"/>
    <w:rsid w:val="00136740"/>
    <w:rsid w:val="00136D67"/>
    <w:rsid w:val="001423B6"/>
    <w:rsid w:val="001448A7"/>
    <w:rsid w:val="001462D9"/>
    <w:rsid w:val="00146621"/>
    <w:rsid w:val="001617E3"/>
    <w:rsid w:val="00162325"/>
    <w:rsid w:val="001951DA"/>
    <w:rsid w:val="001B053D"/>
    <w:rsid w:val="001C3269"/>
    <w:rsid w:val="001C77AB"/>
    <w:rsid w:val="001D19B6"/>
    <w:rsid w:val="001D1DB4"/>
    <w:rsid w:val="001D23F1"/>
    <w:rsid w:val="001D25F9"/>
    <w:rsid w:val="001D61ED"/>
    <w:rsid w:val="001D655D"/>
    <w:rsid w:val="001E20F7"/>
    <w:rsid w:val="001E3876"/>
    <w:rsid w:val="001E5B2D"/>
    <w:rsid w:val="001F6FEE"/>
    <w:rsid w:val="0020156C"/>
    <w:rsid w:val="002025A5"/>
    <w:rsid w:val="00210B36"/>
    <w:rsid w:val="00213F39"/>
    <w:rsid w:val="00216634"/>
    <w:rsid w:val="00232B9D"/>
    <w:rsid w:val="00242D31"/>
    <w:rsid w:val="0025481E"/>
    <w:rsid w:val="002574F9"/>
    <w:rsid w:val="002575FE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3CFA"/>
    <w:rsid w:val="002F7626"/>
    <w:rsid w:val="002F77C8"/>
    <w:rsid w:val="00304F22"/>
    <w:rsid w:val="00306C7C"/>
    <w:rsid w:val="00314F86"/>
    <w:rsid w:val="00317F4D"/>
    <w:rsid w:val="00321005"/>
    <w:rsid w:val="00322EDD"/>
    <w:rsid w:val="003309FA"/>
    <w:rsid w:val="00332320"/>
    <w:rsid w:val="00343D3B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73C44"/>
    <w:rsid w:val="00375A17"/>
    <w:rsid w:val="00381D9D"/>
    <w:rsid w:val="003843DB"/>
    <w:rsid w:val="003850C7"/>
    <w:rsid w:val="00390D10"/>
    <w:rsid w:val="00393761"/>
    <w:rsid w:val="00394E26"/>
    <w:rsid w:val="00396691"/>
    <w:rsid w:val="00397D18"/>
    <w:rsid w:val="003A0DEF"/>
    <w:rsid w:val="003A1B36"/>
    <w:rsid w:val="003A3C72"/>
    <w:rsid w:val="003B1454"/>
    <w:rsid w:val="003B18B6"/>
    <w:rsid w:val="003C0ADB"/>
    <w:rsid w:val="003C161B"/>
    <w:rsid w:val="003C59E0"/>
    <w:rsid w:val="003C6C8D"/>
    <w:rsid w:val="003D2656"/>
    <w:rsid w:val="003D4F95"/>
    <w:rsid w:val="003D5F42"/>
    <w:rsid w:val="003D60A9"/>
    <w:rsid w:val="003D7096"/>
    <w:rsid w:val="003D76BC"/>
    <w:rsid w:val="003E4367"/>
    <w:rsid w:val="003F4C97"/>
    <w:rsid w:val="003F666D"/>
    <w:rsid w:val="003F7FE6"/>
    <w:rsid w:val="00400193"/>
    <w:rsid w:val="00416EAF"/>
    <w:rsid w:val="004212E7"/>
    <w:rsid w:val="0042276A"/>
    <w:rsid w:val="00423C88"/>
    <w:rsid w:val="0042446D"/>
    <w:rsid w:val="0042589E"/>
    <w:rsid w:val="00427BF8"/>
    <w:rsid w:val="00431C02"/>
    <w:rsid w:val="00437395"/>
    <w:rsid w:val="00445047"/>
    <w:rsid w:val="00446749"/>
    <w:rsid w:val="00453EB7"/>
    <w:rsid w:val="00463E39"/>
    <w:rsid w:val="004657FC"/>
    <w:rsid w:val="00467000"/>
    <w:rsid w:val="004705CE"/>
    <w:rsid w:val="004733F6"/>
    <w:rsid w:val="00474E69"/>
    <w:rsid w:val="00483E9F"/>
    <w:rsid w:val="00485A2C"/>
    <w:rsid w:val="00491066"/>
    <w:rsid w:val="004917D5"/>
    <w:rsid w:val="0049621B"/>
    <w:rsid w:val="004A1D19"/>
    <w:rsid w:val="004C1895"/>
    <w:rsid w:val="004C1BB1"/>
    <w:rsid w:val="004C6D40"/>
    <w:rsid w:val="004E6AA8"/>
    <w:rsid w:val="004F0C3C"/>
    <w:rsid w:val="004F2280"/>
    <w:rsid w:val="004F23BB"/>
    <w:rsid w:val="004F63FC"/>
    <w:rsid w:val="00505A92"/>
    <w:rsid w:val="00507BB3"/>
    <w:rsid w:val="00511FF1"/>
    <w:rsid w:val="0051451F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465E"/>
    <w:rsid w:val="00555CFB"/>
    <w:rsid w:val="00556ADB"/>
    <w:rsid w:val="00556CF1"/>
    <w:rsid w:val="005762A7"/>
    <w:rsid w:val="00587CEE"/>
    <w:rsid w:val="005916D7"/>
    <w:rsid w:val="0059427F"/>
    <w:rsid w:val="005A698C"/>
    <w:rsid w:val="005B067E"/>
    <w:rsid w:val="005B1EF5"/>
    <w:rsid w:val="005C0CAC"/>
    <w:rsid w:val="005D062E"/>
    <w:rsid w:val="005D2F6B"/>
    <w:rsid w:val="005D477E"/>
    <w:rsid w:val="005E0799"/>
    <w:rsid w:val="005E10F9"/>
    <w:rsid w:val="005E1200"/>
    <w:rsid w:val="005E5ADF"/>
    <w:rsid w:val="005F45EE"/>
    <w:rsid w:val="005F5A80"/>
    <w:rsid w:val="006044FF"/>
    <w:rsid w:val="00607CC5"/>
    <w:rsid w:val="0061179B"/>
    <w:rsid w:val="006125F9"/>
    <w:rsid w:val="00633014"/>
    <w:rsid w:val="0063437B"/>
    <w:rsid w:val="0064017E"/>
    <w:rsid w:val="00654BB6"/>
    <w:rsid w:val="006673CA"/>
    <w:rsid w:val="006715D7"/>
    <w:rsid w:val="00673C26"/>
    <w:rsid w:val="006744DC"/>
    <w:rsid w:val="00674DE5"/>
    <w:rsid w:val="006765D9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035FF"/>
    <w:rsid w:val="007211B1"/>
    <w:rsid w:val="00725C1D"/>
    <w:rsid w:val="007277DA"/>
    <w:rsid w:val="0073084E"/>
    <w:rsid w:val="00731D27"/>
    <w:rsid w:val="007407CB"/>
    <w:rsid w:val="00746187"/>
    <w:rsid w:val="00760505"/>
    <w:rsid w:val="0076254F"/>
    <w:rsid w:val="00767F0D"/>
    <w:rsid w:val="00771DBB"/>
    <w:rsid w:val="007801F5"/>
    <w:rsid w:val="00783CA4"/>
    <w:rsid w:val="007842FB"/>
    <w:rsid w:val="00786124"/>
    <w:rsid w:val="00786426"/>
    <w:rsid w:val="0079514B"/>
    <w:rsid w:val="00795252"/>
    <w:rsid w:val="007A2DC1"/>
    <w:rsid w:val="007B3361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229B"/>
    <w:rsid w:val="00823593"/>
    <w:rsid w:val="00825DC2"/>
    <w:rsid w:val="008273B6"/>
    <w:rsid w:val="00831506"/>
    <w:rsid w:val="00834AD3"/>
    <w:rsid w:val="00843795"/>
    <w:rsid w:val="00847F0F"/>
    <w:rsid w:val="00852448"/>
    <w:rsid w:val="00865DD7"/>
    <w:rsid w:val="008722A3"/>
    <w:rsid w:val="00877F6C"/>
    <w:rsid w:val="0088258A"/>
    <w:rsid w:val="00886332"/>
    <w:rsid w:val="008925F0"/>
    <w:rsid w:val="0089448A"/>
    <w:rsid w:val="00897877"/>
    <w:rsid w:val="008A26D9"/>
    <w:rsid w:val="008A27E4"/>
    <w:rsid w:val="008A7B5B"/>
    <w:rsid w:val="008B12D2"/>
    <w:rsid w:val="008C0C29"/>
    <w:rsid w:val="008D02DA"/>
    <w:rsid w:val="008D0836"/>
    <w:rsid w:val="008D76BC"/>
    <w:rsid w:val="008E485E"/>
    <w:rsid w:val="008E7817"/>
    <w:rsid w:val="008E7DBA"/>
    <w:rsid w:val="008F0829"/>
    <w:rsid w:val="008F3638"/>
    <w:rsid w:val="008F4441"/>
    <w:rsid w:val="008F4939"/>
    <w:rsid w:val="008F6A2E"/>
    <w:rsid w:val="008F6B20"/>
    <w:rsid w:val="008F6F31"/>
    <w:rsid w:val="008F74DF"/>
    <w:rsid w:val="00902274"/>
    <w:rsid w:val="009127BA"/>
    <w:rsid w:val="00920AAE"/>
    <w:rsid w:val="00920C8C"/>
    <w:rsid w:val="009227A6"/>
    <w:rsid w:val="00933EC1"/>
    <w:rsid w:val="00934690"/>
    <w:rsid w:val="009446AD"/>
    <w:rsid w:val="00951554"/>
    <w:rsid w:val="009530DB"/>
    <w:rsid w:val="00953676"/>
    <w:rsid w:val="00954B57"/>
    <w:rsid w:val="0095603A"/>
    <w:rsid w:val="00956F30"/>
    <w:rsid w:val="00966C9A"/>
    <w:rsid w:val="009705EE"/>
    <w:rsid w:val="0097501A"/>
    <w:rsid w:val="00977927"/>
    <w:rsid w:val="0098135C"/>
    <w:rsid w:val="0098156A"/>
    <w:rsid w:val="00991BAC"/>
    <w:rsid w:val="00991DA9"/>
    <w:rsid w:val="0099757D"/>
    <w:rsid w:val="009A6EA0"/>
    <w:rsid w:val="009A6F1A"/>
    <w:rsid w:val="009B1F9D"/>
    <w:rsid w:val="009C1335"/>
    <w:rsid w:val="009C1AB2"/>
    <w:rsid w:val="009C7251"/>
    <w:rsid w:val="009E22B7"/>
    <w:rsid w:val="009E2E91"/>
    <w:rsid w:val="009E6482"/>
    <w:rsid w:val="009F7206"/>
    <w:rsid w:val="00A01B40"/>
    <w:rsid w:val="00A06D70"/>
    <w:rsid w:val="00A139F5"/>
    <w:rsid w:val="00A17ED7"/>
    <w:rsid w:val="00A27F24"/>
    <w:rsid w:val="00A32E16"/>
    <w:rsid w:val="00A365F4"/>
    <w:rsid w:val="00A47ACD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4593"/>
    <w:rsid w:val="00A971E5"/>
    <w:rsid w:val="00AA0D4D"/>
    <w:rsid w:val="00AA46DF"/>
    <w:rsid w:val="00AA710D"/>
    <w:rsid w:val="00AB64F3"/>
    <w:rsid w:val="00AB6D25"/>
    <w:rsid w:val="00AD0E56"/>
    <w:rsid w:val="00AE0C37"/>
    <w:rsid w:val="00AE229B"/>
    <w:rsid w:val="00AE2D4B"/>
    <w:rsid w:val="00AE4565"/>
    <w:rsid w:val="00AE4F99"/>
    <w:rsid w:val="00AF1D2A"/>
    <w:rsid w:val="00B103AA"/>
    <w:rsid w:val="00B11B69"/>
    <w:rsid w:val="00B14952"/>
    <w:rsid w:val="00B16871"/>
    <w:rsid w:val="00B25B45"/>
    <w:rsid w:val="00B31E5A"/>
    <w:rsid w:val="00B4516D"/>
    <w:rsid w:val="00B47359"/>
    <w:rsid w:val="00B653AB"/>
    <w:rsid w:val="00B65F9E"/>
    <w:rsid w:val="00B66B19"/>
    <w:rsid w:val="00B703BD"/>
    <w:rsid w:val="00B7386E"/>
    <w:rsid w:val="00B84C43"/>
    <w:rsid w:val="00B914E9"/>
    <w:rsid w:val="00B93080"/>
    <w:rsid w:val="00B956EE"/>
    <w:rsid w:val="00BA2BA1"/>
    <w:rsid w:val="00BA3447"/>
    <w:rsid w:val="00BA3562"/>
    <w:rsid w:val="00BB4F09"/>
    <w:rsid w:val="00BB54B5"/>
    <w:rsid w:val="00BC42FB"/>
    <w:rsid w:val="00BD4E33"/>
    <w:rsid w:val="00BE0925"/>
    <w:rsid w:val="00C030DE"/>
    <w:rsid w:val="00C04C49"/>
    <w:rsid w:val="00C051A8"/>
    <w:rsid w:val="00C129C5"/>
    <w:rsid w:val="00C22105"/>
    <w:rsid w:val="00C244B6"/>
    <w:rsid w:val="00C27BF1"/>
    <w:rsid w:val="00C27BFB"/>
    <w:rsid w:val="00C3702F"/>
    <w:rsid w:val="00C4500A"/>
    <w:rsid w:val="00C538A2"/>
    <w:rsid w:val="00C62238"/>
    <w:rsid w:val="00C64A37"/>
    <w:rsid w:val="00C7158E"/>
    <w:rsid w:val="00C7250B"/>
    <w:rsid w:val="00C7346B"/>
    <w:rsid w:val="00C77C0E"/>
    <w:rsid w:val="00C8465F"/>
    <w:rsid w:val="00C91687"/>
    <w:rsid w:val="00C924A8"/>
    <w:rsid w:val="00C945FE"/>
    <w:rsid w:val="00C96FAA"/>
    <w:rsid w:val="00C97A04"/>
    <w:rsid w:val="00CA107B"/>
    <w:rsid w:val="00CA484D"/>
    <w:rsid w:val="00CA4FB6"/>
    <w:rsid w:val="00CB2EC5"/>
    <w:rsid w:val="00CB2F90"/>
    <w:rsid w:val="00CB6AD4"/>
    <w:rsid w:val="00CC339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261A2"/>
    <w:rsid w:val="00D3303A"/>
    <w:rsid w:val="00D50356"/>
    <w:rsid w:val="00D616D2"/>
    <w:rsid w:val="00D63B5F"/>
    <w:rsid w:val="00D70EF7"/>
    <w:rsid w:val="00D8397C"/>
    <w:rsid w:val="00D94EED"/>
    <w:rsid w:val="00D96026"/>
    <w:rsid w:val="00D972F6"/>
    <w:rsid w:val="00DA331D"/>
    <w:rsid w:val="00DA4C20"/>
    <w:rsid w:val="00DA7C1C"/>
    <w:rsid w:val="00DB147A"/>
    <w:rsid w:val="00DB1B7A"/>
    <w:rsid w:val="00DB4F5B"/>
    <w:rsid w:val="00DB706E"/>
    <w:rsid w:val="00DC28B7"/>
    <w:rsid w:val="00DC6708"/>
    <w:rsid w:val="00DD011A"/>
    <w:rsid w:val="00DD2AE1"/>
    <w:rsid w:val="00DE2400"/>
    <w:rsid w:val="00DE58F1"/>
    <w:rsid w:val="00DE6B58"/>
    <w:rsid w:val="00DF5E32"/>
    <w:rsid w:val="00E01436"/>
    <w:rsid w:val="00E02451"/>
    <w:rsid w:val="00E03E79"/>
    <w:rsid w:val="00E045BD"/>
    <w:rsid w:val="00E04D6C"/>
    <w:rsid w:val="00E10A4F"/>
    <w:rsid w:val="00E17B77"/>
    <w:rsid w:val="00E21109"/>
    <w:rsid w:val="00E231AB"/>
    <w:rsid w:val="00E23337"/>
    <w:rsid w:val="00E259EA"/>
    <w:rsid w:val="00E25D33"/>
    <w:rsid w:val="00E32061"/>
    <w:rsid w:val="00E33F48"/>
    <w:rsid w:val="00E42FF9"/>
    <w:rsid w:val="00E433DB"/>
    <w:rsid w:val="00E44790"/>
    <w:rsid w:val="00E4714C"/>
    <w:rsid w:val="00E5178D"/>
    <w:rsid w:val="00E51AEB"/>
    <w:rsid w:val="00E522A7"/>
    <w:rsid w:val="00E5349E"/>
    <w:rsid w:val="00E54452"/>
    <w:rsid w:val="00E57B20"/>
    <w:rsid w:val="00E63B0C"/>
    <w:rsid w:val="00E664C5"/>
    <w:rsid w:val="00E671A2"/>
    <w:rsid w:val="00E76D26"/>
    <w:rsid w:val="00E76EE5"/>
    <w:rsid w:val="00E8588B"/>
    <w:rsid w:val="00E91173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06DAC"/>
    <w:rsid w:val="00F142DB"/>
    <w:rsid w:val="00F27C8F"/>
    <w:rsid w:val="00F32749"/>
    <w:rsid w:val="00F37172"/>
    <w:rsid w:val="00F443A3"/>
    <w:rsid w:val="00F4477E"/>
    <w:rsid w:val="00F46269"/>
    <w:rsid w:val="00F60BA8"/>
    <w:rsid w:val="00F67D8F"/>
    <w:rsid w:val="00F749FA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515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metainformacje/slownik-pojec/pojecia-stosowane-w-statystyce-publicznej/3750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244153721005537"/>
          <c:y val="2.5851437245043168E-2"/>
          <c:w val="0.79412430203997808"/>
          <c:h val="0.8081848241245920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1D77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Arkusz1!$A$2:$A$11</c:f>
              <c:strCache>
                <c:ptCount val="10"/>
                <c:pt idx="0">
                  <c:v>Sekcja C</c:v>
                </c:pt>
                <c:pt idx="1">
                  <c:v>Sekcja G</c:v>
                </c:pt>
                <c:pt idx="2">
                  <c:v>Sekcja H</c:v>
                </c:pt>
                <c:pt idx="3">
                  <c:v>Sekcja F</c:v>
                </c:pt>
                <c:pt idx="4">
                  <c:v>Sekcja J 
działy 58, 61-63</c:v>
                </c:pt>
                <c:pt idx="5">
                  <c:v>Sekcja K</c:v>
                </c:pt>
                <c:pt idx="6">
                  <c:v>Sekcja M</c:v>
                </c:pt>
                <c:pt idx="7">
                  <c:v>Sekcja N</c:v>
                </c:pt>
                <c:pt idx="8">
                  <c:v>Sekcja L</c:v>
                </c:pt>
                <c:pt idx="9">
                  <c:v>Sekcja I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0.29699999999999999</c:v>
                </c:pt>
                <c:pt idx="1">
                  <c:v>0.17199999999999999</c:v>
                </c:pt>
                <c:pt idx="2">
                  <c:v>0.16300000000000001</c:v>
                </c:pt>
                <c:pt idx="3">
                  <c:v>0.14399999999999999</c:v>
                </c:pt>
                <c:pt idx="4">
                  <c:v>7.1999999999999995E-2</c:v>
                </c:pt>
                <c:pt idx="5">
                  <c:v>4.7E-2</c:v>
                </c:pt>
                <c:pt idx="6">
                  <c:v>4.5999999999999999E-2</c:v>
                </c:pt>
                <c:pt idx="7">
                  <c:v>3.9E-2</c:v>
                </c:pt>
                <c:pt idx="8">
                  <c:v>1.0999999999999999E-2</c:v>
                </c:pt>
                <c:pt idx="9">
                  <c:v>8.9999999999999993E-3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99A4C8"/>
            </a:solidFill>
            <a:ln w="19050">
              <a:solidFill>
                <a:schemeClr val="lt1"/>
              </a:solidFill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Sekcja C</c:v>
                </c:pt>
                <c:pt idx="1">
                  <c:v>Sekcja G</c:v>
                </c:pt>
                <c:pt idx="2">
                  <c:v>Sekcja H</c:v>
                </c:pt>
                <c:pt idx="3">
                  <c:v>Sekcja F</c:v>
                </c:pt>
                <c:pt idx="4">
                  <c:v>Sekcja J 
działy 58, 61-63</c:v>
                </c:pt>
                <c:pt idx="5">
                  <c:v>Sekcja K</c:v>
                </c:pt>
                <c:pt idx="6">
                  <c:v>Sekcja M</c:v>
                </c:pt>
                <c:pt idx="7">
                  <c:v>Sekcja N</c:v>
                </c:pt>
                <c:pt idx="8">
                  <c:v>Sekcja L</c:v>
                </c:pt>
                <c:pt idx="9">
                  <c:v>Sekcja I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0.31</c:v>
                </c:pt>
                <c:pt idx="1">
                  <c:v>0.16300000000000001</c:v>
                </c:pt>
                <c:pt idx="2">
                  <c:v>0.11799999999999999</c:v>
                </c:pt>
                <c:pt idx="3">
                  <c:v>0.14299999999999999</c:v>
                </c:pt>
                <c:pt idx="4">
                  <c:v>8.1000000000000003E-2</c:v>
                </c:pt>
                <c:pt idx="5">
                  <c:v>7.0999999999999994E-2</c:v>
                </c:pt>
                <c:pt idx="6">
                  <c:v>5.2999999999999999E-2</c:v>
                </c:pt>
                <c:pt idx="7">
                  <c:v>0.04</c:v>
                </c:pt>
                <c:pt idx="8">
                  <c:v>1.2999999999999999E-2</c:v>
                </c:pt>
                <c:pt idx="9">
                  <c:v>8.0000000000000002E-3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146912976"/>
        <c:axId val="-1300435824"/>
      </c:barChart>
      <c:valAx>
        <c:axId val="-1300435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46912976"/>
        <c:crosses val="autoZero"/>
        <c:crossBetween val="between"/>
      </c:valAx>
      <c:catAx>
        <c:axId val="-11469129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004358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677019246716529"/>
          <c:y val="0.91959833054989881"/>
          <c:w val="0.16931838823557285"/>
          <c:h val="6.46975523408411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116403364218187E-2"/>
          <c:y val="1.8797499414201523E-2"/>
          <c:w val="0.94954498153099642"/>
          <c:h val="0.9121423035926353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1D77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9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Arkusz1!$A$2:$A$20</c:f>
              <c:strCache>
                <c:ptCount val="19"/>
                <c:pt idx="0">
                  <c:v>transport i gospodarka 
magazynowa</c:v>
                </c:pt>
                <c:pt idx="1">
                  <c:v>pozostałe usługi</c:v>
                </c:pt>
                <c:pt idx="2">
                  <c:v>pozostałe u. związane z obsługą 
działalności gosp.</c:v>
                </c:pt>
                <c:pt idx="3">
                  <c:v>u. informatyczne</c:v>
                </c:pt>
                <c:pt idx="4">
                  <c:v>u. reklamowe, badania rynku 
i opinii publicznej</c:v>
                </c:pt>
                <c:pt idx="5">
                  <c:v>wynajem i dzierżawa</c:v>
                </c:pt>
                <c:pt idx="6">
                  <c:v>u. związane z zatrudnieniem</c:v>
                </c:pt>
                <c:pt idx="7">
                  <c:v>u. finansowe i ubezpieczeniowe</c:v>
                </c:pt>
                <c:pt idx="8">
                  <c:v>u. związane z obsługą 
rynku nieruchomości</c:v>
                </c:pt>
                <c:pt idx="9">
                  <c:v>u. doradztwa związane 
z zarządzaniem</c:v>
                </c:pt>
                <c:pt idx="10">
                  <c:v>u. architektoniczne i inżynierskie</c:v>
                </c:pt>
                <c:pt idx="11">
                  <c:v>opłaty za licencje i prawa autorskie</c:v>
                </c:pt>
                <c:pt idx="12">
                  <c:v>u. telekomunikacyjne</c:v>
                </c:pt>
                <c:pt idx="13">
                  <c:v>u. pośrednictwa w sprzedaży 
hurtowej</c:v>
                </c:pt>
                <c:pt idx="14">
                  <c:v>u. rachunkowo-księgowe 
i w zakresie audytu</c:v>
                </c:pt>
                <c:pt idx="15">
                  <c:v>u. związane z zakwaterowaniem 
i u. gastronomiczne</c:v>
                </c:pt>
                <c:pt idx="16">
                  <c:v>u. prawne</c:v>
                </c:pt>
                <c:pt idx="17">
                  <c:v>u. związane z działalnością wydawniczą 
(bez oprogramowania), radiofoniczną 
i telewizyjną</c:v>
                </c:pt>
                <c:pt idx="18">
                  <c:v>u. w zakresie badań naukowych 
i prac rozwojowych</c:v>
                </c:pt>
              </c:strCache>
            </c:strRef>
          </c:cat>
          <c:val>
            <c:numRef>
              <c:f>Arkusz1!$B$2:$B$20</c:f>
              <c:numCache>
                <c:formatCode>0.0%</c:formatCode>
                <c:ptCount val="19"/>
                <c:pt idx="0">
                  <c:v>0.23300000000000001</c:v>
                </c:pt>
                <c:pt idx="1">
                  <c:v>0.188</c:v>
                </c:pt>
                <c:pt idx="2">
                  <c:v>0.13</c:v>
                </c:pt>
                <c:pt idx="3">
                  <c:v>6.2E-2</c:v>
                </c:pt>
                <c:pt idx="4">
                  <c:v>0.06</c:v>
                </c:pt>
                <c:pt idx="5">
                  <c:v>5.7000000000000002E-2</c:v>
                </c:pt>
                <c:pt idx="6">
                  <c:v>3.5000000000000003E-2</c:v>
                </c:pt>
                <c:pt idx="7">
                  <c:v>3.2000000000000001E-2</c:v>
                </c:pt>
                <c:pt idx="8">
                  <c:v>3.1E-2</c:v>
                </c:pt>
                <c:pt idx="9">
                  <c:v>2.8000000000000001E-2</c:v>
                </c:pt>
                <c:pt idx="10">
                  <c:v>2.7E-2</c:v>
                </c:pt>
                <c:pt idx="11">
                  <c:v>2.5999999999999999E-2</c:v>
                </c:pt>
                <c:pt idx="12">
                  <c:v>2.5000000000000001E-2</c:v>
                </c:pt>
                <c:pt idx="13">
                  <c:v>2.1999999999999999E-2</c:v>
                </c:pt>
                <c:pt idx="14">
                  <c:v>1.2E-2</c:v>
                </c:pt>
                <c:pt idx="15">
                  <c:v>1.0999999999999999E-2</c:v>
                </c:pt>
                <c:pt idx="16">
                  <c:v>8.9999999999999993E-3</c:v>
                </c:pt>
                <c:pt idx="17">
                  <c:v>6.0000000000000001E-3</c:v>
                </c:pt>
                <c:pt idx="18">
                  <c:v>6.0000000000000001E-3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99A4C8"/>
            </a:solidFill>
            <a:ln w="19050">
              <a:solidFill>
                <a:schemeClr val="lt1"/>
              </a:solidFill>
            </a:ln>
            <a:effectLst/>
          </c:spPr>
          <c:invertIfNegative val="0"/>
          <c:cat>
            <c:strRef>
              <c:f>Arkusz1!$A$2:$A$20</c:f>
              <c:strCache>
                <c:ptCount val="19"/>
                <c:pt idx="0">
                  <c:v>transport i gospodarka 
magazynowa</c:v>
                </c:pt>
                <c:pt idx="1">
                  <c:v>pozostałe usługi</c:v>
                </c:pt>
                <c:pt idx="2">
                  <c:v>pozostałe u. związane z obsługą 
działalności gosp.</c:v>
                </c:pt>
                <c:pt idx="3">
                  <c:v>u. informatyczne</c:v>
                </c:pt>
                <c:pt idx="4">
                  <c:v>u. reklamowe, badania rynku 
i opinii publicznej</c:v>
                </c:pt>
                <c:pt idx="5">
                  <c:v>wynajem i dzierżawa</c:v>
                </c:pt>
                <c:pt idx="6">
                  <c:v>u. związane z zatrudnieniem</c:v>
                </c:pt>
                <c:pt idx="7">
                  <c:v>u. finansowe i ubezpieczeniowe</c:v>
                </c:pt>
                <c:pt idx="8">
                  <c:v>u. związane z obsługą 
rynku nieruchomości</c:v>
                </c:pt>
                <c:pt idx="9">
                  <c:v>u. doradztwa związane 
z zarządzaniem</c:v>
                </c:pt>
                <c:pt idx="10">
                  <c:v>u. architektoniczne i inżynierskie</c:v>
                </c:pt>
                <c:pt idx="11">
                  <c:v>opłaty za licencje i prawa autorskie</c:v>
                </c:pt>
                <c:pt idx="12">
                  <c:v>u. telekomunikacyjne</c:v>
                </c:pt>
                <c:pt idx="13">
                  <c:v>u. pośrednictwa w sprzedaży 
hurtowej</c:v>
                </c:pt>
                <c:pt idx="14">
                  <c:v>u. rachunkowo-księgowe 
i w zakresie audytu</c:v>
                </c:pt>
                <c:pt idx="15">
                  <c:v>u. związane z zakwaterowaniem 
i u. gastronomiczne</c:v>
                </c:pt>
                <c:pt idx="16">
                  <c:v>u. prawne</c:v>
                </c:pt>
                <c:pt idx="17">
                  <c:v>u. związane z działalnością wydawniczą 
(bez oprogramowania), radiofoniczną 
i telewizyjną</c:v>
                </c:pt>
                <c:pt idx="18">
                  <c:v>u. w zakresie badań naukowych 
i prac rozwojowych</c:v>
                </c:pt>
              </c:strCache>
            </c:strRef>
          </c:cat>
          <c:val>
            <c:numRef>
              <c:f>Arkusz1!$C$2:$C$20</c:f>
              <c:numCache>
                <c:formatCode>0.0%</c:formatCode>
                <c:ptCount val="19"/>
                <c:pt idx="0">
                  <c:v>0.19800000000000001</c:v>
                </c:pt>
                <c:pt idx="1">
                  <c:v>0.224</c:v>
                </c:pt>
                <c:pt idx="2">
                  <c:v>0.111</c:v>
                </c:pt>
                <c:pt idx="3">
                  <c:v>4.3999999999999997E-2</c:v>
                </c:pt>
                <c:pt idx="4">
                  <c:v>7.3999999999999996E-2</c:v>
                </c:pt>
                <c:pt idx="5">
                  <c:v>5.1999999999999998E-2</c:v>
                </c:pt>
                <c:pt idx="6">
                  <c:v>2.5999999999999999E-2</c:v>
                </c:pt>
                <c:pt idx="7">
                  <c:v>4.3999999999999997E-2</c:v>
                </c:pt>
                <c:pt idx="8">
                  <c:v>4.2999999999999997E-2</c:v>
                </c:pt>
                <c:pt idx="9">
                  <c:v>2.5000000000000001E-2</c:v>
                </c:pt>
                <c:pt idx="10">
                  <c:v>3.5000000000000003E-2</c:v>
                </c:pt>
                <c:pt idx="11">
                  <c:v>2.8000000000000001E-2</c:v>
                </c:pt>
                <c:pt idx="12">
                  <c:v>2.5999999999999999E-2</c:v>
                </c:pt>
                <c:pt idx="13">
                  <c:v>2.1999999999999999E-2</c:v>
                </c:pt>
                <c:pt idx="14">
                  <c:v>1.0999999999999999E-2</c:v>
                </c:pt>
                <c:pt idx="15">
                  <c:v>1.4999999999999999E-2</c:v>
                </c:pt>
                <c:pt idx="16">
                  <c:v>8.0000000000000002E-3</c:v>
                </c:pt>
                <c:pt idx="17">
                  <c:v>7.0000000000000001E-3</c:v>
                </c:pt>
                <c:pt idx="18">
                  <c:v>7.0000000000000001E-3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-1146921680"/>
        <c:axId val="-1146922768"/>
      </c:barChart>
      <c:valAx>
        <c:axId val="-1146922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46921680"/>
        <c:crosses val="autoZero"/>
        <c:crossBetween val="between"/>
      </c:valAx>
      <c:catAx>
        <c:axId val="-1146921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469227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515425229278012"/>
          <c:y val="1.9322947178891419E-2"/>
          <c:w val="0.68683251920353838"/>
          <c:h val="0.8185070890743227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1D77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Arkusz1!$A$2:$A$9</c:f>
              <c:strCache>
                <c:ptCount val="8"/>
                <c:pt idx="0">
                  <c:v>brak barier</c:v>
                </c:pt>
                <c:pt idx="1">
                  <c:v>bariery związane 
z lokalizacją</c:v>
                </c:pt>
                <c:pt idx="2">
                  <c:v>bariery ekonomiczne</c:v>
                </c:pt>
                <c:pt idx="3">
                  <c:v>bariery prawne 
i regulacyjne</c:v>
                </c:pt>
                <c:pt idx="4">
                  <c:v>inne</c:v>
                </c:pt>
                <c:pt idx="5">
                  <c:v>brak informacji 
o dostawcach za granicą</c:v>
                </c:pt>
                <c:pt idx="6">
                  <c:v>bariery językowe</c:v>
                </c:pt>
                <c:pt idx="7">
                  <c:v>bariery związane z przejrzystością rynku</c:v>
                </c:pt>
              </c:strCache>
            </c:strRef>
          </c:cat>
          <c:val>
            <c:numRef>
              <c:f>Arkusz1!$B$2:$B$9</c:f>
              <c:numCache>
                <c:formatCode>0.0%</c:formatCode>
                <c:ptCount val="8"/>
                <c:pt idx="0">
                  <c:v>0.55400000000000005</c:v>
                </c:pt>
                <c:pt idx="1">
                  <c:v>0.13100000000000001</c:v>
                </c:pt>
                <c:pt idx="2">
                  <c:v>9.4E-2</c:v>
                </c:pt>
                <c:pt idx="3">
                  <c:v>8.3000000000000004E-2</c:v>
                </c:pt>
                <c:pt idx="4">
                  <c:v>4.4999999999999998E-2</c:v>
                </c:pt>
                <c:pt idx="5">
                  <c:v>3.9E-2</c:v>
                </c:pt>
                <c:pt idx="6">
                  <c:v>3.1E-2</c:v>
                </c:pt>
                <c:pt idx="7">
                  <c:v>2.3E-2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99A4C8"/>
            </a:solidFill>
            <a:ln w="19050">
              <a:solidFill>
                <a:schemeClr val="lt1"/>
              </a:solidFill>
            </a:ln>
            <a:effectLst/>
          </c:spPr>
          <c:invertIfNegative val="0"/>
          <c:cat>
            <c:strRef>
              <c:f>Arkusz1!$A$2:$A$9</c:f>
              <c:strCache>
                <c:ptCount val="8"/>
                <c:pt idx="0">
                  <c:v>brak barier</c:v>
                </c:pt>
                <c:pt idx="1">
                  <c:v>bariery związane 
z lokalizacją</c:v>
                </c:pt>
                <c:pt idx="2">
                  <c:v>bariery ekonomiczne</c:v>
                </c:pt>
                <c:pt idx="3">
                  <c:v>bariery prawne 
i regulacyjne</c:v>
                </c:pt>
                <c:pt idx="4">
                  <c:v>inne</c:v>
                </c:pt>
                <c:pt idx="5">
                  <c:v>brak informacji 
o dostawcach za granicą</c:v>
                </c:pt>
                <c:pt idx="6">
                  <c:v>bariery językowe</c:v>
                </c:pt>
                <c:pt idx="7">
                  <c:v>bariery związane z przejrzystością rynku</c:v>
                </c:pt>
              </c:strCache>
            </c:strRef>
          </c:cat>
          <c:val>
            <c:numRef>
              <c:f>Arkusz1!$C$2:$C$9</c:f>
              <c:numCache>
                <c:formatCode>0.0%</c:formatCode>
                <c:ptCount val="8"/>
                <c:pt idx="0">
                  <c:v>0.50600000000000001</c:v>
                </c:pt>
                <c:pt idx="1">
                  <c:v>0.155</c:v>
                </c:pt>
                <c:pt idx="2">
                  <c:v>0.107</c:v>
                </c:pt>
                <c:pt idx="3">
                  <c:v>7.4999999999999997E-2</c:v>
                </c:pt>
                <c:pt idx="4">
                  <c:v>5.6000000000000001E-2</c:v>
                </c:pt>
                <c:pt idx="5">
                  <c:v>4.2999999999999997E-2</c:v>
                </c:pt>
                <c:pt idx="6">
                  <c:v>3.6999999999999998E-2</c:v>
                </c:pt>
                <c:pt idx="7">
                  <c:v>2.1000000000000001E-2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146915696"/>
        <c:axId val="-1146912432"/>
      </c:barChart>
      <c:valAx>
        <c:axId val="-1146912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46915696"/>
        <c:crosses val="autoZero"/>
        <c:crossBetween val="between"/>
      </c:valAx>
      <c:catAx>
        <c:axId val="-1146915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469124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715440755229455"/>
          <c:y val="0.92142930431300141"/>
          <c:w val="0.1685365611589828"/>
          <c:h val="6.51902694939933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Zmiany w popycie na usługi w latach 2015 i 2020. Informacja sygnalna w formacie DOCX.docx</NazwaPliku>
    <Odbiorcy2 xmlns="AD3641B4-23D9-4536-AF9E-7D0EADDEB824" xsi:nil="true"/>
    <Osoba xmlns="AD3641B4-23D9-4536-AF9E-7D0EADDEB824">STAT\MatulskaA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9074D-B54E-4255-ADF2-8C6E04AE6E0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D92435C9-BCB9-46CE-AEB9-24D3BA86B1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5</Pages>
  <Words>883</Words>
  <Characters>5300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2023-02-08T10:16:00Z</cp:lastPrinted>
  <dcterms:created xsi:type="dcterms:W3CDTF">2022-02-04T14:14:00Z</dcterms:created>
  <dcterms:modified xsi:type="dcterms:W3CDTF">2023-02-08T10:16:00Z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2023-33017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Kaźmierczak Agnieszka</vt:lpwstr>
  </property>
  <property fmtid="{D5CDD505-2E9C-101B-9397-08002B2CF9AE}" pid="8" name="AutorInicjaly">
    <vt:lpwstr>AK</vt:lpwstr>
  </property>
  <property fmtid="{D5CDD505-2E9C-101B-9397-08002B2CF9AE}" pid="9" name="AutorNrTelefonu">
    <vt:lpwstr>(022) 608-3326</vt:lpwstr>
  </property>
  <property fmtid="{D5CDD505-2E9C-101B-9397-08002B2CF9AE}" pid="10" name="Stanowisko">
    <vt:lpwstr>naczelnik wydziału</vt:lpwstr>
  </property>
  <property fmtid="{D5CDD505-2E9C-101B-9397-08002B2CF9AE}" pid="11" name="OpisPisma">
    <vt:lpwstr>Notatka sygnalna "Zmiany w popycie na usługi"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2023-02-09</vt:lpwstr>
  </property>
  <property fmtid="{D5CDD505-2E9C-101B-9397-08002B2CF9AE}" pid="15" name="Wydzial">
    <vt:lpwstr>Wydział Usług Biznesowych</vt:lpwstr>
  </property>
  <property fmtid="{D5CDD505-2E9C-101B-9397-08002B2CF9AE}" pid="16" name="KodWydzialu">
    <vt:lpwstr>HU-08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Usług Biznesowych(HU-08)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