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B846" w14:textId="77777777" w:rsidR="0095795E" w:rsidRDefault="0095795E" w:rsidP="0095795E">
      <w:pPr>
        <w:spacing w:after="600" w:line="240" w:lineRule="auto"/>
        <w:rPr>
          <w:spacing w:val="-2"/>
          <w:szCs w:val="19"/>
        </w:rPr>
      </w:pPr>
      <w:bookmarkStart w:id="0" w:name="_GoBack"/>
      <w:bookmarkEnd w:id="0"/>
    </w:p>
    <w:p w14:paraId="00DC132E" w14:textId="22E68D3B" w:rsidR="00DA7920" w:rsidRPr="00466C13" w:rsidRDefault="00DA7920" w:rsidP="00346518">
      <w:pPr>
        <w:spacing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466C1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Zużycie energii w gospodarstwach domowych </w:t>
      </w:r>
      <w:r w:rsidR="00346518" w:rsidRPr="00466C1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br/>
      </w:r>
      <w:r w:rsidRPr="00466C1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 2021 r. </w:t>
      </w:r>
    </w:p>
    <w:p w14:paraId="2F6E70C6" w14:textId="66F36B1D" w:rsidR="00DA7920" w:rsidRPr="00DA7920" w:rsidRDefault="00600A5C" w:rsidP="002806CB">
      <w:pPr>
        <w:spacing w:after="0" w:line="240" w:lineRule="auto"/>
        <w:rPr>
          <w:b/>
          <w:noProof/>
          <w:spacing w:val="-4"/>
          <w:szCs w:val="19"/>
          <w:lang w:eastAsia="pl-PL"/>
        </w:rPr>
      </w:pPr>
      <w:r w:rsidRPr="00DA792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3BCE435" wp14:editId="03FF885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216150" cy="1225550"/>
                <wp:effectExtent l="0" t="0" r="0" b="0"/>
                <wp:wrapSquare wrapText="bothSides"/>
                <wp:docPr id="15" name="Pole tekstowe 2" descr="Udział procentowy gospodarstw domowych w krajowym zużyciu energii wyniósł w 2021 roku 20,2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25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A82CF" w14:textId="77777777" w:rsidR="00DA7920" w:rsidRPr="006F138E" w:rsidRDefault="00DA7920" w:rsidP="00DA7920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F138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20,2%</w:t>
                            </w:r>
                          </w:p>
                          <w:p w14:paraId="1579063C" w14:textId="77777777" w:rsidR="00DA7920" w:rsidRPr="00203CFC" w:rsidRDefault="00DA7920" w:rsidP="00DA7920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203CFC">
                              <w:t>Udział gospodarstw domowych w</w:t>
                            </w:r>
                            <w:r>
                              <w:t xml:space="preserve"> krajowym</w:t>
                            </w:r>
                            <w:r w:rsidRPr="00203CFC">
                              <w:t xml:space="preserve"> zużyciu energii</w:t>
                            </w:r>
                          </w:p>
                          <w:p w14:paraId="5EF0E6C4" w14:textId="77777777" w:rsidR="00DA7920" w:rsidRPr="007D605C" w:rsidRDefault="00DA7920" w:rsidP="00DA7920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CE435" id="Pole tekstowe 2" o:spid="_x0000_s1026" alt="Udział procentowy gospodarstw domowych w krajowym zużyciu energii wyniósł w 2021 roku 20,2%." style="position:absolute;margin-left:0;margin-top:1pt;width:174.5pt;height:96.5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" fillcolor="#001d77" stroked="f">
                <v:stroke joinstyle="miter"/>
                <v:textbox>
                  <w:txbxContent>
                    <w:p w14:paraId="30FA82CF" w14:textId="77777777" w:rsidR="00DA7920" w:rsidRPr="006F138E" w:rsidRDefault="00DA7920" w:rsidP="00DA7920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F138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20,2%</w:t>
                      </w:r>
                    </w:p>
                    <w:p w14:paraId="1579063C" w14:textId="77777777" w:rsidR="00DA7920" w:rsidRPr="00203CFC" w:rsidRDefault="00DA7920" w:rsidP="00DA7920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203CFC">
                        <w:t>Udział gospodarstw domowych w</w:t>
                      </w:r>
                      <w:r>
                        <w:t xml:space="preserve"> krajowym</w:t>
                      </w:r>
                      <w:r w:rsidRPr="00203CFC">
                        <w:t xml:space="preserve"> zużyciu energii</w:t>
                      </w:r>
                    </w:p>
                    <w:p w14:paraId="5EF0E6C4" w14:textId="77777777" w:rsidR="00DA7920" w:rsidRPr="007D605C" w:rsidRDefault="00DA7920" w:rsidP="00DA7920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7920" w:rsidRPr="00DA7920">
        <w:rPr>
          <w:b/>
          <w:noProof/>
          <w:szCs w:val="19"/>
          <w:lang w:eastAsia="pl-PL"/>
        </w:rPr>
        <w:t>Gospo</w:t>
      </w:r>
      <w:bookmarkStart w:id="1" w:name="_Hlk135043789"/>
      <w:r w:rsidR="00DA7920" w:rsidRPr="00DA7920">
        <w:rPr>
          <w:b/>
          <w:noProof/>
          <w:szCs w:val="19"/>
          <w:lang w:eastAsia="pl-PL"/>
        </w:rPr>
        <w:t xml:space="preserve">darstwa domowe </w:t>
      </w:r>
      <w:r w:rsidR="00123212">
        <w:rPr>
          <w:b/>
          <w:noProof/>
          <w:szCs w:val="19"/>
          <w:lang w:eastAsia="pl-PL"/>
        </w:rPr>
        <w:t xml:space="preserve">w </w:t>
      </w:r>
      <w:r w:rsidR="00DA7920" w:rsidRPr="00DA7920">
        <w:rPr>
          <w:b/>
          <w:noProof/>
          <w:szCs w:val="19"/>
          <w:lang w:eastAsia="pl-PL"/>
        </w:rPr>
        <w:t xml:space="preserve">Polsce </w:t>
      </w:r>
      <w:r w:rsidR="009D6261" w:rsidRPr="00DA7920">
        <w:rPr>
          <w:b/>
          <w:noProof/>
          <w:szCs w:val="19"/>
          <w:lang w:eastAsia="pl-PL"/>
        </w:rPr>
        <w:t>miały</w:t>
      </w:r>
      <w:r w:rsidR="00123212">
        <w:rPr>
          <w:b/>
          <w:noProof/>
          <w:szCs w:val="19"/>
          <w:lang w:eastAsia="pl-PL"/>
        </w:rPr>
        <w:t xml:space="preserve"> </w:t>
      </w:r>
      <w:r w:rsidR="00DA7920" w:rsidRPr="00DA7920">
        <w:rPr>
          <w:b/>
          <w:noProof/>
          <w:szCs w:val="19"/>
          <w:lang w:eastAsia="pl-PL"/>
        </w:rPr>
        <w:t xml:space="preserve">znaczny udział w krajowym zużyciu energii (bez paliw silnikowych). Średnie zużycie energii elektrycznej w gospodarstwach domowych w 2021 r. </w:t>
      </w:r>
      <w:r w:rsidR="00B843FE">
        <w:rPr>
          <w:b/>
          <w:noProof/>
          <w:szCs w:val="19"/>
          <w:lang w:eastAsia="pl-PL"/>
        </w:rPr>
        <w:br/>
      </w:r>
      <w:r w:rsidR="00DA7920" w:rsidRPr="00DA7920">
        <w:rPr>
          <w:b/>
          <w:noProof/>
          <w:szCs w:val="19"/>
          <w:lang w:eastAsia="pl-PL"/>
        </w:rPr>
        <w:t xml:space="preserve">w </w:t>
      </w:r>
      <w:r w:rsidR="00DA7920" w:rsidRPr="006E315F">
        <w:rPr>
          <w:b/>
          <w:noProof/>
          <w:szCs w:val="19"/>
          <w:lang w:eastAsia="pl-PL"/>
        </w:rPr>
        <w:t>porównaniu z 2002 r.</w:t>
      </w:r>
      <w:r w:rsidR="00DA7920" w:rsidRPr="00DA7920">
        <w:rPr>
          <w:b/>
          <w:noProof/>
          <w:szCs w:val="19"/>
          <w:lang w:eastAsia="pl-PL"/>
        </w:rPr>
        <w:t xml:space="preserve"> wzrosło o 20,9%. </w:t>
      </w:r>
    </w:p>
    <w:bookmarkEnd w:id="1"/>
    <w:p w14:paraId="73B46BD6" w14:textId="77777777" w:rsidR="00D96BB3" w:rsidRDefault="009D6261" w:rsidP="00DA7920">
      <w:pPr>
        <w:keepNext/>
        <w:spacing w:before="36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 </w:t>
      </w:r>
    </w:p>
    <w:p w14:paraId="095BE115" w14:textId="77777777" w:rsidR="00D96BB3" w:rsidRDefault="00D96BB3" w:rsidP="00DA7920">
      <w:pPr>
        <w:keepNext/>
        <w:spacing w:before="36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1D3E2525" w14:textId="270FC5BE" w:rsidR="00DA7920" w:rsidRDefault="00AF6F1D" w:rsidP="00DA7920">
      <w:pPr>
        <w:keepNext/>
        <w:spacing w:before="36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AF6F1D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</w:t>
      </w:r>
      <w:r w:rsidR="00DA7920" w:rsidRPr="00DA7920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truktura zużycia energii w gospodarstwach domowych</w:t>
      </w:r>
    </w:p>
    <w:p w14:paraId="56513BBB" w14:textId="606C0B3F" w:rsidR="0015130E" w:rsidRPr="0015130E" w:rsidRDefault="00783E7D" w:rsidP="00123212">
      <w:pPr>
        <w:pStyle w:val="Tekstpodstawowy"/>
        <w:spacing w:before="240"/>
        <w:rPr>
          <w:rFonts w:ascii="Fira Sans" w:hAnsi="Fira Sans"/>
          <w:sz w:val="19"/>
          <w:szCs w:val="19"/>
        </w:rPr>
      </w:pPr>
      <w:r w:rsidRPr="00DA7920">
        <w:rPr>
          <w:b/>
          <w:bCs/>
          <w:color w:val="001D77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5CA82F65" wp14:editId="374BABB7">
                <wp:simplePos x="0" y="0"/>
                <wp:positionH relativeFrom="page">
                  <wp:posOffset>5692803</wp:posOffset>
                </wp:positionH>
                <wp:positionV relativeFrom="paragraph">
                  <wp:posOffset>677931</wp:posOffset>
                </wp:positionV>
                <wp:extent cx="1804670" cy="1558290"/>
                <wp:effectExtent l="0" t="0" r="0" b="3810"/>
                <wp:wrapTight wrapText="bothSides">
                  <wp:wrapPolygon edited="0">
                    <wp:start x="684" y="0"/>
                    <wp:lineTo x="684" y="21389"/>
                    <wp:lineTo x="20749" y="21389"/>
                    <wp:lineTo x="20749" y="0"/>
                    <wp:lineTo x="684" y="0"/>
                  </wp:wrapPolygon>
                </wp:wrapTight>
                <wp:docPr id="18" name="Pole tekstowe 18" descr="W ogrzewaniu pomieszczeń wiodącą rolę odgrywało ciepło sieciowe (52,2%) i paliwa stałe (32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93A1" w14:textId="6235F8AB" w:rsidR="00E815A5" w:rsidRPr="00E64C7D" w:rsidRDefault="00DA7920" w:rsidP="00DA7920">
                            <w:pPr>
                              <w:pStyle w:val="Tekstpodstawowywcity"/>
                              <w:ind w:left="0"/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</w:pPr>
                            <w:bookmarkStart w:id="2" w:name="_Hlk134787885"/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W ogrzewaniu pomieszczeń wiodącą rolę odgrywał</w:t>
                            </w:r>
                            <w:r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o</w:t>
                            </w:r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 ciepło </w:t>
                            </w:r>
                            <w:r w:rsidR="00273D26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z sieci </w:t>
                            </w:r>
                            <w:r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(52,2%) i </w:t>
                            </w:r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paliwa stałe </w:t>
                            </w:r>
                            <w:r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(32,8%)</w:t>
                            </w:r>
                            <w:bookmarkEnd w:id="2"/>
                          </w:p>
                          <w:p w14:paraId="77D19C3E" w14:textId="77777777" w:rsidR="00DA7920" w:rsidRPr="00D616D2" w:rsidRDefault="00DA7920" w:rsidP="00DA792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82F65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alt="W ogrzewaniu pomieszczeń wiodącą rolę odgrywało ciepło sieciowe (52,2%) i paliwa stałe (32,8%)" style="position:absolute;margin-left:448.25pt;margin-top:53.4pt;width:142.1pt;height:122.7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" filled="f" stroked="f">
                <v:textbox>
                  <w:txbxContent>
                    <w:p w14:paraId="2BD293A1" w14:textId="6235F8AB" w:rsidR="00E815A5" w:rsidRPr="00E64C7D" w:rsidRDefault="00DA7920" w:rsidP="00DA7920">
                      <w:pPr>
                        <w:pStyle w:val="Tekstpodstawowywcity"/>
                        <w:ind w:left="0"/>
                        <w:rPr>
                          <w:noProof/>
                          <w:color w:val="001D77"/>
                          <w:sz w:val="18"/>
                          <w:szCs w:val="18"/>
                        </w:rPr>
                      </w:pPr>
                      <w:bookmarkStart w:id="3" w:name="_Hlk134787885"/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>W ogrzewaniu pomieszczeń wiodącą rolę odgrywał</w:t>
                      </w:r>
                      <w:r>
                        <w:rPr>
                          <w:noProof/>
                          <w:color w:val="001D77"/>
                          <w:sz w:val="18"/>
                          <w:szCs w:val="18"/>
                        </w:rPr>
                        <w:t>o</w:t>
                      </w:r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 ciepło </w:t>
                      </w:r>
                      <w:r w:rsidR="00273D26"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z sieci </w:t>
                      </w:r>
                      <w:r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(52,2%) i </w:t>
                      </w:r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paliwa stałe </w:t>
                      </w:r>
                      <w:r>
                        <w:rPr>
                          <w:noProof/>
                          <w:color w:val="001D77"/>
                          <w:sz w:val="18"/>
                          <w:szCs w:val="18"/>
                        </w:rPr>
                        <w:t>(32,8%)</w:t>
                      </w:r>
                      <w:bookmarkEnd w:id="3"/>
                    </w:p>
                    <w:p w14:paraId="77D19C3E" w14:textId="77777777" w:rsidR="00DA7920" w:rsidRPr="00D616D2" w:rsidRDefault="00DA7920" w:rsidP="00DA792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5130E" w:rsidRPr="0015130E">
        <w:rPr>
          <w:rFonts w:ascii="Fira Sans" w:hAnsi="Fira Sans"/>
          <w:sz w:val="19"/>
          <w:szCs w:val="19"/>
        </w:rPr>
        <w:t>W</w:t>
      </w:r>
      <w:bookmarkStart w:id="3" w:name="_Hlk135044661"/>
      <w:r w:rsidR="0015130E" w:rsidRPr="0015130E">
        <w:rPr>
          <w:rFonts w:ascii="Fira Sans" w:hAnsi="Fira Sans"/>
          <w:sz w:val="19"/>
          <w:szCs w:val="19"/>
        </w:rPr>
        <w:t xml:space="preserve"> 2021 r.</w:t>
      </w:r>
      <w:r w:rsidR="000D634F">
        <w:rPr>
          <w:rFonts w:ascii="Fira Sans" w:hAnsi="Fira Sans"/>
          <w:sz w:val="19"/>
          <w:szCs w:val="19"/>
        </w:rPr>
        <w:t xml:space="preserve"> </w:t>
      </w:r>
      <w:r w:rsidR="00ED5BEF">
        <w:rPr>
          <w:rFonts w:ascii="Fira Sans" w:hAnsi="Fira Sans"/>
          <w:sz w:val="19"/>
          <w:szCs w:val="19"/>
        </w:rPr>
        <w:t xml:space="preserve">w Polsce </w:t>
      </w:r>
      <w:r w:rsidR="000D634F">
        <w:rPr>
          <w:rFonts w:ascii="Fira Sans" w:hAnsi="Fira Sans"/>
          <w:sz w:val="19"/>
          <w:szCs w:val="19"/>
        </w:rPr>
        <w:t>udział</w:t>
      </w:r>
      <w:r w:rsidR="0015130E" w:rsidRPr="0015130E">
        <w:rPr>
          <w:rFonts w:ascii="Fira Sans" w:hAnsi="Fira Sans"/>
          <w:sz w:val="19"/>
          <w:szCs w:val="19"/>
        </w:rPr>
        <w:t xml:space="preserve"> gospodarstw domow</w:t>
      </w:r>
      <w:r w:rsidR="000D634F">
        <w:rPr>
          <w:rFonts w:ascii="Fira Sans" w:hAnsi="Fira Sans"/>
          <w:sz w:val="19"/>
          <w:szCs w:val="19"/>
        </w:rPr>
        <w:t>ych</w:t>
      </w:r>
      <w:r w:rsidR="0015130E" w:rsidRPr="0015130E">
        <w:rPr>
          <w:rFonts w:ascii="Fira Sans" w:hAnsi="Fira Sans"/>
          <w:sz w:val="19"/>
          <w:szCs w:val="19"/>
        </w:rPr>
        <w:t xml:space="preserve"> w krajowym zużyciu energii (bez paliw silnikowych)</w:t>
      </w:r>
      <w:r w:rsidR="000D634F">
        <w:rPr>
          <w:rFonts w:ascii="Fira Sans" w:hAnsi="Fira Sans"/>
          <w:sz w:val="19"/>
          <w:szCs w:val="19"/>
        </w:rPr>
        <w:t xml:space="preserve"> wyniósł 20,2 %</w:t>
      </w:r>
      <w:r w:rsidR="0015130E" w:rsidRPr="0015130E">
        <w:rPr>
          <w:rFonts w:ascii="Fira Sans" w:hAnsi="Fira Sans"/>
          <w:sz w:val="19"/>
          <w:szCs w:val="19"/>
        </w:rPr>
        <w:t xml:space="preserve">. Przeciętnie w krajowych gospodarstwach domowych zużywano 24,6 GJ energii w przeliczeniu na 1 mieszkańca, co plasowało Polskę na średnim poziomie europejskim wynoszącym 24,5 GJ/1 mieszkańca. </w:t>
      </w:r>
    </w:p>
    <w:bookmarkEnd w:id="3"/>
    <w:p w14:paraId="7423C305" w14:textId="07EFF3BE" w:rsidR="00DA7920" w:rsidRPr="00DA7920" w:rsidRDefault="00DA7920" w:rsidP="00DA7920">
      <w:pPr>
        <w:spacing w:line="288" w:lineRule="auto"/>
        <w:rPr>
          <w:rFonts w:eastAsia="Times New Roman" w:cs="Times New Roman"/>
          <w:noProof/>
          <w:color w:val="FF0000"/>
          <w:szCs w:val="19"/>
          <w:lang w:eastAsia="pl-PL"/>
        </w:rPr>
      </w:pPr>
      <w:r w:rsidRPr="00DA7920">
        <w:rPr>
          <w:rFonts w:eastAsia="Times New Roman" w:cs="Times New Roman"/>
          <w:noProof/>
          <w:szCs w:val="19"/>
          <w:lang w:eastAsia="pl-PL"/>
        </w:rPr>
        <w:t xml:space="preserve">W strukturze zużycia energii 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w gospodarstwach domowych w Polsce największe znaczenie mają paliwa stałe, głównie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węgiel kamienny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(co jest wyjątkiem w Unii Europejskiej) i 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drewno opałowe</w:t>
      </w:r>
      <w:r w:rsidRPr="000D634F">
        <w:rPr>
          <w:rFonts w:eastAsia="Times New Roman" w:cs="Times New Roman"/>
          <w:noProof/>
          <w:szCs w:val="19"/>
          <w:lang w:eastAsia="pl-PL"/>
        </w:rPr>
        <w:t>. Były one najczęściej wykorzystywane do ogrzewania pomieszczeń (przez 32,8% gospodarstw domowych). Paliwa te służyły także do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ogrzewania wody (22,5% gospodarstw domowych)</w:t>
      </w:r>
      <w:r w:rsidR="00B843FE">
        <w:rPr>
          <w:rFonts w:eastAsia="Times New Roman" w:cs="Times New Roman"/>
          <w:noProof/>
          <w:szCs w:val="19"/>
          <w:lang w:eastAsia="pl-PL"/>
        </w:rPr>
        <w:t xml:space="preserve"> i</w:t>
      </w:r>
      <w:r w:rsidR="00D96BB3">
        <w:rPr>
          <w:rFonts w:eastAsia="Times New Roman" w:cs="Times New Roman"/>
          <w:noProof/>
          <w:szCs w:val="19"/>
          <w:lang w:eastAsia="pl-PL"/>
        </w:rPr>
        <w:t xml:space="preserve"> </w:t>
      </w:r>
      <w:r w:rsidRPr="00DA7920">
        <w:rPr>
          <w:rFonts w:eastAsia="Times New Roman" w:cs="Times New Roman"/>
          <w:noProof/>
          <w:szCs w:val="19"/>
          <w:lang w:eastAsia="pl-PL"/>
        </w:rPr>
        <w:t>znacznie rzadziej do gotowania posiłków (1,7%).</w:t>
      </w:r>
      <w:r w:rsidRPr="00DA7920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</w:p>
    <w:p w14:paraId="1AFD9B11" w14:textId="514D4F78" w:rsidR="00DA7920" w:rsidRPr="00DA7920" w:rsidRDefault="00DA7920" w:rsidP="00DA7920">
      <w:pPr>
        <w:spacing w:before="360" w:line="240" w:lineRule="auto"/>
        <w:ind w:left="851" w:hanging="851"/>
        <w:rPr>
          <w:rFonts w:eastAsia="Times New Roman" w:cs="Times New Roman"/>
          <w:b/>
          <w:noProof/>
          <w:szCs w:val="19"/>
          <w:lang w:eastAsia="pl-PL"/>
        </w:rPr>
      </w:pPr>
      <w:r w:rsidRPr="00DA7920">
        <w:rPr>
          <w:rFonts w:eastAsia="Times New Roman" w:cs="Times New Roman"/>
          <w:b/>
          <w:noProof/>
          <w:spacing w:val="-2"/>
          <w:sz w:val="24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AA6E139" wp14:editId="5FB37E07">
                <wp:simplePos x="0" y="0"/>
                <wp:positionH relativeFrom="page">
                  <wp:align>right</wp:align>
                </wp:positionH>
                <wp:positionV relativeFrom="paragraph">
                  <wp:posOffset>559905</wp:posOffset>
                </wp:positionV>
                <wp:extent cx="1847850" cy="1362075"/>
                <wp:effectExtent l="0" t="0" r="0" b="0"/>
                <wp:wrapTight wrapText="bothSides">
                  <wp:wrapPolygon edited="0">
                    <wp:start x="668" y="0"/>
                    <wp:lineTo x="668" y="21147"/>
                    <wp:lineTo x="20709" y="21147"/>
                    <wp:lineTo x="20709" y="0"/>
                    <wp:lineTo x="668" y="0"/>
                  </wp:wrapPolygon>
                </wp:wrapTight>
                <wp:docPr id="4" name="Pole tekstowe 4" descr="65,1% energii zużywanej przez gospodarstwa domowe przeznaczone było na ogrzewanie pomieszczeń. Udział energii zużywanej na ogrzewanie pomieszczeń  zmniejszył się o 3,7 p.proc. w stosunku do roku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E1BF" w14:textId="72B184BA" w:rsidR="00DA7920" w:rsidRDefault="00DA7920" w:rsidP="00DA792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65,1% energii zużywanej przez gospodarstwa domowe przeznaczone było na ogrzewanie pomieszczeń</w:t>
                            </w:r>
                            <w:r>
                              <w:rPr>
                                <w:spacing w:val="-4"/>
                              </w:rPr>
                              <w:t xml:space="preserve">. </w:t>
                            </w:r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energii zużywanej na</w:t>
                            </w:r>
                            <w:r w:rsidR="00ED0A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ogrzewan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ie pomieszczeń </w:t>
                            </w:r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zmniejszył się o </w:t>
                            </w:r>
                            <w:r w:rsidR="000D63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3,7</w:t>
                            </w:r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D96B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</w:t>
                            </w:r>
                            <w:proofErr w:type="spellEnd"/>
                            <w:r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815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D0A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stosunku do 20</w:t>
                            </w:r>
                            <w:r w:rsidR="000D63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12</w:t>
                            </w:r>
                            <w:r w:rsidR="00B843FE" w:rsidRPr="00B843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843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</w:p>
                          <w:p w14:paraId="75D83386" w14:textId="77777777" w:rsidR="00DA7920" w:rsidRPr="00D616D2" w:rsidRDefault="00DA7920" w:rsidP="00DA792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E139" id="Pole tekstowe 4" o:spid="_x0000_s1028" type="#_x0000_t202" alt="65,1% energii zużywanej przez gospodarstwa domowe przeznaczone było na ogrzewanie pomieszczeń. Udział energii zużywanej na ogrzewanie pomieszczeń  zmniejszył się o 3,7 p.proc. w stosunku do roku 2012" style="position:absolute;left:0;text-align:left;margin-left:94.3pt;margin-top:44.1pt;width:145.5pt;height:107.25pt;z-index:-251573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" filled="f" stroked="f">
                <v:textbox>
                  <w:txbxContent>
                    <w:p w14:paraId="3F63E1BF" w14:textId="72B184BA" w:rsidR="00DA7920" w:rsidRDefault="00DA7920" w:rsidP="00DA792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65,1% energii zużywanej przez gospodarstwa domowe przeznaczone było na ogrzewanie pomieszczeń</w:t>
                      </w:r>
                      <w:r>
                        <w:rPr>
                          <w:spacing w:val="-4"/>
                        </w:rPr>
                        <w:t xml:space="preserve">. </w:t>
                      </w:r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energii zużywanej na</w:t>
                      </w:r>
                      <w:r w:rsidR="00ED0A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ogrzewan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ie pomieszczeń </w:t>
                      </w:r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zmniejszył się o </w:t>
                      </w:r>
                      <w:r w:rsidR="000D63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3,7</w:t>
                      </w:r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D96B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</w:t>
                      </w:r>
                      <w:proofErr w:type="spellEnd"/>
                      <w:r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815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D0A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stosunku do 20</w:t>
                      </w:r>
                      <w:r w:rsidR="000D63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12</w:t>
                      </w:r>
                      <w:r w:rsidR="00B843FE" w:rsidRPr="00B843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843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</w:p>
                    <w:p w14:paraId="75D83386" w14:textId="77777777" w:rsidR="00DA7920" w:rsidRPr="00D616D2" w:rsidRDefault="00DA7920" w:rsidP="00DA792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A7920">
        <w:rPr>
          <w:rFonts w:eastAsia="Times New Roman" w:cs="Times New Roman"/>
          <w:b/>
          <w:noProof/>
          <w:sz w:val="18"/>
          <w:szCs w:val="18"/>
          <w:lang w:eastAsia="pl-PL"/>
        </w:rPr>
        <w:t>T</w:t>
      </w:r>
      <w:bookmarkStart w:id="4" w:name="_Hlk135044945"/>
      <w:r w:rsidRPr="00DA7920">
        <w:rPr>
          <w:rFonts w:eastAsia="Times New Roman" w:cs="Times New Roman"/>
          <w:b/>
          <w:noProof/>
          <w:szCs w:val="19"/>
          <w:lang w:eastAsia="pl-PL"/>
        </w:rPr>
        <w:t>ablica 1. Struktura zużycia energii w gospodarstwach domowych według kierunków użytkowania (w %)</w:t>
      </w:r>
      <w:r w:rsidR="00CA6369">
        <w:rPr>
          <w:rStyle w:val="Odwoanieprzypisudolnego"/>
          <w:rFonts w:eastAsia="Times New Roman" w:cs="Times New Roman"/>
          <w:b/>
          <w:noProof/>
          <w:szCs w:val="19"/>
          <w:lang w:eastAsia="pl-PL"/>
        </w:rPr>
        <w:footnoteReference w:id="1"/>
      </w:r>
    </w:p>
    <w:tbl>
      <w:tblPr>
        <w:tblpPr w:leftFromText="141" w:rightFromText="141" w:vertAnchor="text" w:horzAnchor="margin" w:tblpY="35"/>
        <w:tblW w:w="7860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lica 1. Struktura zużycia energii w gospodarstwach domowych według kierunków użytkowania (w %) "/>
        <w:tblDescription w:val="Tablica przedstawia strukturę zuzycia energii w gospodarstwach domowych wg. kierunków użytkowania (w %).  Dane do tabeli zamieszczono w dołączonym pliku excel."/>
      </w:tblPr>
      <w:tblGrid>
        <w:gridCol w:w="3964"/>
        <w:gridCol w:w="974"/>
        <w:gridCol w:w="974"/>
        <w:gridCol w:w="974"/>
        <w:gridCol w:w="974"/>
      </w:tblGrid>
      <w:tr w:rsidR="00A403FD" w:rsidRPr="00DA7920" w14:paraId="579E8677" w14:textId="77777777" w:rsidTr="00CF3847">
        <w:trPr>
          <w:trHeight w:val="38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</w:tcPr>
          <w:p w14:paraId="0E32A595" w14:textId="57DD0FBE" w:rsidR="00A403FD" w:rsidRPr="00DA7920" w:rsidRDefault="00692826" w:rsidP="00E50A2D">
            <w:pPr>
              <w:jc w:val="center"/>
              <w:rPr>
                <w:szCs w:val="19"/>
              </w:rPr>
            </w:pPr>
            <w:bookmarkStart w:id="5" w:name="_Hlk135045013"/>
            <w:bookmarkEnd w:id="4"/>
            <w:r>
              <w:rPr>
                <w:rFonts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14:paraId="75795AE8" w14:textId="77777777" w:rsidR="00A403FD" w:rsidRPr="00DA7920" w:rsidRDefault="00A403FD" w:rsidP="00E50A2D">
            <w:pPr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14:paraId="4BA164F3" w14:textId="77777777" w:rsidR="00A403FD" w:rsidRPr="00DA7920" w:rsidRDefault="00A403FD" w:rsidP="00E50A2D">
            <w:pPr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nil"/>
            </w:tcBorders>
          </w:tcPr>
          <w:p w14:paraId="09AAA30F" w14:textId="77777777" w:rsidR="00A403FD" w:rsidRPr="00DA7920" w:rsidRDefault="00A403FD" w:rsidP="00E50A2D">
            <w:pPr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nil"/>
            </w:tcBorders>
          </w:tcPr>
          <w:p w14:paraId="723E35B0" w14:textId="77777777" w:rsidR="00A403FD" w:rsidRPr="00DA7920" w:rsidRDefault="00A403FD" w:rsidP="00E50A2D">
            <w:pPr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2021</w:t>
            </w:r>
          </w:p>
        </w:tc>
      </w:tr>
      <w:tr w:rsidR="00A403FD" w:rsidRPr="00DA7920" w14:paraId="488CE86A" w14:textId="77777777" w:rsidTr="00CF3847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AA7044" w14:textId="77777777" w:rsidR="00A403FD" w:rsidRPr="00DA7920" w:rsidRDefault="00A403FD" w:rsidP="00E50A2D">
            <w:pPr>
              <w:rPr>
                <w:szCs w:val="19"/>
              </w:rPr>
            </w:pPr>
            <w:r w:rsidRPr="00DA7920">
              <w:rPr>
                <w:szCs w:val="19"/>
              </w:rPr>
              <w:t>Ogrzewanie pomieszczeń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F50AAF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68,8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A7E79D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65,5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76D5E9B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65,1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D341B7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65,1</w:t>
            </w:r>
          </w:p>
        </w:tc>
      </w:tr>
      <w:tr w:rsidR="00A403FD" w:rsidRPr="00DA7920" w14:paraId="5CA1F53F" w14:textId="77777777" w:rsidTr="00CF3847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BD09AA" w14:textId="77777777" w:rsidR="00A403FD" w:rsidRPr="00DA7920" w:rsidRDefault="00A403FD" w:rsidP="00E50A2D">
            <w:pPr>
              <w:rPr>
                <w:szCs w:val="19"/>
              </w:rPr>
            </w:pPr>
            <w:r w:rsidRPr="00DA7920">
              <w:rPr>
                <w:szCs w:val="19"/>
              </w:rPr>
              <w:t>Ogrzewanie wody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C917BD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14,8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0658F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16,2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64E5C1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16,6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CF0FE8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17,3</w:t>
            </w:r>
          </w:p>
        </w:tc>
      </w:tr>
      <w:tr w:rsidR="00A403FD" w:rsidRPr="00DA7920" w14:paraId="5615338C" w14:textId="77777777" w:rsidTr="00CF3847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C4A540B" w14:textId="77777777" w:rsidR="00A403FD" w:rsidRPr="00DA7920" w:rsidRDefault="00A403FD" w:rsidP="00E50A2D">
            <w:pPr>
              <w:rPr>
                <w:szCs w:val="19"/>
              </w:rPr>
            </w:pPr>
            <w:r w:rsidRPr="00DA7920">
              <w:rPr>
                <w:szCs w:val="19"/>
              </w:rPr>
              <w:t>Gotowanie posiłków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9FC92D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8,3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F587C1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765F119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CDF1AD5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8,5</w:t>
            </w:r>
          </w:p>
        </w:tc>
      </w:tr>
      <w:tr w:rsidR="00A403FD" w:rsidRPr="00DA7920" w14:paraId="36F02C71" w14:textId="77777777" w:rsidTr="00CF3847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667575B" w14:textId="77777777" w:rsidR="00A403FD" w:rsidRPr="00DA7920" w:rsidRDefault="00A403FD" w:rsidP="00E50A2D">
            <w:pPr>
              <w:rPr>
                <w:szCs w:val="19"/>
              </w:rPr>
            </w:pPr>
            <w:r w:rsidRPr="00DA7920">
              <w:rPr>
                <w:szCs w:val="19"/>
              </w:rPr>
              <w:t>Oświetlenie (razem z urządzeniami elektrycznymi)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14B255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8,1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0A6570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9,8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11E22539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9,8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2BBAC3A4" w14:textId="77777777" w:rsidR="00A403FD" w:rsidRPr="00DA7920" w:rsidRDefault="00A403FD" w:rsidP="00E50A2D">
            <w:pPr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9,0</w:t>
            </w:r>
          </w:p>
        </w:tc>
      </w:tr>
    </w:tbl>
    <w:p w14:paraId="1EFF8A25" w14:textId="336D5FDD" w:rsidR="00F430F9" w:rsidRPr="000D634F" w:rsidRDefault="00DA7920" w:rsidP="00DA7920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bookmarkStart w:id="6" w:name="_Hlk135045328"/>
      <w:bookmarkEnd w:id="5"/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Bardzo ważnym nośnikiem energii jest </w:t>
      </w:r>
      <w:r w:rsidRPr="00557E7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ciepło z sieci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>, któr</w:t>
      </w:r>
      <w:r w:rsidR="00674E43"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>ym było</w:t>
      </w:r>
      <w:r w:rsidRPr="00557E7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>ogrzewa</w:t>
      </w:r>
      <w:r w:rsidR="00674E43"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>ne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 </w:t>
      </w:r>
      <w:r w:rsidR="00587900" w:rsidRPr="000D634F">
        <w:rPr>
          <w:rFonts w:eastAsia="Times New Roman" w:cs="Times New Roman"/>
          <w:noProof/>
          <w:szCs w:val="19"/>
          <w:lang w:eastAsia="pl-PL"/>
        </w:rPr>
        <w:t>52,2</w:t>
      </w:r>
      <w:r w:rsidRPr="000D634F">
        <w:rPr>
          <w:rFonts w:eastAsia="Times New Roman" w:cs="Times New Roman"/>
          <w:noProof/>
          <w:szCs w:val="19"/>
          <w:lang w:eastAsia="pl-PL"/>
        </w:rPr>
        <w:t>% wszystkich mieszkań, przede wszystkim w dużych miastach, gdzie było dominującym nośnikiem grzewczym (74,3%). Ponadto 41,1% gospodarstw domowych, tj. 78,</w:t>
      </w:r>
      <w:r w:rsidR="009077E3" w:rsidRPr="000D634F">
        <w:rPr>
          <w:rFonts w:eastAsia="Times New Roman" w:cs="Times New Roman"/>
          <w:noProof/>
          <w:szCs w:val="19"/>
          <w:lang w:eastAsia="pl-PL"/>
        </w:rPr>
        <w:t>2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% konsumentów ciepła sieciowego, pobierało wodę ogrzewaną z sieci. </w:t>
      </w:r>
      <w:bookmarkStart w:id="7" w:name="_Hlk135045606"/>
      <w:bookmarkEnd w:id="6"/>
    </w:p>
    <w:p w14:paraId="25CDE6E0" w14:textId="4EEC6B0A" w:rsidR="00DA7920" w:rsidRPr="00DA7920" w:rsidRDefault="00DA7920" w:rsidP="00DA7920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r w:rsidRPr="000D634F">
        <w:rPr>
          <w:rFonts w:eastAsia="Times New Roman" w:cs="Times New Roman"/>
          <w:bCs/>
          <w:noProof/>
          <w:szCs w:val="19"/>
          <w:lang w:eastAsia="pl-PL"/>
        </w:rPr>
        <w:t>Gaz ziemny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był wykorzystywany w 56,5% gospodarstw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domowych, ale </w:t>
      </w:r>
      <w:r w:rsidR="00585580">
        <w:rPr>
          <w:rFonts w:eastAsia="Times New Roman" w:cs="Times New Roman"/>
          <w:noProof/>
          <w:szCs w:val="19"/>
          <w:lang w:eastAsia="pl-PL"/>
        </w:rPr>
        <w:t>30,8</w:t>
      </w:r>
      <w:r w:rsidRPr="00DA7920">
        <w:rPr>
          <w:rFonts w:eastAsia="Times New Roman" w:cs="Times New Roman"/>
          <w:noProof/>
          <w:szCs w:val="19"/>
          <w:lang w:eastAsia="pl-PL"/>
        </w:rPr>
        <w:t>% odbiorców używał</w:t>
      </w:r>
      <w:r w:rsidR="00D96BB3">
        <w:rPr>
          <w:rFonts w:eastAsia="Times New Roman" w:cs="Times New Roman"/>
          <w:noProof/>
          <w:szCs w:val="19"/>
          <w:lang w:eastAsia="pl-PL"/>
        </w:rPr>
        <w:t>o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go wyłącznie do gotowania posiłków, </w:t>
      </w:r>
      <w:r w:rsidR="001B6D44">
        <w:rPr>
          <w:rFonts w:eastAsia="Times New Roman" w:cs="Times New Roman"/>
          <w:noProof/>
          <w:szCs w:val="19"/>
          <w:lang w:eastAsia="pl-PL"/>
        </w:rPr>
        <w:t>a tylko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14,</w:t>
      </w:r>
      <w:r w:rsidR="00C53524">
        <w:rPr>
          <w:rFonts w:eastAsia="Times New Roman" w:cs="Times New Roman"/>
          <w:noProof/>
          <w:szCs w:val="19"/>
          <w:lang w:eastAsia="pl-PL"/>
        </w:rPr>
        <w:t>6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% </w:t>
      </w:r>
      <w:r w:rsidR="00674E43"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wyłącznie 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do 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ogrzewania mieszkań. </w:t>
      </w:r>
      <w:r w:rsidR="001B6D44" w:rsidRPr="001B6D44">
        <w:rPr>
          <w:rFonts w:eastAsia="Times New Roman" w:cs="Times New Roman"/>
          <w:noProof/>
          <w:szCs w:val="19"/>
          <w:lang w:eastAsia="pl-PL"/>
        </w:rPr>
        <w:t xml:space="preserve">Taka struktura zużycia gazu była skutkiem długoletniej praktyki instalowania sieci </w:t>
      </w:r>
      <w:r w:rsidR="001B6D44" w:rsidRPr="001B6D44">
        <w:rPr>
          <w:rFonts w:eastAsia="Times New Roman" w:cs="Times New Roman"/>
          <w:noProof/>
          <w:szCs w:val="19"/>
          <w:lang w:eastAsia="pl-PL"/>
        </w:rPr>
        <w:lastRenderedPageBreak/>
        <w:t xml:space="preserve">gazowych w budynkach wielorodzinnych wyłącznie w celu gotowania posiłków. 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Na tych obszarach kraju, do których nie dociera sieć gazu ziemnego, powszechne było zastosowanie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 xml:space="preserve">gazu ciekłego </w:t>
      </w:r>
      <w:r w:rsidR="00E73E4E" w:rsidRPr="00E73E4E">
        <w:rPr>
          <w:rFonts w:eastAsia="Times New Roman" w:cs="Times New Roman"/>
          <w:b/>
          <w:noProof/>
          <w:spacing w:val="-2"/>
          <w:sz w:val="24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79A566B9" wp14:editId="1FD42174">
                <wp:simplePos x="0" y="0"/>
                <wp:positionH relativeFrom="page">
                  <wp:align>right</wp:align>
                </wp:positionH>
                <wp:positionV relativeFrom="paragraph">
                  <wp:posOffset>606908</wp:posOffset>
                </wp:positionV>
                <wp:extent cx="1847850" cy="1362075"/>
                <wp:effectExtent l="0" t="0" r="0" b="0"/>
                <wp:wrapTight wrapText="bothSides">
                  <wp:wrapPolygon edited="0">
                    <wp:start x="668" y="0"/>
                    <wp:lineTo x="668" y="21147"/>
                    <wp:lineTo x="20709" y="21147"/>
                    <wp:lineTo x="20709" y="0"/>
                    <wp:lineTo x="668" y="0"/>
                  </wp:wrapPolygon>
                </wp:wrapTight>
                <wp:docPr id="16" name="Pole tekstowe 16" descr="W 2021 r. drewno opałowe używane było w co piątym gospodarstwie domowy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AD00" w14:textId="217EDDD6" w:rsidR="00E73E4E" w:rsidRDefault="003556E4" w:rsidP="003556E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2021 r. d</w:t>
                            </w:r>
                            <w:r w:rsidR="00E73E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rewno opałowe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używane było w co </w:t>
                            </w:r>
                            <w:r w:rsidR="00834A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834AF5" w:rsidRPr="00557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piątym</w:t>
                            </w:r>
                            <w:r w:rsidRPr="00557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gospodarstwie domowym</w:t>
                            </w:r>
                          </w:p>
                          <w:p w14:paraId="3DE0D814" w14:textId="77777777" w:rsidR="00E73E4E" w:rsidRPr="00D616D2" w:rsidRDefault="00E73E4E" w:rsidP="00E73E4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66B9" id="Pole tekstowe 16" o:spid="_x0000_s1029" type="#_x0000_t202" alt="W 2021 r. drewno opałowe używane było w co piątym gospodarstwie domowym&#10;" style="position:absolute;margin-left:94.3pt;margin-top:47.8pt;width:145.5pt;height:107.25pt;z-index:-2515568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" filled="f" stroked="f">
                <v:textbox>
                  <w:txbxContent>
                    <w:p w14:paraId="7013AD00" w14:textId="217EDDD6" w:rsidR="00E73E4E" w:rsidRDefault="003556E4" w:rsidP="003556E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2021 r. d</w:t>
                      </w:r>
                      <w:r w:rsidR="00E73E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rewno opałowe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używane było w co </w:t>
                      </w:r>
                      <w:r w:rsidR="00834A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834AF5" w:rsidRPr="00557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piątym</w:t>
                      </w:r>
                      <w:r w:rsidRPr="00557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gospodarstwie domowym</w:t>
                      </w:r>
                    </w:p>
                    <w:p w14:paraId="3DE0D814" w14:textId="77777777" w:rsidR="00E73E4E" w:rsidRPr="00D616D2" w:rsidRDefault="00E73E4E" w:rsidP="00E73E4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A7920">
        <w:rPr>
          <w:rFonts w:eastAsia="Times New Roman" w:cs="Times New Roman"/>
          <w:bCs/>
          <w:noProof/>
          <w:szCs w:val="19"/>
          <w:lang w:eastAsia="pl-PL"/>
        </w:rPr>
        <w:t>(30,6%)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, </w:t>
      </w:r>
      <w:r w:rsidR="00D96BB3">
        <w:rPr>
          <w:rFonts w:eastAsia="Times New Roman" w:cs="Times New Roman"/>
          <w:noProof/>
          <w:szCs w:val="19"/>
          <w:lang w:eastAsia="pl-PL"/>
        </w:rPr>
        <w:t xml:space="preserve">w tym 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niemal w całości </w:t>
      </w:r>
      <w:r w:rsidR="00D96BB3" w:rsidRPr="00DA7920">
        <w:rPr>
          <w:rFonts w:eastAsia="Times New Roman" w:cs="Times New Roman"/>
          <w:noProof/>
          <w:szCs w:val="19"/>
          <w:lang w:eastAsia="pl-PL"/>
        </w:rPr>
        <w:t>wykorzystywany</w:t>
      </w:r>
      <w:r w:rsidR="00D96BB3">
        <w:rPr>
          <w:rFonts w:eastAsia="Times New Roman" w:cs="Times New Roman"/>
          <w:noProof/>
          <w:szCs w:val="19"/>
          <w:lang w:eastAsia="pl-PL"/>
        </w:rPr>
        <w:t xml:space="preserve"> był</w:t>
      </w:r>
      <w:r w:rsidR="00D96BB3" w:rsidRPr="00DA7920">
        <w:rPr>
          <w:rFonts w:eastAsia="Times New Roman" w:cs="Times New Roman"/>
          <w:noProof/>
          <w:szCs w:val="19"/>
          <w:lang w:eastAsia="pl-PL"/>
        </w:rPr>
        <w:t xml:space="preserve"> 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do gotowania posiłków (30,5%). </w:t>
      </w:r>
    </w:p>
    <w:p w14:paraId="11D94332" w14:textId="73E76973" w:rsidR="007C37BF" w:rsidRPr="000D634F" w:rsidRDefault="00DA7920" w:rsidP="00783E7D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r w:rsidRPr="000D634F">
        <w:rPr>
          <w:rFonts w:eastAsia="Times New Roman" w:cs="Times New Roman"/>
          <w:noProof/>
          <w:szCs w:val="19"/>
          <w:lang w:eastAsia="pl-PL"/>
        </w:rPr>
        <w:t>Drewno opałowe wykorzystywa</w:t>
      </w:r>
      <w:r w:rsidR="00D96BB3" w:rsidRPr="000D634F">
        <w:rPr>
          <w:rFonts w:eastAsia="Times New Roman" w:cs="Times New Roman"/>
          <w:noProof/>
          <w:szCs w:val="19"/>
          <w:lang w:eastAsia="pl-PL"/>
        </w:rPr>
        <w:t>ło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21,0% gospodarstw domowych</w:t>
      </w:r>
      <w:r w:rsidR="00B843FE" w:rsidRPr="000D634F">
        <w:rPr>
          <w:rFonts w:eastAsia="Times New Roman" w:cs="Times New Roman"/>
          <w:noProof/>
          <w:szCs w:val="19"/>
          <w:lang w:eastAsia="pl-PL"/>
        </w:rPr>
        <w:t>. B</w:t>
      </w:r>
      <w:r w:rsidRPr="000D634F">
        <w:rPr>
          <w:rFonts w:eastAsia="Times New Roman" w:cs="Times New Roman"/>
          <w:noProof/>
          <w:szCs w:val="19"/>
          <w:lang w:eastAsia="pl-PL"/>
        </w:rPr>
        <w:t>yło ono jedynym odnawialnym nośnikiem energii masowo stosowanym w gospodarstwach domowych. Spalano je na ogół w tych samych kotłach i piecach co węgiel kamienny, jednocześnie z węglem lub zamiennie. Oprócz drewna</w:t>
      </w:r>
      <w:r w:rsidR="00CE0C2F" w:rsidRPr="000D634F">
        <w:rPr>
          <w:rFonts w:eastAsia="Times New Roman" w:cs="Times New Roman"/>
          <w:noProof/>
          <w:szCs w:val="19"/>
          <w:lang w:eastAsia="pl-PL"/>
        </w:rPr>
        <w:t>,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gospodarstwa zużywały także inne rodzaje biomasy, ale powszechność ich stosowania była znacznie mniejsza niż drewna. </w:t>
      </w:r>
    </w:p>
    <w:bookmarkEnd w:id="7"/>
    <w:p w14:paraId="671EE8CD" w14:textId="1355CEBD" w:rsidR="00DA7920" w:rsidRPr="000D634F" w:rsidRDefault="00DA7920" w:rsidP="00783E7D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r w:rsidRPr="000D634F">
        <w:rPr>
          <w:rFonts w:eastAsia="Times New Roman" w:cs="Times New Roman"/>
          <w:bCs/>
          <w:noProof/>
          <w:szCs w:val="19"/>
          <w:lang w:eastAsia="pl-PL"/>
        </w:rPr>
        <w:t>Kolektory słoneczne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wykorzystywało </w:t>
      </w:r>
      <w:r w:rsidR="00B843FE" w:rsidRPr="000D634F">
        <w:rPr>
          <w:rFonts w:eastAsia="Times New Roman" w:cs="Times New Roman"/>
          <w:noProof/>
          <w:szCs w:val="19"/>
          <w:lang w:eastAsia="pl-PL"/>
        </w:rPr>
        <w:t>1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na 38</w:t>
      </w:r>
      <w:r w:rsidR="00B843FE" w:rsidRPr="000D634F">
        <w:rPr>
          <w:rFonts w:eastAsia="Times New Roman" w:cs="Times New Roman"/>
          <w:noProof/>
          <w:szCs w:val="19"/>
          <w:lang w:eastAsia="pl-PL"/>
        </w:rPr>
        <w:t xml:space="preserve"> gospodarstw domowych</w:t>
      </w:r>
      <w:r w:rsidRPr="000D634F">
        <w:rPr>
          <w:rFonts w:eastAsia="Times New Roman" w:cs="Times New Roman"/>
          <w:noProof/>
          <w:szCs w:val="19"/>
          <w:lang w:eastAsia="pl-PL"/>
        </w:rPr>
        <w:t>,</w:t>
      </w:r>
      <w:r w:rsidR="007C37BF" w:rsidRPr="000D634F">
        <w:rPr>
          <w:rFonts w:eastAsia="Times New Roman" w:cs="Times New Roman"/>
          <w:noProof/>
          <w:szCs w:val="19"/>
          <w:lang w:eastAsia="pl-PL"/>
        </w:rPr>
        <w:t xml:space="preserve"> 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a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pompy ciepła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tylko </w:t>
      </w:r>
      <w:r w:rsidR="00783E7D" w:rsidRPr="000D634F">
        <w:rPr>
          <w:rFonts w:eastAsia="Times New Roman" w:cs="Times New Roman"/>
          <w:noProof/>
          <w:szCs w:val="19"/>
          <w:lang w:eastAsia="pl-PL"/>
        </w:rPr>
        <w:br/>
      </w:r>
      <w:r w:rsidR="00B843FE" w:rsidRPr="000D634F">
        <w:rPr>
          <w:rFonts w:eastAsia="Times New Roman" w:cs="Times New Roman"/>
          <w:noProof/>
          <w:szCs w:val="19"/>
          <w:lang w:eastAsia="pl-PL"/>
        </w:rPr>
        <w:t>1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na 132</w:t>
      </w:r>
      <w:r w:rsidR="00834AF5">
        <w:rPr>
          <w:rFonts w:eastAsia="Times New Roman" w:cs="Times New Roman"/>
          <w:noProof/>
          <w:szCs w:val="19"/>
          <w:lang w:eastAsia="pl-PL"/>
        </w:rPr>
        <w:t xml:space="preserve"> </w:t>
      </w:r>
      <w:r w:rsidR="00834AF5"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>gospodarstw domowych</w:t>
      </w:r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. </w:t>
      </w:r>
    </w:p>
    <w:p w14:paraId="413AC054" w14:textId="21CAEB9F" w:rsidR="00D96BB3" w:rsidRDefault="00B843FE" w:rsidP="00783E7D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bookmarkStart w:id="8" w:name="_Hlk135045910"/>
      <w:r w:rsidRPr="000D634F">
        <w:rPr>
          <w:rFonts w:eastAsia="Times New Roman" w:cs="Times New Roman"/>
          <w:bCs/>
          <w:noProof/>
          <w:szCs w:val="19"/>
          <w:lang w:eastAsia="pl-PL"/>
        </w:rPr>
        <w:t xml:space="preserve">W gospodarstwach domowych </w:t>
      </w:r>
      <w:r w:rsidR="00AD6892" w:rsidRPr="000D634F">
        <w:rPr>
          <w:rFonts w:eastAsia="Times New Roman" w:cs="Times New Roman"/>
          <w:bCs/>
          <w:noProof/>
          <w:szCs w:val="19"/>
          <w:lang w:eastAsia="pl-PL"/>
        </w:rPr>
        <w:t>e</w:t>
      </w:r>
      <w:r w:rsidR="00DA7920" w:rsidRPr="000D634F">
        <w:rPr>
          <w:rFonts w:eastAsia="Times New Roman" w:cs="Times New Roman"/>
          <w:bCs/>
          <w:noProof/>
          <w:szCs w:val="19"/>
          <w:lang w:eastAsia="pl-PL"/>
        </w:rPr>
        <w:t>nergia elektryczna</w:t>
      </w:r>
      <w:r w:rsidR="00DA7920" w:rsidRPr="000D634F">
        <w:rPr>
          <w:rFonts w:eastAsia="Times New Roman" w:cs="Times New Roman"/>
          <w:noProof/>
          <w:szCs w:val="19"/>
          <w:lang w:eastAsia="pl-PL"/>
        </w:rPr>
        <w:t xml:space="preserve"> była zużywana powszechnie</w:t>
      </w:r>
      <w:r w:rsidR="001B6D44" w:rsidRPr="000D634F">
        <w:rPr>
          <w:rFonts w:eastAsia="Times New Roman" w:cs="Times New Roman"/>
          <w:noProof/>
          <w:szCs w:val="19"/>
          <w:lang w:eastAsia="pl-PL"/>
        </w:rPr>
        <w:t>,</w:t>
      </w:r>
      <w:r w:rsidR="001B6D44" w:rsidRPr="000D634F">
        <w:t xml:space="preserve"> głównie do oświetlenia oraz zasilania urządzeń AGD i RTV</w:t>
      </w:r>
      <w:r w:rsidR="00DA7920" w:rsidRPr="000D634F">
        <w:rPr>
          <w:rFonts w:eastAsia="Times New Roman" w:cs="Times New Roman"/>
          <w:noProof/>
          <w:szCs w:val="19"/>
          <w:lang w:eastAsia="pl-PL"/>
        </w:rPr>
        <w:t xml:space="preserve">. </w:t>
      </w:r>
      <w:r w:rsidR="00DA7920" w:rsidRPr="000D634F">
        <w:rPr>
          <w:rFonts w:eastAsia="Times New Roman" w:cs="Times New Roman"/>
          <w:noProof/>
          <w:spacing w:val="-4"/>
          <w:szCs w:val="19"/>
          <w:lang w:eastAsia="pl-PL"/>
        </w:rPr>
        <w:t>Zastosowanie energii elektrycznej w celach grzewczych było niewielkie</w:t>
      </w:r>
      <w:r w:rsidR="00DA7920" w:rsidRPr="00DA7920">
        <w:rPr>
          <w:rFonts w:eastAsia="Times New Roman" w:cs="Times New Roman"/>
          <w:noProof/>
          <w:spacing w:val="-4"/>
          <w:szCs w:val="19"/>
          <w:lang w:eastAsia="pl-PL"/>
        </w:rPr>
        <w:t xml:space="preserve"> (5,5%),</w:t>
      </w:r>
      <w:r w:rsidR="00CE0C2F">
        <w:rPr>
          <w:rFonts w:eastAsia="Times New Roman" w:cs="Times New Roman"/>
          <w:noProof/>
          <w:spacing w:val="-4"/>
          <w:szCs w:val="19"/>
          <w:lang w:eastAsia="pl-PL"/>
        </w:rPr>
        <w:t xml:space="preserve"> m.in.</w:t>
      </w:r>
      <w:r w:rsidR="00DA7920" w:rsidRPr="00DA7920">
        <w:rPr>
          <w:rFonts w:eastAsia="Times New Roman" w:cs="Times New Roman"/>
          <w:noProof/>
          <w:spacing w:val="-4"/>
          <w:szCs w:val="19"/>
          <w:lang w:eastAsia="pl-PL"/>
        </w:rPr>
        <w:t xml:space="preserve"> ze względu na wysokie ceny i</w:t>
      </w:r>
      <w:r w:rsidR="006A50EB">
        <w:rPr>
          <w:rFonts w:eastAsia="Times New Roman" w:cs="Times New Roman"/>
          <w:noProof/>
          <w:spacing w:val="-4"/>
          <w:szCs w:val="19"/>
          <w:lang w:eastAsia="pl-PL"/>
        </w:rPr>
        <w:t> </w:t>
      </w:r>
      <w:r w:rsidR="00DA7920" w:rsidRPr="00DA7920">
        <w:rPr>
          <w:rFonts w:eastAsia="Times New Roman" w:cs="Times New Roman"/>
          <w:noProof/>
          <w:spacing w:val="-4"/>
          <w:szCs w:val="19"/>
          <w:lang w:eastAsia="pl-PL"/>
        </w:rPr>
        <w:t>istnienie tańszych substytutów. Energia elektryczna do gotowania posiłków i</w:t>
      </w:r>
      <w:r w:rsidR="006A50EB">
        <w:rPr>
          <w:rFonts w:eastAsia="Times New Roman" w:cs="Times New Roman"/>
          <w:noProof/>
          <w:spacing w:val="-4"/>
          <w:szCs w:val="19"/>
          <w:lang w:eastAsia="pl-PL"/>
        </w:rPr>
        <w:t> </w:t>
      </w:r>
      <w:r w:rsidR="00DA7920" w:rsidRPr="00DA7920">
        <w:rPr>
          <w:rFonts w:eastAsia="Times New Roman" w:cs="Times New Roman"/>
          <w:noProof/>
          <w:spacing w:val="-4"/>
          <w:szCs w:val="19"/>
          <w:lang w:eastAsia="pl-PL"/>
        </w:rPr>
        <w:t xml:space="preserve">ogrzewania pomieszczeń </w:t>
      </w:r>
      <w:r w:rsidRPr="00DA7920">
        <w:rPr>
          <w:rFonts w:eastAsia="Times New Roman" w:cs="Times New Roman"/>
          <w:noProof/>
          <w:spacing w:val="-4"/>
          <w:szCs w:val="19"/>
          <w:lang w:eastAsia="pl-PL"/>
        </w:rPr>
        <w:t xml:space="preserve">była stosowana </w:t>
      </w:r>
      <w:r w:rsidR="00DA7920" w:rsidRPr="00DA7920">
        <w:rPr>
          <w:rFonts w:eastAsia="Times New Roman" w:cs="Times New Roman"/>
          <w:noProof/>
          <w:spacing w:val="-4"/>
          <w:szCs w:val="19"/>
          <w:lang w:eastAsia="pl-PL"/>
        </w:rPr>
        <w:t>raczej jako nośnik dodatkowy, a do ogrzewania wody była używana głównie tam, gdzie nie było dostępu do sieci ciepłowniczej i gazowej</w:t>
      </w:r>
      <w:r w:rsidR="00DA7920" w:rsidRPr="00DA7920">
        <w:rPr>
          <w:rFonts w:eastAsia="Times New Roman" w:cs="Times New Roman"/>
          <w:noProof/>
          <w:szCs w:val="19"/>
          <w:lang w:eastAsia="pl-PL"/>
        </w:rPr>
        <w:t xml:space="preserve">. </w:t>
      </w:r>
    </w:p>
    <w:p w14:paraId="233C4936" w14:textId="2EA3238D" w:rsidR="00D96BB3" w:rsidRPr="00F44ABB" w:rsidRDefault="00D96BB3" w:rsidP="00E5338C">
      <w:pPr>
        <w:spacing w:before="360" w:line="240" w:lineRule="auto"/>
        <w:ind w:left="851" w:hanging="851"/>
        <w:rPr>
          <w:rFonts w:eastAsia="Times New Roman" w:cs="Times New Roman"/>
          <w:b/>
          <w:noProof/>
          <w:szCs w:val="19"/>
          <w:lang w:eastAsia="pl-PL"/>
        </w:rPr>
      </w:pPr>
      <w:bookmarkStart w:id="9" w:name="_Hlk135046022"/>
      <w:bookmarkEnd w:id="8"/>
      <w:r w:rsidRPr="00F44ABB">
        <w:rPr>
          <w:rFonts w:eastAsia="Times New Roman" w:cs="Times New Roman"/>
          <w:b/>
          <w:noProof/>
          <w:szCs w:val="19"/>
          <w:lang w:eastAsia="pl-PL"/>
        </w:rPr>
        <w:t>Tablica 2. Udział gospodarstw domowych wykorzystujących poszczególne nośniki energii</w:t>
      </w:r>
      <w:r w:rsidR="00E5338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F44ABB">
        <w:rPr>
          <w:rFonts w:eastAsia="Times New Roman" w:cs="Times New Roman"/>
          <w:b/>
          <w:noProof/>
          <w:szCs w:val="19"/>
          <w:lang w:eastAsia="pl-PL"/>
        </w:rPr>
        <w:t>do ogrzewania pomieszczeń (w %)</w:t>
      </w:r>
    </w:p>
    <w:tbl>
      <w:tblPr>
        <w:tblStyle w:val="Siatkatabelijasna1"/>
        <w:tblpPr w:leftFromText="141" w:rightFromText="141" w:vertAnchor="text" w:horzAnchor="margin" w:tblpY="-25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Udział gospodarstw domowych wykorzystujących poszczególne nośniki energii do ogrzewania pomieszczeń (w %)"/>
        <w:tblDescription w:val="Tablica przedstawia udział gospodarstw domowych wykorzystujących poszczególne nośniki energii do ogrzewania pomieszczeń (w %).  Dane do tabeli zamieszczono w dołączonym pliku excel."/>
      </w:tblPr>
      <w:tblGrid>
        <w:gridCol w:w="3061"/>
        <w:gridCol w:w="1192"/>
        <w:gridCol w:w="1192"/>
        <w:gridCol w:w="1192"/>
        <w:gridCol w:w="1192"/>
      </w:tblGrid>
      <w:tr w:rsidR="00CF3847" w:rsidRPr="00DA7920" w14:paraId="6A16C842" w14:textId="77777777" w:rsidTr="00CF3847">
        <w:trPr>
          <w:trHeight w:val="171"/>
        </w:trPr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9BB8" w14:textId="6A5B87B1" w:rsidR="00CF3847" w:rsidRPr="00DA7920" w:rsidRDefault="00CF3847" w:rsidP="00856603">
            <w:pPr>
              <w:contextualSpacing/>
              <w:jc w:val="center"/>
              <w:rPr>
                <w:b/>
                <w:szCs w:val="19"/>
              </w:rPr>
            </w:pPr>
            <w:bookmarkStart w:id="10" w:name="_Hlk135046077"/>
            <w:bookmarkEnd w:id="9"/>
            <w:r>
              <w:rPr>
                <w:szCs w:val="19"/>
              </w:rPr>
              <w:t>Wyszczególnienie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8237" w14:textId="77777777" w:rsidR="00CF3847" w:rsidRPr="00DA7920" w:rsidRDefault="00CF3847" w:rsidP="00856603">
            <w:pPr>
              <w:contextualSpacing/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3592" w14:textId="77777777" w:rsidR="00CF3847" w:rsidRPr="00DA7920" w:rsidRDefault="00CF3847" w:rsidP="00856603">
            <w:pPr>
              <w:contextualSpacing/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2015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07B7" w14:textId="77777777" w:rsidR="00CF3847" w:rsidRPr="00DA7920" w:rsidRDefault="00CF3847" w:rsidP="00856603">
            <w:pPr>
              <w:contextualSpacing/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2018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0E3FA" w14:textId="77777777" w:rsidR="00CF3847" w:rsidRPr="00DA7920" w:rsidRDefault="00CF3847" w:rsidP="00856603">
            <w:pPr>
              <w:spacing w:before="0" w:after="0" w:line="240" w:lineRule="auto"/>
              <w:jc w:val="center"/>
              <w:rPr>
                <w:szCs w:val="19"/>
              </w:rPr>
            </w:pPr>
            <w:r w:rsidRPr="00DA7920">
              <w:rPr>
                <w:szCs w:val="19"/>
              </w:rPr>
              <w:t>2021</w:t>
            </w:r>
          </w:p>
        </w:tc>
      </w:tr>
      <w:tr w:rsidR="00CF3847" w:rsidRPr="00DA7920" w14:paraId="53691CA7" w14:textId="77777777" w:rsidTr="00CF3847">
        <w:trPr>
          <w:trHeight w:val="171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070D6F09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 xml:space="preserve">Energia elektryczna 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4B48AB86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3DE9099F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4,5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3022FFB7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5,1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49B8D8FC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5,5</w:t>
            </w:r>
          </w:p>
        </w:tc>
      </w:tr>
      <w:tr w:rsidR="00CF3847" w:rsidRPr="00DA7920" w14:paraId="111D2F52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027D1C19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Ciepło z sieci</w:t>
            </w:r>
          </w:p>
        </w:tc>
        <w:tc>
          <w:tcPr>
            <w:tcW w:w="1192" w:type="dxa"/>
            <w:vAlign w:val="center"/>
          </w:tcPr>
          <w:p w14:paraId="14736235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41,5</w:t>
            </w:r>
          </w:p>
        </w:tc>
        <w:tc>
          <w:tcPr>
            <w:tcW w:w="1192" w:type="dxa"/>
            <w:vAlign w:val="center"/>
          </w:tcPr>
          <w:p w14:paraId="298B4B52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41,7</w:t>
            </w:r>
          </w:p>
        </w:tc>
        <w:tc>
          <w:tcPr>
            <w:tcW w:w="1192" w:type="dxa"/>
            <w:vAlign w:val="center"/>
          </w:tcPr>
          <w:p w14:paraId="5FD547E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40,4</w:t>
            </w:r>
          </w:p>
        </w:tc>
        <w:tc>
          <w:tcPr>
            <w:tcW w:w="1192" w:type="dxa"/>
            <w:vAlign w:val="center"/>
          </w:tcPr>
          <w:p w14:paraId="14335A55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52,2</w:t>
            </w:r>
          </w:p>
        </w:tc>
      </w:tr>
      <w:tr w:rsidR="00CF3847" w:rsidRPr="00DA7920" w14:paraId="3905EFB8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27AD185C" w14:textId="742F65C8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 xml:space="preserve">Gaz </w:t>
            </w:r>
            <w:proofErr w:type="spellStart"/>
            <w:r w:rsidRPr="00DA7920">
              <w:rPr>
                <w:szCs w:val="19"/>
              </w:rPr>
              <w:t>ziemny</w:t>
            </w:r>
            <w:r w:rsidR="00CA4CBD" w:rsidRPr="00CA4CBD">
              <w:rPr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192" w:type="dxa"/>
            <w:vAlign w:val="center"/>
          </w:tcPr>
          <w:p w14:paraId="3E293275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8,8</w:t>
            </w:r>
          </w:p>
        </w:tc>
        <w:tc>
          <w:tcPr>
            <w:tcW w:w="1192" w:type="dxa"/>
            <w:vAlign w:val="center"/>
          </w:tcPr>
          <w:p w14:paraId="4D8182D4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10,1</w:t>
            </w:r>
          </w:p>
        </w:tc>
        <w:tc>
          <w:tcPr>
            <w:tcW w:w="1192" w:type="dxa"/>
            <w:vAlign w:val="center"/>
          </w:tcPr>
          <w:p w14:paraId="7C84CE10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14,0</w:t>
            </w:r>
          </w:p>
        </w:tc>
        <w:tc>
          <w:tcPr>
            <w:tcW w:w="1192" w:type="dxa"/>
            <w:vAlign w:val="center"/>
          </w:tcPr>
          <w:p w14:paraId="0DE22DDB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14,6</w:t>
            </w:r>
          </w:p>
        </w:tc>
      </w:tr>
      <w:tr w:rsidR="00CF3847" w:rsidRPr="00DA7920" w14:paraId="009B6137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33CA326C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Gaz ciekły (propan-butan)</w:t>
            </w:r>
          </w:p>
        </w:tc>
        <w:tc>
          <w:tcPr>
            <w:tcW w:w="1192" w:type="dxa"/>
            <w:vAlign w:val="center"/>
          </w:tcPr>
          <w:p w14:paraId="008689A2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0,3</w:t>
            </w:r>
          </w:p>
        </w:tc>
        <w:tc>
          <w:tcPr>
            <w:tcW w:w="1192" w:type="dxa"/>
            <w:vAlign w:val="center"/>
          </w:tcPr>
          <w:p w14:paraId="445ABE2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0,3</w:t>
            </w:r>
          </w:p>
        </w:tc>
        <w:tc>
          <w:tcPr>
            <w:tcW w:w="1192" w:type="dxa"/>
            <w:vAlign w:val="center"/>
          </w:tcPr>
          <w:p w14:paraId="683CCD4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0,5</w:t>
            </w:r>
          </w:p>
        </w:tc>
        <w:tc>
          <w:tcPr>
            <w:tcW w:w="1192" w:type="dxa"/>
            <w:vAlign w:val="center"/>
          </w:tcPr>
          <w:p w14:paraId="7F9B3709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0,8</w:t>
            </w:r>
          </w:p>
        </w:tc>
      </w:tr>
      <w:tr w:rsidR="00CF3847" w:rsidRPr="00DA7920" w14:paraId="3CDDBEDF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63ED21B7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Olej opałowy</w:t>
            </w:r>
          </w:p>
        </w:tc>
        <w:tc>
          <w:tcPr>
            <w:tcW w:w="1192" w:type="dxa"/>
            <w:vAlign w:val="center"/>
          </w:tcPr>
          <w:p w14:paraId="1DE321CA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0,4</w:t>
            </w:r>
          </w:p>
        </w:tc>
        <w:tc>
          <w:tcPr>
            <w:tcW w:w="1192" w:type="dxa"/>
            <w:vAlign w:val="center"/>
          </w:tcPr>
          <w:p w14:paraId="2D9415A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0,4</w:t>
            </w:r>
          </w:p>
        </w:tc>
        <w:tc>
          <w:tcPr>
            <w:tcW w:w="1192" w:type="dxa"/>
            <w:vAlign w:val="center"/>
          </w:tcPr>
          <w:p w14:paraId="250E93C3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0,5</w:t>
            </w:r>
          </w:p>
        </w:tc>
        <w:tc>
          <w:tcPr>
            <w:tcW w:w="1192" w:type="dxa"/>
            <w:vAlign w:val="center"/>
          </w:tcPr>
          <w:p w14:paraId="3B476440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0,3</w:t>
            </w:r>
          </w:p>
        </w:tc>
      </w:tr>
      <w:tr w:rsidR="00CF3847" w:rsidRPr="00DA7920" w14:paraId="2C5E60AD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21F03FC3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Węgiel kamienny</w:t>
            </w:r>
          </w:p>
        </w:tc>
        <w:tc>
          <w:tcPr>
            <w:tcW w:w="1192" w:type="dxa"/>
            <w:vAlign w:val="center"/>
          </w:tcPr>
          <w:p w14:paraId="3CB30C38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40,8</w:t>
            </w:r>
          </w:p>
        </w:tc>
        <w:tc>
          <w:tcPr>
            <w:tcW w:w="1192" w:type="dxa"/>
            <w:vAlign w:val="center"/>
          </w:tcPr>
          <w:p w14:paraId="3BE8A3D9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40,4</w:t>
            </w:r>
          </w:p>
        </w:tc>
        <w:tc>
          <w:tcPr>
            <w:tcW w:w="1192" w:type="dxa"/>
            <w:vAlign w:val="center"/>
          </w:tcPr>
          <w:p w14:paraId="66E29E10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36,5</w:t>
            </w:r>
          </w:p>
        </w:tc>
        <w:tc>
          <w:tcPr>
            <w:tcW w:w="1192" w:type="dxa"/>
            <w:vAlign w:val="center"/>
          </w:tcPr>
          <w:p w14:paraId="1ED6AAAD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20,9</w:t>
            </w:r>
          </w:p>
        </w:tc>
      </w:tr>
      <w:tr w:rsidR="00CF3847" w:rsidRPr="00DA7920" w14:paraId="1F2CFEFC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3BAF9EAC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Węgiel brunatny</w:t>
            </w:r>
          </w:p>
        </w:tc>
        <w:tc>
          <w:tcPr>
            <w:tcW w:w="1192" w:type="dxa"/>
            <w:vAlign w:val="center"/>
          </w:tcPr>
          <w:p w14:paraId="16B01AC3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1,4</w:t>
            </w:r>
          </w:p>
        </w:tc>
        <w:tc>
          <w:tcPr>
            <w:tcW w:w="1192" w:type="dxa"/>
            <w:vAlign w:val="center"/>
          </w:tcPr>
          <w:p w14:paraId="7CFF7757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1,1</w:t>
            </w:r>
          </w:p>
        </w:tc>
        <w:tc>
          <w:tcPr>
            <w:tcW w:w="1192" w:type="dxa"/>
            <w:vAlign w:val="center"/>
          </w:tcPr>
          <w:p w14:paraId="6F922FE6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0,5</w:t>
            </w:r>
          </w:p>
        </w:tc>
        <w:tc>
          <w:tcPr>
            <w:tcW w:w="1192" w:type="dxa"/>
            <w:vAlign w:val="center"/>
          </w:tcPr>
          <w:p w14:paraId="56448EF4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0,4</w:t>
            </w:r>
          </w:p>
        </w:tc>
      </w:tr>
      <w:tr w:rsidR="00CF3847" w:rsidRPr="00DA7920" w14:paraId="62830233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1C3EC2F2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Koks</w:t>
            </w:r>
          </w:p>
        </w:tc>
        <w:tc>
          <w:tcPr>
            <w:tcW w:w="1192" w:type="dxa"/>
            <w:vAlign w:val="center"/>
          </w:tcPr>
          <w:p w14:paraId="01D911F4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0,7</w:t>
            </w:r>
          </w:p>
        </w:tc>
        <w:tc>
          <w:tcPr>
            <w:tcW w:w="1192" w:type="dxa"/>
            <w:vAlign w:val="center"/>
          </w:tcPr>
          <w:p w14:paraId="7F925CBB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0,8</w:t>
            </w:r>
          </w:p>
        </w:tc>
        <w:tc>
          <w:tcPr>
            <w:tcW w:w="1192" w:type="dxa"/>
            <w:vAlign w:val="center"/>
          </w:tcPr>
          <w:p w14:paraId="2CFC80C0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0,6</w:t>
            </w:r>
          </w:p>
        </w:tc>
        <w:tc>
          <w:tcPr>
            <w:tcW w:w="1192" w:type="dxa"/>
            <w:vAlign w:val="center"/>
          </w:tcPr>
          <w:p w14:paraId="6DE4183E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0,2</w:t>
            </w:r>
          </w:p>
        </w:tc>
      </w:tr>
      <w:tr w:rsidR="00CF3847" w:rsidRPr="00DA7920" w14:paraId="76191233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56F84C25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Drewno opałowe</w:t>
            </w:r>
          </w:p>
        </w:tc>
        <w:tc>
          <w:tcPr>
            <w:tcW w:w="1192" w:type="dxa"/>
            <w:vAlign w:val="center"/>
          </w:tcPr>
          <w:p w14:paraId="7D1567CF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40</w:t>
            </w:r>
          </w:p>
        </w:tc>
        <w:tc>
          <w:tcPr>
            <w:tcW w:w="1192" w:type="dxa"/>
            <w:vAlign w:val="center"/>
          </w:tcPr>
          <w:p w14:paraId="393C7AF8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41,7</w:t>
            </w:r>
          </w:p>
        </w:tc>
        <w:tc>
          <w:tcPr>
            <w:tcW w:w="1192" w:type="dxa"/>
            <w:vAlign w:val="center"/>
          </w:tcPr>
          <w:p w14:paraId="60463EDA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28,8</w:t>
            </w:r>
          </w:p>
        </w:tc>
        <w:tc>
          <w:tcPr>
            <w:tcW w:w="1192" w:type="dxa"/>
            <w:vAlign w:val="center"/>
          </w:tcPr>
          <w:p w14:paraId="01E62B55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20,7</w:t>
            </w:r>
          </w:p>
        </w:tc>
      </w:tr>
      <w:tr w:rsidR="00CF3847" w:rsidRPr="00DA7920" w14:paraId="4597AF22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3ADC22D2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Inne rodzaje biomasy</w:t>
            </w:r>
          </w:p>
        </w:tc>
        <w:tc>
          <w:tcPr>
            <w:tcW w:w="1192" w:type="dxa"/>
            <w:vAlign w:val="center"/>
          </w:tcPr>
          <w:p w14:paraId="2573E04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4,3</w:t>
            </w:r>
          </w:p>
        </w:tc>
        <w:tc>
          <w:tcPr>
            <w:tcW w:w="1192" w:type="dxa"/>
            <w:vAlign w:val="center"/>
          </w:tcPr>
          <w:p w14:paraId="696ED356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3,0</w:t>
            </w:r>
          </w:p>
        </w:tc>
        <w:tc>
          <w:tcPr>
            <w:tcW w:w="1192" w:type="dxa"/>
            <w:vAlign w:val="center"/>
          </w:tcPr>
          <w:p w14:paraId="5BAE6D25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1,3</w:t>
            </w:r>
          </w:p>
        </w:tc>
        <w:tc>
          <w:tcPr>
            <w:tcW w:w="1192" w:type="dxa"/>
            <w:vAlign w:val="center"/>
          </w:tcPr>
          <w:p w14:paraId="4D9E1BA7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2,3</w:t>
            </w:r>
          </w:p>
        </w:tc>
      </w:tr>
      <w:tr w:rsidR="00CF3847" w:rsidRPr="00DA7920" w14:paraId="7A3C5073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6726808B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Energia słoneczna</w:t>
            </w:r>
          </w:p>
        </w:tc>
        <w:tc>
          <w:tcPr>
            <w:tcW w:w="1192" w:type="dxa"/>
            <w:vAlign w:val="center"/>
          </w:tcPr>
          <w:p w14:paraId="62E9A820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0,07</w:t>
            </w:r>
          </w:p>
        </w:tc>
        <w:tc>
          <w:tcPr>
            <w:tcW w:w="1192" w:type="dxa"/>
            <w:vAlign w:val="center"/>
          </w:tcPr>
          <w:p w14:paraId="38E3B0FD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0,15</w:t>
            </w:r>
          </w:p>
        </w:tc>
        <w:tc>
          <w:tcPr>
            <w:tcW w:w="1192" w:type="dxa"/>
            <w:vAlign w:val="center"/>
          </w:tcPr>
          <w:p w14:paraId="120999D4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0,13</w:t>
            </w:r>
          </w:p>
        </w:tc>
        <w:tc>
          <w:tcPr>
            <w:tcW w:w="1192" w:type="dxa"/>
            <w:vAlign w:val="center"/>
          </w:tcPr>
          <w:p w14:paraId="155F0B2C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0,40</w:t>
            </w:r>
          </w:p>
        </w:tc>
      </w:tr>
      <w:tr w:rsidR="00CF3847" w:rsidRPr="00DA7920" w14:paraId="29301A1E" w14:textId="77777777" w:rsidTr="00CF3847">
        <w:trPr>
          <w:trHeight w:val="171"/>
        </w:trPr>
        <w:tc>
          <w:tcPr>
            <w:tcW w:w="3061" w:type="dxa"/>
            <w:vAlign w:val="center"/>
          </w:tcPr>
          <w:p w14:paraId="76E75831" w14:textId="77777777" w:rsidR="00CF3847" w:rsidRPr="00DA7920" w:rsidRDefault="00CF3847" w:rsidP="00856603">
            <w:pPr>
              <w:contextualSpacing/>
              <w:rPr>
                <w:szCs w:val="19"/>
              </w:rPr>
            </w:pPr>
            <w:r w:rsidRPr="00DA7920">
              <w:rPr>
                <w:szCs w:val="19"/>
              </w:rPr>
              <w:t>Pompa ciepła</w:t>
            </w:r>
          </w:p>
        </w:tc>
        <w:tc>
          <w:tcPr>
            <w:tcW w:w="1192" w:type="dxa"/>
            <w:vAlign w:val="center"/>
          </w:tcPr>
          <w:p w14:paraId="42A7AFF1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0,05</w:t>
            </w:r>
          </w:p>
        </w:tc>
        <w:tc>
          <w:tcPr>
            <w:tcW w:w="1192" w:type="dxa"/>
            <w:vAlign w:val="center"/>
          </w:tcPr>
          <w:p w14:paraId="36159435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0,07</w:t>
            </w:r>
          </w:p>
        </w:tc>
        <w:tc>
          <w:tcPr>
            <w:tcW w:w="1192" w:type="dxa"/>
            <w:vAlign w:val="center"/>
          </w:tcPr>
          <w:p w14:paraId="74E37F0E" w14:textId="77777777" w:rsidR="00CF3847" w:rsidRPr="00DA7920" w:rsidRDefault="00CF3847" w:rsidP="00856603">
            <w:pPr>
              <w:contextualSpacing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0,28</w:t>
            </w:r>
          </w:p>
        </w:tc>
        <w:tc>
          <w:tcPr>
            <w:tcW w:w="1192" w:type="dxa"/>
            <w:vAlign w:val="center"/>
          </w:tcPr>
          <w:p w14:paraId="568E3911" w14:textId="77777777" w:rsidR="00CF3847" w:rsidRPr="00DA7920" w:rsidRDefault="00CF3847" w:rsidP="00856603">
            <w:pPr>
              <w:spacing w:before="0" w:after="0" w:line="240" w:lineRule="auto"/>
              <w:jc w:val="right"/>
              <w:rPr>
                <w:szCs w:val="19"/>
              </w:rPr>
            </w:pPr>
            <w:r w:rsidRPr="00DA7920">
              <w:rPr>
                <w:szCs w:val="19"/>
              </w:rPr>
              <w:t>0,69</w:t>
            </w:r>
          </w:p>
        </w:tc>
      </w:tr>
    </w:tbl>
    <w:bookmarkEnd w:id="10"/>
    <w:p w14:paraId="149B53E4" w14:textId="6F9DE837" w:rsidR="00D96BB3" w:rsidRPr="00DA7920" w:rsidRDefault="00CA0357" w:rsidP="00D96BB3">
      <w:pPr>
        <w:spacing w:before="0" w:after="0"/>
        <w:rPr>
          <w:rFonts w:eastAsia="Times New Roman" w:cs="Times New Roman"/>
          <w:noProof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w:t xml:space="preserve">a </w:t>
      </w:r>
      <w:r w:rsidR="00D96BB3" w:rsidRPr="00DA7920">
        <w:rPr>
          <w:rFonts w:eastAsia="Times New Roman" w:cs="Times New Roman"/>
          <w:noProof/>
          <w:sz w:val="16"/>
          <w:szCs w:val="16"/>
          <w:lang w:eastAsia="pl-PL"/>
        </w:rPr>
        <w:t xml:space="preserve">- dane za </w:t>
      </w:r>
      <w:r w:rsidR="00D96BB3" w:rsidRPr="00557E7C">
        <w:rPr>
          <w:rFonts w:eastAsia="Times New Roman" w:cs="Times New Roman"/>
          <w:noProof/>
          <w:sz w:val="16"/>
          <w:szCs w:val="16"/>
          <w:lang w:eastAsia="pl-PL"/>
        </w:rPr>
        <w:t xml:space="preserve">2012 </w:t>
      </w:r>
      <w:r w:rsidR="00FC3531" w:rsidRPr="00557E7C">
        <w:rPr>
          <w:rFonts w:eastAsia="Times New Roman" w:cs="Times New Roman"/>
          <w:noProof/>
          <w:sz w:val="16"/>
          <w:szCs w:val="16"/>
          <w:lang w:eastAsia="pl-PL"/>
        </w:rPr>
        <w:t xml:space="preserve">rok </w:t>
      </w:r>
      <w:r w:rsidR="00D96BB3" w:rsidRPr="00DA7920">
        <w:rPr>
          <w:rFonts w:eastAsia="Times New Roman" w:cs="Times New Roman"/>
          <w:noProof/>
          <w:sz w:val="16"/>
          <w:szCs w:val="16"/>
          <w:lang w:eastAsia="pl-PL"/>
        </w:rPr>
        <w:t>dot</w:t>
      </w:r>
      <w:r w:rsidR="004C0D8B">
        <w:rPr>
          <w:rFonts w:eastAsia="Times New Roman" w:cs="Times New Roman"/>
          <w:noProof/>
          <w:sz w:val="16"/>
          <w:szCs w:val="16"/>
          <w:lang w:eastAsia="pl-PL"/>
        </w:rPr>
        <w:t>yczą</w:t>
      </w:r>
      <w:r w:rsidR="00D96BB3" w:rsidRPr="00DA7920">
        <w:rPr>
          <w:rFonts w:eastAsia="Times New Roman" w:cs="Times New Roman"/>
          <w:noProof/>
          <w:sz w:val="16"/>
          <w:szCs w:val="16"/>
          <w:lang w:eastAsia="pl-PL"/>
        </w:rPr>
        <w:t xml:space="preserve"> gazu wysokometanowego</w:t>
      </w:r>
    </w:p>
    <w:p w14:paraId="57F03E00" w14:textId="27A66371" w:rsidR="00DA7920" w:rsidRDefault="00DA7920" w:rsidP="00DA7920">
      <w:pPr>
        <w:spacing w:before="360" w:line="240" w:lineRule="auto"/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</w:pPr>
      <w:bookmarkStart w:id="11" w:name="_Hlk135046327"/>
      <w:r w:rsidRPr="00DA7920"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  <w:t>Wyposa</w:t>
      </w:r>
      <w:r w:rsidR="00964C24"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  <w:t>ż</w:t>
      </w:r>
      <w:r w:rsidRPr="00DA7920"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  <w:t>enie w urządzenia do ogrzewania pomieszczeń i wody</w:t>
      </w:r>
    </w:p>
    <w:p w14:paraId="092F1831" w14:textId="1415FAE9" w:rsidR="00B4742F" w:rsidRDefault="00DA7920" w:rsidP="00840B82">
      <w:pPr>
        <w:spacing w:line="290" w:lineRule="auto"/>
        <w:rPr>
          <w:rFonts w:eastAsia="Times New Roman" w:cs="Times New Roman"/>
          <w:noProof/>
          <w:szCs w:val="19"/>
          <w:lang w:eastAsia="pl-PL"/>
        </w:rPr>
      </w:pPr>
      <w:bookmarkStart w:id="12" w:name="_Hlk135046625"/>
      <w:bookmarkEnd w:id="11"/>
      <w:r w:rsidRPr="00557E7C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W mieszkaniach 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wyposażonych we własne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kotły centralnego ogrzewania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 (na paliwa stałe lub na gaz ziemny) najczęściej występowały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kotły dwufunkcyjne (26,3%)</w:t>
      </w:r>
      <w:r w:rsidRPr="000D634F">
        <w:rPr>
          <w:rFonts w:eastAsia="Times New Roman" w:cs="Times New Roman"/>
          <w:noProof/>
          <w:szCs w:val="19"/>
          <w:lang w:eastAsia="pl-PL"/>
        </w:rPr>
        <w:t>, służące jednocześnie do przygotowania ciepłej wody. Kotły jednofunkcyjne były mniej popularne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(15,1%), a jeszcze rzadziej występowały kominki (2,4%).</w:t>
      </w:r>
    </w:p>
    <w:bookmarkEnd w:id="12"/>
    <w:p w14:paraId="622BB2A6" w14:textId="078F623A" w:rsidR="00F430F9" w:rsidRDefault="00F430F9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22B7F28F" w14:textId="09039D1F" w:rsidR="00315158" w:rsidRDefault="00315158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6AAF6495" w14:textId="5810B3FF" w:rsidR="00840B82" w:rsidRDefault="00840B82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13D61D06" w14:textId="18242B6D" w:rsidR="00840B82" w:rsidRDefault="00840B82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3EA2A993" w14:textId="77777777" w:rsidR="00840B82" w:rsidRDefault="00840B82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12EED7F5" w14:textId="6FDF9B95" w:rsidR="00315158" w:rsidRDefault="00315158" w:rsidP="00F430F9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</w:p>
    <w:p w14:paraId="05AAA7CB" w14:textId="0EE8D7E9" w:rsidR="00DA7920" w:rsidRDefault="00DA7920" w:rsidP="006025CF">
      <w:pPr>
        <w:spacing w:before="0" w:after="0" w:line="240" w:lineRule="auto"/>
        <w:rPr>
          <w:b/>
          <w:spacing w:val="-2"/>
          <w:szCs w:val="19"/>
          <w:shd w:val="clear" w:color="auto" w:fill="FFFFFF"/>
        </w:rPr>
      </w:pPr>
      <w:r w:rsidRPr="00C55247">
        <w:rPr>
          <w:b/>
          <w:spacing w:val="-2"/>
          <w:szCs w:val="19"/>
        </w:rPr>
        <w:lastRenderedPageBreak/>
        <w:t>Wykres 1.</w:t>
      </w:r>
      <w:r w:rsidRPr="00C55247">
        <w:rPr>
          <w:b/>
          <w:spacing w:val="-2"/>
          <w:szCs w:val="19"/>
          <w:shd w:val="clear" w:color="auto" w:fill="FFFFFF"/>
        </w:rPr>
        <w:t xml:space="preserve"> Ogrzewanie pomieszczeń według technik ogrzewania w 2021</w:t>
      </w:r>
      <w:r w:rsidR="004D17DD">
        <w:rPr>
          <w:b/>
          <w:spacing w:val="-2"/>
          <w:szCs w:val="19"/>
          <w:shd w:val="clear" w:color="auto" w:fill="FFFFFF"/>
        </w:rPr>
        <w:t xml:space="preserve"> </w:t>
      </w:r>
      <w:r w:rsidRPr="00C55247">
        <w:rPr>
          <w:b/>
          <w:spacing w:val="-2"/>
          <w:szCs w:val="19"/>
          <w:shd w:val="clear" w:color="auto" w:fill="FFFFFF"/>
        </w:rPr>
        <w:t>r</w:t>
      </w:r>
      <w:r w:rsidR="000D634F">
        <w:rPr>
          <w:b/>
          <w:spacing w:val="-2"/>
          <w:szCs w:val="19"/>
          <w:shd w:val="clear" w:color="auto" w:fill="FFFFFF"/>
        </w:rPr>
        <w:t>.</w:t>
      </w:r>
      <w:r w:rsidR="008204CA">
        <w:rPr>
          <w:b/>
          <w:spacing w:val="-2"/>
          <w:szCs w:val="19"/>
          <w:shd w:val="clear" w:color="auto" w:fill="FFFFFF"/>
        </w:rPr>
        <w:t xml:space="preserve"> (w %)</w:t>
      </w:r>
      <w:r w:rsidRPr="00C55247">
        <w:rPr>
          <w:b/>
          <w:spacing w:val="-2"/>
          <w:szCs w:val="19"/>
          <w:shd w:val="clear" w:color="auto" w:fill="FFFFFF"/>
        </w:rPr>
        <w:t xml:space="preserve">. </w:t>
      </w:r>
    </w:p>
    <w:p w14:paraId="422CF02E" w14:textId="68FE15F2" w:rsidR="006645E8" w:rsidRDefault="006645E8" w:rsidP="006025CF">
      <w:pPr>
        <w:spacing w:before="0" w:after="0" w:line="240" w:lineRule="auto"/>
        <w:rPr>
          <w:b/>
          <w:spacing w:val="-2"/>
          <w:szCs w:val="19"/>
          <w:shd w:val="clear" w:color="auto" w:fill="FFFFFF"/>
        </w:rPr>
      </w:pPr>
    </w:p>
    <w:p w14:paraId="60132B45" w14:textId="0445002B" w:rsidR="006645E8" w:rsidRDefault="00E17890" w:rsidP="006025CF">
      <w:pPr>
        <w:spacing w:before="0" w:after="0" w:line="240" w:lineRule="auto"/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inline distT="0" distB="0" distL="0" distR="0" wp14:anchorId="5B036D69" wp14:editId="43F1B233">
            <wp:extent cx="5120635" cy="3189427"/>
            <wp:effectExtent l="0" t="0" r="0" b="0"/>
            <wp:docPr id="12" name="Obraz 12" descr="Wykres 1. Na wykresie kołowym przedstawiono ogrzewanie pomieszczeń według technik ogrzewania w 2021 r. Dane do wykresu zamieszczono w do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2" b="12481"/>
                    <a:stretch/>
                  </pic:blipFill>
                  <pic:spPr bwMode="auto">
                    <a:xfrm>
                      <a:off x="0" y="0"/>
                      <a:ext cx="5121275" cy="31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FA9AA" w14:textId="77777777" w:rsidR="006025CF" w:rsidRDefault="003C5B4A" w:rsidP="006025CF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bookmarkStart w:id="13" w:name="_Hlk135047331"/>
      <w:r w:rsidRPr="00DA7920">
        <w:rPr>
          <w:rFonts w:eastAsia="Times New Roman" w:cs="Times New Roman"/>
          <w:noProof/>
          <w:szCs w:val="19"/>
          <w:lang w:eastAsia="pl-PL"/>
        </w:rPr>
        <w:t xml:space="preserve">Do pozyskania ciepłej wody najczęściej wykorzystywano sieć ciepłowniczą (41,1% gospodarstw domowych), </w:t>
      </w:r>
      <w:r>
        <w:rPr>
          <w:rFonts w:eastAsia="Times New Roman" w:cs="Times New Roman"/>
          <w:noProof/>
          <w:szCs w:val="19"/>
          <w:lang w:eastAsia="pl-PL"/>
        </w:rPr>
        <w:t>znaczny udział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miały także bojlery lub termy elektryczne (19,5%) oraz piecyki łazienkowe gazowe (1</w:t>
      </w:r>
      <w:r w:rsidR="00CA0357">
        <w:rPr>
          <w:rFonts w:eastAsia="Times New Roman" w:cs="Times New Roman"/>
          <w:noProof/>
          <w:szCs w:val="19"/>
          <w:lang w:eastAsia="pl-PL"/>
        </w:rPr>
        <w:t>3</w:t>
      </w:r>
      <w:r w:rsidRPr="00DA7920">
        <w:rPr>
          <w:rFonts w:eastAsia="Times New Roman" w:cs="Times New Roman"/>
          <w:noProof/>
          <w:szCs w:val="19"/>
          <w:lang w:eastAsia="pl-PL"/>
        </w:rPr>
        <w:t>,4%). Kotły dwufunkcyjne lub odgrzewacze wody na</w:t>
      </w:r>
      <w:r>
        <w:rPr>
          <w:rFonts w:eastAsia="Times New Roman" w:cs="Times New Roman"/>
          <w:noProof/>
          <w:szCs w:val="19"/>
          <w:lang w:eastAsia="pl-PL"/>
        </w:rPr>
        <w:t> 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paliwa stałe były używane w </w:t>
      </w:r>
      <w:r w:rsidR="00411202">
        <w:rPr>
          <w:rFonts w:eastAsia="Times New Roman" w:cs="Times New Roman"/>
          <w:noProof/>
          <w:szCs w:val="19"/>
          <w:lang w:eastAsia="pl-PL"/>
        </w:rPr>
        <w:t>13,5</w:t>
      </w:r>
      <w:r w:rsidRPr="00DA7920">
        <w:rPr>
          <w:rFonts w:eastAsia="Times New Roman" w:cs="Times New Roman"/>
          <w:noProof/>
          <w:szCs w:val="19"/>
          <w:lang w:eastAsia="pl-PL"/>
        </w:rPr>
        <w:t>% gospodarstw domowych, a na gaz ziemny w 11,2%.</w:t>
      </w:r>
    </w:p>
    <w:bookmarkEnd w:id="13"/>
    <w:p w14:paraId="2E0DDAE9" w14:textId="38A403B7" w:rsidR="002D7D64" w:rsidRDefault="00DA7920" w:rsidP="006025CF">
      <w:pPr>
        <w:spacing w:line="288" w:lineRule="auto"/>
        <w:rPr>
          <w:noProof/>
        </w:rPr>
      </w:pPr>
      <w:r w:rsidRPr="00C55247">
        <w:rPr>
          <w:b/>
          <w:spacing w:val="-2"/>
          <w:szCs w:val="19"/>
        </w:rPr>
        <w:t>Wykres 2.</w:t>
      </w:r>
      <w:r w:rsidRPr="00C55247">
        <w:rPr>
          <w:b/>
          <w:spacing w:val="-2"/>
          <w:szCs w:val="19"/>
          <w:shd w:val="clear" w:color="auto" w:fill="FFFFFF"/>
        </w:rPr>
        <w:t xml:space="preserve"> Ogrzewanie wody według technik ogrzewania w 2021 r.</w:t>
      </w:r>
      <w:r w:rsidR="002009F6">
        <w:rPr>
          <w:b/>
          <w:spacing w:val="-2"/>
          <w:szCs w:val="19"/>
          <w:shd w:val="clear" w:color="auto" w:fill="FFFFFF"/>
        </w:rPr>
        <w:t xml:space="preserve"> (w %)</w:t>
      </w:r>
    </w:p>
    <w:p w14:paraId="673D47D3" w14:textId="28DD020D" w:rsidR="006645E8" w:rsidRDefault="006645E8" w:rsidP="006025CF">
      <w:pPr>
        <w:spacing w:line="288" w:lineRule="auto"/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inline distT="0" distB="0" distL="0" distR="0" wp14:anchorId="601B1CB0" wp14:editId="28FAD886">
            <wp:extent cx="5011171" cy="2999232"/>
            <wp:effectExtent l="0" t="0" r="0" b="0"/>
            <wp:docPr id="7" name="Obraz 7" descr="Wykres 2. Na wykresie kołowym przedstawiono ogrzewanie wody według technik ogrzewania w 2021 r. Dane do wykresu zamieszczono w do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" t="9566" b="23954"/>
                    <a:stretch/>
                  </pic:blipFill>
                  <pic:spPr bwMode="auto">
                    <a:xfrm>
                      <a:off x="0" y="0"/>
                      <a:ext cx="5011420" cy="299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F5937" w14:textId="33430B1B" w:rsidR="00DA7920" w:rsidRPr="002D7D64" w:rsidRDefault="00DA7920" w:rsidP="00DA7920">
      <w:pPr>
        <w:spacing w:before="360" w:line="240" w:lineRule="auto"/>
        <w:rPr>
          <w:b/>
          <w:spacing w:val="-2"/>
          <w:szCs w:val="19"/>
          <w:shd w:val="clear" w:color="auto" w:fill="FFFFFF"/>
        </w:rPr>
      </w:pPr>
      <w:bookmarkStart w:id="14" w:name="_Hlk135047854"/>
      <w:r w:rsidRPr="00DA7920"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  <w:t>Wyposażenie gospodarstw domowych w urządzenia zużywające energię</w:t>
      </w:r>
    </w:p>
    <w:p w14:paraId="2DDE8193" w14:textId="1C1BE545" w:rsidR="00DA7920" w:rsidRPr="00DA7920" w:rsidRDefault="00DA7920" w:rsidP="00DA7920">
      <w:pPr>
        <w:spacing w:line="288" w:lineRule="auto"/>
        <w:rPr>
          <w:rFonts w:eastAsia="Times New Roman" w:cs="Times New Roman"/>
          <w:noProof/>
          <w:szCs w:val="19"/>
          <w:lang w:eastAsia="pl-PL"/>
        </w:rPr>
      </w:pPr>
      <w:r w:rsidRPr="00DA7920">
        <w:rPr>
          <w:rFonts w:eastAsia="Times New Roman" w:cs="Times New Roman"/>
          <w:noProof/>
          <w:szCs w:val="19"/>
          <w:lang w:eastAsia="pl-PL"/>
        </w:rPr>
        <w:t xml:space="preserve">Większość gospodarstw domowych była wyposażona </w:t>
      </w:r>
      <w:r w:rsidRPr="005C44B0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w </w:t>
      </w:r>
      <w:r w:rsidR="00336415" w:rsidRPr="005C44B0">
        <w:rPr>
          <w:rFonts w:eastAsia="Times New Roman" w:cs="Times New Roman"/>
          <w:noProof/>
          <w:color w:val="000000" w:themeColor="text1"/>
          <w:szCs w:val="19"/>
          <w:lang w:eastAsia="pl-PL"/>
        </w:rPr>
        <w:t>podstawowe</w:t>
      </w:r>
      <w:r w:rsidRPr="005C44B0">
        <w:rPr>
          <w:rFonts w:eastAsia="Times New Roman" w:cs="Times New Roman"/>
          <w:noProof/>
          <w:color w:val="000000" w:themeColor="text1"/>
          <w:szCs w:val="19"/>
          <w:lang w:eastAsia="pl-PL"/>
        </w:rPr>
        <w:t xml:space="preserve"> urządzenia 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zużywające energię, zarówno te, które zaspokajały podstawowe potrzeby grzewcze jak i te, które poprawiały komfort życia mieszkańców. Zdecydowana większość gospodarstw domowych posiadała najważniejsze </w:t>
      </w:r>
      <w:r w:rsidRPr="000D634F">
        <w:rPr>
          <w:rFonts w:eastAsia="Times New Roman" w:cs="Times New Roman"/>
          <w:noProof/>
          <w:szCs w:val="19"/>
          <w:lang w:eastAsia="pl-PL"/>
        </w:rPr>
        <w:t xml:space="preserve">domowe </w:t>
      </w:r>
      <w:r w:rsidRPr="000D634F">
        <w:rPr>
          <w:rFonts w:eastAsia="Times New Roman" w:cs="Times New Roman"/>
          <w:bCs/>
          <w:noProof/>
          <w:szCs w:val="19"/>
          <w:lang w:eastAsia="pl-PL"/>
        </w:rPr>
        <w:t>urządzenia elektryczne</w:t>
      </w:r>
      <w:r w:rsidRPr="000D634F">
        <w:rPr>
          <w:rFonts w:eastAsia="Times New Roman" w:cs="Times New Roman"/>
          <w:noProof/>
          <w:szCs w:val="19"/>
          <w:lang w:eastAsia="pl-PL"/>
        </w:rPr>
        <w:t>, tj.</w:t>
      </w:r>
      <w:r w:rsidRPr="00DA7920">
        <w:rPr>
          <w:rFonts w:eastAsia="Times New Roman" w:cs="Times New Roman"/>
          <w:noProof/>
          <w:szCs w:val="19"/>
          <w:lang w:eastAsia="pl-PL"/>
        </w:rPr>
        <w:t xml:space="preserve"> odbiorniki telewizyjne (89,9%)</w:t>
      </w:r>
      <w:r w:rsidR="00522A6D">
        <w:rPr>
          <w:rFonts w:eastAsia="Times New Roman" w:cs="Times New Roman"/>
          <w:noProof/>
          <w:szCs w:val="19"/>
          <w:lang w:eastAsia="pl-PL"/>
        </w:rPr>
        <w:t xml:space="preserve">, </w:t>
      </w:r>
      <w:r w:rsidR="00522A6D" w:rsidRPr="00DA7920">
        <w:rPr>
          <w:rFonts w:eastAsia="Times New Roman" w:cs="Times New Roman"/>
          <w:noProof/>
          <w:szCs w:val="19"/>
          <w:lang w:eastAsia="pl-PL"/>
        </w:rPr>
        <w:t>pralki automatyczne (89,6%) i chłodziarko</w:t>
      </w:r>
      <w:r w:rsidR="00522A6D" w:rsidRPr="00DA7920">
        <w:rPr>
          <w:rFonts w:eastAsia="Times New Roman" w:cs="Times New Roman"/>
          <w:b/>
          <w:noProof/>
          <w:szCs w:val="19"/>
          <w:lang w:eastAsia="pl-PL"/>
        </w:rPr>
        <w:t>-</w:t>
      </w:r>
      <w:r w:rsidR="00522A6D" w:rsidRPr="00DA7920">
        <w:rPr>
          <w:rFonts w:eastAsia="Times New Roman" w:cs="Times New Roman"/>
          <w:noProof/>
          <w:szCs w:val="19"/>
          <w:lang w:eastAsia="pl-PL"/>
        </w:rPr>
        <w:t>zamrażarki (81,3%)</w:t>
      </w:r>
      <w:r w:rsidR="00522A6D">
        <w:rPr>
          <w:rFonts w:eastAsia="Times New Roman" w:cs="Times New Roman"/>
          <w:noProof/>
          <w:szCs w:val="19"/>
          <w:lang w:eastAsia="pl-PL"/>
        </w:rPr>
        <w:t>.</w:t>
      </w:r>
    </w:p>
    <w:p w14:paraId="3DA7AE1E" w14:textId="77777777" w:rsidR="00840B82" w:rsidRDefault="00840B82" w:rsidP="00CF3847">
      <w:pPr>
        <w:spacing w:line="274" w:lineRule="auto"/>
        <w:jc w:val="both"/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</w:pPr>
      <w:bookmarkStart w:id="15" w:name="_Hlk135048311"/>
      <w:bookmarkEnd w:id="14"/>
    </w:p>
    <w:p w14:paraId="08EEA27C" w14:textId="77777777" w:rsidR="00840B82" w:rsidRDefault="00840B82" w:rsidP="00CF3847">
      <w:pPr>
        <w:spacing w:line="274" w:lineRule="auto"/>
        <w:jc w:val="both"/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</w:pPr>
    </w:p>
    <w:p w14:paraId="51657FC4" w14:textId="64CF8A04" w:rsidR="00CF3847" w:rsidRPr="00CF3847" w:rsidRDefault="00CF3847" w:rsidP="00CF3847">
      <w:pPr>
        <w:spacing w:line="274" w:lineRule="auto"/>
        <w:jc w:val="both"/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</w:pPr>
      <w:r w:rsidRPr="00CF3847">
        <w:rPr>
          <w:rFonts w:ascii="Fira Sans SemiBold" w:eastAsia="Times New Roman" w:hAnsi="Fira Sans SemiBold" w:cs="Times New Roman"/>
          <w:noProof/>
          <w:color w:val="001D77"/>
          <w:szCs w:val="19"/>
          <w:lang w:eastAsia="pl-PL"/>
        </w:rPr>
        <w:lastRenderedPageBreak/>
        <w:t>Ubóstwo energetyczne</w:t>
      </w:r>
    </w:p>
    <w:p w14:paraId="26339815" w14:textId="2F479642" w:rsidR="00CF3847" w:rsidRPr="000D634F" w:rsidRDefault="00CF3847" w:rsidP="00CF3847">
      <w:pPr>
        <w:spacing w:after="160" w:line="276" w:lineRule="auto"/>
        <w:rPr>
          <w:rFonts w:eastAsia="Calibri"/>
        </w:rPr>
      </w:pPr>
      <w:r>
        <w:rPr>
          <w:rFonts w:eastAsia="Calibri"/>
        </w:rPr>
        <w:t>W okresie 2012-2021 ws</w:t>
      </w:r>
      <w:r w:rsidRPr="00C55006">
        <w:rPr>
          <w:rFonts w:eastAsia="Calibri"/>
        </w:rPr>
        <w:t xml:space="preserve">zystkie 5 miar ubóstwa energetycznego cechowało się tendencją </w:t>
      </w:r>
      <w:r>
        <w:rPr>
          <w:rFonts w:eastAsia="Calibri"/>
        </w:rPr>
        <w:t>spadkową</w:t>
      </w:r>
      <w:r w:rsidRPr="00C55006">
        <w:rPr>
          <w:rFonts w:eastAsia="Calibri"/>
        </w:rPr>
        <w:t xml:space="preserve">. Największą wartość </w:t>
      </w:r>
      <w:r w:rsidRPr="00CF3847">
        <w:rPr>
          <w:rFonts w:eastAsia="Calibri"/>
        </w:rPr>
        <w:t xml:space="preserve">przyjmowała </w:t>
      </w:r>
      <w:bookmarkStart w:id="16" w:name="_Hlk133919150"/>
      <w:r w:rsidR="00AD6892" w:rsidRPr="000D634F">
        <w:rPr>
          <w:rFonts w:eastAsia="Calibri"/>
          <w:bCs/>
          <w:iCs/>
        </w:rPr>
        <w:t>p</w:t>
      </w:r>
      <w:r w:rsidRPr="000D634F">
        <w:rPr>
          <w:rFonts w:eastAsia="Calibri"/>
          <w:bCs/>
          <w:iCs/>
        </w:rPr>
        <w:t>odwójna mediana wydatków na energię</w:t>
      </w:r>
      <w:r w:rsidRPr="000D634F">
        <w:rPr>
          <w:rFonts w:eastAsia="Calibri"/>
        </w:rPr>
        <w:t xml:space="preserve">, </w:t>
      </w:r>
      <w:bookmarkEnd w:id="16"/>
      <w:r w:rsidRPr="000D634F">
        <w:rPr>
          <w:rFonts w:eastAsia="Calibri"/>
        </w:rPr>
        <w:t xml:space="preserve">zgodnie z którą w 2021 r. 18,8% gospodarstw domowych charakteryzowało ubóstwo energetyczne. W </w:t>
      </w:r>
      <w:r w:rsidR="000D634F" w:rsidRPr="000D634F">
        <w:rPr>
          <w:rFonts w:eastAsia="Calibri"/>
        </w:rPr>
        <w:t>porównaniu</w:t>
      </w:r>
      <w:r w:rsidRPr="000D634F">
        <w:rPr>
          <w:rFonts w:eastAsia="Calibri"/>
        </w:rPr>
        <w:t xml:space="preserve"> do 2012 r. spadek </w:t>
      </w:r>
      <w:r w:rsidR="00AD6892" w:rsidRPr="000D634F">
        <w:rPr>
          <w:rFonts w:eastAsia="Calibri"/>
        </w:rPr>
        <w:t>był</w:t>
      </w:r>
      <w:r w:rsidRPr="000D634F">
        <w:rPr>
          <w:rFonts w:eastAsia="Calibri"/>
        </w:rPr>
        <w:t xml:space="preserve"> niewielki (o 0,7 </w:t>
      </w:r>
      <w:proofErr w:type="spellStart"/>
      <w:r w:rsidRPr="000D634F">
        <w:rPr>
          <w:rFonts w:eastAsia="Calibri"/>
        </w:rPr>
        <w:t>p.proc</w:t>
      </w:r>
      <w:proofErr w:type="spellEnd"/>
      <w:r w:rsidRPr="000D634F">
        <w:rPr>
          <w:rFonts w:eastAsia="Calibri"/>
        </w:rPr>
        <w:t xml:space="preserve">.). Drugi ze wskaźników obiektywnych – </w:t>
      </w:r>
      <w:r w:rsidR="00AD6892" w:rsidRPr="000D634F">
        <w:rPr>
          <w:rFonts w:eastAsia="Calibri"/>
          <w:bCs/>
          <w:iCs/>
        </w:rPr>
        <w:t>w</w:t>
      </w:r>
      <w:r w:rsidRPr="000D634F">
        <w:rPr>
          <w:rFonts w:eastAsia="Calibri"/>
          <w:bCs/>
          <w:iCs/>
        </w:rPr>
        <w:t xml:space="preserve">ysokie </w:t>
      </w:r>
      <w:r w:rsidR="00AD6892" w:rsidRPr="000D634F">
        <w:rPr>
          <w:rFonts w:eastAsia="Calibri"/>
          <w:bCs/>
          <w:iCs/>
        </w:rPr>
        <w:t>k</w:t>
      </w:r>
      <w:r w:rsidRPr="000D634F">
        <w:rPr>
          <w:rFonts w:eastAsia="Calibri"/>
          <w:bCs/>
          <w:iCs/>
        </w:rPr>
        <w:t xml:space="preserve">oszty, </w:t>
      </w:r>
      <w:r w:rsidR="00AD6892" w:rsidRPr="000D634F">
        <w:rPr>
          <w:rFonts w:eastAsia="Calibri"/>
          <w:bCs/>
          <w:iCs/>
        </w:rPr>
        <w:t>n</w:t>
      </w:r>
      <w:r w:rsidRPr="000D634F">
        <w:rPr>
          <w:rFonts w:eastAsia="Calibri"/>
          <w:bCs/>
          <w:iCs/>
        </w:rPr>
        <w:t xml:space="preserve">iskie </w:t>
      </w:r>
      <w:r w:rsidR="00AD6892" w:rsidRPr="000D634F">
        <w:rPr>
          <w:rFonts w:eastAsia="Calibri"/>
          <w:bCs/>
          <w:iCs/>
        </w:rPr>
        <w:t>d</w:t>
      </w:r>
      <w:r w:rsidRPr="000D634F">
        <w:rPr>
          <w:rFonts w:eastAsia="Calibri"/>
          <w:bCs/>
          <w:iCs/>
        </w:rPr>
        <w:t>ochody</w:t>
      </w:r>
      <w:r w:rsidRPr="000D634F">
        <w:rPr>
          <w:rFonts w:eastAsia="Calibri"/>
        </w:rPr>
        <w:t xml:space="preserve"> – obejmujący zarówno stan techniczny budynków poprzez wyznaczenie wymaganych kosztów energii oraz status materialny poprzez uwzględnienie dochodów obniżył się z 11,1% w 2012 r. do 10,5% w 2021 r. </w:t>
      </w:r>
    </w:p>
    <w:p w14:paraId="245E1561" w14:textId="409D9F18" w:rsidR="00CF3847" w:rsidRPr="005C44B0" w:rsidRDefault="00CF3847" w:rsidP="00CF3847">
      <w:pPr>
        <w:spacing w:after="160" w:line="276" w:lineRule="auto"/>
        <w:rPr>
          <w:rFonts w:eastAsia="Calibri"/>
          <w:color w:val="000000" w:themeColor="text1"/>
        </w:rPr>
      </w:pPr>
      <w:r w:rsidRPr="000D634F">
        <w:rPr>
          <w:rFonts w:eastAsia="Calibri"/>
        </w:rPr>
        <w:t xml:space="preserve">Do wskaźników subiektywnych, odnoszących się także do dotkliwości ubóstwa energetycznego, należy </w:t>
      </w:r>
      <w:r w:rsidR="00AD6892" w:rsidRPr="000D634F">
        <w:rPr>
          <w:rFonts w:eastAsia="Calibri"/>
          <w:bCs/>
          <w:iCs/>
        </w:rPr>
        <w:t>z</w:t>
      </w:r>
      <w:r w:rsidRPr="000D634F">
        <w:rPr>
          <w:rFonts w:eastAsia="Calibri"/>
          <w:bCs/>
          <w:iCs/>
        </w:rPr>
        <w:t>dolność do terminowego opłacania rachunków</w:t>
      </w:r>
      <w:r w:rsidRPr="000D634F">
        <w:rPr>
          <w:rFonts w:eastAsia="Calibri"/>
        </w:rPr>
        <w:t xml:space="preserve"> – tylko nieznaczna liczba (0,8% w 2021 r.) gospodarstw </w:t>
      </w:r>
      <w:r w:rsidRPr="005C44B0">
        <w:rPr>
          <w:rFonts w:eastAsia="Calibri"/>
          <w:color w:val="000000" w:themeColor="text1"/>
        </w:rPr>
        <w:t>domowych nie była zdolna do terminowego opłacania rachunków</w:t>
      </w:r>
      <w:r w:rsidR="006B5601" w:rsidRPr="005C44B0">
        <w:rPr>
          <w:rFonts w:eastAsia="Calibri"/>
          <w:color w:val="000000" w:themeColor="text1"/>
        </w:rPr>
        <w:t xml:space="preserve">, co oznacza spadek o </w:t>
      </w:r>
      <w:r w:rsidR="00737010" w:rsidRPr="005C44B0">
        <w:rPr>
          <w:rFonts w:eastAsia="Calibri"/>
          <w:color w:val="000000" w:themeColor="text1"/>
        </w:rPr>
        <w:t xml:space="preserve">2,8 </w:t>
      </w:r>
      <w:proofErr w:type="spellStart"/>
      <w:r w:rsidR="00737010" w:rsidRPr="005C44B0">
        <w:rPr>
          <w:rFonts w:eastAsia="Calibri"/>
          <w:color w:val="000000" w:themeColor="text1"/>
        </w:rPr>
        <w:t>p.proc</w:t>
      </w:r>
      <w:proofErr w:type="spellEnd"/>
      <w:r w:rsidR="00737010" w:rsidRPr="005C44B0">
        <w:rPr>
          <w:rFonts w:eastAsia="Calibri"/>
          <w:color w:val="000000" w:themeColor="text1"/>
        </w:rPr>
        <w:t>. w porównaniu do 2015 r.</w:t>
      </w:r>
      <w:r w:rsidRPr="005C44B0">
        <w:rPr>
          <w:rFonts w:eastAsia="Calibri"/>
          <w:color w:val="000000" w:themeColor="text1"/>
        </w:rPr>
        <w:t xml:space="preserve"> </w:t>
      </w:r>
    </w:p>
    <w:p w14:paraId="4866E31C" w14:textId="50144E11" w:rsidR="00CF3847" w:rsidRPr="005C44B0" w:rsidRDefault="00CF3847" w:rsidP="00CF3847">
      <w:pPr>
        <w:spacing w:after="160" w:line="276" w:lineRule="auto"/>
        <w:rPr>
          <w:rFonts w:eastAsia="Calibri"/>
          <w:color w:val="000000" w:themeColor="text1"/>
        </w:rPr>
      </w:pPr>
      <w:r w:rsidRPr="005C44B0">
        <w:rPr>
          <w:rFonts w:eastAsia="Calibri"/>
          <w:color w:val="000000" w:themeColor="text1"/>
        </w:rPr>
        <w:t>Dwa wskaźniki odnoszące się do walorów technicznych i użytkowych budynków (</w:t>
      </w:r>
      <w:r w:rsidR="00AD6892" w:rsidRPr="005C44B0">
        <w:rPr>
          <w:rFonts w:eastAsia="Calibri"/>
          <w:bCs/>
          <w:iCs/>
          <w:color w:val="000000" w:themeColor="text1"/>
        </w:rPr>
        <w:t>b</w:t>
      </w:r>
      <w:r w:rsidRPr="005C44B0">
        <w:rPr>
          <w:rFonts w:eastAsia="Calibri"/>
          <w:bCs/>
          <w:iCs/>
          <w:color w:val="000000" w:themeColor="text1"/>
        </w:rPr>
        <w:t xml:space="preserve">udynki </w:t>
      </w:r>
      <w:r w:rsidRPr="005C44B0">
        <w:rPr>
          <w:rFonts w:eastAsia="Calibri"/>
          <w:bCs/>
          <w:iCs/>
          <w:color w:val="000000" w:themeColor="text1"/>
        </w:rPr>
        <w:br/>
        <w:t xml:space="preserve">z przeciekającym dachem </w:t>
      </w:r>
      <w:r w:rsidRPr="005C44B0">
        <w:rPr>
          <w:rFonts w:eastAsia="Calibri"/>
          <w:color w:val="000000" w:themeColor="text1"/>
        </w:rPr>
        <w:t xml:space="preserve">oraz </w:t>
      </w:r>
      <w:r w:rsidR="00AD6892" w:rsidRPr="005C44B0">
        <w:rPr>
          <w:rFonts w:eastAsia="Calibri"/>
          <w:bCs/>
          <w:iCs/>
          <w:color w:val="000000" w:themeColor="text1"/>
        </w:rPr>
        <w:t>n</w:t>
      </w:r>
      <w:r w:rsidRPr="005C44B0">
        <w:rPr>
          <w:rFonts w:eastAsia="Calibri"/>
          <w:bCs/>
          <w:iCs/>
          <w:color w:val="000000" w:themeColor="text1"/>
        </w:rPr>
        <w:t>iewystarczający komfort cieplny</w:t>
      </w:r>
      <w:r w:rsidRPr="005C44B0">
        <w:rPr>
          <w:rFonts w:eastAsia="Calibri"/>
          <w:color w:val="000000" w:themeColor="text1"/>
        </w:rPr>
        <w:t xml:space="preserve">), przyjmowały zbliżone wartości, odpowiednio: 3,5% i 5,2% w 2021 r., co oznacza znaczne spadki tych wskaźników </w:t>
      </w:r>
      <w:r w:rsidR="002D7D64" w:rsidRPr="005C44B0">
        <w:rPr>
          <w:rFonts w:eastAsia="Calibri"/>
          <w:color w:val="000000" w:themeColor="text1"/>
        </w:rPr>
        <w:br/>
      </w:r>
      <w:r w:rsidRPr="005C44B0">
        <w:rPr>
          <w:rFonts w:eastAsia="Calibri"/>
          <w:color w:val="000000" w:themeColor="text1"/>
        </w:rPr>
        <w:t xml:space="preserve">w stosunku do </w:t>
      </w:r>
      <w:r w:rsidR="00737010" w:rsidRPr="005C44B0">
        <w:rPr>
          <w:rFonts w:eastAsia="Calibri"/>
          <w:color w:val="000000" w:themeColor="text1"/>
        </w:rPr>
        <w:t xml:space="preserve">2012 r. (odpowiednio 7,0 </w:t>
      </w:r>
      <w:proofErr w:type="spellStart"/>
      <w:r w:rsidR="00737010" w:rsidRPr="005C44B0">
        <w:rPr>
          <w:rFonts w:eastAsia="Calibri"/>
          <w:color w:val="000000" w:themeColor="text1"/>
        </w:rPr>
        <w:t>p.proc</w:t>
      </w:r>
      <w:proofErr w:type="spellEnd"/>
      <w:r w:rsidR="00737010" w:rsidRPr="005C44B0">
        <w:rPr>
          <w:rFonts w:eastAsia="Calibri"/>
          <w:color w:val="000000" w:themeColor="text1"/>
        </w:rPr>
        <w:t xml:space="preserve">. i 7.9 </w:t>
      </w:r>
      <w:proofErr w:type="spellStart"/>
      <w:r w:rsidR="00737010" w:rsidRPr="005C44B0">
        <w:rPr>
          <w:rFonts w:eastAsia="Calibri"/>
          <w:color w:val="000000" w:themeColor="text1"/>
        </w:rPr>
        <w:t>p.proc</w:t>
      </w:r>
      <w:proofErr w:type="spellEnd"/>
      <w:r w:rsidR="00737010" w:rsidRPr="005C44B0">
        <w:rPr>
          <w:rFonts w:eastAsia="Calibri"/>
          <w:color w:val="000000" w:themeColor="text1"/>
        </w:rPr>
        <w:t>.)</w:t>
      </w:r>
      <w:r w:rsidRPr="005C44B0">
        <w:rPr>
          <w:rFonts w:eastAsia="Calibri"/>
          <w:color w:val="000000" w:themeColor="text1"/>
        </w:rPr>
        <w:t>.</w:t>
      </w:r>
    </w:p>
    <w:bookmarkEnd w:id="15"/>
    <w:p w14:paraId="4FB478F5" w14:textId="2CC764EB" w:rsidR="00CF3847" w:rsidRPr="00C55006" w:rsidRDefault="00CF3847" w:rsidP="00CF3847">
      <w:pPr>
        <w:spacing w:line="259" w:lineRule="auto"/>
        <w:rPr>
          <w:rFonts w:eastAsia="Calibri"/>
          <w:b/>
          <w:bCs/>
        </w:rPr>
      </w:pPr>
      <w:r w:rsidRPr="0090641E">
        <w:rPr>
          <w:rFonts w:eastAsia="Calibri"/>
          <w:b/>
          <w:bCs/>
        </w:rPr>
        <w:t xml:space="preserve">Wykres </w:t>
      </w:r>
      <w:r>
        <w:rPr>
          <w:rFonts w:eastAsia="Calibri"/>
          <w:b/>
          <w:bCs/>
        </w:rPr>
        <w:t>3</w:t>
      </w:r>
      <w:r w:rsidRPr="00C55006">
        <w:rPr>
          <w:rFonts w:eastAsia="Calibri"/>
          <w:b/>
          <w:bCs/>
        </w:rPr>
        <w:t>. Miary ubóstwa energetycznego</w:t>
      </w:r>
    </w:p>
    <w:p w14:paraId="5AD923D5" w14:textId="04A05AE7" w:rsidR="00E5189E" w:rsidRPr="00DA7920" w:rsidRDefault="0086024F" w:rsidP="00DB79C5">
      <w:pPr>
        <w:keepNext/>
        <w:tabs>
          <w:tab w:val="left" w:pos="6804"/>
        </w:tabs>
        <w:spacing w:before="360" w:line="240" w:lineRule="auto"/>
        <w:ind w:left="1276" w:hanging="1276"/>
        <w:rPr>
          <w:rFonts w:eastAsia="Times New Roman" w:cs="Times New Roman"/>
          <w:b/>
          <w:iCs/>
          <w:noProof/>
          <w:sz w:val="18"/>
          <w:szCs w:val="18"/>
          <w:lang w:eastAsia="pl-PL"/>
        </w:rPr>
      </w:pPr>
      <w:r>
        <w:rPr>
          <w:rFonts w:eastAsia="Times New Roman" w:cs="Times New Roman"/>
          <w:b/>
          <w:iCs/>
          <w:noProof/>
          <w:sz w:val="18"/>
          <w:szCs w:val="18"/>
          <w:lang w:eastAsia="pl-PL"/>
        </w:rPr>
        <w:drawing>
          <wp:inline distT="0" distB="0" distL="0" distR="0" wp14:anchorId="438EEF96" wp14:editId="3BDB75C3">
            <wp:extent cx="5145405" cy="3023870"/>
            <wp:effectExtent l="0" t="0" r="0" b="5080"/>
            <wp:docPr id="19" name="Obraz 19" descr="Wykres 3. Na wykresie słupkowym przedstawiono miary ubóstwa energetycznego. Dane do wykresu zamieszczono w do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36626" w14:textId="68AAD23D" w:rsidR="00A73473" w:rsidRPr="005C44B0" w:rsidRDefault="002B040F" w:rsidP="00A73473">
      <w:pPr>
        <w:spacing w:line="288" w:lineRule="auto"/>
        <w:rPr>
          <w:color w:val="000000" w:themeColor="text1"/>
          <w:sz w:val="16"/>
          <w:szCs w:val="16"/>
        </w:rPr>
      </w:pPr>
      <w:r w:rsidRPr="005C44B0">
        <w:rPr>
          <w:color w:val="000000" w:themeColor="text1"/>
          <w:sz w:val="16"/>
          <w:szCs w:val="16"/>
        </w:rPr>
        <w:t>a. brak danych</w:t>
      </w:r>
    </w:p>
    <w:p w14:paraId="04D6B9E4" w14:textId="77777777" w:rsidR="00A73473" w:rsidRDefault="00A73473" w:rsidP="00A73473">
      <w:pPr>
        <w:spacing w:line="288" w:lineRule="auto"/>
      </w:pPr>
    </w:p>
    <w:p w14:paraId="126DD77C" w14:textId="19379834" w:rsidR="00A73473" w:rsidRPr="00466C13" w:rsidRDefault="00A73473" w:rsidP="00A73473">
      <w:pPr>
        <w:spacing w:line="288" w:lineRule="auto"/>
        <w:rPr>
          <w:sz w:val="18"/>
          <w:szCs w:val="18"/>
        </w:rPr>
      </w:pPr>
      <w:r w:rsidRPr="00466C13">
        <w:rPr>
          <w:sz w:val="18"/>
          <w:szCs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606B2CD0" w14:textId="32E5105B" w:rsidR="00522A6D" w:rsidRPr="00DA7920" w:rsidRDefault="00DA7920" w:rsidP="00522A6D">
      <w:pPr>
        <w:spacing w:line="288" w:lineRule="auto"/>
        <w:rPr>
          <w:szCs w:val="19"/>
        </w:rPr>
        <w:sectPr w:rsidR="00522A6D" w:rsidRPr="00DA7920" w:rsidSect="005F493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7" w:bottom="720" w:left="720" w:header="284" w:footer="283" w:gutter="0"/>
          <w:cols w:space="708"/>
          <w:titlePg/>
          <w:docGrid w:linePitch="360"/>
        </w:sectPr>
      </w:pPr>
      <w:r w:rsidRPr="00DA7920">
        <w:rPr>
          <w:spacing w:val="-2"/>
          <w:szCs w:val="19"/>
        </w:rPr>
        <w:br w:type="page"/>
      </w: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C03B0" w:rsidRPr="0000577E" w14:paraId="0F8081A0" w14:textId="77777777" w:rsidTr="002C3F29">
        <w:trPr>
          <w:trHeight w:val="1626"/>
        </w:trPr>
        <w:tc>
          <w:tcPr>
            <w:tcW w:w="4926" w:type="dxa"/>
          </w:tcPr>
          <w:p w14:paraId="2B66A620" w14:textId="22629F45" w:rsidR="000C03B0" w:rsidRPr="0000577E" w:rsidRDefault="000C03B0" w:rsidP="002C3F29">
            <w:pPr>
              <w:spacing w:before="0"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O</w:t>
            </w:r>
            <w:r w:rsidRPr="0000577E">
              <w:rPr>
                <w:rFonts w:cs="Arial"/>
                <w:sz w:val="20"/>
              </w:rPr>
              <w:t>pracowanie merytoryczne:</w:t>
            </w:r>
          </w:p>
          <w:p w14:paraId="5F014144" w14:textId="77777777" w:rsidR="000C03B0" w:rsidRDefault="000C03B0" w:rsidP="000C03B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C03B0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5C73F54A" w14:textId="77777777" w:rsidR="000C03B0" w:rsidRDefault="000C03B0" w:rsidP="000C03B0">
            <w:pPr>
              <w:pStyle w:val="Nagwek3"/>
              <w:spacing w:before="0" w:after="120" w:line="276" w:lineRule="auto"/>
              <w:rPr>
                <w:rFonts w:ascii="Fira Sans" w:eastAsiaTheme="minorHAnsi" w:hAnsi="Fira Sans" w:cstheme="minorBidi"/>
                <w:b/>
                <w:color w:val="auto"/>
                <w:sz w:val="20"/>
                <w:szCs w:val="20"/>
              </w:rPr>
            </w:pPr>
            <w:r w:rsidRPr="000C03B0">
              <w:rPr>
                <w:rFonts w:ascii="Fira Sans" w:eastAsiaTheme="minorHAnsi" w:hAnsi="Fira Sans" w:cstheme="minorBidi"/>
                <w:b/>
                <w:color w:val="auto"/>
                <w:sz w:val="20"/>
                <w:szCs w:val="20"/>
              </w:rPr>
              <w:t>Dyrektor Marek Cierpiał-Wolan</w:t>
            </w:r>
          </w:p>
          <w:p w14:paraId="12B445EC" w14:textId="664D9F57" w:rsidR="000C03B0" w:rsidRPr="0000577E" w:rsidRDefault="000C03B0" w:rsidP="000C03B0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C03B0">
              <w:rPr>
                <w:rFonts w:ascii="Fira Sans" w:hAnsi="Fira Sans" w:cs="Arial"/>
                <w:color w:val="000000" w:themeColor="text1"/>
                <w:sz w:val="20"/>
              </w:rPr>
              <w:t>Tel.: 17 853 52 10</w:t>
            </w:r>
          </w:p>
        </w:tc>
        <w:tc>
          <w:tcPr>
            <w:tcW w:w="4927" w:type="dxa"/>
          </w:tcPr>
          <w:p w14:paraId="28EB2F2D" w14:textId="77777777" w:rsidR="000C03B0" w:rsidRPr="0000577E" w:rsidRDefault="000C03B0" w:rsidP="000C03B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00577E">
              <w:rPr>
                <w:rFonts w:cs="Arial"/>
                <w:sz w:val="20"/>
              </w:rPr>
              <w:t>Rozpowszechnianie:</w:t>
            </w:r>
            <w:r>
              <w:rPr>
                <w:rFonts w:cs="Arial"/>
                <w:sz w:val="20"/>
              </w:rPr>
              <w:br/>
            </w:r>
            <w:r w:rsidRPr="0000577E">
              <w:rPr>
                <w:rFonts w:cs="Arial"/>
                <w:b/>
                <w:sz w:val="20"/>
              </w:rPr>
              <w:t>Rzecznik Prasowy Prezesa GUS</w:t>
            </w:r>
          </w:p>
          <w:p w14:paraId="617D8CEA" w14:textId="77777777" w:rsidR="000C03B0" w:rsidRPr="0000577E" w:rsidRDefault="000C03B0" w:rsidP="000C03B0">
            <w:pPr>
              <w:pStyle w:val="Nagwek3"/>
              <w:spacing w:before="0" w:after="120" w:line="276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0577E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893D65C" w14:textId="77777777" w:rsidR="000C03B0" w:rsidRPr="0000577E" w:rsidRDefault="000C03B0" w:rsidP="000C03B0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auto"/>
                <w:sz w:val="20"/>
              </w:rPr>
            </w:pPr>
            <w:r w:rsidRPr="0000577E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4A9349BC" w14:textId="77777777" w:rsidR="000C03B0" w:rsidRPr="0000577E" w:rsidRDefault="000C03B0" w:rsidP="002C3F29">
            <w:pPr>
              <w:rPr>
                <w:sz w:val="18"/>
              </w:rPr>
            </w:pPr>
          </w:p>
        </w:tc>
      </w:tr>
      <w:tr w:rsidR="000C03B0" w:rsidRPr="0000577E" w14:paraId="2799474A" w14:textId="77777777" w:rsidTr="002C3F29">
        <w:trPr>
          <w:trHeight w:val="418"/>
        </w:trPr>
        <w:tc>
          <w:tcPr>
            <w:tcW w:w="4926" w:type="dxa"/>
            <w:vMerge w:val="restart"/>
          </w:tcPr>
          <w:p w14:paraId="4FF97FCF" w14:textId="77777777" w:rsidR="000C03B0" w:rsidRPr="0000577E" w:rsidRDefault="000C03B0" w:rsidP="002C3F29">
            <w:pPr>
              <w:rPr>
                <w:b/>
                <w:sz w:val="20"/>
              </w:rPr>
            </w:pPr>
            <w:r w:rsidRPr="0000577E">
              <w:rPr>
                <w:b/>
                <w:sz w:val="20"/>
              </w:rPr>
              <w:t xml:space="preserve">Wydział Współpracy z Mediami </w:t>
            </w:r>
          </w:p>
          <w:p w14:paraId="31A91A3E" w14:textId="2FE6AC2A" w:rsidR="000C03B0" w:rsidRPr="0000577E" w:rsidRDefault="000C03B0" w:rsidP="002C3F29">
            <w:pPr>
              <w:rPr>
                <w:sz w:val="20"/>
              </w:rPr>
            </w:pPr>
            <w:r w:rsidRPr="0000577E">
              <w:rPr>
                <w:sz w:val="20"/>
              </w:rPr>
              <w:t>Tel</w:t>
            </w:r>
            <w:r w:rsidR="00522A6D">
              <w:rPr>
                <w:sz w:val="20"/>
              </w:rPr>
              <w:t>.</w:t>
            </w:r>
            <w:r w:rsidRPr="0000577E">
              <w:rPr>
                <w:sz w:val="20"/>
              </w:rPr>
              <w:t xml:space="preserve">: 22 608 38 04 </w:t>
            </w:r>
          </w:p>
          <w:p w14:paraId="3F608188" w14:textId="77777777" w:rsidR="000C03B0" w:rsidRPr="009B4EE7" w:rsidRDefault="000C03B0" w:rsidP="002C3F29">
            <w:pPr>
              <w:rPr>
                <w:sz w:val="18"/>
                <w:lang w:val="en-GB"/>
              </w:rPr>
            </w:pPr>
            <w:r w:rsidRPr="00414063">
              <w:rPr>
                <w:b/>
                <w:sz w:val="20"/>
                <w:lang w:val="en-GB"/>
              </w:rPr>
              <w:t>e-mail:</w:t>
            </w:r>
            <w:r w:rsidRPr="000C03B0">
              <w:rPr>
                <w:sz w:val="20"/>
                <w:lang w:val="en-GB"/>
              </w:rPr>
              <w:t xml:space="preserve"> </w:t>
            </w:r>
            <w:hyperlink r:id="rId17" w:history="1">
              <w:r w:rsidRPr="000C03B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4562368" w14:textId="77777777" w:rsidR="000C03B0" w:rsidRPr="0000577E" w:rsidRDefault="000C03B0" w:rsidP="002C3F29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3655DFEF" wp14:editId="177C9C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77E">
              <w:rPr>
                <w:sz w:val="20"/>
              </w:rPr>
              <w:t>www.stat.gov.pl</w:t>
            </w:r>
          </w:p>
        </w:tc>
      </w:tr>
      <w:tr w:rsidR="000C03B0" w:rsidRPr="0000577E" w14:paraId="17A33701" w14:textId="77777777" w:rsidTr="002C3F29">
        <w:trPr>
          <w:trHeight w:val="418"/>
        </w:trPr>
        <w:tc>
          <w:tcPr>
            <w:tcW w:w="4926" w:type="dxa"/>
            <w:vMerge/>
          </w:tcPr>
          <w:p w14:paraId="3E50BB1F" w14:textId="77777777" w:rsidR="000C03B0" w:rsidRPr="0000577E" w:rsidRDefault="000C03B0" w:rsidP="002C3F29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A277AEA" w14:textId="77777777" w:rsidR="000C03B0" w:rsidRPr="0000577E" w:rsidRDefault="000C03B0" w:rsidP="002C3F29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2986188" wp14:editId="4AE257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&#10;GUS (@GUS_STAT) ·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77E">
              <w:rPr>
                <w:sz w:val="20"/>
              </w:rPr>
              <w:t>@GUS_STAT</w:t>
            </w:r>
            <w:r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C03B0" w:rsidRPr="0000577E" w14:paraId="25818419" w14:textId="77777777" w:rsidTr="002C3F29">
        <w:trPr>
          <w:trHeight w:val="476"/>
        </w:trPr>
        <w:tc>
          <w:tcPr>
            <w:tcW w:w="4926" w:type="dxa"/>
            <w:vMerge/>
          </w:tcPr>
          <w:p w14:paraId="6B81EC97" w14:textId="77777777" w:rsidR="000C03B0" w:rsidRPr="0000577E" w:rsidRDefault="000C03B0" w:rsidP="002C3F2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5E44C7" w14:textId="77777777" w:rsidR="000C03B0" w:rsidRPr="0000577E" w:rsidRDefault="000C03B0" w:rsidP="002C3F29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6854F24C" wp14:editId="1DE0327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77E">
              <w:rPr>
                <w:sz w:val="20"/>
              </w:rPr>
              <w:t>@</w:t>
            </w:r>
            <w:proofErr w:type="spellStart"/>
            <w:r w:rsidRPr="0000577E">
              <w:rPr>
                <w:sz w:val="20"/>
              </w:rPr>
              <w:t>GlownyUrzadStatystyczny</w:t>
            </w:r>
            <w:proofErr w:type="spellEnd"/>
            <w:r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C03B0" w:rsidRPr="0000577E" w14:paraId="163177A3" w14:textId="77777777" w:rsidTr="002C3F29">
        <w:trPr>
          <w:trHeight w:val="426"/>
        </w:trPr>
        <w:tc>
          <w:tcPr>
            <w:tcW w:w="4926" w:type="dxa"/>
          </w:tcPr>
          <w:p w14:paraId="74B58C05" w14:textId="77777777" w:rsidR="000C03B0" w:rsidRPr="0000577E" w:rsidRDefault="000C03B0" w:rsidP="002C3F2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3C98CF5" w14:textId="77777777" w:rsidR="000C03B0" w:rsidRPr="0000577E" w:rsidRDefault="000C03B0" w:rsidP="002C3F29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CFCC570" wp14:editId="482F3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gus_stat</w:t>
            </w:r>
            <w:proofErr w:type="spellEnd"/>
          </w:p>
        </w:tc>
      </w:tr>
      <w:tr w:rsidR="000C03B0" w:rsidRPr="0000577E" w14:paraId="0168A2EA" w14:textId="77777777" w:rsidTr="002C3F29">
        <w:trPr>
          <w:trHeight w:val="504"/>
        </w:trPr>
        <w:tc>
          <w:tcPr>
            <w:tcW w:w="4926" w:type="dxa"/>
          </w:tcPr>
          <w:p w14:paraId="02C75999" w14:textId="77777777" w:rsidR="000C03B0" w:rsidRPr="0000577E" w:rsidRDefault="000C03B0" w:rsidP="002C3F2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4C4EA98" w14:textId="77777777" w:rsidR="000C03B0" w:rsidRPr="0000577E" w:rsidRDefault="000C03B0" w:rsidP="002C3F29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56FAE6A7" wp14:editId="726F73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glownyurzadstatystycznygus</w:t>
            </w:r>
            <w:proofErr w:type="spellEnd"/>
          </w:p>
        </w:tc>
      </w:tr>
      <w:tr w:rsidR="000C03B0" w:rsidRPr="0000577E" w14:paraId="6DD18A6C" w14:textId="77777777" w:rsidTr="002C3F29">
        <w:trPr>
          <w:trHeight w:val="1546"/>
        </w:trPr>
        <w:tc>
          <w:tcPr>
            <w:tcW w:w="4926" w:type="dxa"/>
          </w:tcPr>
          <w:p w14:paraId="263E9F62" w14:textId="77777777" w:rsidR="000C03B0" w:rsidRPr="0000577E" w:rsidRDefault="000C03B0" w:rsidP="002C3F2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B754B2B" w14:textId="77777777" w:rsidR="000C03B0" w:rsidRPr="0000577E" w:rsidRDefault="000C03B0" w:rsidP="002C3F29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t>glownyurzadstatystyczny</w:t>
            </w: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38BB59B8" wp14:editId="066DA94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9D7447" w14:textId="77777777"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  <w:r w:rsidRPr="00882E0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2EA3A24" wp14:editId="1EC55F02">
                <wp:simplePos x="0" y="0"/>
                <wp:positionH relativeFrom="margin">
                  <wp:posOffset>0</wp:posOffset>
                </wp:positionH>
                <wp:positionV relativeFrom="paragraph">
                  <wp:posOffset>265430</wp:posOffset>
                </wp:positionV>
                <wp:extent cx="6559550" cy="4443095"/>
                <wp:effectExtent l="0" t="0" r="12700" b="14605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782C" w14:textId="77777777" w:rsidR="00CD22C3" w:rsidRPr="001B317F" w:rsidRDefault="00CD22C3" w:rsidP="00CD22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7D057A" w14:textId="77777777" w:rsidR="00CD22C3" w:rsidRPr="00F24DA7" w:rsidRDefault="00CD22C3" w:rsidP="00CD22C3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947FCD3" w14:textId="3176EE34" w:rsidR="00CD22C3" w:rsidRPr="00901C5F" w:rsidRDefault="007F01D3" w:rsidP="00CD22C3">
                            <w:pPr>
                              <w:rPr>
                                <w:rStyle w:val="Hipercze"/>
                                <w:color w:val="001D77"/>
                              </w:rPr>
                            </w:pP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begin"/>
                            </w:r>
                            <w:r w:rsidR="00DF5448">
                              <w:rPr>
                                <w:rStyle w:val="Hipercze"/>
                                <w:color w:val="001D77"/>
                              </w:rPr>
                              <w:instrText>HYPERLINK "https://stat.gov.pl/obszary-tematyczne/srodowisko-energia/energia/gospodarka-paliwowo-energetyczna-w-latach-2020-i-2021,4,17.html" \o "link do publikacji: Gospodarka-Paliwowo-Energetyczna"</w:instrText>
                            </w: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separate"/>
                            </w:r>
                            <w:r w:rsidR="00CD22C3" w:rsidRPr="00901C5F">
                              <w:rPr>
                                <w:rStyle w:val="Hipercze"/>
                                <w:color w:val="001D77"/>
                              </w:rPr>
                              <w:t>Gospodarka-Paliwowo-Energetyczna</w:t>
                            </w:r>
                          </w:p>
                          <w:p w14:paraId="39BB0CE2" w14:textId="52414DF3" w:rsidR="00BB413E" w:rsidRPr="00901C5F" w:rsidRDefault="007F01D3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end"/>
                            </w:r>
                            <w:hyperlink r:id="rId24" w:tooltip="link do publikacji: Efektywność wykorzystania energii" w:history="1">
                              <w:r w:rsidR="00DF5448">
                                <w:rPr>
                                  <w:rStyle w:val="Hipercze"/>
                                  <w:color w:val="001D77"/>
                                </w:rPr>
                                <w:t xml:space="preserve">Efektywność wykorzystania energii </w:t>
                              </w:r>
                            </w:hyperlink>
                          </w:p>
                          <w:p w14:paraId="57EA18F6" w14:textId="2939EEC0" w:rsidR="00CD22C3" w:rsidRPr="00DF5448" w:rsidRDefault="00DF5448" w:rsidP="00CD22C3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F5448">
                              <w:rPr>
                                <w:rFonts w:cs="Times New Roman"/>
                                <w:color w:val="002060"/>
                              </w:rPr>
                              <w:fldChar w:fldCharType="begin"/>
                            </w:r>
                            <w:r w:rsidRPr="00DF5448">
                              <w:rPr>
                                <w:rFonts w:cs="Times New Roman"/>
                                <w:color w:val="002060"/>
                              </w:rPr>
                              <w:instrText xml:space="preserve"> HYPERLINK "http://stat.gov.pl/obszary-tematyczne/srodowisko-energia/energia/zasady-metodyczne-badan-statystycznych-z-zakresu-energii-ze-zrodel-odnawialnych,8,1.html" \o "link do publikacji: Zasady metodyczne badań statystycznych z zakresu energii ze źródeł odnawialnych" </w:instrText>
                            </w:r>
                            <w:r w:rsidRPr="00DF5448">
                              <w:rPr>
                                <w:rFonts w:cs="Times New Roman"/>
                                <w:color w:val="002060"/>
                              </w:rPr>
                              <w:fldChar w:fldCharType="separate"/>
                            </w:r>
                            <w:r w:rsidR="00CD22C3" w:rsidRPr="00DF5448">
                              <w:rPr>
                                <w:rStyle w:val="Hipercze"/>
                                <w:color w:val="002060"/>
                              </w:rPr>
                              <w:t>Zasady</w:t>
                            </w:r>
                            <w:r w:rsidR="0020754C" w:rsidRPr="00DF5448">
                              <w:rPr>
                                <w:rStyle w:val="Hipercze"/>
                                <w:color w:val="002060"/>
                              </w:rPr>
                              <w:t xml:space="preserve"> </w:t>
                            </w:r>
                            <w:r w:rsidR="00CD22C3" w:rsidRPr="00DF5448">
                              <w:rPr>
                                <w:rStyle w:val="Hipercze"/>
                                <w:color w:val="002060"/>
                              </w:rPr>
                              <w:t>metodyczne badań statystycznych z zakresu energii ze źródeł odnawialnych</w:t>
                            </w:r>
                          </w:p>
                          <w:p w14:paraId="4ACC6D8F" w14:textId="0E57C824" w:rsidR="00CD22C3" w:rsidRPr="001B317F" w:rsidRDefault="00DF5448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F5448">
                              <w:rPr>
                                <w:rFonts w:cs="Times New Roman"/>
                                <w:color w:val="002060"/>
                              </w:rPr>
                              <w:fldChar w:fldCharType="end"/>
                            </w:r>
                            <w:hyperlink r:id="rId25" w:tooltip="link do publikacji: Zasady metodyczne sprawozdawczości statystycznej z zakresu gospodarki paliwami i energią oraz definicje stosowanych pojęć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Zasady metodyczne sprawozdawczości statystycznej z zakresu gospodarki paliwami i energią oraz definicje stosowanych pojęć</w:t>
                              </w:r>
                            </w:hyperlink>
                          </w:p>
                          <w:p w14:paraId="1F93D8C6" w14:textId="77777777" w:rsidR="00CD22C3" w:rsidRPr="001B317F" w:rsidRDefault="00CD22C3" w:rsidP="00CD22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EFE4E5" w14:textId="77777777" w:rsidR="00CD22C3" w:rsidRPr="00F24DA7" w:rsidRDefault="00CD22C3" w:rsidP="00CD22C3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5F2CEB2C" w14:textId="3135AD8A" w:rsidR="00CD22C3" w:rsidRPr="00303211" w:rsidRDefault="00303211" w:rsidP="00CD22C3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begin"/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instrText xml:space="preserve"> HYPERLINK "http://swaid.stat.gov.pl/SitePagesDBW/GospodarkaPaliwowoEn.aspx" \o "link do strony: Dziedzinowa Baza Wiedzy-Gospodarka Paliwowo Energetyczna" </w:instrText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separate"/>
                            </w:r>
                            <w:r w:rsidR="00CD22C3" w:rsidRPr="00303211">
                              <w:rPr>
                                <w:rStyle w:val="Hipercze"/>
                                <w:color w:val="002060"/>
                              </w:rPr>
                              <w:t>Dziedzinowa Baza Wiedzy-Gospodarka Paliwowo Energetyczna</w:t>
                            </w:r>
                          </w:p>
                          <w:p w14:paraId="5946E9D9" w14:textId="526E167D" w:rsidR="00CD22C3" w:rsidRPr="00303211" w:rsidRDefault="00303211" w:rsidP="00CD22C3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end"/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begin"/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instrText xml:space="preserve"> HYPERLINK "http://stat.gov.pl/wskazniki-makroekonomiczne/" \o "link do strony: Wskaźniki makroekonomiczne" </w:instrText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separate"/>
                            </w:r>
                            <w:r w:rsidR="00CD22C3" w:rsidRPr="00303211">
                              <w:rPr>
                                <w:rStyle w:val="Hipercze"/>
                                <w:color w:val="002060"/>
                              </w:rPr>
                              <w:t>Wskaźniki makroekonomiczne</w:t>
                            </w:r>
                          </w:p>
                          <w:p w14:paraId="10861522" w14:textId="2AB9CF34" w:rsidR="00CD22C3" w:rsidRPr="00303211" w:rsidRDefault="00303211" w:rsidP="00CD22C3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end"/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begin"/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instrText xml:space="preserve"> HYPERLINK "http://bdm.stat.gov.pl/" \o "link do strony: Bank Danych Makroekonomicznych" </w:instrText>
                            </w: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separate"/>
                            </w:r>
                            <w:r w:rsidR="00CD22C3" w:rsidRPr="00303211">
                              <w:rPr>
                                <w:rStyle w:val="Hipercze"/>
                                <w:color w:val="002060"/>
                              </w:rPr>
                              <w:t>Bank Danych Makroekonomicznych</w:t>
                            </w:r>
                          </w:p>
                          <w:p w14:paraId="02E57107" w14:textId="52ABBFFE" w:rsidR="00CD22C3" w:rsidRPr="001B317F" w:rsidRDefault="00303211" w:rsidP="00CD22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  <w:r w:rsidRPr="00303211">
                              <w:rPr>
                                <w:rFonts w:cs="Times New Roman"/>
                                <w:color w:val="002060"/>
                              </w:rPr>
                              <w:fldChar w:fldCharType="end"/>
                            </w:r>
                          </w:p>
                          <w:p w14:paraId="372DCB72" w14:textId="77777777" w:rsidR="00CD22C3" w:rsidRPr="00F24DA7" w:rsidRDefault="00CD22C3" w:rsidP="00CD22C3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72E2AD34" w14:textId="3CE64815" w:rsidR="00CD22C3" w:rsidRPr="001B317F" w:rsidRDefault="004120DB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tooltip="Link do pojęcia Energia pierwotna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Energia pierwotna</w:t>
                              </w:r>
                            </w:hyperlink>
                          </w:p>
                          <w:p w14:paraId="7D1B9E18" w14:textId="6FFDB397" w:rsidR="00CD22C3" w:rsidRPr="001B317F" w:rsidRDefault="004120DB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tooltip="Link do pojęcia Energia pochodna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Energia pochodna</w:t>
                              </w:r>
                            </w:hyperlink>
                          </w:p>
                          <w:p w14:paraId="278D08D0" w14:textId="7DF99B91" w:rsidR="00CD22C3" w:rsidRPr="001B317F" w:rsidRDefault="004120DB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tooltip="Link do pojęcia Zużycie energii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Zużycie energii</w:t>
                              </w:r>
                            </w:hyperlink>
                          </w:p>
                          <w:p w14:paraId="6897E468" w14:textId="77777777" w:rsidR="00CD22C3" w:rsidRPr="001B317F" w:rsidRDefault="00CD22C3" w:rsidP="00CD22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3A24" id="_x0000_s1030" type="#_x0000_t202" style="position:absolute;left:0;text-align:left;margin-left:0;margin-top:20.9pt;width:516.5pt;height:349.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Ci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" fillcolor="#f2f2f2 [3052]" strokecolor="white [3212]">
                <v:textbox>
                  <w:txbxContent>
                    <w:p w14:paraId="4046782C" w14:textId="77777777" w:rsidR="00CD22C3" w:rsidRPr="001B317F" w:rsidRDefault="00CD22C3" w:rsidP="00CD22C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A7D057A" w14:textId="77777777" w:rsidR="00CD22C3" w:rsidRPr="00F24DA7" w:rsidRDefault="00CD22C3" w:rsidP="00CD22C3">
                      <w:pPr>
                        <w:rPr>
                          <w:b/>
                          <w:szCs w:val="19"/>
                        </w:rPr>
                      </w:pPr>
                      <w:r w:rsidRPr="00F24DA7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947FCD3" w14:textId="3176EE34" w:rsidR="00CD22C3" w:rsidRPr="00901C5F" w:rsidRDefault="007F01D3" w:rsidP="00CD22C3">
                      <w:pPr>
                        <w:rPr>
                          <w:rStyle w:val="Hipercze"/>
                          <w:color w:val="001D77"/>
                        </w:rPr>
                      </w:pPr>
                      <w:r w:rsidRPr="00901C5F">
                        <w:rPr>
                          <w:rStyle w:val="Hipercze"/>
                          <w:color w:val="001D77"/>
                        </w:rPr>
                        <w:fldChar w:fldCharType="begin"/>
                      </w:r>
                      <w:r w:rsidR="00DF5448">
                        <w:rPr>
                          <w:rStyle w:val="Hipercze"/>
                          <w:color w:val="001D77"/>
                        </w:rPr>
                        <w:instrText>HYPERLINK "https://stat.gov.pl/obszary-tematyczne/srodowisko-energia/energia/gospodarka-paliwowo-energetyczna-w-latach-2020-i-2021,4,17.html" \o "link do publikacji: Gospodarka-Paliwowo-Energetyczna"</w:instrText>
                      </w:r>
                      <w:r w:rsidRPr="00901C5F">
                        <w:rPr>
                          <w:rStyle w:val="Hipercze"/>
                          <w:color w:val="001D77"/>
                        </w:rPr>
                        <w:fldChar w:fldCharType="separate"/>
                      </w:r>
                      <w:r w:rsidR="00CD22C3" w:rsidRPr="00901C5F">
                        <w:rPr>
                          <w:rStyle w:val="Hipercze"/>
                          <w:color w:val="001D77"/>
                        </w:rPr>
                        <w:t>Gospodarka-Paliwowo-Energetyczna</w:t>
                      </w:r>
                    </w:p>
                    <w:p w14:paraId="39BB0CE2" w14:textId="52414DF3" w:rsidR="00BB413E" w:rsidRPr="00901C5F" w:rsidRDefault="007F01D3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901C5F">
                        <w:rPr>
                          <w:rStyle w:val="Hipercze"/>
                          <w:color w:val="001D77"/>
                        </w:rPr>
                        <w:fldChar w:fldCharType="end"/>
                      </w:r>
                      <w:hyperlink r:id="rId29" w:tooltip="link do publikacji: Efektywność wykorzystania energii" w:history="1">
                        <w:r w:rsidR="00DF5448">
                          <w:rPr>
                            <w:rStyle w:val="Hipercze"/>
                            <w:color w:val="001D77"/>
                          </w:rPr>
                          <w:t xml:space="preserve">Efektywność wykorzystania energii </w:t>
                        </w:r>
                      </w:hyperlink>
                    </w:p>
                    <w:p w14:paraId="57EA18F6" w14:textId="2939EEC0" w:rsidR="00CD22C3" w:rsidRPr="00DF5448" w:rsidRDefault="00DF5448" w:rsidP="00CD22C3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</w:rPr>
                      </w:pPr>
                      <w:r w:rsidRPr="00DF5448">
                        <w:rPr>
                          <w:rFonts w:cs="Times New Roman"/>
                          <w:color w:val="002060"/>
                        </w:rPr>
                        <w:fldChar w:fldCharType="begin"/>
                      </w:r>
                      <w:r w:rsidRPr="00DF5448">
                        <w:rPr>
                          <w:rFonts w:cs="Times New Roman"/>
                          <w:color w:val="002060"/>
                        </w:rPr>
                        <w:instrText xml:space="preserve"> HYPERLINK "http://stat.gov.pl/obszary-tematyczne/srodowisko-energia/energia/zasady-metodyczne-badan-statystycznych-z-zakresu-energii-ze-zrodel-odnawialnych,8,1.html" \o "link do publikacji: Zasady metodyczne badań statystycznych z zakresu energii ze źródeł odnawialnych" </w:instrText>
                      </w:r>
                      <w:r w:rsidRPr="00DF5448">
                        <w:rPr>
                          <w:rFonts w:cs="Times New Roman"/>
                          <w:color w:val="002060"/>
                        </w:rPr>
                        <w:fldChar w:fldCharType="separate"/>
                      </w:r>
                      <w:r w:rsidR="00CD22C3" w:rsidRPr="00DF5448">
                        <w:rPr>
                          <w:rStyle w:val="Hipercze"/>
                          <w:color w:val="002060"/>
                        </w:rPr>
                        <w:t>Zasady</w:t>
                      </w:r>
                      <w:r w:rsidR="0020754C" w:rsidRPr="00DF5448">
                        <w:rPr>
                          <w:rStyle w:val="Hipercze"/>
                          <w:color w:val="002060"/>
                        </w:rPr>
                        <w:t xml:space="preserve"> </w:t>
                      </w:r>
                      <w:r w:rsidR="00CD22C3" w:rsidRPr="00DF5448">
                        <w:rPr>
                          <w:rStyle w:val="Hipercze"/>
                          <w:color w:val="002060"/>
                        </w:rPr>
                        <w:t>metodyczne badań statystycznych z zakresu energii ze źródeł odnawialnych</w:t>
                      </w:r>
                    </w:p>
                    <w:p w14:paraId="4ACC6D8F" w14:textId="0E57C824" w:rsidR="00CD22C3" w:rsidRPr="001B317F" w:rsidRDefault="00DF5448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DF5448">
                        <w:rPr>
                          <w:rFonts w:cs="Times New Roman"/>
                          <w:color w:val="002060"/>
                        </w:rPr>
                        <w:fldChar w:fldCharType="end"/>
                      </w:r>
                      <w:hyperlink r:id="rId30" w:tooltip="link do publikacji: Zasady metodyczne sprawozdawczości statystycznej z zakresu gospodarki paliwami i energią oraz definicje stosowanych pojęć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Zasady metodyczne sprawozdawczości statystycznej z zakresu gospodarki paliwami i energią oraz definicje stosowanych pojęć</w:t>
                        </w:r>
                      </w:hyperlink>
                    </w:p>
                    <w:p w14:paraId="1F93D8C6" w14:textId="77777777" w:rsidR="00CD22C3" w:rsidRPr="001B317F" w:rsidRDefault="00CD22C3" w:rsidP="00CD22C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EFE4E5" w14:textId="77777777" w:rsidR="00CD22C3" w:rsidRPr="00F24DA7" w:rsidRDefault="00CD22C3" w:rsidP="00CD22C3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F24DA7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5F2CEB2C" w14:textId="3135AD8A" w:rsidR="00CD22C3" w:rsidRPr="00303211" w:rsidRDefault="00303211" w:rsidP="00CD22C3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</w:rPr>
                      </w:pP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begin"/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instrText xml:space="preserve"> HYPERLINK "http://swaid.stat.gov.pl/SitePagesDBW/GospodarkaPaliwowoEn.aspx" \o "link do strony: Dziedzinowa Baza Wiedzy-Gospodarka Paliwowo Energetyczna" </w:instrText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separate"/>
                      </w:r>
                      <w:r w:rsidR="00CD22C3" w:rsidRPr="00303211">
                        <w:rPr>
                          <w:rStyle w:val="Hipercze"/>
                          <w:color w:val="002060"/>
                        </w:rPr>
                        <w:t>Dziedzinowa Baza Wiedzy-Gospodarka Paliwowo Energetyczna</w:t>
                      </w:r>
                    </w:p>
                    <w:p w14:paraId="5946E9D9" w14:textId="526E167D" w:rsidR="00CD22C3" w:rsidRPr="00303211" w:rsidRDefault="00303211" w:rsidP="00CD22C3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</w:rPr>
                      </w:pP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end"/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begin"/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instrText xml:space="preserve"> HYPERLINK "http://stat.gov.pl/wskazniki-makroekonomiczne/" \o "link do strony: Wskaźniki makroekonomiczne" </w:instrText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separate"/>
                      </w:r>
                      <w:r w:rsidR="00CD22C3" w:rsidRPr="00303211">
                        <w:rPr>
                          <w:rStyle w:val="Hipercze"/>
                          <w:color w:val="002060"/>
                        </w:rPr>
                        <w:t>Wskaźniki makroekonomiczne</w:t>
                      </w:r>
                    </w:p>
                    <w:p w14:paraId="10861522" w14:textId="2AB9CF34" w:rsidR="00CD22C3" w:rsidRPr="00303211" w:rsidRDefault="00303211" w:rsidP="00CD22C3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</w:rPr>
                      </w:pP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end"/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begin"/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instrText xml:space="preserve"> HYPERLINK "http://bdm.stat.gov.pl/" \o "link do strony: Bank Danych Makroekonomicznych" </w:instrText>
                      </w: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separate"/>
                      </w:r>
                      <w:r w:rsidR="00CD22C3" w:rsidRPr="00303211">
                        <w:rPr>
                          <w:rStyle w:val="Hipercze"/>
                          <w:color w:val="002060"/>
                        </w:rPr>
                        <w:t>Bank Danych Makroekonomicznych</w:t>
                      </w:r>
                    </w:p>
                    <w:p w14:paraId="02E57107" w14:textId="52ABBFFE" w:rsidR="00CD22C3" w:rsidRPr="001B317F" w:rsidRDefault="00303211" w:rsidP="00CD22C3">
                      <w:pPr>
                        <w:rPr>
                          <w:rStyle w:val="Hipercze"/>
                          <w:rFonts w:cs="Arial"/>
                          <w:color w:val="001D77"/>
                          <w:shd w:val="clear" w:color="auto" w:fill="F0F0F0"/>
                        </w:rPr>
                      </w:pPr>
                      <w:r w:rsidRPr="00303211">
                        <w:rPr>
                          <w:rFonts w:cs="Times New Roman"/>
                          <w:color w:val="002060"/>
                        </w:rPr>
                        <w:fldChar w:fldCharType="end"/>
                      </w:r>
                    </w:p>
                    <w:p w14:paraId="372DCB72" w14:textId="77777777" w:rsidR="00CD22C3" w:rsidRPr="00F24DA7" w:rsidRDefault="00CD22C3" w:rsidP="00CD22C3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F24DA7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72E2AD34" w14:textId="3CE64815" w:rsidR="00CD22C3" w:rsidRPr="001B317F" w:rsidRDefault="005E663B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1" w:tooltip="Link do pojęcia Energia pierwotna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Energia pierwotna</w:t>
                        </w:r>
                      </w:hyperlink>
                    </w:p>
                    <w:p w14:paraId="7D1B9E18" w14:textId="6FFDB397" w:rsidR="00CD22C3" w:rsidRPr="001B317F" w:rsidRDefault="005E663B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tooltip="Link do pojęcia Energia pochodna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Energia pochodna</w:t>
                        </w:r>
                      </w:hyperlink>
                    </w:p>
                    <w:p w14:paraId="278D08D0" w14:textId="7DF99B91" w:rsidR="00CD22C3" w:rsidRPr="001B317F" w:rsidRDefault="005E663B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tooltip="Link do pojęcia Zużycie energii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Zużycie energii</w:t>
                        </w:r>
                      </w:hyperlink>
                    </w:p>
                    <w:p w14:paraId="6897E468" w14:textId="77777777" w:rsidR="00CD22C3" w:rsidRPr="001B317F" w:rsidRDefault="00CD22C3" w:rsidP="00CD22C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2AB72" w14:textId="77777777"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</w:p>
    <w:p w14:paraId="62F82494" w14:textId="77777777" w:rsidR="00D261A2" w:rsidRPr="00001C5B" w:rsidRDefault="00D261A2" w:rsidP="000F6B84">
      <w:pPr>
        <w:rPr>
          <w:sz w:val="18"/>
        </w:rPr>
      </w:pP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8A95" w14:textId="77777777" w:rsidR="004120DB" w:rsidRDefault="004120DB" w:rsidP="000662E2">
      <w:pPr>
        <w:spacing w:after="0" w:line="240" w:lineRule="auto"/>
      </w:pPr>
      <w:r>
        <w:separator/>
      </w:r>
    </w:p>
  </w:endnote>
  <w:endnote w:type="continuationSeparator" w:id="0">
    <w:p w14:paraId="2CCB8545" w14:textId="77777777" w:rsidR="004120DB" w:rsidRDefault="004120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211756"/>
      <w:docPartObj>
        <w:docPartGallery w:val="Page Numbers (Bottom of Page)"/>
        <w:docPartUnique/>
      </w:docPartObj>
    </w:sdtPr>
    <w:sdtEndPr/>
    <w:sdtContent>
      <w:p w14:paraId="155EFE9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737717"/>
      <w:docPartObj>
        <w:docPartGallery w:val="Page Numbers (Bottom of Page)"/>
        <w:docPartUnique/>
      </w:docPartObj>
    </w:sdtPr>
    <w:sdtEndPr/>
    <w:sdtContent>
      <w:p w14:paraId="02F0D17A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E3A2C21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8A81" w14:textId="77777777" w:rsidR="004120DB" w:rsidRDefault="004120DB" w:rsidP="000662E2">
      <w:pPr>
        <w:spacing w:after="0" w:line="240" w:lineRule="auto"/>
      </w:pPr>
      <w:r>
        <w:separator/>
      </w:r>
    </w:p>
  </w:footnote>
  <w:footnote w:type="continuationSeparator" w:id="0">
    <w:p w14:paraId="375646C7" w14:textId="77777777" w:rsidR="004120DB" w:rsidRDefault="004120DB" w:rsidP="000662E2">
      <w:pPr>
        <w:spacing w:after="0" w:line="240" w:lineRule="auto"/>
      </w:pPr>
      <w:r>
        <w:continuationSeparator/>
      </w:r>
    </w:p>
  </w:footnote>
  <w:footnote w:id="1">
    <w:p w14:paraId="1DEE81EB" w14:textId="04E9C87C" w:rsidR="00CA6369" w:rsidRDefault="00CA6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3932">
        <w:rPr>
          <w:sz w:val="16"/>
          <w:szCs w:val="16"/>
        </w:rPr>
        <w:t>Liczby względne obliczono na podstawie danych bezwzględnych wyrażonych z większą dokładnością niż podano w tablicach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D38C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38EBF5" wp14:editId="15C0C1D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31CB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BD25CC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4CAD" w14:textId="74C1F9F5" w:rsidR="00540C5C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1ED9298D" wp14:editId="7AE4FD72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32" name="Obraz 32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C34AC2" wp14:editId="65DDA2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zwa serii wydawniczej&#10;&#10;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BCBE49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34AC2" id="Schemat blokowy: opóźnienie 6" o:spid="_x0000_s1031" alt="Nazwa serii wydawniczej&#10;&#10;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KZ3CUR6BgAAWS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BCBE49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B8A6DB3" wp14:editId="689F51C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8E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7F236AA0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1132C2" wp14:editId="424AB6A4">
              <wp:simplePos x="0" y="0"/>
              <wp:positionH relativeFrom="column">
                <wp:posOffset>5291262</wp:posOffset>
              </wp:positionH>
              <wp:positionV relativeFrom="paragraph">
                <wp:posOffset>782900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&#10;19.05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D0496" w14:textId="3C5A83C4" w:rsidR="00F37172" w:rsidRPr="00346518" w:rsidRDefault="00864F4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F3400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05</w:t>
                          </w:r>
                          <w:r w:rsidR="00A810F9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628D2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F3400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F37172" w:rsidRPr="003465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132C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 informacji sygnalnej:&#10;19.05.2023 r." style="position:absolute;margin-left:416.65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" filled="f" stroked="f">
              <v:textbox>
                <w:txbxContent>
                  <w:p w14:paraId="576D0496" w14:textId="3C5A83C4" w:rsidR="00F37172" w:rsidRPr="00346518" w:rsidRDefault="00864F4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46518"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 w:rsidRPr="003465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F3400" w:rsidRPr="00346518">
                      <w:rPr>
                        <w:rFonts w:ascii="Fira Sans SemiBold" w:hAnsi="Fira Sans SemiBold"/>
                        <w:color w:val="001D77"/>
                      </w:rPr>
                      <w:t>05</w:t>
                    </w:r>
                    <w:r w:rsidR="00A810F9" w:rsidRPr="003465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628D2" w:rsidRPr="0034651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F3400" w:rsidRPr="00346518"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F37172" w:rsidRPr="003465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5DD81" w14:textId="77777777" w:rsidR="00607CC5" w:rsidRDefault="00607CC5">
    <w:pPr>
      <w:pStyle w:val="Nagwek"/>
    </w:pPr>
  </w:p>
  <w:p w14:paraId="4B8F5D0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4.2pt;height:124.2pt;visibility:visible" o:bullet="t">
        <v:imagedata r:id="rId1" o:title=""/>
      </v:shape>
    </w:pict>
  </w:numPicBullet>
  <w:numPicBullet w:numPicBulletId="1">
    <w:pict>
      <v:shape id="_x0000_i1043" type="#_x0000_t75" style="width:123.6pt;height:124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C53"/>
    <w:rsid w:val="0000709F"/>
    <w:rsid w:val="000108B8"/>
    <w:rsid w:val="000152F5"/>
    <w:rsid w:val="00027BF5"/>
    <w:rsid w:val="000415B9"/>
    <w:rsid w:val="0004582E"/>
    <w:rsid w:val="000470AA"/>
    <w:rsid w:val="00057CA1"/>
    <w:rsid w:val="000619C4"/>
    <w:rsid w:val="000662E2"/>
    <w:rsid w:val="00066883"/>
    <w:rsid w:val="00066B9D"/>
    <w:rsid w:val="00074DD8"/>
    <w:rsid w:val="00075759"/>
    <w:rsid w:val="000806F7"/>
    <w:rsid w:val="00093EE6"/>
    <w:rsid w:val="000951E7"/>
    <w:rsid w:val="00097840"/>
    <w:rsid w:val="000A1ACE"/>
    <w:rsid w:val="000B0727"/>
    <w:rsid w:val="000C03B0"/>
    <w:rsid w:val="000C135D"/>
    <w:rsid w:val="000C30CE"/>
    <w:rsid w:val="000D0959"/>
    <w:rsid w:val="000D1D43"/>
    <w:rsid w:val="000D225C"/>
    <w:rsid w:val="000D2A5C"/>
    <w:rsid w:val="000D634F"/>
    <w:rsid w:val="000E0918"/>
    <w:rsid w:val="000F081B"/>
    <w:rsid w:val="000F2A09"/>
    <w:rsid w:val="000F3400"/>
    <w:rsid w:val="000F6B84"/>
    <w:rsid w:val="001011C3"/>
    <w:rsid w:val="0010639F"/>
    <w:rsid w:val="00110D87"/>
    <w:rsid w:val="00114DB9"/>
    <w:rsid w:val="00116087"/>
    <w:rsid w:val="001225B4"/>
    <w:rsid w:val="00123212"/>
    <w:rsid w:val="00130296"/>
    <w:rsid w:val="00136736"/>
    <w:rsid w:val="001423B6"/>
    <w:rsid w:val="001448A7"/>
    <w:rsid w:val="00146621"/>
    <w:rsid w:val="001501AB"/>
    <w:rsid w:val="0015130E"/>
    <w:rsid w:val="001529CC"/>
    <w:rsid w:val="00162325"/>
    <w:rsid w:val="00184E1B"/>
    <w:rsid w:val="00191CBE"/>
    <w:rsid w:val="001926BB"/>
    <w:rsid w:val="00193C26"/>
    <w:rsid w:val="001951DA"/>
    <w:rsid w:val="001A2649"/>
    <w:rsid w:val="001B6D44"/>
    <w:rsid w:val="001C3269"/>
    <w:rsid w:val="001C3932"/>
    <w:rsid w:val="001C4AA9"/>
    <w:rsid w:val="001C616A"/>
    <w:rsid w:val="001D0A92"/>
    <w:rsid w:val="001D1DB4"/>
    <w:rsid w:val="001D21E1"/>
    <w:rsid w:val="001E3A5A"/>
    <w:rsid w:val="001F1569"/>
    <w:rsid w:val="002009F6"/>
    <w:rsid w:val="00203CFC"/>
    <w:rsid w:val="002054F4"/>
    <w:rsid w:val="0020754C"/>
    <w:rsid w:val="00216B80"/>
    <w:rsid w:val="002302C4"/>
    <w:rsid w:val="00235E1E"/>
    <w:rsid w:val="00237C2A"/>
    <w:rsid w:val="0025029C"/>
    <w:rsid w:val="002574F9"/>
    <w:rsid w:val="00262B61"/>
    <w:rsid w:val="00262EA2"/>
    <w:rsid w:val="00263E08"/>
    <w:rsid w:val="00273C67"/>
    <w:rsid w:val="00273D26"/>
    <w:rsid w:val="00275975"/>
    <w:rsid w:val="00276811"/>
    <w:rsid w:val="002806CB"/>
    <w:rsid w:val="00282699"/>
    <w:rsid w:val="00286D70"/>
    <w:rsid w:val="00290FDB"/>
    <w:rsid w:val="002926DF"/>
    <w:rsid w:val="00296697"/>
    <w:rsid w:val="002A456C"/>
    <w:rsid w:val="002B040F"/>
    <w:rsid w:val="002B0472"/>
    <w:rsid w:val="002B6B12"/>
    <w:rsid w:val="002C2143"/>
    <w:rsid w:val="002D40AA"/>
    <w:rsid w:val="002D7263"/>
    <w:rsid w:val="002D7D64"/>
    <w:rsid w:val="002E6140"/>
    <w:rsid w:val="002E6985"/>
    <w:rsid w:val="002E71B6"/>
    <w:rsid w:val="002F47D0"/>
    <w:rsid w:val="002F77C8"/>
    <w:rsid w:val="0030008A"/>
    <w:rsid w:val="00303211"/>
    <w:rsid w:val="00304DEE"/>
    <w:rsid w:val="00304F22"/>
    <w:rsid w:val="00306C7C"/>
    <w:rsid w:val="003077F2"/>
    <w:rsid w:val="00315158"/>
    <w:rsid w:val="00322EDD"/>
    <w:rsid w:val="003309FA"/>
    <w:rsid w:val="00332320"/>
    <w:rsid w:val="00336415"/>
    <w:rsid w:val="00346518"/>
    <w:rsid w:val="00347D72"/>
    <w:rsid w:val="00353F45"/>
    <w:rsid w:val="003556E4"/>
    <w:rsid w:val="00357611"/>
    <w:rsid w:val="00367237"/>
    <w:rsid w:val="0037077F"/>
    <w:rsid w:val="00372411"/>
    <w:rsid w:val="00373882"/>
    <w:rsid w:val="0037613C"/>
    <w:rsid w:val="003771E2"/>
    <w:rsid w:val="003843DB"/>
    <w:rsid w:val="00393761"/>
    <w:rsid w:val="00394E26"/>
    <w:rsid w:val="00396691"/>
    <w:rsid w:val="00397D18"/>
    <w:rsid w:val="003A1B36"/>
    <w:rsid w:val="003B1454"/>
    <w:rsid w:val="003B18B6"/>
    <w:rsid w:val="003C59E0"/>
    <w:rsid w:val="003C5B4A"/>
    <w:rsid w:val="003C6C8D"/>
    <w:rsid w:val="003D2656"/>
    <w:rsid w:val="003D4F95"/>
    <w:rsid w:val="003D5F42"/>
    <w:rsid w:val="003D60A9"/>
    <w:rsid w:val="003E30F2"/>
    <w:rsid w:val="003F4C97"/>
    <w:rsid w:val="003F666D"/>
    <w:rsid w:val="003F7FE6"/>
    <w:rsid w:val="00400193"/>
    <w:rsid w:val="00401B81"/>
    <w:rsid w:val="00411202"/>
    <w:rsid w:val="004120DB"/>
    <w:rsid w:val="0042000D"/>
    <w:rsid w:val="004212E7"/>
    <w:rsid w:val="00423C88"/>
    <w:rsid w:val="0042446D"/>
    <w:rsid w:val="00427BF8"/>
    <w:rsid w:val="00431C02"/>
    <w:rsid w:val="00437395"/>
    <w:rsid w:val="00445047"/>
    <w:rsid w:val="004520A5"/>
    <w:rsid w:val="0045512C"/>
    <w:rsid w:val="00462CA7"/>
    <w:rsid w:val="00463E39"/>
    <w:rsid w:val="0046439E"/>
    <w:rsid w:val="004657FC"/>
    <w:rsid w:val="00466C13"/>
    <w:rsid w:val="004713EB"/>
    <w:rsid w:val="004733F6"/>
    <w:rsid w:val="00474E69"/>
    <w:rsid w:val="0048032A"/>
    <w:rsid w:val="00486671"/>
    <w:rsid w:val="00496049"/>
    <w:rsid w:val="0049621B"/>
    <w:rsid w:val="004A1614"/>
    <w:rsid w:val="004B5763"/>
    <w:rsid w:val="004C0D8B"/>
    <w:rsid w:val="004C1895"/>
    <w:rsid w:val="004C413C"/>
    <w:rsid w:val="004C52BF"/>
    <w:rsid w:val="004C6D40"/>
    <w:rsid w:val="004D17DD"/>
    <w:rsid w:val="004D3C3E"/>
    <w:rsid w:val="004E6AA8"/>
    <w:rsid w:val="004F0C3C"/>
    <w:rsid w:val="004F63FC"/>
    <w:rsid w:val="00505A92"/>
    <w:rsid w:val="00510396"/>
    <w:rsid w:val="00510721"/>
    <w:rsid w:val="005203F1"/>
    <w:rsid w:val="00521BC3"/>
    <w:rsid w:val="00522A6D"/>
    <w:rsid w:val="00533632"/>
    <w:rsid w:val="005336F9"/>
    <w:rsid w:val="005340C3"/>
    <w:rsid w:val="00540C5C"/>
    <w:rsid w:val="00541E6E"/>
    <w:rsid w:val="0054251F"/>
    <w:rsid w:val="005438DB"/>
    <w:rsid w:val="005511E1"/>
    <w:rsid w:val="005520D8"/>
    <w:rsid w:val="0055531D"/>
    <w:rsid w:val="00556CF1"/>
    <w:rsid w:val="00557E7C"/>
    <w:rsid w:val="00560C0B"/>
    <w:rsid w:val="0056652A"/>
    <w:rsid w:val="00576116"/>
    <w:rsid w:val="005762A7"/>
    <w:rsid w:val="00585580"/>
    <w:rsid w:val="005868E2"/>
    <w:rsid w:val="00587900"/>
    <w:rsid w:val="005916D7"/>
    <w:rsid w:val="00591DDD"/>
    <w:rsid w:val="0059425C"/>
    <w:rsid w:val="005A698C"/>
    <w:rsid w:val="005B4804"/>
    <w:rsid w:val="005C1E38"/>
    <w:rsid w:val="005C44B0"/>
    <w:rsid w:val="005E0799"/>
    <w:rsid w:val="005E3AFD"/>
    <w:rsid w:val="005E663B"/>
    <w:rsid w:val="005E7D04"/>
    <w:rsid w:val="005F4931"/>
    <w:rsid w:val="005F5A80"/>
    <w:rsid w:val="00600A5C"/>
    <w:rsid w:val="0060253F"/>
    <w:rsid w:val="006025CF"/>
    <w:rsid w:val="006044FF"/>
    <w:rsid w:val="00605073"/>
    <w:rsid w:val="00607C2C"/>
    <w:rsid w:val="00607CC5"/>
    <w:rsid w:val="006125F9"/>
    <w:rsid w:val="0061553A"/>
    <w:rsid w:val="00624453"/>
    <w:rsid w:val="00625434"/>
    <w:rsid w:val="006260FA"/>
    <w:rsid w:val="00626DF2"/>
    <w:rsid w:val="00633014"/>
    <w:rsid w:val="0063437B"/>
    <w:rsid w:val="00643ED6"/>
    <w:rsid w:val="006555F4"/>
    <w:rsid w:val="00656B31"/>
    <w:rsid w:val="006645E8"/>
    <w:rsid w:val="006673CA"/>
    <w:rsid w:val="00673C26"/>
    <w:rsid w:val="00674BA4"/>
    <w:rsid w:val="00674DE5"/>
    <w:rsid w:val="00674E43"/>
    <w:rsid w:val="0067688D"/>
    <w:rsid w:val="006812AF"/>
    <w:rsid w:val="00682067"/>
    <w:rsid w:val="0068327D"/>
    <w:rsid w:val="006926E4"/>
    <w:rsid w:val="00692826"/>
    <w:rsid w:val="00694AF0"/>
    <w:rsid w:val="00697B22"/>
    <w:rsid w:val="006A4686"/>
    <w:rsid w:val="006A50EB"/>
    <w:rsid w:val="006B0E9E"/>
    <w:rsid w:val="006B5601"/>
    <w:rsid w:val="006B5AE4"/>
    <w:rsid w:val="006C1046"/>
    <w:rsid w:val="006C3910"/>
    <w:rsid w:val="006C64D7"/>
    <w:rsid w:val="006D1507"/>
    <w:rsid w:val="006D354C"/>
    <w:rsid w:val="006D4054"/>
    <w:rsid w:val="006E02EC"/>
    <w:rsid w:val="006E2D93"/>
    <w:rsid w:val="006E315F"/>
    <w:rsid w:val="006E73E6"/>
    <w:rsid w:val="006F2B6A"/>
    <w:rsid w:val="00706C9E"/>
    <w:rsid w:val="0070788F"/>
    <w:rsid w:val="00713BBA"/>
    <w:rsid w:val="007211B1"/>
    <w:rsid w:val="0072414E"/>
    <w:rsid w:val="007277DA"/>
    <w:rsid w:val="00737010"/>
    <w:rsid w:val="007442F4"/>
    <w:rsid w:val="00746187"/>
    <w:rsid w:val="0076254F"/>
    <w:rsid w:val="00763B23"/>
    <w:rsid w:val="007753FC"/>
    <w:rsid w:val="007801F5"/>
    <w:rsid w:val="00783C39"/>
    <w:rsid w:val="00783CA4"/>
    <w:rsid w:val="00783E7D"/>
    <w:rsid w:val="007842FB"/>
    <w:rsid w:val="00786124"/>
    <w:rsid w:val="007873A8"/>
    <w:rsid w:val="0079514B"/>
    <w:rsid w:val="00795252"/>
    <w:rsid w:val="007A2C6E"/>
    <w:rsid w:val="007A2DC1"/>
    <w:rsid w:val="007B22EF"/>
    <w:rsid w:val="007B59C8"/>
    <w:rsid w:val="007C37BF"/>
    <w:rsid w:val="007C427B"/>
    <w:rsid w:val="007C7B24"/>
    <w:rsid w:val="007D14C4"/>
    <w:rsid w:val="007D3319"/>
    <w:rsid w:val="007D335D"/>
    <w:rsid w:val="007E2DF5"/>
    <w:rsid w:val="007E3314"/>
    <w:rsid w:val="007E4B03"/>
    <w:rsid w:val="007F01D3"/>
    <w:rsid w:val="007F324B"/>
    <w:rsid w:val="007F6C96"/>
    <w:rsid w:val="00801E44"/>
    <w:rsid w:val="0080553C"/>
    <w:rsid w:val="00805B46"/>
    <w:rsid w:val="00806714"/>
    <w:rsid w:val="00813FE3"/>
    <w:rsid w:val="00815E04"/>
    <w:rsid w:val="008204CA"/>
    <w:rsid w:val="00825DC2"/>
    <w:rsid w:val="008312EF"/>
    <w:rsid w:val="00832CC5"/>
    <w:rsid w:val="00834AD3"/>
    <w:rsid w:val="00834AF5"/>
    <w:rsid w:val="00840802"/>
    <w:rsid w:val="00840B82"/>
    <w:rsid w:val="008413BD"/>
    <w:rsid w:val="00843795"/>
    <w:rsid w:val="008467C8"/>
    <w:rsid w:val="00847F0F"/>
    <w:rsid w:val="00847FE9"/>
    <w:rsid w:val="00852204"/>
    <w:rsid w:val="00852448"/>
    <w:rsid w:val="0086024F"/>
    <w:rsid w:val="00862D83"/>
    <w:rsid w:val="00864F44"/>
    <w:rsid w:val="00866CAE"/>
    <w:rsid w:val="00875A20"/>
    <w:rsid w:val="00877F6C"/>
    <w:rsid w:val="0088258A"/>
    <w:rsid w:val="00886332"/>
    <w:rsid w:val="0088746A"/>
    <w:rsid w:val="008907C4"/>
    <w:rsid w:val="0089448A"/>
    <w:rsid w:val="008A26D9"/>
    <w:rsid w:val="008A3459"/>
    <w:rsid w:val="008A60A4"/>
    <w:rsid w:val="008A6C37"/>
    <w:rsid w:val="008C0C29"/>
    <w:rsid w:val="008C624C"/>
    <w:rsid w:val="008D33AB"/>
    <w:rsid w:val="008D76BC"/>
    <w:rsid w:val="008E5A2D"/>
    <w:rsid w:val="008E6467"/>
    <w:rsid w:val="008E7DBA"/>
    <w:rsid w:val="008F3638"/>
    <w:rsid w:val="008F4441"/>
    <w:rsid w:val="008F6B20"/>
    <w:rsid w:val="008F6F31"/>
    <w:rsid w:val="008F74DF"/>
    <w:rsid w:val="00901C5F"/>
    <w:rsid w:val="009077E3"/>
    <w:rsid w:val="009127BA"/>
    <w:rsid w:val="00912B82"/>
    <w:rsid w:val="00913491"/>
    <w:rsid w:val="009227A6"/>
    <w:rsid w:val="0092738B"/>
    <w:rsid w:val="00931397"/>
    <w:rsid w:val="00933EC1"/>
    <w:rsid w:val="00933F2A"/>
    <w:rsid w:val="00947BBA"/>
    <w:rsid w:val="009530DB"/>
    <w:rsid w:val="00953307"/>
    <w:rsid w:val="00953676"/>
    <w:rsid w:val="0095795E"/>
    <w:rsid w:val="009628D2"/>
    <w:rsid w:val="00962E2D"/>
    <w:rsid w:val="00964C24"/>
    <w:rsid w:val="00966661"/>
    <w:rsid w:val="00967AC4"/>
    <w:rsid w:val="00970251"/>
    <w:rsid w:val="009705EE"/>
    <w:rsid w:val="009717A0"/>
    <w:rsid w:val="009752DE"/>
    <w:rsid w:val="00977927"/>
    <w:rsid w:val="0098135C"/>
    <w:rsid w:val="0098156A"/>
    <w:rsid w:val="00983F54"/>
    <w:rsid w:val="009876DF"/>
    <w:rsid w:val="00991BAC"/>
    <w:rsid w:val="009951E6"/>
    <w:rsid w:val="009A1EB0"/>
    <w:rsid w:val="009A2776"/>
    <w:rsid w:val="009A6EA0"/>
    <w:rsid w:val="009B3483"/>
    <w:rsid w:val="009B3CF2"/>
    <w:rsid w:val="009C1335"/>
    <w:rsid w:val="009C1AB2"/>
    <w:rsid w:val="009C3057"/>
    <w:rsid w:val="009C4002"/>
    <w:rsid w:val="009C7251"/>
    <w:rsid w:val="009D6261"/>
    <w:rsid w:val="009D7E2D"/>
    <w:rsid w:val="009E2E91"/>
    <w:rsid w:val="009E40BA"/>
    <w:rsid w:val="009E4238"/>
    <w:rsid w:val="009F6F66"/>
    <w:rsid w:val="00A07556"/>
    <w:rsid w:val="00A11614"/>
    <w:rsid w:val="00A139F5"/>
    <w:rsid w:val="00A31B43"/>
    <w:rsid w:val="00A365F4"/>
    <w:rsid w:val="00A403FD"/>
    <w:rsid w:val="00A47D80"/>
    <w:rsid w:val="00A53132"/>
    <w:rsid w:val="00A563F2"/>
    <w:rsid w:val="00A566E8"/>
    <w:rsid w:val="00A567A5"/>
    <w:rsid w:val="00A57FB5"/>
    <w:rsid w:val="00A6298E"/>
    <w:rsid w:val="00A73473"/>
    <w:rsid w:val="00A810F9"/>
    <w:rsid w:val="00A86ECC"/>
    <w:rsid w:val="00A86FCC"/>
    <w:rsid w:val="00A93719"/>
    <w:rsid w:val="00AA1FA2"/>
    <w:rsid w:val="00AA710D"/>
    <w:rsid w:val="00AB64F3"/>
    <w:rsid w:val="00AB6D25"/>
    <w:rsid w:val="00AC2695"/>
    <w:rsid w:val="00AD3E87"/>
    <w:rsid w:val="00AD6892"/>
    <w:rsid w:val="00AD6F6C"/>
    <w:rsid w:val="00AE2D4B"/>
    <w:rsid w:val="00AE3FDF"/>
    <w:rsid w:val="00AE4F99"/>
    <w:rsid w:val="00AF32AE"/>
    <w:rsid w:val="00AF6F1D"/>
    <w:rsid w:val="00B11B69"/>
    <w:rsid w:val="00B12963"/>
    <w:rsid w:val="00B14952"/>
    <w:rsid w:val="00B1542E"/>
    <w:rsid w:val="00B31E5A"/>
    <w:rsid w:val="00B34E22"/>
    <w:rsid w:val="00B35D34"/>
    <w:rsid w:val="00B404E2"/>
    <w:rsid w:val="00B4742F"/>
    <w:rsid w:val="00B61C27"/>
    <w:rsid w:val="00B653AB"/>
    <w:rsid w:val="00B65F9E"/>
    <w:rsid w:val="00B66B19"/>
    <w:rsid w:val="00B678F8"/>
    <w:rsid w:val="00B802DC"/>
    <w:rsid w:val="00B805EF"/>
    <w:rsid w:val="00B843FE"/>
    <w:rsid w:val="00B87DCB"/>
    <w:rsid w:val="00B914E9"/>
    <w:rsid w:val="00B956EE"/>
    <w:rsid w:val="00BA1219"/>
    <w:rsid w:val="00BA2BA1"/>
    <w:rsid w:val="00BA3447"/>
    <w:rsid w:val="00BA3562"/>
    <w:rsid w:val="00BB3D2C"/>
    <w:rsid w:val="00BB413E"/>
    <w:rsid w:val="00BB490F"/>
    <w:rsid w:val="00BB4F09"/>
    <w:rsid w:val="00BD4E33"/>
    <w:rsid w:val="00BE035A"/>
    <w:rsid w:val="00BF15AB"/>
    <w:rsid w:val="00BF28F9"/>
    <w:rsid w:val="00C030DE"/>
    <w:rsid w:val="00C051A8"/>
    <w:rsid w:val="00C1592C"/>
    <w:rsid w:val="00C22105"/>
    <w:rsid w:val="00C244B6"/>
    <w:rsid w:val="00C27BF1"/>
    <w:rsid w:val="00C30538"/>
    <w:rsid w:val="00C36361"/>
    <w:rsid w:val="00C3702F"/>
    <w:rsid w:val="00C42A94"/>
    <w:rsid w:val="00C4500A"/>
    <w:rsid w:val="00C53524"/>
    <w:rsid w:val="00C55247"/>
    <w:rsid w:val="00C635CB"/>
    <w:rsid w:val="00C64A37"/>
    <w:rsid w:val="00C66EE8"/>
    <w:rsid w:val="00C7158E"/>
    <w:rsid w:val="00C7250B"/>
    <w:rsid w:val="00C730E9"/>
    <w:rsid w:val="00C7346B"/>
    <w:rsid w:val="00C7361E"/>
    <w:rsid w:val="00C74F14"/>
    <w:rsid w:val="00C75834"/>
    <w:rsid w:val="00C759CB"/>
    <w:rsid w:val="00C77C0E"/>
    <w:rsid w:val="00C862FA"/>
    <w:rsid w:val="00C91687"/>
    <w:rsid w:val="00C924A8"/>
    <w:rsid w:val="00C945FE"/>
    <w:rsid w:val="00C96FAA"/>
    <w:rsid w:val="00C97A04"/>
    <w:rsid w:val="00CA0357"/>
    <w:rsid w:val="00CA107B"/>
    <w:rsid w:val="00CA28DD"/>
    <w:rsid w:val="00CA484D"/>
    <w:rsid w:val="00CA4CBD"/>
    <w:rsid w:val="00CA4FB6"/>
    <w:rsid w:val="00CA60C2"/>
    <w:rsid w:val="00CA6369"/>
    <w:rsid w:val="00CB18C4"/>
    <w:rsid w:val="00CB2F90"/>
    <w:rsid w:val="00CB60D8"/>
    <w:rsid w:val="00CC1247"/>
    <w:rsid w:val="00CC739E"/>
    <w:rsid w:val="00CD1D23"/>
    <w:rsid w:val="00CD22C3"/>
    <w:rsid w:val="00CD2ADE"/>
    <w:rsid w:val="00CD58B7"/>
    <w:rsid w:val="00CE0586"/>
    <w:rsid w:val="00CE0C2F"/>
    <w:rsid w:val="00CF3847"/>
    <w:rsid w:val="00CF4099"/>
    <w:rsid w:val="00D00796"/>
    <w:rsid w:val="00D03EC1"/>
    <w:rsid w:val="00D22719"/>
    <w:rsid w:val="00D261A2"/>
    <w:rsid w:val="00D42701"/>
    <w:rsid w:val="00D45BBE"/>
    <w:rsid w:val="00D616D2"/>
    <w:rsid w:val="00D63B5F"/>
    <w:rsid w:val="00D70EF7"/>
    <w:rsid w:val="00D7242B"/>
    <w:rsid w:val="00D8397C"/>
    <w:rsid w:val="00D914D6"/>
    <w:rsid w:val="00D94EED"/>
    <w:rsid w:val="00D96026"/>
    <w:rsid w:val="00D96BB3"/>
    <w:rsid w:val="00DA231A"/>
    <w:rsid w:val="00DA2378"/>
    <w:rsid w:val="00DA7920"/>
    <w:rsid w:val="00DA7C1C"/>
    <w:rsid w:val="00DB147A"/>
    <w:rsid w:val="00DB1B7A"/>
    <w:rsid w:val="00DB79C5"/>
    <w:rsid w:val="00DC6708"/>
    <w:rsid w:val="00DD011A"/>
    <w:rsid w:val="00DD7095"/>
    <w:rsid w:val="00DD7486"/>
    <w:rsid w:val="00DE0095"/>
    <w:rsid w:val="00DE37E0"/>
    <w:rsid w:val="00DE530B"/>
    <w:rsid w:val="00DF5448"/>
    <w:rsid w:val="00DF6893"/>
    <w:rsid w:val="00E01436"/>
    <w:rsid w:val="00E045BD"/>
    <w:rsid w:val="00E0755E"/>
    <w:rsid w:val="00E1055C"/>
    <w:rsid w:val="00E10E72"/>
    <w:rsid w:val="00E17890"/>
    <w:rsid w:val="00E17B77"/>
    <w:rsid w:val="00E23337"/>
    <w:rsid w:val="00E23E21"/>
    <w:rsid w:val="00E259EA"/>
    <w:rsid w:val="00E32061"/>
    <w:rsid w:val="00E3652E"/>
    <w:rsid w:val="00E41EBF"/>
    <w:rsid w:val="00E42FF9"/>
    <w:rsid w:val="00E43085"/>
    <w:rsid w:val="00E43997"/>
    <w:rsid w:val="00E4469A"/>
    <w:rsid w:val="00E4714C"/>
    <w:rsid w:val="00E50A2D"/>
    <w:rsid w:val="00E50F8A"/>
    <w:rsid w:val="00E5189E"/>
    <w:rsid w:val="00E51AEB"/>
    <w:rsid w:val="00E521D0"/>
    <w:rsid w:val="00E522A7"/>
    <w:rsid w:val="00E5338C"/>
    <w:rsid w:val="00E54452"/>
    <w:rsid w:val="00E558AF"/>
    <w:rsid w:val="00E60197"/>
    <w:rsid w:val="00E60A1F"/>
    <w:rsid w:val="00E64C7D"/>
    <w:rsid w:val="00E65E3A"/>
    <w:rsid w:val="00E664C5"/>
    <w:rsid w:val="00E671A2"/>
    <w:rsid w:val="00E70D2A"/>
    <w:rsid w:val="00E73E4E"/>
    <w:rsid w:val="00E76D26"/>
    <w:rsid w:val="00E77C6D"/>
    <w:rsid w:val="00E815A5"/>
    <w:rsid w:val="00E870FB"/>
    <w:rsid w:val="00E94CF0"/>
    <w:rsid w:val="00EB1390"/>
    <w:rsid w:val="00EB1C1D"/>
    <w:rsid w:val="00EB2C71"/>
    <w:rsid w:val="00EB3333"/>
    <w:rsid w:val="00EB39C2"/>
    <w:rsid w:val="00EB4340"/>
    <w:rsid w:val="00EB556D"/>
    <w:rsid w:val="00EB5A7D"/>
    <w:rsid w:val="00EC204D"/>
    <w:rsid w:val="00EC7894"/>
    <w:rsid w:val="00ED0AD5"/>
    <w:rsid w:val="00ED3563"/>
    <w:rsid w:val="00ED55C0"/>
    <w:rsid w:val="00ED5BEF"/>
    <w:rsid w:val="00ED682B"/>
    <w:rsid w:val="00EE41D5"/>
    <w:rsid w:val="00EF42BC"/>
    <w:rsid w:val="00EF78C5"/>
    <w:rsid w:val="00F037A4"/>
    <w:rsid w:val="00F148F6"/>
    <w:rsid w:val="00F16C07"/>
    <w:rsid w:val="00F27C8F"/>
    <w:rsid w:val="00F32749"/>
    <w:rsid w:val="00F3700F"/>
    <w:rsid w:val="00F37172"/>
    <w:rsid w:val="00F3769C"/>
    <w:rsid w:val="00F430F9"/>
    <w:rsid w:val="00F4477E"/>
    <w:rsid w:val="00F44ABB"/>
    <w:rsid w:val="00F46269"/>
    <w:rsid w:val="00F52195"/>
    <w:rsid w:val="00F62B6D"/>
    <w:rsid w:val="00F67D8F"/>
    <w:rsid w:val="00F802BE"/>
    <w:rsid w:val="00F80E93"/>
    <w:rsid w:val="00F86024"/>
    <w:rsid w:val="00F8611A"/>
    <w:rsid w:val="00F96B4F"/>
    <w:rsid w:val="00FA24ED"/>
    <w:rsid w:val="00FA5128"/>
    <w:rsid w:val="00FA61FC"/>
    <w:rsid w:val="00FB2F70"/>
    <w:rsid w:val="00FB42D4"/>
    <w:rsid w:val="00FB5906"/>
    <w:rsid w:val="00FB59B3"/>
    <w:rsid w:val="00FB7368"/>
    <w:rsid w:val="00FB762F"/>
    <w:rsid w:val="00FC2AED"/>
    <w:rsid w:val="00FC3531"/>
    <w:rsid w:val="00FD5EA7"/>
    <w:rsid w:val="00FE74BE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3284"/>
  <w15:docId w15:val="{4B564779-BA03-4FB8-9274-F73C021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7C427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C427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C4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C4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7C4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2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C42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2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C427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7C427B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4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4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27B"/>
    <w:rPr>
      <w:rFonts w:asciiTheme="majorHAnsi" w:eastAsiaTheme="majorEastAsia" w:hAnsiTheme="majorHAnsi" w:cstheme="majorBidi"/>
      <w:color w:val="2E74B5" w:themeColor="accent1" w:themeShade="B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7C42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2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7C427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27B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Pogrubienie">
    <w:name w:val="Strong"/>
    <w:basedOn w:val="Domylnaczcionkaakapitu"/>
    <w:uiPriority w:val="22"/>
    <w:qFormat/>
    <w:rsid w:val="007C427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C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27B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C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27B"/>
    <w:rPr>
      <w:rFonts w:ascii="Fira Sans" w:hAnsi="Fira Sans"/>
      <w:sz w:val="19"/>
    </w:rPr>
  </w:style>
  <w:style w:type="paragraph" w:styleId="Akapitzlist">
    <w:name w:val="List Paragraph"/>
    <w:basedOn w:val="Normalny"/>
    <w:link w:val="AkapitzlistZnak"/>
    <w:uiPriority w:val="34"/>
    <w:qFormat/>
    <w:rsid w:val="007C42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C42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427B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427B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7C427B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7C427B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C427B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7C427B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CD22C3"/>
    <w:pPr>
      <w:spacing w:line="276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22C3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autoRedefine/>
    <w:qFormat/>
    <w:rsid w:val="00847FE9"/>
    <w:pPr>
      <w:keepNext/>
      <w:tabs>
        <w:tab w:val="left" w:pos="6804"/>
      </w:tabs>
      <w:ind w:left="1276" w:hanging="1276"/>
    </w:pPr>
    <w:rPr>
      <w:rFonts w:eastAsia="Times New Roman" w:cs="Times New Roman"/>
      <w:b/>
      <w:iCs/>
      <w:noProof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4C7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4C7D"/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7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7B"/>
    <w:rPr>
      <w:rFonts w:ascii="Fira Sans" w:hAnsi="Fira Sans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C427B"/>
    <w:rPr>
      <w:rFonts w:ascii="Fira Sans" w:hAnsi="Fira Sans"/>
      <w:sz w:val="19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C427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C427B"/>
    <w:rPr>
      <w:rFonts w:ascii="Fira Sans SemiBold" w:hAnsi="Fira Sans SemiBold"/>
      <w:color w:val="001D77"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C427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7C427B"/>
    <w:rPr>
      <w:rFonts w:ascii="Fira Sans SemiBold" w:hAnsi="Fira Sans SemiBold"/>
      <w:color w:val="66AFDE"/>
      <w:sz w:val="60"/>
      <w:szCs w:val="60"/>
    </w:rPr>
  </w:style>
  <w:style w:type="character" w:customStyle="1" w:styleId="LIDZnak">
    <w:name w:val="LID Znak"/>
    <w:basedOn w:val="Domylnaczcionkaakapitu"/>
    <w:link w:val="LID"/>
    <w:rsid w:val="007C427B"/>
    <w:rPr>
      <w:rFonts w:ascii="Fira Sans" w:hAnsi="Fira Sans"/>
      <w:b/>
      <w:noProof/>
      <w:sz w:val="19"/>
      <w:szCs w:val="19"/>
      <w:lang w:eastAsia="pl-PL"/>
    </w:rPr>
  </w:style>
  <w:style w:type="paragraph" w:customStyle="1" w:styleId="Lead">
    <w:name w:val="Lead"/>
    <w:basedOn w:val="LID"/>
    <w:link w:val="LeadZnak"/>
    <w:qFormat/>
    <w:rsid w:val="007C427B"/>
    <w:pPr>
      <w:spacing w:before="360"/>
    </w:pPr>
  </w:style>
  <w:style w:type="character" w:customStyle="1" w:styleId="LeadZnak">
    <w:name w:val="Lead Znak"/>
    <w:basedOn w:val="LIDZnak"/>
    <w:link w:val="Lead"/>
    <w:rsid w:val="007C427B"/>
    <w:rPr>
      <w:rFonts w:ascii="Fira Sans" w:hAnsi="Fira Sans"/>
      <w:b/>
      <w:noProof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427B"/>
    <w:rPr>
      <w:color w:val="605E5C"/>
      <w:shd w:val="clear" w:color="auto" w:fill="E1DFDD"/>
    </w:rPr>
  </w:style>
  <w:style w:type="character" w:customStyle="1" w:styleId="tekstnaniebieskimtleZnak">
    <w:name w:val="tekst na niebieskim tle Znak"/>
    <w:basedOn w:val="Domylnaczcionkaakapitu"/>
    <w:link w:val="tekstnaniebieskimtle"/>
    <w:rsid w:val="007C427B"/>
    <w:rPr>
      <w:rFonts w:ascii="Fira Sans" w:hAnsi="Fira Sans"/>
      <w:sz w:val="20"/>
    </w:rPr>
  </w:style>
  <w:style w:type="paragraph" w:customStyle="1" w:styleId="Opiswskanika">
    <w:name w:val="Opis wskaźnika"/>
    <w:basedOn w:val="tekstnaniebieskimtle"/>
    <w:link w:val="OpiswskanikaZnak"/>
    <w:qFormat/>
    <w:rsid w:val="007C427B"/>
    <w:rPr>
      <w:color w:val="FFFFFF" w:themeColor="background1"/>
    </w:rPr>
  </w:style>
  <w:style w:type="character" w:customStyle="1" w:styleId="OpiswskanikaZnak">
    <w:name w:val="Opis wskaźnika Znak"/>
    <w:basedOn w:val="tekstnaniebieskimtleZnak"/>
    <w:link w:val="Opiswskanika"/>
    <w:rsid w:val="007C427B"/>
    <w:rPr>
      <w:rFonts w:ascii="Fira Sans" w:hAnsi="Fira Sans"/>
      <w:color w:val="FFFFFF" w:themeColor="background1"/>
      <w:sz w:val="20"/>
    </w:rPr>
  </w:style>
  <w:style w:type="paragraph" w:customStyle="1" w:styleId="Przypis">
    <w:name w:val="Przypis"/>
    <w:basedOn w:val="Tekstprzypisudolnego"/>
    <w:link w:val="PrzypisZnak"/>
    <w:qFormat/>
    <w:rsid w:val="007C427B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7C427B"/>
    <w:rPr>
      <w:rFonts w:ascii="Fira Sans" w:hAnsi="Fira Sans"/>
      <w:sz w:val="19"/>
      <w:szCs w:val="19"/>
      <w:lang w:val="en-GB"/>
    </w:rPr>
  </w:style>
  <w:style w:type="table" w:styleId="Siatkatabelijasna">
    <w:name w:val="Grid Table Light"/>
    <w:basedOn w:val="Standardowy"/>
    <w:uiPriority w:val="40"/>
    <w:rsid w:val="007C42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7C42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icaboczek">
    <w:name w:val="Tablica boczek"/>
    <w:basedOn w:val="Normalny"/>
    <w:link w:val="TablicaboczekZnak"/>
    <w:qFormat/>
    <w:rsid w:val="007C427B"/>
    <w:rPr>
      <w:rFonts w:eastAsia="Times New Roman" w:cs="Calibri"/>
      <w:szCs w:val="19"/>
      <w:lang w:eastAsia="pl-PL"/>
    </w:rPr>
  </w:style>
  <w:style w:type="character" w:customStyle="1" w:styleId="TablicaboczekZnak">
    <w:name w:val="Tablica boczek Znak"/>
    <w:basedOn w:val="Domylnaczcionkaakapitu"/>
    <w:link w:val="Tablicaboczek"/>
    <w:rsid w:val="007C427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7C427B"/>
    <w:pPr>
      <w:ind w:firstLine="176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7C427B"/>
    <w:rPr>
      <w:rFonts w:ascii="Fira Sans" w:hAnsi="Fira Sans"/>
      <w:sz w:val="19"/>
      <w:szCs w:val="19"/>
    </w:rPr>
  </w:style>
  <w:style w:type="paragraph" w:customStyle="1" w:styleId="Tablicaboczekwcicie2">
    <w:name w:val="Tablica boczek wcięcie 2"/>
    <w:basedOn w:val="Normalny"/>
    <w:link w:val="Tablicaboczekwcicie2Znak"/>
    <w:qFormat/>
    <w:rsid w:val="007C427B"/>
    <w:pPr>
      <w:ind w:left="318"/>
    </w:pPr>
    <w:rPr>
      <w:szCs w:val="19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7C427B"/>
    <w:rPr>
      <w:rFonts w:ascii="Fira Sans" w:hAnsi="Fira Sans"/>
      <w:sz w:val="19"/>
      <w:szCs w:val="19"/>
    </w:rPr>
  </w:style>
  <w:style w:type="paragraph" w:customStyle="1" w:styleId="Tablicadanerodek">
    <w:name w:val="Tablica dane środek"/>
    <w:basedOn w:val="Normalny"/>
    <w:link w:val="TablicadanerodekZnak"/>
    <w:qFormat/>
    <w:rsid w:val="007C427B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7C427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gwka">
    <w:name w:val="Tablica główka"/>
    <w:basedOn w:val="Akapitzlist"/>
    <w:link w:val="TablicagwkaZnak"/>
    <w:qFormat/>
    <w:rsid w:val="007C427B"/>
    <w:rPr>
      <w:rFonts w:eastAsia="Times New Roman" w:cs="Calibri"/>
      <w:szCs w:val="19"/>
      <w:lang w:eastAsia="pl-PL"/>
    </w:rPr>
  </w:style>
  <w:style w:type="character" w:customStyle="1" w:styleId="TablicagwkaZnak">
    <w:name w:val="Tablica główka Znak"/>
    <w:basedOn w:val="AkapitzlistZnak"/>
    <w:link w:val="Tablicagwka"/>
    <w:rsid w:val="007C427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7C427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7C427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notka">
    <w:name w:val="Tablica notka"/>
    <w:basedOn w:val="Normalny"/>
    <w:link w:val="TablicanotkaZnak"/>
    <w:qFormat/>
    <w:rsid w:val="007C427B"/>
    <w:rPr>
      <w:noProof/>
      <w:spacing w:val="-2"/>
      <w:sz w:val="16"/>
      <w:szCs w:val="16"/>
    </w:rPr>
  </w:style>
  <w:style w:type="character" w:customStyle="1" w:styleId="TablicanotkaZnak">
    <w:name w:val="Tablica notka Znak"/>
    <w:basedOn w:val="Domylnaczcionkaakapitu"/>
    <w:link w:val="Tablicanotka"/>
    <w:rsid w:val="007C427B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7C427B"/>
    <w:pPr>
      <w:numPr>
        <w:ilvl w:val="1"/>
        <w:numId w:val="3"/>
      </w:num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7C427B"/>
    <w:rPr>
      <w:rFonts w:ascii="Fira Sans" w:hAnsi="Fira Sans"/>
      <w:sz w:val="19"/>
      <w:lang w:val="en-GB"/>
    </w:rPr>
  </w:style>
  <w:style w:type="character" w:customStyle="1" w:styleId="tytuinformacjiZnak">
    <w:name w:val="tytuł informacji Znak"/>
    <w:basedOn w:val="Domylnaczcionkaakapitu"/>
    <w:link w:val="tytuinformacji"/>
    <w:rsid w:val="007C427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7C427B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7C427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ytutablicy">
    <w:name w:val="Tytuł tablicy"/>
    <w:basedOn w:val="Nagwek1"/>
    <w:link w:val="TytutablicyZnak"/>
    <w:qFormat/>
    <w:rsid w:val="007C427B"/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7C427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7C427B"/>
    <w:rPr>
      <w:rFonts w:ascii="Fira Sans" w:hAnsi="Fira Sans"/>
      <w:b/>
      <w:noProof/>
    </w:rPr>
  </w:style>
  <w:style w:type="character" w:customStyle="1" w:styleId="TytuwykresuZnak">
    <w:name w:val="Tytuł wykresu Znak"/>
    <w:basedOn w:val="Nagwek1Znak"/>
    <w:link w:val="Tytuwykresu0"/>
    <w:rsid w:val="007C427B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Wartowskanika">
    <w:name w:val="Wartość wskaźnika"/>
    <w:basedOn w:val="Normalny"/>
    <w:link w:val="WartowskanikaZnak"/>
    <w:qFormat/>
    <w:rsid w:val="007C427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WartowskanikaZnak">
    <w:name w:val="Wartość wskaźnika Znak"/>
    <w:basedOn w:val="Domylnaczcionkaakapitu"/>
    <w:link w:val="Wartowskanika"/>
    <w:rsid w:val="007C427B"/>
    <w:rPr>
      <w:rFonts w:ascii="Fira Sans SemiBold" w:hAnsi="Fira Sans SemiBold"/>
      <w:color w:val="FFFFFF" w:themeColor="background1"/>
      <w:sz w:val="40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9C3057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CA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CA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93,pojecie.html" TargetMode="Externa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33" Type="http://schemas.openxmlformats.org/officeDocument/2006/relationships/hyperlink" Target="http://stat.gov.pl/metainformacje/slownik-pojec/pojecia-stosowane-w-statystyce-publicznej/672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obszary-tematyczne/srodowisko-energia/energia/efektywnosc-wykorzystania-energii-w-latach-2010-2020,5,17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srodowisko-energia/energia/efektywnosc-wykorzystania-energii-w-latach-2010-2020,5,17.html" TargetMode="External"/><Relationship Id="rId32" Type="http://schemas.openxmlformats.org/officeDocument/2006/relationships/hyperlink" Target="http://stat.gov.pl/metainformacje/slownik-pojec/pojecia-stosowane-w-statystyce-publicznej/94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://stat.gov.pl/metainformacje/slownik-pojec/pojecia-stosowane-w-statystyce-publicznej/672,pojecie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9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94,pojecie.html" TargetMode="External"/><Relationship Id="rId30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Zużycie energii w gospodarstwach domowych w 2021.docx.docx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5B09-3AF8-441B-A63C-9B3336EE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99A2A815-CDF5-4D7C-BEAA-895EB0FC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Zużycie energii w gospodarstwach domowych w 2018 roku</vt:lpstr>
    </vt:vector>
  </TitlesOfParts>
  <Company>Główny Urząd Statystyczny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Zużycie energii w gospodarstwach domowych w 2018 roku</dc:title>
  <dc:subject>Zużycie energii w gospodarstwach domowych w 2018 roku</dc:subject>
  <dc:creator>Walaszczak Karolina</dc:creator>
  <cp:keywords/>
  <dc:description/>
  <cp:lastModifiedBy>Walaszczak Karolina</cp:lastModifiedBy>
  <cp:revision>3</cp:revision>
  <cp:lastPrinted>2023-05-19T07:10:00Z</cp:lastPrinted>
  <dcterms:created xsi:type="dcterms:W3CDTF">2023-05-12T11:34:00Z</dcterms:created>
  <dcterms:modified xsi:type="dcterms:W3CDTF">2023-05-19T07:10:00Z</dcterms:modified>
  <cp:category>Energia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