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08B5C" w14:textId="13267E31" w:rsidR="00393761" w:rsidRPr="00592DCD" w:rsidRDefault="006D4224" w:rsidP="005B5788">
      <w:pPr>
        <w:pStyle w:val="Tytuinfomacjisygnalnej"/>
        <w:rPr>
          <w:rFonts w:cs="Fira Sans Extra Condensed SemiB"/>
          <w:bCs/>
          <w:spacing w:val="-2"/>
          <w:szCs w:val="40"/>
        </w:rPr>
      </w:pPr>
      <w:bookmarkStart w:id="0" w:name="_GoBack"/>
      <w:bookmarkEnd w:id="0"/>
      <w:r w:rsidRPr="00592DCD">
        <w:rPr>
          <w:rFonts w:cs="Fira Sans Extra Condensed SemiB"/>
          <w:bCs/>
          <w:spacing w:val="-2"/>
          <w:szCs w:val="40"/>
        </w:rPr>
        <w:t>Przemysły kultury i kreatywne w 2021 r.</w:t>
      </w:r>
    </w:p>
    <w:p w14:paraId="1E690351" w14:textId="360D1DAB" w:rsidR="00DE58F1" w:rsidRPr="00592DCD" w:rsidRDefault="00241FA7" w:rsidP="002A471E">
      <w:pPr>
        <w:pStyle w:val="LID"/>
        <w:spacing w:before="360" w:after="240"/>
      </w:pPr>
      <w:r w:rsidRPr="00592DCD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309455C4" wp14:editId="6F810DB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095500" cy="1604010"/>
                <wp:effectExtent l="0" t="0" r="0" b="0"/>
                <wp:wrapSquare wrapText="bothSides"/>
                <wp:docPr id="3" name="Pole tekstowe 2" descr="Ikona strzałki skierowana grotem w górę oznaczająca wzrost liczby podmiotów zaliczanych do przemysłów kultury i kreatywnych w porównaniu z 2020 r. o 8,8% 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604513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165EB" w14:textId="42EC45A7" w:rsidR="00241FA7" w:rsidRPr="00F65A5A" w:rsidRDefault="00241FA7" w:rsidP="00241FA7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F75972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="008077CE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8,</w:t>
                            </w:r>
                            <w:r w:rsidR="006D4224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8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569EB95B" w14:textId="73ED9F3B" w:rsidR="00241FA7" w:rsidRPr="007D605C" w:rsidRDefault="00241FA7" w:rsidP="00241FA7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 xml:space="preserve">Wzrost </w:t>
                            </w:r>
                            <w:r w:rsidR="006D4224">
                              <w:t xml:space="preserve">liczby podmiotów </w:t>
                            </w:r>
                            <w:r w:rsidR="006D4224">
                              <w:rPr>
                                <w:color w:val="FFFFFF"/>
                                <w:szCs w:val="20"/>
                              </w:rPr>
                              <w:t>zali</w:t>
                            </w:r>
                            <w:r w:rsidR="00200D3A">
                              <w:rPr>
                                <w:color w:val="FFFFFF"/>
                                <w:szCs w:val="20"/>
                              </w:rPr>
                              <w:t xml:space="preserve">czanych do przemysłów kultury i </w:t>
                            </w:r>
                            <w:r w:rsidR="006D4224">
                              <w:rPr>
                                <w:color w:val="FFFFFF"/>
                                <w:szCs w:val="20"/>
                              </w:rPr>
                              <w:t>kreatywnych w porównaniu z 2020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9455C4" id="Pole tekstowe 2" o:spid="_x0000_s1026" alt="Ikona strzałki skierowana grotem w górę oznaczająca wzrost liczby podmiotów zaliczanych do przemysłów kultury i kreatywnych w porównaniu z 2020 r. o 8,8% &#10;&#10;" style="position:absolute;margin-left:0;margin-top:.55pt;width:165pt;height:126.3pt;z-index:251784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" fillcolor="#001d77" stroked="f">
                <v:stroke joinstyle="miter"/>
                <v:textbox>
                  <w:txbxContent>
                    <w:p w14:paraId="4F5165EB" w14:textId="42EC45A7" w:rsidR="00241FA7" w:rsidRPr="00F65A5A" w:rsidRDefault="00241FA7" w:rsidP="00241FA7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F75972">
                        <w:rPr>
                          <w:rStyle w:val="WartowskanikaZnak"/>
                        </w:rPr>
                        <w:t xml:space="preserve"> </w:t>
                      </w:r>
                      <w:r w:rsidR="008077CE">
                        <w:rPr>
                          <w:rStyle w:val="WartowskanikaZnak"/>
                          <w:sz w:val="72"/>
                          <w:szCs w:val="72"/>
                        </w:rPr>
                        <w:t>8,</w:t>
                      </w:r>
                      <w:r w:rsidR="006D4224">
                        <w:rPr>
                          <w:rStyle w:val="WartowskanikaZnak"/>
                          <w:sz w:val="72"/>
                          <w:szCs w:val="72"/>
                        </w:rPr>
                        <w:t>8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569EB95B" w14:textId="73ED9F3B" w:rsidR="00241FA7" w:rsidRPr="007D605C" w:rsidRDefault="00241FA7" w:rsidP="00241FA7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</w:rPr>
                      </w:pPr>
                      <w:r>
                        <w:t xml:space="preserve">Wzrost </w:t>
                      </w:r>
                      <w:r w:rsidR="006D4224">
                        <w:t xml:space="preserve">liczby podmiotów </w:t>
                      </w:r>
                      <w:r w:rsidR="006D4224">
                        <w:rPr>
                          <w:color w:val="FFFFFF"/>
                          <w:szCs w:val="20"/>
                        </w:rPr>
                        <w:t>zali</w:t>
                      </w:r>
                      <w:r w:rsidR="00200D3A">
                        <w:rPr>
                          <w:color w:val="FFFFFF"/>
                          <w:szCs w:val="20"/>
                        </w:rPr>
                        <w:t xml:space="preserve">czanych do przemysłów kultury i </w:t>
                      </w:r>
                      <w:r w:rsidR="006D4224">
                        <w:rPr>
                          <w:color w:val="FFFFFF"/>
                          <w:szCs w:val="20"/>
                        </w:rPr>
                        <w:t>kreatywnych w porównaniu z 2020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D4224" w:rsidRPr="00592DCD">
        <w:t>W 2021 r. działalność prowadziło 135,0 tys</w:t>
      </w:r>
      <w:r w:rsidR="00BE7F14" w:rsidRPr="00592DCD">
        <w:t>.</w:t>
      </w:r>
      <w:r w:rsidR="006D4224" w:rsidRPr="00592DCD">
        <w:t xml:space="preserve"> przedsiębiorstw zaliczanych do przemysłów kultury i kreatywnych. Przeważającą większość podmiotów (99,2%) stanowiły mikroprzedsiębiorstwa, skupiające 75,8% pracujących w obszarze przemysłów kultury i kreatywnych. Miesięczne wynagrodzenie brutto na 1 zatrudnionego wyniosło </w:t>
      </w:r>
      <w:r w:rsidR="006D4224" w:rsidRPr="00592DCD">
        <w:rPr>
          <w:shd w:val="clear" w:color="auto" w:fill="FFFFFF"/>
        </w:rPr>
        <w:t xml:space="preserve">6 927 </w:t>
      </w:r>
      <w:r w:rsidR="006D4224" w:rsidRPr="00592DCD">
        <w:t>zł, tj. o 592 zł więcej niż w 2020</w:t>
      </w:r>
      <w:r w:rsidR="00AD086E" w:rsidRPr="00592DCD">
        <w:t xml:space="preserve"> r.</w:t>
      </w:r>
      <w:r w:rsidR="006D4224" w:rsidRPr="00592DCD">
        <w:t xml:space="preserve"> i było większe o 994 zł w porównaniu z</w:t>
      </w:r>
      <w:r w:rsidR="00025AC2" w:rsidRPr="00592DCD">
        <w:t> </w:t>
      </w:r>
      <w:r w:rsidR="00FE0121" w:rsidRPr="00592DCD">
        <w:t>wynagrodzeniem w</w:t>
      </w:r>
      <w:r w:rsidR="00740DD6" w:rsidRPr="00592DCD">
        <w:t> </w:t>
      </w:r>
      <w:r w:rsidR="006D4224" w:rsidRPr="00592DCD">
        <w:t>przedsiębiorstwa</w:t>
      </w:r>
      <w:r w:rsidR="00AA0698" w:rsidRPr="00592DCD">
        <w:t>ch</w:t>
      </w:r>
      <w:r w:rsidR="006D4224" w:rsidRPr="00592DCD">
        <w:t xml:space="preserve"> niefinansowy</w:t>
      </w:r>
      <w:r w:rsidR="00AA0698" w:rsidRPr="00592DCD">
        <w:t>ch</w:t>
      </w:r>
      <w:r w:rsidR="006D4224" w:rsidRPr="00592DCD">
        <w:t xml:space="preserve">. </w:t>
      </w:r>
    </w:p>
    <w:p w14:paraId="3789AEC2" w14:textId="5E7F7533" w:rsidR="006D4224" w:rsidRPr="00592DCD" w:rsidRDefault="006D4224" w:rsidP="002A471E">
      <w:pPr>
        <w:spacing w:before="360" w:line="288" w:lineRule="auto"/>
      </w:pPr>
      <w:r w:rsidRPr="00592DCD">
        <w:t>Wyniki za 2021 r. sugerują, że po chwilowym spowolni</w:t>
      </w:r>
      <w:r w:rsidR="00420219" w:rsidRPr="00592DCD">
        <w:t>eni</w:t>
      </w:r>
      <w:r w:rsidRPr="00592DCD">
        <w:t xml:space="preserve">u i spadkach zanotowanych w obszarze przemysłów kultury i kreatywnych w </w:t>
      </w:r>
      <w:r w:rsidR="00163D43" w:rsidRPr="00592DCD">
        <w:t>2020 r.</w:t>
      </w:r>
      <w:r w:rsidRPr="00592DCD">
        <w:t xml:space="preserve">, można mówić w wielu przypadkach o </w:t>
      </w:r>
      <w:r w:rsidR="005022CC" w:rsidRPr="00592DCD">
        <w:t>nieznacznej</w:t>
      </w:r>
      <w:r w:rsidRPr="00592DCD">
        <w:t xml:space="preserve"> poprawie i powrocie do trendów </w:t>
      </w:r>
      <w:r w:rsidR="003B3D7D" w:rsidRPr="00592DCD">
        <w:t>s</w:t>
      </w:r>
      <w:r w:rsidRPr="00592DCD">
        <w:t>przed pandemii.</w:t>
      </w:r>
    </w:p>
    <w:p w14:paraId="3884FF75" w14:textId="3DC807D1" w:rsidR="006D4224" w:rsidRPr="00592DCD" w:rsidRDefault="006D4224" w:rsidP="006D4224">
      <w:pPr>
        <w:pStyle w:val="Nagwek1"/>
      </w:pPr>
      <w:r w:rsidRPr="00592DCD">
        <w:t>Liczba i rodzaje podmiotów zaliczanych do przemysłów kultury i kreatywnych</w:t>
      </w:r>
    </w:p>
    <w:p w14:paraId="61490976" w14:textId="18D51A1A" w:rsidR="006D4224" w:rsidRPr="00592DCD" w:rsidRDefault="006D4224" w:rsidP="008911E2">
      <w:pPr>
        <w:spacing w:line="288" w:lineRule="auto"/>
      </w:pPr>
      <w:r w:rsidRPr="00592DCD">
        <w:t xml:space="preserve">Od 2015 r. </w:t>
      </w:r>
      <w:r w:rsidR="00B46CBE" w:rsidRPr="00592DCD">
        <w:t>corocznie</w:t>
      </w:r>
      <w:r w:rsidRPr="00592DCD">
        <w:t xml:space="preserve"> notowano wzrost liczby podmiotów zaliczanych do przemysłów kultury i</w:t>
      </w:r>
      <w:r w:rsidR="00B46CBE" w:rsidRPr="00592DCD">
        <w:t> </w:t>
      </w:r>
      <w:r w:rsidRPr="00592DCD">
        <w:t xml:space="preserve">kreatywnych. </w:t>
      </w:r>
      <w:r w:rsidR="00CE4B64" w:rsidRPr="00592DCD">
        <w:t xml:space="preserve">W 2021 r. tempo wzrostu było większe niż we wcześniejszych latach – liczba </w:t>
      </w:r>
      <w:r w:rsidR="00131443" w:rsidRPr="00592DCD">
        <w:t>podmiotów</w:t>
      </w:r>
      <w:r w:rsidR="00CE4B64" w:rsidRPr="00592DCD">
        <w:t xml:space="preserve"> zwiększyła się </w:t>
      </w:r>
      <w:r w:rsidRPr="00592DCD">
        <w:t>o 8,</w:t>
      </w:r>
      <w:r w:rsidR="00131443" w:rsidRPr="00592DCD">
        <w:t>8% i wyniosła</w:t>
      </w:r>
      <w:r w:rsidRPr="00592DCD">
        <w:t xml:space="preserve"> 135</w:t>
      </w:r>
      <w:r w:rsidR="00131443" w:rsidRPr="00592DCD">
        <w:t>,0</w:t>
      </w:r>
      <w:r w:rsidRPr="00592DCD">
        <w:t xml:space="preserve"> tys. </w:t>
      </w:r>
      <w:r w:rsidR="009B1972" w:rsidRPr="00592DCD">
        <w:t>Podmioty zaliczane do przemysłów kultury i kreatywnych s</w:t>
      </w:r>
      <w:r w:rsidRPr="00592DCD">
        <w:t>tanowi</w:t>
      </w:r>
      <w:r w:rsidR="00131443" w:rsidRPr="00592DCD">
        <w:t>ł</w:t>
      </w:r>
      <w:r w:rsidR="009B1972" w:rsidRPr="00592DCD">
        <w:t xml:space="preserve">y </w:t>
      </w:r>
      <w:r w:rsidRPr="00592DCD">
        <w:t>5,7% wszystkich przedsiębiorstw niefinansowych.</w:t>
      </w:r>
    </w:p>
    <w:p w14:paraId="3EC51CB7" w14:textId="5FCCF436" w:rsidR="00905935" w:rsidRPr="00592DCD" w:rsidRDefault="008911E2" w:rsidP="008911E2">
      <w:pPr>
        <w:pStyle w:val="Tytuwykresu0"/>
        <w:rPr>
          <w:rFonts w:ascii="Fira Sans" w:hAnsi="Fira Sans"/>
        </w:rPr>
      </w:pPr>
      <w:r w:rsidRPr="00592DCD">
        <mc:AlternateContent>
          <mc:Choice Requires="wps">
            <w:drawing>
              <wp:anchor distT="45720" distB="45720" distL="114300" distR="114300" simplePos="0" relativeHeight="251798528" behindDoc="1" locked="0" layoutInCell="1" allowOverlap="1" wp14:anchorId="24A9C92F" wp14:editId="21F136C8">
                <wp:simplePos x="0" y="0"/>
                <wp:positionH relativeFrom="column">
                  <wp:posOffset>5365115</wp:posOffset>
                </wp:positionH>
                <wp:positionV relativeFrom="paragraph">
                  <wp:posOffset>3100070</wp:posOffset>
                </wp:positionV>
                <wp:extent cx="1725295" cy="948690"/>
                <wp:effectExtent l="0" t="0" r="0" b="3810"/>
                <wp:wrapTight wrapText="bothSides">
                  <wp:wrapPolygon edited="0">
                    <wp:start x="715" y="0"/>
                    <wp:lineTo x="715" y="21253"/>
                    <wp:lineTo x="20749" y="21253"/>
                    <wp:lineTo x="20749" y="0"/>
                    <wp:lineTo x="715" y="0"/>
                  </wp:wrapPolygon>
                </wp:wrapTight>
                <wp:docPr id="24" name="Prostokąt 24" descr="Najwięcej przedsiębiorstw zaliczanych do przemysłów kultury i kreatywnych prowadziło działalność w ramach dziedziny Sztuki wizualn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5295" cy="94869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69CA229" w14:textId="3DDFBB88" w:rsidR="00FB78C8" w:rsidRDefault="00E02F90" w:rsidP="00FB78C8">
                            <w:pPr>
                              <w:pStyle w:val="tekstzboku"/>
                            </w:pPr>
                            <w:r w:rsidRPr="00D904DF">
                              <w:t xml:space="preserve">Najwięcej przedsiębiorstw zaliczanych do przemysłów kultury i kreatywnych prowadziło działalność w ramach dziedziny </w:t>
                            </w:r>
                            <w:r w:rsidRPr="00E40A56">
                              <w:rPr>
                                <w:i/>
                              </w:rPr>
                              <w:t>Sztuki wizualne</w:t>
                            </w:r>
                            <w:r w:rsidRPr="00D904DF">
                              <w:t xml:space="preserve"> (22,2%).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9C92F" id="Prostokąt 24" o:spid="_x0000_s1027" alt="Najwięcej przedsiębiorstw zaliczanych do przemysłów kultury i kreatywnych prowadziło działalność w ramach dziedziny Sztuki wizualne " style="position:absolute;margin-left:422.45pt;margin-top:244.1pt;width:135.85pt;height:74.7pt;z-index:-251517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" filled="f" stroked="f" strokeweight=".26mm">
                <v:textbox>
                  <w:txbxContent>
                    <w:p w14:paraId="369CA229" w14:textId="3DDFBB88" w:rsidR="00FB78C8" w:rsidRDefault="00E02F90" w:rsidP="00FB78C8">
                      <w:pPr>
                        <w:pStyle w:val="tekstzboku"/>
                      </w:pPr>
                      <w:r w:rsidRPr="00D904DF">
                        <w:t xml:space="preserve">Najwięcej przedsiębiorstw zaliczanych do przemysłów kultury i kreatywnych prowadziło działalność w ramach dziedziny </w:t>
                      </w:r>
                      <w:r w:rsidRPr="00E40A56">
                        <w:rPr>
                          <w:i/>
                        </w:rPr>
                        <w:t>Sztuki wizualne</w:t>
                      </w:r>
                      <w:r w:rsidRPr="00D904DF">
                        <w:t xml:space="preserve"> (22,2%).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5233CF" w:rsidRPr="00592DCD">
        <w:rPr>
          <w:rFonts w:ascii="Fira Sans" w:hAnsi="Fira Sans"/>
        </w:rPr>
        <w:drawing>
          <wp:anchor distT="0" distB="0" distL="114300" distR="114300" simplePos="0" relativeHeight="251803648" behindDoc="0" locked="0" layoutInCell="1" allowOverlap="1" wp14:anchorId="0E132A62" wp14:editId="0CBAECD0">
            <wp:simplePos x="0" y="0"/>
            <wp:positionH relativeFrom="column">
              <wp:posOffset>-13280</wp:posOffset>
            </wp:positionH>
            <wp:positionV relativeFrom="paragraph">
              <wp:posOffset>353703</wp:posOffset>
            </wp:positionV>
            <wp:extent cx="5047615" cy="2749550"/>
            <wp:effectExtent l="0" t="0" r="0" b="0"/>
            <wp:wrapTopAndBottom/>
            <wp:docPr id="2" name="Obraz 2" descr="Wykres 1. słupkowy przedstawiający liczbę podmiotów zaliczanych do przemysłów kultury i kreatywnych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274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D4224" w:rsidRPr="00592DCD">
        <w:rPr>
          <w:rFonts w:ascii="Fira Sans" w:hAnsi="Fira Sans"/>
          <w:shd w:val="clear" w:color="auto" w:fill="FFFFFF"/>
        </w:rPr>
        <w:t>Wykres</w:t>
      </w:r>
      <w:r w:rsidR="00BE7F14" w:rsidRPr="00592DCD">
        <w:rPr>
          <w:rFonts w:ascii="Fira Sans" w:hAnsi="Fira Sans"/>
        </w:rPr>
        <w:t xml:space="preserve"> 1. </w:t>
      </w:r>
      <w:r w:rsidR="006D4224" w:rsidRPr="00592DCD">
        <w:rPr>
          <w:rFonts w:ascii="Fira Sans" w:hAnsi="Fira Sans"/>
        </w:rPr>
        <w:t>Liczba podmiotów zaliczanych do przemysłów kultury i kreatywnych</w:t>
      </w:r>
    </w:p>
    <w:p w14:paraId="599404EC" w14:textId="68A5D121" w:rsidR="00CC0A00" w:rsidRPr="00592DCD" w:rsidRDefault="00FB78C8" w:rsidP="008911E2">
      <w:pPr>
        <w:spacing w:line="288" w:lineRule="auto"/>
      </w:pPr>
      <w:r w:rsidRPr="00592DCD">
        <w:t xml:space="preserve">Najwięcej podmiotów </w:t>
      </w:r>
      <w:r w:rsidR="00280BDF" w:rsidRPr="00592DCD">
        <w:t>prowadziło</w:t>
      </w:r>
      <w:r w:rsidRPr="00592DCD">
        <w:t xml:space="preserve"> działalność związaną z</w:t>
      </w:r>
      <w:r w:rsidR="0035677A" w:rsidRPr="00592DCD">
        <w:t xml:space="preserve"> dziedziną</w:t>
      </w:r>
      <w:r w:rsidRPr="00592DCD">
        <w:t xml:space="preserve"> </w:t>
      </w:r>
      <w:r w:rsidRPr="00592DCD">
        <w:rPr>
          <w:i/>
        </w:rPr>
        <w:t>Sztuki wizualn</w:t>
      </w:r>
      <w:r w:rsidR="0035677A" w:rsidRPr="00592DCD">
        <w:rPr>
          <w:i/>
        </w:rPr>
        <w:t>e</w:t>
      </w:r>
      <w:r w:rsidRPr="00592DCD">
        <w:t xml:space="preserve"> (26,</w:t>
      </w:r>
      <w:r w:rsidR="005A0E54" w:rsidRPr="00592DCD">
        <w:t>3</w:t>
      </w:r>
      <w:r w:rsidRPr="00592DCD">
        <w:t>%)</w:t>
      </w:r>
      <w:r w:rsidR="00FE0121" w:rsidRPr="00592DCD">
        <w:t>.</w:t>
      </w:r>
      <w:r w:rsidRPr="00592DCD">
        <w:t xml:space="preserve"> </w:t>
      </w:r>
      <w:r w:rsidR="00280BDF" w:rsidRPr="00592DCD">
        <w:rPr>
          <w:rFonts w:eastAsia="Times New Roman" w:cs="Times New Roman"/>
          <w:szCs w:val="19"/>
          <w:lang w:eastAsia="pl-PL"/>
        </w:rPr>
        <w:t>W</w:t>
      </w:r>
      <w:r w:rsidR="00592DCD">
        <w:rPr>
          <w:rFonts w:eastAsia="Times New Roman" w:cs="Times New Roman"/>
          <w:szCs w:val="19"/>
          <w:lang w:eastAsia="pl-PL"/>
        </w:rPr>
        <w:t> </w:t>
      </w:r>
      <w:r w:rsidR="00280BDF" w:rsidRPr="00592DCD">
        <w:rPr>
          <w:rFonts w:eastAsia="Times New Roman" w:cs="Times New Roman"/>
          <w:szCs w:val="19"/>
          <w:lang w:eastAsia="pl-PL"/>
        </w:rPr>
        <w:t xml:space="preserve">porównaniu z 2020 r. największy wzrost liczby działających podmiotów odnotowano w ramach dziedziny </w:t>
      </w:r>
      <w:r w:rsidR="00CC0A00" w:rsidRPr="00592DCD">
        <w:rPr>
          <w:rFonts w:eastAsia="Times New Roman" w:cs="Times New Roman"/>
          <w:i/>
          <w:szCs w:val="19"/>
          <w:lang w:eastAsia="pl-PL"/>
        </w:rPr>
        <w:t>Architektura</w:t>
      </w:r>
      <w:r w:rsidR="00280BDF" w:rsidRPr="00592DCD">
        <w:rPr>
          <w:rFonts w:eastAsia="Times New Roman" w:cs="Times New Roman"/>
          <w:szCs w:val="19"/>
          <w:lang w:eastAsia="pl-PL"/>
        </w:rPr>
        <w:t xml:space="preserve"> (o</w:t>
      </w:r>
      <w:r w:rsidR="00CC0A00" w:rsidRPr="00592DCD">
        <w:rPr>
          <w:rFonts w:eastAsia="Times New Roman" w:cs="Times New Roman"/>
          <w:szCs w:val="19"/>
          <w:lang w:eastAsia="pl-PL"/>
        </w:rPr>
        <w:t xml:space="preserve"> 5,8</w:t>
      </w:r>
      <w:r w:rsidR="00280BDF" w:rsidRPr="00592DCD">
        <w:rPr>
          <w:rFonts w:eastAsia="Times New Roman" w:cs="Times New Roman"/>
          <w:szCs w:val="19"/>
          <w:lang w:eastAsia="pl-PL"/>
        </w:rPr>
        <w:t xml:space="preserve"> p. proc.). </w:t>
      </w:r>
      <w:r w:rsidR="00B872AC" w:rsidRPr="00592DCD">
        <w:rPr>
          <w:rFonts w:eastAsia="Times New Roman" w:cs="Times New Roman"/>
          <w:szCs w:val="19"/>
          <w:lang w:eastAsia="pl-PL"/>
        </w:rPr>
        <w:t xml:space="preserve">Spadek </w:t>
      </w:r>
      <w:r w:rsidR="00280BDF" w:rsidRPr="00592DCD">
        <w:rPr>
          <w:rFonts w:eastAsia="Times New Roman" w:cs="Times New Roman"/>
          <w:szCs w:val="19"/>
          <w:lang w:eastAsia="pl-PL"/>
        </w:rPr>
        <w:t xml:space="preserve">liczby podmiotów </w:t>
      </w:r>
      <w:r w:rsidR="00B872AC" w:rsidRPr="00592DCD">
        <w:rPr>
          <w:rFonts w:eastAsia="Times New Roman" w:cs="Times New Roman"/>
          <w:szCs w:val="19"/>
          <w:lang w:eastAsia="pl-PL"/>
        </w:rPr>
        <w:t xml:space="preserve">wystąpił przede wszystkim </w:t>
      </w:r>
      <w:r w:rsidR="00280BDF" w:rsidRPr="00592DCD">
        <w:rPr>
          <w:rFonts w:eastAsia="Times New Roman" w:cs="Times New Roman"/>
          <w:szCs w:val="19"/>
          <w:lang w:eastAsia="pl-PL"/>
        </w:rPr>
        <w:t xml:space="preserve">w dziedzinie </w:t>
      </w:r>
      <w:r w:rsidR="00280BDF" w:rsidRPr="00592DCD">
        <w:rPr>
          <w:rFonts w:eastAsia="Times New Roman" w:cs="Times New Roman"/>
          <w:i/>
          <w:szCs w:val="19"/>
          <w:lang w:eastAsia="pl-PL"/>
        </w:rPr>
        <w:t xml:space="preserve">Sztuki </w:t>
      </w:r>
      <w:r w:rsidR="00CC0A00" w:rsidRPr="00592DCD">
        <w:rPr>
          <w:rFonts w:eastAsia="Times New Roman" w:cs="Times New Roman"/>
          <w:i/>
          <w:szCs w:val="19"/>
          <w:lang w:eastAsia="pl-PL"/>
        </w:rPr>
        <w:t>audio</w:t>
      </w:r>
      <w:r w:rsidR="00280BDF" w:rsidRPr="00592DCD">
        <w:rPr>
          <w:rFonts w:eastAsia="Times New Roman" w:cs="Times New Roman"/>
          <w:i/>
          <w:szCs w:val="19"/>
          <w:lang w:eastAsia="pl-PL"/>
        </w:rPr>
        <w:t>wizualne</w:t>
      </w:r>
      <w:r w:rsidR="00CC0A00" w:rsidRPr="00592DCD">
        <w:rPr>
          <w:rFonts w:eastAsia="Times New Roman" w:cs="Times New Roman"/>
          <w:i/>
          <w:szCs w:val="19"/>
          <w:lang w:eastAsia="pl-PL"/>
        </w:rPr>
        <w:t xml:space="preserve"> i multimedia</w:t>
      </w:r>
      <w:r w:rsidR="00280BDF" w:rsidRPr="00592DCD">
        <w:rPr>
          <w:rFonts w:eastAsia="Times New Roman" w:cs="Times New Roman"/>
          <w:szCs w:val="19"/>
          <w:lang w:eastAsia="pl-PL"/>
        </w:rPr>
        <w:t xml:space="preserve"> (o </w:t>
      </w:r>
      <w:r w:rsidR="00CC0A00" w:rsidRPr="00592DCD">
        <w:rPr>
          <w:rFonts w:eastAsia="Times New Roman" w:cs="Times New Roman"/>
          <w:szCs w:val="19"/>
          <w:lang w:eastAsia="pl-PL"/>
        </w:rPr>
        <w:t>9,8</w:t>
      </w:r>
      <w:r w:rsidR="00280BDF" w:rsidRPr="00592DCD">
        <w:rPr>
          <w:rFonts w:eastAsia="Times New Roman" w:cs="Times New Roman"/>
          <w:szCs w:val="19"/>
          <w:lang w:eastAsia="pl-PL"/>
        </w:rPr>
        <w:t xml:space="preserve"> p. proc).</w:t>
      </w:r>
      <w:r w:rsidR="00CC0A00" w:rsidRPr="00592DCD">
        <w:rPr>
          <w:rFonts w:eastAsia="Times New Roman" w:cs="Times New Roman"/>
          <w:szCs w:val="19"/>
          <w:lang w:eastAsia="pl-PL"/>
        </w:rPr>
        <w:t xml:space="preserve"> </w:t>
      </w:r>
      <w:r w:rsidR="00B872AC" w:rsidRPr="00592DCD">
        <w:t>W latach</w:t>
      </w:r>
      <w:r w:rsidR="00CC0A00" w:rsidRPr="00592DCD">
        <w:t xml:space="preserve"> 2015</w:t>
      </w:r>
      <w:r w:rsidR="00C10C66" w:rsidRPr="00592DCD">
        <w:t>–</w:t>
      </w:r>
      <w:r w:rsidR="00CC0A00" w:rsidRPr="00592DCD">
        <w:t>2021</w:t>
      </w:r>
      <w:r w:rsidRPr="00592DCD">
        <w:t xml:space="preserve"> </w:t>
      </w:r>
      <w:r w:rsidR="00DC7DCB" w:rsidRPr="00592DCD">
        <w:t>n</w:t>
      </w:r>
      <w:r w:rsidRPr="00592DCD">
        <w:t xml:space="preserve">iemal dwukrotnie wzrósł udział podmiotów w ramach obszaru </w:t>
      </w:r>
      <w:r w:rsidRPr="00592DCD">
        <w:rPr>
          <w:i/>
        </w:rPr>
        <w:t xml:space="preserve">Sztuki wizualne </w:t>
      </w:r>
      <w:r w:rsidRPr="00592DCD">
        <w:t xml:space="preserve">w ogólnej liczbie podmiotów zaliczanych do przemysłów kultury i kreatywnych, podczas gdy o ponad połowę zmniejszył się udział podmiotów działających w dziedzinie </w:t>
      </w:r>
      <w:r w:rsidRPr="00592DCD">
        <w:rPr>
          <w:i/>
        </w:rPr>
        <w:t>Książ</w:t>
      </w:r>
      <w:r w:rsidR="00315FB4" w:rsidRPr="00592DCD">
        <w:rPr>
          <w:i/>
        </w:rPr>
        <w:t>ki</w:t>
      </w:r>
      <w:r w:rsidRPr="00592DCD">
        <w:rPr>
          <w:i/>
        </w:rPr>
        <w:t xml:space="preserve"> i pras</w:t>
      </w:r>
      <w:r w:rsidR="00315FB4" w:rsidRPr="00592DCD">
        <w:rPr>
          <w:i/>
        </w:rPr>
        <w:t>a</w:t>
      </w:r>
      <w:r w:rsidRPr="00592DCD">
        <w:t xml:space="preserve">. </w:t>
      </w:r>
    </w:p>
    <w:p w14:paraId="29D838F2" w14:textId="3C54BBFA" w:rsidR="00FB78C8" w:rsidRPr="00592DCD" w:rsidRDefault="002C70F6" w:rsidP="00CA09BB">
      <w:pPr>
        <w:pStyle w:val="Tytuwykresu0"/>
        <w:ind w:left="851" w:hanging="851"/>
        <w:rPr>
          <w:rFonts w:ascii="Fira Sans" w:hAnsi="Fira Sans"/>
        </w:rPr>
      </w:pPr>
      <w:r w:rsidRPr="00592DCD">
        <w:rPr>
          <w:rFonts w:ascii="Fira Sans" w:hAnsi="Fira Sans"/>
        </w:rPr>
        <w:lastRenderedPageBreak/>
        <w:drawing>
          <wp:anchor distT="0" distB="0" distL="114300" distR="114300" simplePos="0" relativeHeight="251804672" behindDoc="0" locked="0" layoutInCell="1" allowOverlap="1" wp14:anchorId="745A5A4C" wp14:editId="6A4A17B9">
            <wp:simplePos x="0" y="0"/>
            <wp:positionH relativeFrom="margin">
              <wp:align>left</wp:align>
            </wp:positionH>
            <wp:positionV relativeFrom="paragraph">
              <wp:posOffset>472285</wp:posOffset>
            </wp:positionV>
            <wp:extent cx="5047615" cy="3042285"/>
            <wp:effectExtent l="0" t="0" r="0" b="0"/>
            <wp:wrapTopAndBottom/>
            <wp:docPr id="4" name="Obraz 4" descr="Wykres 2 kołowy przedstawiający strukturę podmiotów zaliczanych do przemysłów kultury i kreatywnych według dziedzin kultury w 2021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3042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78C8" w:rsidRPr="00592DCD">
        <w:rPr>
          <w:rFonts w:ascii="Fira Sans" w:hAnsi="Fira Sans"/>
        </w:rPr>
        <w:t>Wykres 2. Struktura podmiotów zaliczanych do przemysłów kultury i kreatyw</w:t>
      </w:r>
      <w:r w:rsidR="00893E27" w:rsidRPr="00592DCD">
        <w:rPr>
          <w:rFonts w:ascii="Fira Sans" w:hAnsi="Fira Sans"/>
        </w:rPr>
        <w:t xml:space="preserve">nych według dziedzin kultury w </w:t>
      </w:r>
      <w:r w:rsidR="00FB78C8" w:rsidRPr="00592DCD">
        <w:rPr>
          <w:rFonts w:ascii="Fira Sans" w:hAnsi="Fira Sans"/>
        </w:rPr>
        <w:t>2021</w:t>
      </w:r>
      <w:r w:rsidR="00893E27" w:rsidRPr="00592DCD">
        <w:rPr>
          <w:rFonts w:ascii="Fira Sans" w:hAnsi="Fira Sans"/>
        </w:rPr>
        <w:t xml:space="preserve"> r.</w:t>
      </w:r>
    </w:p>
    <w:p w14:paraId="670D5C6D" w14:textId="2DC147AC" w:rsidR="00FB78C8" w:rsidRPr="00592DCD" w:rsidRDefault="00FB78C8" w:rsidP="00CA09BB">
      <w:pPr>
        <w:spacing w:line="288" w:lineRule="auto"/>
      </w:pPr>
      <w:r w:rsidRPr="00592DCD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00576" behindDoc="1" locked="0" layoutInCell="1" allowOverlap="1" wp14:anchorId="377D75D7" wp14:editId="67429FCF">
                <wp:simplePos x="0" y="0"/>
                <wp:positionH relativeFrom="column">
                  <wp:posOffset>5322498</wp:posOffset>
                </wp:positionH>
                <wp:positionV relativeFrom="paragraph">
                  <wp:posOffset>186798</wp:posOffset>
                </wp:positionV>
                <wp:extent cx="1726565" cy="1172845"/>
                <wp:effectExtent l="0" t="0" r="0" b="0"/>
                <wp:wrapTight wrapText="bothSides">
                  <wp:wrapPolygon edited="0">
                    <wp:start x="715" y="0"/>
                    <wp:lineTo x="715" y="21050"/>
                    <wp:lineTo x="20734" y="21050"/>
                    <wp:lineTo x="20734" y="0"/>
                    <wp:lineTo x="715" y="0"/>
                  </wp:wrapPolygon>
                </wp:wrapTight>
                <wp:docPr id="29" name="Prostokąt 29" descr="Większość podmiotów zaliczanych do przemysłów kultury i kreatywnych to mikroprzedsiębiorstwa. Stanowiły one 5,9% wszystkich mikroprzedsiębiorstw niefinansow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6565" cy="1172845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83C8529" w14:textId="3C43A483" w:rsidR="00FB78C8" w:rsidRDefault="00FB78C8" w:rsidP="00FB78C8">
                            <w:pPr>
                              <w:pStyle w:val="tekstzboku"/>
                              <w:spacing w:before="0" w:after="120"/>
                            </w:pPr>
                            <w:r w:rsidRPr="001D2EEB">
                              <w:t>Większość podmiotów zaliczanych do przemysłów k</w:t>
                            </w:r>
                            <w:r w:rsidR="00592DCD">
                              <w:t>ul</w:t>
                            </w:r>
                            <w:r w:rsidRPr="001D2EEB">
                              <w:t>tury i kreatywnych to mikroprzedsiębiorstwa. Stanowiły one 5,</w:t>
                            </w:r>
                            <w:r w:rsidR="001D2EEB" w:rsidRPr="001D2EEB">
                              <w:t>9</w:t>
                            </w:r>
                            <w:r w:rsidRPr="001D2EEB">
                              <w:t>% wszystkich mikroprzedsiębiorstw niefinan</w:t>
                            </w:r>
                            <w:r w:rsidR="00592DCD">
                              <w:t>so</w:t>
                            </w:r>
                            <w:r w:rsidRPr="001D2EEB">
                              <w:t>wych</w:t>
                            </w:r>
                            <w:r>
                              <w:t xml:space="preserve"> </w:t>
                            </w:r>
                          </w:p>
                          <w:p w14:paraId="74CD7498" w14:textId="77777777" w:rsidR="00FB78C8" w:rsidRDefault="00FB78C8" w:rsidP="00FB78C8">
                            <w:pPr>
                              <w:pStyle w:val="Zawartoramki"/>
                              <w:spacing w:after="0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D75D7" id="Prostokąt 29" o:spid="_x0000_s1028" alt="Większość podmiotów zaliczanych do przemysłów kultury i kreatywnych to mikroprzedsiębiorstwa. Stanowiły one 5,9% wszystkich mikroprzedsiębiorstw niefinansowych" style="position:absolute;margin-left:419.1pt;margin-top:14.7pt;width:135.95pt;height:92.35pt;z-index:-251515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" filled="f" stroked="f" strokeweight=".26mm">
                <v:textbox>
                  <w:txbxContent>
                    <w:p w14:paraId="683C8529" w14:textId="3C43A483" w:rsidR="00FB78C8" w:rsidRDefault="00FB78C8" w:rsidP="00FB78C8">
                      <w:pPr>
                        <w:pStyle w:val="tekstzboku"/>
                        <w:spacing w:before="0" w:after="120"/>
                      </w:pPr>
                      <w:r w:rsidRPr="001D2EEB">
                        <w:t>Większość podmiotów zaliczanych do przemysłów k</w:t>
                      </w:r>
                      <w:r w:rsidR="00592DCD">
                        <w:t>ul</w:t>
                      </w:r>
                      <w:r w:rsidRPr="001D2EEB">
                        <w:t>tury i kreatywnych to mikroprzedsiębiorstwa. Stanowiły one 5,</w:t>
                      </w:r>
                      <w:r w:rsidR="001D2EEB" w:rsidRPr="001D2EEB">
                        <w:t>9</w:t>
                      </w:r>
                      <w:r w:rsidRPr="001D2EEB">
                        <w:t>% wszystkich mikroprzedsiębiorstw niefinan</w:t>
                      </w:r>
                      <w:r w:rsidR="00592DCD">
                        <w:t>so</w:t>
                      </w:r>
                      <w:r w:rsidRPr="001D2EEB">
                        <w:t>wych</w:t>
                      </w:r>
                      <w:r>
                        <w:t xml:space="preserve"> </w:t>
                      </w:r>
                    </w:p>
                    <w:p w14:paraId="74CD7498" w14:textId="77777777" w:rsidR="00FB78C8" w:rsidRDefault="00FB78C8" w:rsidP="00FB78C8">
                      <w:pPr>
                        <w:pStyle w:val="Zawartoramki"/>
                        <w:spacing w:after="0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Pr="00592DCD">
        <w:t>Większość podmiotów stanowiły mikroprzedsiębiorstwa (99,2% wszystkich podmiotów klasyfikowanych jako przemysły kultury i kreatywne</w:t>
      </w:r>
      <w:r w:rsidR="006A2932" w:rsidRPr="00592DCD">
        <w:t>)</w:t>
      </w:r>
      <w:r w:rsidRPr="00592DCD">
        <w:t xml:space="preserve">. Łącznie w 2021 r. było </w:t>
      </w:r>
      <w:r w:rsidR="00727559" w:rsidRPr="00592DCD">
        <w:t xml:space="preserve">ich </w:t>
      </w:r>
      <w:r w:rsidRPr="00592DCD">
        <w:t xml:space="preserve">133,9 tys., co stanowiło 5,9% wszystkich mikroprzedsiębiorstw niefinansowych. W pozostałych klasach wielkości przedsiębiorstw udział przemysłów kultury i kreatywnych w grupie przedsiębiorstw niefinansowych kształtował się następująco: małe – 1,8%, średnie </w:t>
      </w:r>
      <w:r w:rsidR="004E28B4" w:rsidRPr="00592DCD">
        <w:t xml:space="preserve">i duże </w:t>
      </w:r>
      <w:r w:rsidRPr="00592DCD">
        <w:t xml:space="preserve">– </w:t>
      </w:r>
      <w:r w:rsidR="004E28B4" w:rsidRPr="00592DCD">
        <w:t xml:space="preserve">po </w:t>
      </w:r>
      <w:r w:rsidR="00727559" w:rsidRPr="00592DCD">
        <w:t>1,2%.</w:t>
      </w:r>
    </w:p>
    <w:p w14:paraId="41F4CC44" w14:textId="08987EB6" w:rsidR="006D4224" w:rsidRPr="00592DCD" w:rsidRDefault="006D4224" w:rsidP="00CA09BB">
      <w:pPr>
        <w:pStyle w:val="Nagwek1"/>
      </w:pPr>
      <w:r w:rsidRPr="00592DCD">
        <w:t>Pracujący, przeciętne zatrudnienie i wynagrodzenia</w:t>
      </w:r>
    </w:p>
    <w:p w14:paraId="674D298A" w14:textId="6BAED8E3" w:rsidR="006D4224" w:rsidRPr="00592DCD" w:rsidRDefault="00AC0DF2" w:rsidP="00CA09BB">
      <w:pPr>
        <w:spacing w:line="288" w:lineRule="auto"/>
      </w:pPr>
      <w:r w:rsidRPr="00592DCD">
        <w:t>W porównaniu z 2020 r.</w:t>
      </w:r>
      <w:r w:rsidR="006D4224" w:rsidRPr="00592DCD">
        <w:t xml:space="preserve"> liczba pracujących wzrosła o 6</w:t>
      </w:r>
      <w:r w:rsidRPr="00592DCD">
        <w:t>,1%</w:t>
      </w:r>
      <w:r w:rsidR="006D4224" w:rsidRPr="00592DCD">
        <w:t xml:space="preserve"> i osiągnęła wielkość 257,3 tys. osób</w:t>
      </w:r>
      <w:r w:rsidR="005022CC" w:rsidRPr="00592DCD">
        <w:t>, co</w:t>
      </w:r>
      <w:r w:rsidR="006D4224" w:rsidRPr="00592DCD">
        <w:t xml:space="preserve"> </w:t>
      </w:r>
      <w:r w:rsidR="005022CC" w:rsidRPr="00592DCD">
        <w:t>s</w:t>
      </w:r>
      <w:r w:rsidR="006D4224" w:rsidRPr="00592DCD">
        <w:t>tanowiło 2,5%</w:t>
      </w:r>
      <w:r w:rsidR="00302A3F" w:rsidRPr="00592DCD">
        <w:t xml:space="preserve"> </w:t>
      </w:r>
      <w:r w:rsidR="006D4224" w:rsidRPr="00592DCD">
        <w:t>ogólnej liczby pracujących w przedsiębiorstwach niefinansowych</w:t>
      </w:r>
      <w:r w:rsidR="00302A3F" w:rsidRPr="00592DCD">
        <w:t xml:space="preserve"> (o</w:t>
      </w:r>
      <w:r w:rsidR="009A26B9" w:rsidRPr="00592DCD">
        <w:t> </w:t>
      </w:r>
      <w:r w:rsidR="00302A3F" w:rsidRPr="00592DCD">
        <w:t>0,1</w:t>
      </w:r>
      <w:r w:rsidR="009A26B9" w:rsidRPr="00592DCD">
        <w:t> </w:t>
      </w:r>
      <w:r w:rsidR="00302A3F" w:rsidRPr="00592DCD">
        <w:t>p.</w:t>
      </w:r>
      <w:r w:rsidR="009A26B9" w:rsidRPr="00592DCD">
        <w:t> </w:t>
      </w:r>
      <w:r w:rsidR="00302A3F" w:rsidRPr="00592DCD">
        <w:t>proc</w:t>
      </w:r>
      <w:r w:rsidR="000B19C5" w:rsidRPr="00592DCD">
        <w:t>.</w:t>
      </w:r>
      <w:r w:rsidR="00302A3F" w:rsidRPr="00592DCD">
        <w:t xml:space="preserve"> więcej niż w 2020 r.)</w:t>
      </w:r>
      <w:r w:rsidR="006D4224" w:rsidRPr="00592DCD">
        <w:t>.</w:t>
      </w:r>
      <w:r w:rsidR="00302A3F" w:rsidRPr="00592DCD">
        <w:t xml:space="preserve"> </w:t>
      </w:r>
      <w:r w:rsidR="00897922" w:rsidRPr="00592DCD">
        <w:t>O</w:t>
      </w:r>
      <w:r w:rsidR="006D4224" w:rsidRPr="00592DCD">
        <w:t>dsetek pracujących w mikroprzedsiębiorstwach</w:t>
      </w:r>
      <w:r w:rsidR="00897922" w:rsidRPr="00592DCD">
        <w:t xml:space="preserve"> wyniósł 75,8%</w:t>
      </w:r>
      <w:r w:rsidR="006D4224" w:rsidRPr="00592DCD">
        <w:t xml:space="preserve"> (</w:t>
      </w:r>
      <w:r w:rsidR="00897922" w:rsidRPr="00592DCD">
        <w:t xml:space="preserve">wzrost </w:t>
      </w:r>
      <w:r w:rsidR="006D4224" w:rsidRPr="00592DCD">
        <w:t>o</w:t>
      </w:r>
      <w:r w:rsidR="009A26B9" w:rsidRPr="00592DCD">
        <w:t> </w:t>
      </w:r>
      <w:r w:rsidR="00080C64" w:rsidRPr="00592DCD">
        <w:t>1,9</w:t>
      </w:r>
      <w:r w:rsidR="006D4224" w:rsidRPr="00592DCD">
        <w:t xml:space="preserve"> p. proc.). Mimo większej liczby dużych przedsiębiorstw spadł odsetek pracujących w podmiotach tej klasy wielkości (o 1,1 p. proc.) i wyniósł 10,6%. W małych przedsiębiorstwach zatrudnionych było 7,0% </w:t>
      </w:r>
      <w:r w:rsidR="000B19C5" w:rsidRPr="00592DCD">
        <w:t xml:space="preserve">ogólnej liczby </w:t>
      </w:r>
      <w:r w:rsidR="006D4224" w:rsidRPr="00592DCD">
        <w:t>pracujących w</w:t>
      </w:r>
      <w:r w:rsidR="009A26B9" w:rsidRPr="00592DCD">
        <w:t> </w:t>
      </w:r>
      <w:r w:rsidR="006D4224" w:rsidRPr="00592DCD">
        <w:t xml:space="preserve">przemysłach kultury i kreatywnych, a w średnich – 6,7%. Analiza przeciętnego zatrudnienia pozwoliła stwierdzić, że struktura zatrudnienia była bardziej zrównoważona: </w:t>
      </w:r>
      <w:r w:rsidR="00B579AB" w:rsidRPr="00592DCD">
        <w:t>z ogólnej liczby 100,</w:t>
      </w:r>
      <w:r w:rsidR="007500BD" w:rsidRPr="00592DCD">
        <w:t>1</w:t>
      </w:r>
      <w:r w:rsidR="00B579AB" w:rsidRPr="00592DCD">
        <w:t xml:space="preserve"> tys. etatów, </w:t>
      </w:r>
      <w:r w:rsidR="006D4224" w:rsidRPr="00592DCD">
        <w:t>43,</w:t>
      </w:r>
      <w:r w:rsidR="005B26E9" w:rsidRPr="00592DCD">
        <w:t>3</w:t>
      </w:r>
      <w:r w:rsidR="00740DD6" w:rsidRPr="00592DCD">
        <w:t> </w:t>
      </w:r>
      <w:r w:rsidR="006D4224" w:rsidRPr="00592DCD">
        <w:t>tys. etatów było w mikroprzedsiębiorstwach</w:t>
      </w:r>
      <w:r w:rsidR="00B579AB" w:rsidRPr="00592DCD">
        <w:t xml:space="preserve"> (</w:t>
      </w:r>
      <w:r w:rsidR="006D4224" w:rsidRPr="00592DCD">
        <w:t>43,2%</w:t>
      </w:r>
      <w:r w:rsidR="00B579AB" w:rsidRPr="00592DCD">
        <w:t>)</w:t>
      </w:r>
      <w:r w:rsidR="007500BD" w:rsidRPr="00592DCD">
        <w:t>, p</w:t>
      </w:r>
      <w:r w:rsidR="006D4224" w:rsidRPr="00592DCD">
        <w:t>rzedsiębiorstwa duże oferowały 2</w:t>
      </w:r>
      <w:r w:rsidR="005B26E9" w:rsidRPr="00592DCD">
        <w:t>5,0</w:t>
      </w:r>
      <w:r w:rsidR="006D4224" w:rsidRPr="00592DCD">
        <w:t xml:space="preserve"> tys. etatów (24,9%), małe – 16,1 tys. (16,1%), </w:t>
      </w:r>
      <w:r w:rsidR="000B19C5" w:rsidRPr="00592DCD">
        <w:t>a</w:t>
      </w:r>
      <w:r w:rsidR="006D4224" w:rsidRPr="00592DCD">
        <w:t xml:space="preserve"> średnie – 15,8 tys. (15,8%). </w:t>
      </w:r>
    </w:p>
    <w:p w14:paraId="163F6EFF" w14:textId="19BC2942" w:rsidR="006D4224" w:rsidRPr="00592DCD" w:rsidRDefault="00FD7AC4" w:rsidP="00CA09BB">
      <w:pPr>
        <w:spacing w:line="288" w:lineRule="auto"/>
        <w:rPr>
          <w:shd w:val="clear" w:color="auto" w:fill="FFFFFF"/>
        </w:rPr>
      </w:pPr>
      <w:r w:rsidRPr="00592DCD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89312" behindDoc="1" locked="0" layoutInCell="1" allowOverlap="1" wp14:anchorId="1C5DC3C7" wp14:editId="79635A50">
                <wp:simplePos x="0" y="0"/>
                <wp:positionH relativeFrom="page">
                  <wp:posOffset>5735955</wp:posOffset>
                </wp:positionH>
                <wp:positionV relativeFrom="paragraph">
                  <wp:posOffset>412115</wp:posOffset>
                </wp:positionV>
                <wp:extent cx="1742440" cy="1276350"/>
                <wp:effectExtent l="0" t="0" r="0" b="0"/>
                <wp:wrapTight wrapText="bothSides">
                  <wp:wrapPolygon edited="0">
                    <wp:start x="708" y="0"/>
                    <wp:lineTo x="708" y="21278"/>
                    <wp:lineTo x="20781" y="21278"/>
                    <wp:lineTo x="20781" y="0"/>
                    <wp:lineTo x="708" y="0"/>
                  </wp:wrapPolygon>
                </wp:wrapTight>
                <wp:docPr id="11" name="Prostokąt 11" descr="Miesięczne wynagrodzenie brutto na 1 zatrudnionego w przemysłach kultury i kreatywnych było wyższe o 994 zł w porównaniu z przedsiębiorstwami niefinansowymi ogół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2440" cy="127635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AC3DE24" w14:textId="44FE70C1" w:rsidR="006D4224" w:rsidRDefault="0057289C" w:rsidP="00543DA2">
                            <w:pPr>
                              <w:pStyle w:val="tekstzboku"/>
                            </w:pPr>
                            <w:r>
                              <w:t>M</w:t>
                            </w:r>
                            <w:r w:rsidR="006D4224" w:rsidRPr="00CA37FA">
                              <w:t xml:space="preserve">iesięczne wynagrodzenie brutto na 1 zatrudnionego </w:t>
                            </w:r>
                            <w:r>
                              <w:t>w</w:t>
                            </w:r>
                            <w:r w:rsidR="00491E76">
                              <w:t> </w:t>
                            </w:r>
                            <w:r>
                              <w:t xml:space="preserve">przemysłach kultury i kreatywnych </w:t>
                            </w:r>
                            <w:r w:rsidR="00FD7AC4">
                              <w:t xml:space="preserve">było wyższe o 994 zł w porównaniu z </w:t>
                            </w:r>
                            <w:r w:rsidR="006D4224" w:rsidRPr="00CA37FA">
                              <w:t>przedsiębiorstwa</w:t>
                            </w:r>
                            <w:r w:rsidR="00FD7AC4">
                              <w:t>mi</w:t>
                            </w:r>
                            <w:r w:rsidR="006D4224" w:rsidRPr="00CA37FA">
                              <w:t xml:space="preserve"> niefinansow</w:t>
                            </w:r>
                            <w:r w:rsidR="00FD7AC4">
                              <w:t>ymi ogółem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DC3C7" id="Prostokąt 11" o:spid="_x0000_s1029" alt="Miesięczne wynagrodzenie brutto na 1 zatrudnionego w przemysłach kultury i kreatywnych było wyższe o 994 zł w porównaniu z przedsiębiorstwami niefinansowymi ogółem" style="position:absolute;margin-left:451.65pt;margin-top:32.45pt;width:137.2pt;height:100.5pt;z-index:-251527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" filled="f" stroked="f" strokeweight=".26mm">
                <v:textbox>
                  <w:txbxContent>
                    <w:p w14:paraId="4AC3DE24" w14:textId="44FE70C1" w:rsidR="006D4224" w:rsidRDefault="0057289C" w:rsidP="00543DA2">
                      <w:pPr>
                        <w:pStyle w:val="tekstzboku"/>
                      </w:pPr>
                      <w:r>
                        <w:t>M</w:t>
                      </w:r>
                      <w:r w:rsidR="006D4224" w:rsidRPr="00CA37FA">
                        <w:t xml:space="preserve">iesięczne wynagrodzenie brutto na 1 zatrudnionego </w:t>
                      </w:r>
                      <w:r>
                        <w:t>w</w:t>
                      </w:r>
                      <w:r w:rsidR="00491E76">
                        <w:t> </w:t>
                      </w:r>
                      <w:r>
                        <w:t xml:space="preserve">przemysłach kultury i kreatywnych </w:t>
                      </w:r>
                      <w:r w:rsidR="00FD7AC4">
                        <w:t xml:space="preserve">było wyższe o 994 zł w porównaniu z </w:t>
                      </w:r>
                      <w:r w:rsidR="006D4224" w:rsidRPr="00CA37FA">
                        <w:t>przedsiębiorstwa</w:t>
                      </w:r>
                      <w:r w:rsidR="00FD7AC4">
                        <w:t>mi</w:t>
                      </w:r>
                      <w:r w:rsidR="006D4224" w:rsidRPr="00CA37FA">
                        <w:t xml:space="preserve"> niefinansow</w:t>
                      </w:r>
                      <w:r w:rsidR="00FD7AC4">
                        <w:t>ymi ogółem</w:t>
                      </w:r>
                    </w:p>
                  </w:txbxContent>
                </v:textbox>
                <w10:wrap type="tight" anchorx="page"/>
              </v:rect>
            </w:pict>
          </mc:Fallback>
        </mc:AlternateContent>
      </w:r>
      <w:r w:rsidR="006D4224" w:rsidRPr="00592DCD">
        <w:t>Zarówno w pr</w:t>
      </w:r>
      <w:r w:rsidR="00FC3E51" w:rsidRPr="00592DCD">
        <w:t>zedsiębiorstwach niefinansowych</w:t>
      </w:r>
      <w:r w:rsidR="00F96CFE" w:rsidRPr="00592DCD">
        <w:t>,</w:t>
      </w:r>
      <w:r w:rsidR="006D4224" w:rsidRPr="00592DCD">
        <w:t xml:space="preserve"> jak i przemysłach kultury i kreatywnych</w:t>
      </w:r>
      <w:r w:rsidR="00920436" w:rsidRPr="00592DCD">
        <w:t>,</w:t>
      </w:r>
      <w:r w:rsidR="006D4224" w:rsidRPr="00592DCD">
        <w:t xml:space="preserve"> </w:t>
      </w:r>
      <w:r w:rsidR="00FE5069" w:rsidRPr="00592DCD">
        <w:t xml:space="preserve">miesięczne </w:t>
      </w:r>
      <w:r w:rsidR="006D4224" w:rsidRPr="00592DCD">
        <w:t xml:space="preserve">wynagrodzenie </w:t>
      </w:r>
      <w:r w:rsidR="00FE5069" w:rsidRPr="00592DCD">
        <w:t xml:space="preserve">brutto na 1 zatrudnionego wzrosło </w:t>
      </w:r>
      <w:r w:rsidR="006D4224" w:rsidRPr="00592DCD">
        <w:t xml:space="preserve">w </w:t>
      </w:r>
      <w:r w:rsidR="00F81003" w:rsidRPr="00592DCD">
        <w:t xml:space="preserve">porównaniu z </w:t>
      </w:r>
      <w:r w:rsidR="006D4224" w:rsidRPr="00592DCD">
        <w:t>poprzedni</w:t>
      </w:r>
      <w:r w:rsidR="00F81003" w:rsidRPr="00592DCD">
        <w:t>m</w:t>
      </w:r>
      <w:r w:rsidR="006D4224" w:rsidRPr="00592DCD">
        <w:t xml:space="preserve"> rok</w:t>
      </w:r>
      <w:r w:rsidR="00F81003" w:rsidRPr="00592DCD">
        <w:t>iem</w:t>
      </w:r>
      <w:r w:rsidR="006D4224" w:rsidRPr="00592DCD">
        <w:t xml:space="preserve"> (odpowiednio o 10</w:t>
      </w:r>
      <w:r w:rsidR="00920436" w:rsidRPr="00592DCD">
        <w:t>,0%</w:t>
      </w:r>
      <w:r w:rsidR="006D4224" w:rsidRPr="00592DCD">
        <w:t xml:space="preserve"> i 9</w:t>
      </w:r>
      <w:r w:rsidR="00920436" w:rsidRPr="00592DCD">
        <w:t>,3%</w:t>
      </w:r>
      <w:r w:rsidR="006D4224" w:rsidRPr="00592DCD">
        <w:t xml:space="preserve">). </w:t>
      </w:r>
      <w:r w:rsidRPr="00592DCD">
        <w:t>W</w:t>
      </w:r>
      <w:r w:rsidR="006D4224" w:rsidRPr="00592DCD">
        <w:t xml:space="preserve"> przemysłach kultury i kreatywnych </w:t>
      </w:r>
      <w:r w:rsidRPr="00592DCD">
        <w:t>miesięczne wynagrodzenie brutto na 1 zatrudnionego</w:t>
      </w:r>
      <w:r w:rsidR="00897922" w:rsidRPr="00592DCD">
        <w:t xml:space="preserve"> wyniosło 6 927 zł i</w:t>
      </w:r>
      <w:r w:rsidRPr="00592DCD">
        <w:t xml:space="preserve"> </w:t>
      </w:r>
      <w:r w:rsidR="00897922" w:rsidRPr="00592DCD">
        <w:t>w porównaniu z poprzednim rokiem</w:t>
      </w:r>
      <w:r w:rsidR="00897922" w:rsidRPr="00592DCD" w:rsidDel="00897922">
        <w:t xml:space="preserve"> </w:t>
      </w:r>
      <w:r w:rsidR="00897922" w:rsidRPr="00592DCD">
        <w:t xml:space="preserve">było wyższe </w:t>
      </w:r>
      <w:r w:rsidR="006D4224" w:rsidRPr="00592DCD">
        <w:t>o 592 zł. Wzrost wynagrodzeń widoczny był we wszystkich klasach wielkości podmiotów zaliczanych do przemysłów kultury i kreatywnych</w:t>
      </w:r>
      <w:r w:rsidR="00897922" w:rsidRPr="00592DCD">
        <w:t xml:space="preserve">, w tym największy zanotowano </w:t>
      </w:r>
      <w:r w:rsidR="006D4224" w:rsidRPr="00592DCD">
        <w:t>w przypadku średnich przedsiębiorstw</w:t>
      </w:r>
      <w:r w:rsidR="00897922" w:rsidRPr="00592DCD">
        <w:t xml:space="preserve"> (o 1 102 zł)</w:t>
      </w:r>
      <w:r w:rsidR="006D4224" w:rsidRPr="00592DCD">
        <w:t xml:space="preserve">. </w:t>
      </w:r>
      <w:r w:rsidR="0095206E" w:rsidRPr="00592DCD">
        <w:t>Miesięczne wynagrodzenie brutto na 1 zatrudnionego</w:t>
      </w:r>
      <w:r w:rsidR="006D4224" w:rsidRPr="00592DCD">
        <w:t xml:space="preserve"> w dużych przedsiębiorstwach </w:t>
      </w:r>
      <w:r w:rsidR="0095206E" w:rsidRPr="00592DCD">
        <w:t xml:space="preserve">wzrosło </w:t>
      </w:r>
      <w:r w:rsidR="006D4224" w:rsidRPr="00592DCD">
        <w:t>o 901 zł</w:t>
      </w:r>
      <w:r w:rsidR="0095206E" w:rsidRPr="00592DCD">
        <w:t xml:space="preserve">, </w:t>
      </w:r>
      <w:r w:rsidR="006D4224" w:rsidRPr="00592DCD">
        <w:t xml:space="preserve">małych </w:t>
      </w:r>
      <w:r w:rsidR="0095206E" w:rsidRPr="00592DCD">
        <w:t xml:space="preserve">– </w:t>
      </w:r>
      <w:r w:rsidR="006D4224" w:rsidRPr="00592DCD">
        <w:t>o</w:t>
      </w:r>
      <w:r w:rsidR="00897922" w:rsidRPr="00592DCD">
        <w:t> </w:t>
      </w:r>
      <w:r w:rsidR="006D4224" w:rsidRPr="00592DCD">
        <w:t>624</w:t>
      </w:r>
      <w:r w:rsidR="00897922" w:rsidRPr="00592DCD">
        <w:t> </w:t>
      </w:r>
      <w:r w:rsidR="006D4224" w:rsidRPr="00592DCD">
        <w:t>zł</w:t>
      </w:r>
      <w:r w:rsidR="00897922" w:rsidRPr="00592DCD">
        <w:t xml:space="preserve">, a </w:t>
      </w:r>
      <w:r w:rsidR="006D4224" w:rsidRPr="00592DCD">
        <w:t>w mikroprzedsiębiorstw</w:t>
      </w:r>
      <w:r w:rsidR="00897922" w:rsidRPr="00592DCD">
        <w:t>ach</w:t>
      </w:r>
      <w:r w:rsidR="006D4224" w:rsidRPr="00592DCD">
        <w:t xml:space="preserve"> </w:t>
      </w:r>
      <w:r w:rsidR="00897922" w:rsidRPr="00592DCD">
        <w:t xml:space="preserve">– </w:t>
      </w:r>
      <w:r w:rsidR="0095206E" w:rsidRPr="00592DCD">
        <w:t xml:space="preserve">o </w:t>
      </w:r>
      <w:r w:rsidR="006D4224" w:rsidRPr="00592DCD">
        <w:t xml:space="preserve">438 zł. Niezależnie od klasy wielkości </w:t>
      </w:r>
      <w:r w:rsidR="00A14146" w:rsidRPr="00592DCD">
        <w:t>przedsiębiorstw</w:t>
      </w:r>
      <w:r w:rsidR="00E93DB8" w:rsidRPr="00592DCD">
        <w:t>,</w:t>
      </w:r>
      <w:r w:rsidR="00A14146" w:rsidRPr="00592DCD">
        <w:t xml:space="preserve"> </w:t>
      </w:r>
      <w:r w:rsidR="006D4224" w:rsidRPr="00592DCD">
        <w:t xml:space="preserve">w przemysłach kultury i kreatywnych </w:t>
      </w:r>
      <w:r w:rsidR="00E93DB8" w:rsidRPr="00592DCD">
        <w:t xml:space="preserve">miesięczne wynagrodzenie brutto na 1 zatrudnionego było wyższe </w:t>
      </w:r>
      <w:r w:rsidR="006D4224" w:rsidRPr="00592DCD">
        <w:t>niż w pr</w:t>
      </w:r>
      <w:r w:rsidR="00FC3E51" w:rsidRPr="00592DCD">
        <w:t>zedsiębiorstwach niefinansowych</w:t>
      </w:r>
      <w:r w:rsidR="006D4224" w:rsidRPr="00592DCD">
        <w:t xml:space="preserve">. </w:t>
      </w:r>
      <w:r w:rsidR="00551392" w:rsidRPr="00592DCD">
        <w:t xml:space="preserve">Ogółem </w:t>
      </w:r>
      <w:r w:rsidR="006D4224" w:rsidRPr="00592DCD">
        <w:t>różnica ta wynosiła 994 zł, ale w najliczniejszej grupie podmiotów, tj. w mikroprzedsiębiorstwach, jedynie 340 zł (w małych przedsiębiorstwach – 1</w:t>
      </w:r>
      <w:r w:rsidR="00551392" w:rsidRPr="00592DCD">
        <w:t xml:space="preserve"> </w:t>
      </w:r>
      <w:r w:rsidR="006D4224" w:rsidRPr="00592DCD">
        <w:t>944 zł, średnich – 2 </w:t>
      </w:r>
      <w:r w:rsidR="00551392" w:rsidRPr="00592DCD">
        <w:t>8</w:t>
      </w:r>
      <w:r w:rsidR="006D4224" w:rsidRPr="00592DCD">
        <w:t xml:space="preserve">25 zł i dużych </w:t>
      </w:r>
      <w:r w:rsidR="00E93DB8" w:rsidRPr="00592DCD">
        <w:t xml:space="preserve">– </w:t>
      </w:r>
      <w:r w:rsidR="006D4224" w:rsidRPr="00592DCD">
        <w:t>3 038 zł).</w:t>
      </w:r>
      <w:r w:rsidR="006D4224" w:rsidRPr="00592DCD">
        <w:rPr>
          <w:shd w:val="clear" w:color="auto" w:fill="FFFFFF"/>
        </w:rPr>
        <w:t xml:space="preserve"> </w:t>
      </w:r>
      <w:r w:rsidR="006D4224" w:rsidRPr="00592DCD">
        <w:t>Udział wynagrodzeń brutto w</w:t>
      </w:r>
      <w:r w:rsidR="00740DD6" w:rsidRPr="00592DCD">
        <w:t> </w:t>
      </w:r>
      <w:r w:rsidR="006D4224" w:rsidRPr="00592DCD">
        <w:t>kosztach ogółem w przypadku przedsiębiorstw zaliczanych do przemysłów kultury i kreatywnych wyniósł 10,7%.</w:t>
      </w:r>
      <w:r w:rsidR="006D4224" w:rsidRPr="00592DCD">
        <w:rPr>
          <w:shd w:val="clear" w:color="auto" w:fill="FFFFFF"/>
        </w:rPr>
        <w:t xml:space="preserve"> </w:t>
      </w:r>
    </w:p>
    <w:p w14:paraId="5C613671" w14:textId="586F6642" w:rsidR="006D4224" w:rsidRPr="00592DCD" w:rsidRDefault="00FB78C8" w:rsidP="00CA09BB">
      <w:pPr>
        <w:pStyle w:val="Tytutablicy"/>
        <w:suppressAutoHyphens/>
        <w:ind w:left="851" w:hanging="851"/>
      </w:pPr>
      <w:r w:rsidRPr="00592DCD">
        <w:lastRenderedPageBreak/>
        <w:t xml:space="preserve">Tablica 1. </w:t>
      </w:r>
      <w:r w:rsidR="006D4224" w:rsidRPr="00592DCD">
        <w:t>Pracujący, przeciętne zatrudnienie i wynagrodzenie w przemysłach kultury i</w:t>
      </w:r>
      <w:r w:rsidR="00F96CFE" w:rsidRPr="00592DCD">
        <w:t> </w:t>
      </w:r>
      <w:r w:rsidR="006D4224" w:rsidRPr="00592DCD">
        <w:t>kreatywnych w 202</w:t>
      </w:r>
      <w:r w:rsidR="00E953FE" w:rsidRPr="00592DCD">
        <w:t>1</w:t>
      </w:r>
      <w:r w:rsidR="006D4224" w:rsidRPr="00592DCD">
        <w:t xml:space="preserve"> r.</w:t>
      </w:r>
    </w:p>
    <w:tbl>
      <w:tblPr>
        <w:tblStyle w:val="Siatkatabelijasna1"/>
        <w:tblW w:w="7768" w:type="dxa"/>
        <w:tblInd w:w="0" w:type="dxa"/>
        <w:tblBorders>
          <w:top w:val="single" w:sz="4" w:space="0" w:color="001D77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2" w:space="0" w:color="001D77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accessible"/>
      </w:tblPr>
      <w:tblGrid>
        <w:gridCol w:w="2401"/>
        <w:gridCol w:w="1341"/>
        <w:gridCol w:w="1342"/>
        <w:gridCol w:w="1342"/>
        <w:gridCol w:w="1342"/>
      </w:tblGrid>
      <w:tr w:rsidR="00E55166" w:rsidRPr="00592DCD" w14:paraId="13B1404D" w14:textId="77777777" w:rsidTr="005E1B75">
        <w:trPr>
          <w:trHeight w:val="227"/>
          <w:tblHeader/>
        </w:trPr>
        <w:tc>
          <w:tcPr>
            <w:tcW w:w="2401" w:type="dxa"/>
            <w:vAlign w:val="center"/>
            <w:hideMark/>
          </w:tcPr>
          <w:p w14:paraId="28D459F1" w14:textId="67A1D73D" w:rsidR="006D4224" w:rsidRPr="00592DCD" w:rsidRDefault="00750AB8" w:rsidP="00A36FCB">
            <w:pPr>
              <w:pStyle w:val="Tablicagwkarodek"/>
              <w:rPr>
                <w:rFonts w:cs="Arial"/>
                <w:color w:val="00000A"/>
                <w:sz w:val="16"/>
                <w:szCs w:val="16"/>
                <w:lang w:eastAsia="en-US"/>
              </w:rPr>
            </w:pPr>
            <w:r w:rsidRPr="00592DCD">
              <w:t>Wyszczególnienie</w:t>
            </w:r>
          </w:p>
        </w:tc>
        <w:tc>
          <w:tcPr>
            <w:tcW w:w="1341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05EA22B9" w14:textId="77777777" w:rsidR="00E55166" w:rsidRPr="00592DCD" w:rsidRDefault="006D4224" w:rsidP="00A36FCB">
            <w:pPr>
              <w:pStyle w:val="Tablicagwkarodek"/>
              <w:spacing w:after="0"/>
            </w:pPr>
            <w:r w:rsidRPr="00592DCD">
              <w:t xml:space="preserve">Liczba </w:t>
            </w:r>
          </w:p>
          <w:p w14:paraId="7724A1DE" w14:textId="408AC6B7" w:rsidR="006D4224" w:rsidRPr="00592DCD" w:rsidRDefault="00BE077B" w:rsidP="00A36FCB">
            <w:pPr>
              <w:pStyle w:val="Tablicagwkarodek"/>
              <w:spacing w:before="0"/>
              <w:rPr>
                <w:vertAlign w:val="superscript"/>
              </w:rPr>
            </w:pPr>
            <w:proofErr w:type="spellStart"/>
            <w:r w:rsidRPr="00592DCD">
              <w:t>pracujących</w:t>
            </w:r>
            <w:r w:rsidRPr="00592DCD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134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5362AAC6" w14:textId="62878EBC" w:rsidR="006D4224" w:rsidRPr="00592DCD" w:rsidRDefault="006D4224" w:rsidP="00A36FCB">
            <w:pPr>
              <w:pStyle w:val="Tablicagwkarodek"/>
            </w:pPr>
            <w:r w:rsidRPr="00592DCD">
              <w:t>Przeciętne zatrudnienie</w:t>
            </w:r>
          </w:p>
        </w:tc>
        <w:tc>
          <w:tcPr>
            <w:tcW w:w="134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0B3E41C7" w14:textId="0E22E5F3" w:rsidR="006D4224" w:rsidRPr="00592DCD" w:rsidRDefault="006D4224" w:rsidP="00A36FCB">
            <w:pPr>
              <w:pStyle w:val="Tablicagwkarodek"/>
            </w:pPr>
            <w:r w:rsidRPr="00592DCD">
              <w:t>Wynagrodzeni</w:t>
            </w:r>
            <w:r w:rsidR="00231B77" w:rsidRPr="00592DCD">
              <w:t>a</w:t>
            </w:r>
            <w:r w:rsidRPr="00592DCD">
              <w:t xml:space="preserve"> brutto w</w:t>
            </w:r>
            <w:r w:rsidR="00750AB8" w:rsidRPr="00592DCD">
              <w:t> </w:t>
            </w:r>
            <w:r w:rsidRPr="00592DCD">
              <w:t>tys. zł</w:t>
            </w:r>
          </w:p>
        </w:tc>
        <w:tc>
          <w:tcPr>
            <w:tcW w:w="134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7CECAA66" w14:textId="77777777" w:rsidR="00750AB8" w:rsidRPr="00592DCD" w:rsidRDefault="006D4224" w:rsidP="00A36FCB">
            <w:pPr>
              <w:pStyle w:val="Tablicagwkarodek"/>
              <w:spacing w:after="0"/>
            </w:pPr>
            <w:r w:rsidRPr="00592DCD">
              <w:t xml:space="preserve">Miesięczne wynagrodzenie brutto </w:t>
            </w:r>
          </w:p>
          <w:p w14:paraId="6E6E2C95" w14:textId="1E51FDD9" w:rsidR="006D4224" w:rsidRPr="00592DCD" w:rsidRDefault="006D4224" w:rsidP="00A36FCB">
            <w:pPr>
              <w:pStyle w:val="Tablicagwkarodek"/>
              <w:spacing w:before="0"/>
            </w:pPr>
            <w:r w:rsidRPr="00592DCD">
              <w:t>na 1 zatrudnionego</w:t>
            </w:r>
            <w:r w:rsidRPr="00592DCD">
              <w:br/>
              <w:t>w zł</w:t>
            </w:r>
          </w:p>
        </w:tc>
      </w:tr>
      <w:tr w:rsidR="00E55166" w:rsidRPr="00592DCD" w14:paraId="069F9267" w14:textId="77777777" w:rsidTr="005E1B75">
        <w:trPr>
          <w:trHeight w:val="227"/>
          <w:tblHeader/>
        </w:trPr>
        <w:tc>
          <w:tcPr>
            <w:tcW w:w="2401" w:type="dxa"/>
            <w:vAlign w:val="center"/>
            <w:hideMark/>
          </w:tcPr>
          <w:p w14:paraId="11FC7A4E" w14:textId="538CD61E" w:rsidR="006D4224" w:rsidRPr="00592DCD" w:rsidRDefault="00750AB8" w:rsidP="00A36FCB">
            <w:pPr>
              <w:pStyle w:val="Tablicaboczek"/>
              <w:rPr>
                <w:rFonts w:cs="Fira Sans"/>
                <w:b/>
                <w:spacing w:val="-1"/>
              </w:rPr>
            </w:pPr>
            <w:r w:rsidRPr="00592DCD">
              <w:rPr>
                <w:rFonts w:cs="Fira Sans"/>
                <w:b/>
                <w:spacing w:val="-1"/>
              </w:rPr>
              <w:t>Ogółem</w:t>
            </w:r>
          </w:p>
        </w:tc>
        <w:tc>
          <w:tcPr>
            <w:tcW w:w="1341" w:type="dxa"/>
            <w:tcMar>
              <w:top w:w="57" w:type="dxa"/>
              <w:left w:w="102" w:type="dxa"/>
              <w:bottom w:w="57" w:type="dxa"/>
              <w:right w:w="108" w:type="dxa"/>
            </w:tcMar>
            <w:hideMark/>
          </w:tcPr>
          <w:p w14:paraId="1DECBBE2" w14:textId="77777777" w:rsidR="006D4224" w:rsidRPr="00592DCD" w:rsidRDefault="006D4224" w:rsidP="00A36FCB">
            <w:pPr>
              <w:pStyle w:val="Tablicadanerodek"/>
              <w:rPr>
                <w:b/>
              </w:rPr>
            </w:pPr>
            <w:r w:rsidRPr="00592DCD">
              <w:rPr>
                <w:b/>
              </w:rPr>
              <w:t>257 298</w:t>
            </w:r>
          </w:p>
        </w:tc>
        <w:tc>
          <w:tcPr>
            <w:tcW w:w="1342" w:type="dxa"/>
            <w:tcMar>
              <w:top w:w="57" w:type="dxa"/>
              <w:left w:w="102" w:type="dxa"/>
              <w:bottom w:w="57" w:type="dxa"/>
              <w:right w:w="108" w:type="dxa"/>
            </w:tcMar>
            <w:hideMark/>
          </w:tcPr>
          <w:p w14:paraId="1DF093C3" w14:textId="77777777" w:rsidR="006D4224" w:rsidRPr="00592DCD" w:rsidRDefault="006D4224" w:rsidP="00A36FCB">
            <w:pPr>
              <w:pStyle w:val="Tablicadanerodek"/>
              <w:rPr>
                <w:b/>
              </w:rPr>
            </w:pPr>
            <w:r w:rsidRPr="00592DCD">
              <w:rPr>
                <w:b/>
              </w:rPr>
              <w:t>100 135</w:t>
            </w:r>
          </w:p>
        </w:tc>
        <w:tc>
          <w:tcPr>
            <w:tcW w:w="1342" w:type="dxa"/>
            <w:tcMar>
              <w:top w:w="57" w:type="dxa"/>
              <w:left w:w="102" w:type="dxa"/>
              <w:bottom w:w="57" w:type="dxa"/>
              <w:right w:w="108" w:type="dxa"/>
            </w:tcMar>
            <w:hideMark/>
          </w:tcPr>
          <w:p w14:paraId="31615E55" w14:textId="77777777" w:rsidR="006D4224" w:rsidRPr="00592DCD" w:rsidRDefault="006D4224" w:rsidP="00A36FCB">
            <w:pPr>
              <w:pStyle w:val="Tablicadanerodek"/>
              <w:rPr>
                <w:b/>
              </w:rPr>
            </w:pPr>
            <w:r w:rsidRPr="00592DCD">
              <w:rPr>
                <w:b/>
              </w:rPr>
              <w:t>8 323 965</w:t>
            </w:r>
          </w:p>
        </w:tc>
        <w:tc>
          <w:tcPr>
            <w:tcW w:w="1342" w:type="dxa"/>
            <w:tcMar>
              <w:top w:w="57" w:type="dxa"/>
              <w:left w:w="102" w:type="dxa"/>
              <w:bottom w:w="57" w:type="dxa"/>
              <w:right w:w="108" w:type="dxa"/>
            </w:tcMar>
            <w:hideMark/>
          </w:tcPr>
          <w:p w14:paraId="7F6CA915" w14:textId="77777777" w:rsidR="006D4224" w:rsidRPr="00592DCD" w:rsidRDefault="006D4224" w:rsidP="00A36FCB">
            <w:pPr>
              <w:pStyle w:val="Tablicadanerodek"/>
              <w:rPr>
                <w:b/>
              </w:rPr>
            </w:pPr>
            <w:r w:rsidRPr="00592DCD">
              <w:rPr>
                <w:b/>
              </w:rPr>
              <w:t>6 927</w:t>
            </w:r>
          </w:p>
        </w:tc>
      </w:tr>
      <w:tr w:rsidR="00E55166" w:rsidRPr="00592DCD" w14:paraId="5E0D76A5" w14:textId="77777777" w:rsidTr="005E1B75">
        <w:trPr>
          <w:trHeight w:val="227"/>
          <w:tblHeader/>
        </w:trPr>
        <w:tc>
          <w:tcPr>
            <w:tcW w:w="2401" w:type="dxa"/>
            <w:vAlign w:val="center"/>
            <w:hideMark/>
          </w:tcPr>
          <w:p w14:paraId="32C031FD" w14:textId="77777777" w:rsidR="006D4224" w:rsidRPr="00592DCD" w:rsidRDefault="006D4224" w:rsidP="00A36FCB">
            <w:pPr>
              <w:pStyle w:val="Tablicaboczek"/>
              <w:rPr>
                <w:rFonts w:cs="Fira Sans"/>
                <w:spacing w:val="-1"/>
              </w:rPr>
            </w:pPr>
            <w:r w:rsidRPr="00592DCD">
              <w:rPr>
                <w:rFonts w:cs="Fira Sans"/>
                <w:spacing w:val="-1"/>
              </w:rPr>
              <w:t>Mikroprzedsiębiorstwa</w:t>
            </w:r>
          </w:p>
        </w:tc>
        <w:tc>
          <w:tcPr>
            <w:tcW w:w="1341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124A9612" w14:textId="77777777" w:rsidR="006D4224" w:rsidRPr="00592DCD" w:rsidRDefault="006D4224" w:rsidP="00A36FCB">
            <w:pPr>
              <w:pStyle w:val="Tablicadanerodek"/>
            </w:pPr>
            <w:r w:rsidRPr="00592DCD">
              <w:t>194 947</w:t>
            </w:r>
          </w:p>
        </w:tc>
        <w:tc>
          <w:tcPr>
            <w:tcW w:w="134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526BFE3D" w14:textId="77777777" w:rsidR="006D4224" w:rsidRPr="00592DCD" w:rsidRDefault="006D4224" w:rsidP="00A36FCB">
            <w:pPr>
              <w:pStyle w:val="Tablicadanerodek"/>
            </w:pPr>
            <w:r w:rsidRPr="00592DCD">
              <w:t>43 267</w:t>
            </w:r>
          </w:p>
        </w:tc>
        <w:tc>
          <w:tcPr>
            <w:tcW w:w="134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140551DD" w14:textId="77777777" w:rsidR="006D4224" w:rsidRPr="00592DCD" w:rsidRDefault="006D4224" w:rsidP="00A36FCB">
            <w:pPr>
              <w:pStyle w:val="Tablicadanerodek"/>
            </w:pPr>
            <w:r w:rsidRPr="00592DCD">
              <w:t>2 172 718</w:t>
            </w:r>
          </w:p>
        </w:tc>
        <w:tc>
          <w:tcPr>
            <w:tcW w:w="134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2B224DC0" w14:textId="77777777" w:rsidR="006D4224" w:rsidRPr="00592DCD" w:rsidRDefault="006D4224" w:rsidP="00A36FCB">
            <w:pPr>
              <w:pStyle w:val="Tablicadanerodek"/>
            </w:pPr>
            <w:r w:rsidRPr="00592DCD">
              <w:t>4 185</w:t>
            </w:r>
          </w:p>
        </w:tc>
      </w:tr>
      <w:tr w:rsidR="00E55166" w:rsidRPr="00592DCD" w14:paraId="35DC9906" w14:textId="77777777" w:rsidTr="005E1B75">
        <w:trPr>
          <w:trHeight w:val="227"/>
          <w:tblHeader/>
        </w:trPr>
        <w:tc>
          <w:tcPr>
            <w:tcW w:w="2401" w:type="dxa"/>
            <w:vAlign w:val="center"/>
            <w:hideMark/>
          </w:tcPr>
          <w:p w14:paraId="458D851D" w14:textId="77777777" w:rsidR="006D4224" w:rsidRPr="00592DCD" w:rsidRDefault="006D4224" w:rsidP="00A36FCB">
            <w:pPr>
              <w:pStyle w:val="Tablicaboczek"/>
              <w:rPr>
                <w:rFonts w:cs="Fira Sans"/>
                <w:spacing w:val="-1"/>
              </w:rPr>
            </w:pPr>
            <w:r w:rsidRPr="00592DCD">
              <w:rPr>
                <w:rFonts w:cs="Fira Sans"/>
                <w:spacing w:val="-1"/>
              </w:rPr>
              <w:t xml:space="preserve">Małe przedsiębiorstwa </w:t>
            </w:r>
          </w:p>
        </w:tc>
        <w:tc>
          <w:tcPr>
            <w:tcW w:w="1341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613875F6" w14:textId="77777777" w:rsidR="006D4224" w:rsidRPr="00592DCD" w:rsidRDefault="006D4224" w:rsidP="00A36FCB">
            <w:pPr>
              <w:pStyle w:val="Tablicadanerodek"/>
            </w:pPr>
            <w:r w:rsidRPr="00592DCD">
              <w:t>17 895</w:t>
            </w:r>
          </w:p>
        </w:tc>
        <w:tc>
          <w:tcPr>
            <w:tcW w:w="134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4E1242B2" w14:textId="77777777" w:rsidR="006D4224" w:rsidRPr="00592DCD" w:rsidRDefault="006D4224" w:rsidP="00A36FCB">
            <w:pPr>
              <w:pStyle w:val="Tablicadanerodek"/>
            </w:pPr>
            <w:r w:rsidRPr="00592DCD">
              <w:t>16 105</w:t>
            </w:r>
          </w:p>
        </w:tc>
        <w:tc>
          <w:tcPr>
            <w:tcW w:w="134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2D9588D2" w14:textId="77777777" w:rsidR="006D4224" w:rsidRPr="00592DCD" w:rsidRDefault="006D4224" w:rsidP="00A36FCB">
            <w:pPr>
              <w:pStyle w:val="Tablicadanerodek"/>
            </w:pPr>
            <w:r w:rsidRPr="00592DCD">
              <w:t>1 436 787</w:t>
            </w:r>
          </w:p>
        </w:tc>
        <w:tc>
          <w:tcPr>
            <w:tcW w:w="134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5CAEB82E" w14:textId="77777777" w:rsidR="006D4224" w:rsidRPr="00592DCD" w:rsidRDefault="006D4224" w:rsidP="00A36FCB">
            <w:pPr>
              <w:pStyle w:val="Tablicadanerodek"/>
            </w:pPr>
            <w:r w:rsidRPr="00592DCD">
              <w:t>7 434</w:t>
            </w:r>
          </w:p>
        </w:tc>
      </w:tr>
      <w:tr w:rsidR="00E55166" w:rsidRPr="00592DCD" w14:paraId="2036B185" w14:textId="77777777" w:rsidTr="005E1B75">
        <w:trPr>
          <w:trHeight w:val="227"/>
          <w:tblHeader/>
        </w:trPr>
        <w:tc>
          <w:tcPr>
            <w:tcW w:w="2401" w:type="dxa"/>
            <w:vAlign w:val="center"/>
            <w:hideMark/>
          </w:tcPr>
          <w:p w14:paraId="6AE74CA0" w14:textId="77777777" w:rsidR="006D4224" w:rsidRPr="00592DCD" w:rsidRDefault="006D4224" w:rsidP="00A36FCB">
            <w:pPr>
              <w:pStyle w:val="Tablicaboczek"/>
              <w:rPr>
                <w:rFonts w:cs="Fira Sans"/>
                <w:spacing w:val="-1"/>
              </w:rPr>
            </w:pPr>
            <w:r w:rsidRPr="00592DCD">
              <w:rPr>
                <w:rFonts w:cs="Fira Sans"/>
                <w:spacing w:val="-1"/>
              </w:rPr>
              <w:t>Średnie przedsiębiorstwa</w:t>
            </w:r>
          </w:p>
        </w:tc>
        <w:tc>
          <w:tcPr>
            <w:tcW w:w="1341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467380F9" w14:textId="77777777" w:rsidR="006D4224" w:rsidRPr="00592DCD" w:rsidRDefault="006D4224" w:rsidP="00A36FCB">
            <w:pPr>
              <w:pStyle w:val="Tablicadanerodek"/>
            </w:pPr>
            <w:r w:rsidRPr="00592DCD">
              <w:t>17 170</w:t>
            </w:r>
          </w:p>
        </w:tc>
        <w:tc>
          <w:tcPr>
            <w:tcW w:w="134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5827AB32" w14:textId="77777777" w:rsidR="006D4224" w:rsidRPr="00592DCD" w:rsidRDefault="006D4224" w:rsidP="00A36FCB">
            <w:pPr>
              <w:pStyle w:val="Tablicadanerodek"/>
            </w:pPr>
            <w:r w:rsidRPr="00592DCD">
              <w:t>15 809</w:t>
            </w:r>
          </w:p>
        </w:tc>
        <w:tc>
          <w:tcPr>
            <w:tcW w:w="134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04DF75BC" w14:textId="77777777" w:rsidR="006D4224" w:rsidRPr="00592DCD" w:rsidRDefault="006D4224" w:rsidP="00A36FCB">
            <w:pPr>
              <w:pStyle w:val="Tablicadanerodek"/>
            </w:pPr>
            <w:r w:rsidRPr="00592DCD">
              <w:t>1 737 957</w:t>
            </w:r>
          </w:p>
        </w:tc>
        <w:tc>
          <w:tcPr>
            <w:tcW w:w="134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0BB4553D" w14:textId="77777777" w:rsidR="006D4224" w:rsidRPr="00592DCD" w:rsidRDefault="006D4224" w:rsidP="00A36FCB">
            <w:pPr>
              <w:pStyle w:val="Tablicadanerodek"/>
            </w:pPr>
            <w:r w:rsidRPr="00592DCD">
              <w:t>9 161</w:t>
            </w:r>
          </w:p>
        </w:tc>
      </w:tr>
      <w:tr w:rsidR="00E55166" w:rsidRPr="00592DCD" w14:paraId="71C3D1E5" w14:textId="77777777" w:rsidTr="005E1B75">
        <w:trPr>
          <w:trHeight w:val="227"/>
          <w:tblHeader/>
        </w:trPr>
        <w:tc>
          <w:tcPr>
            <w:tcW w:w="2401" w:type="dxa"/>
            <w:vAlign w:val="center"/>
            <w:hideMark/>
          </w:tcPr>
          <w:p w14:paraId="6D45032C" w14:textId="77777777" w:rsidR="006D4224" w:rsidRPr="00592DCD" w:rsidRDefault="006D4224" w:rsidP="00A36FCB">
            <w:pPr>
              <w:pStyle w:val="Tablicaboczek"/>
              <w:rPr>
                <w:rFonts w:cs="Fira Sans"/>
                <w:spacing w:val="-1"/>
              </w:rPr>
            </w:pPr>
            <w:r w:rsidRPr="00592DCD">
              <w:rPr>
                <w:rFonts w:cs="Fira Sans"/>
                <w:spacing w:val="-1"/>
              </w:rPr>
              <w:t>Duże przedsiębiorstwa</w:t>
            </w:r>
          </w:p>
        </w:tc>
        <w:tc>
          <w:tcPr>
            <w:tcW w:w="1341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0B97903F" w14:textId="77777777" w:rsidR="006D4224" w:rsidRPr="00592DCD" w:rsidRDefault="006D4224" w:rsidP="00A36FCB">
            <w:pPr>
              <w:pStyle w:val="Tablicadanerodek"/>
            </w:pPr>
            <w:r w:rsidRPr="00592DCD">
              <w:t>27 286</w:t>
            </w:r>
          </w:p>
        </w:tc>
        <w:tc>
          <w:tcPr>
            <w:tcW w:w="134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50856BAC" w14:textId="77777777" w:rsidR="006D4224" w:rsidRPr="00592DCD" w:rsidRDefault="006D4224" w:rsidP="00A36FCB">
            <w:pPr>
              <w:pStyle w:val="Tablicadanerodek"/>
            </w:pPr>
            <w:r w:rsidRPr="00592DCD">
              <w:t>24 954</w:t>
            </w:r>
          </w:p>
        </w:tc>
        <w:tc>
          <w:tcPr>
            <w:tcW w:w="134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29807476" w14:textId="77777777" w:rsidR="006D4224" w:rsidRPr="00592DCD" w:rsidRDefault="006D4224" w:rsidP="00A36FCB">
            <w:pPr>
              <w:pStyle w:val="Tablicadanerodek"/>
            </w:pPr>
            <w:r w:rsidRPr="00592DCD">
              <w:t>2 976 503</w:t>
            </w:r>
          </w:p>
        </w:tc>
        <w:tc>
          <w:tcPr>
            <w:tcW w:w="134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40009794" w14:textId="77777777" w:rsidR="006D4224" w:rsidRPr="00592DCD" w:rsidRDefault="006D4224" w:rsidP="00A36FCB">
            <w:pPr>
              <w:pStyle w:val="Tablicadanerodek"/>
            </w:pPr>
            <w:r w:rsidRPr="00592DCD">
              <w:t>9 940</w:t>
            </w:r>
          </w:p>
        </w:tc>
      </w:tr>
    </w:tbl>
    <w:p w14:paraId="005822D3" w14:textId="60B293A7" w:rsidR="006D4224" w:rsidRPr="00592DCD" w:rsidRDefault="00A36FCB" w:rsidP="00A36FCB">
      <w:pPr>
        <w:rPr>
          <w:bCs/>
          <w:sz w:val="16"/>
          <w:szCs w:val="16"/>
        </w:rPr>
      </w:pPr>
      <w:r w:rsidRPr="00592DCD">
        <w:rPr>
          <w:sz w:val="16"/>
          <w:szCs w:val="16"/>
          <w:shd w:val="clear" w:color="auto" w:fill="FFFFFF"/>
        </w:rPr>
        <w:t>a</w:t>
      </w:r>
      <w:r w:rsidR="006D4224" w:rsidRPr="00592DCD">
        <w:rPr>
          <w:sz w:val="16"/>
          <w:szCs w:val="16"/>
          <w:shd w:val="clear" w:color="auto" w:fill="FFFFFF"/>
        </w:rPr>
        <w:t xml:space="preserve"> Stan w dniu 31 </w:t>
      </w:r>
      <w:r w:rsidRPr="00592DCD">
        <w:rPr>
          <w:sz w:val="16"/>
          <w:szCs w:val="16"/>
          <w:shd w:val="clear" w:color="auto" w:fill="FFFFFF"/>
        </w:rPr>
        <w:t>grudnia</w:t>
      </w:r>
      <w:r w:rsidR="006D4224" w:rsidRPr="00592DCD">
        <w:rPr>
          <w:sz w:val="16"/>
          <w:szCs w:val="16"/>
          <w:shd w:val="clear" w:color="auto" w:fill="FFFFFF"/>
        </w:rPr>
        <w:t>.</w:t>
      </w:r>
    </w:p>
    <w:p w14:paraId="4253C348" w14:textId="72CADE9D" w:rsidR="006D4224" w:rsidRPr="00592DCD" w:rsidRDefault="006D4224" w:rsidP="00CA09BB">
      <w:pPr>
        <w:pStyle w:val="Nagwek1"/>
      </w:pPr>
      <w:r w:rsidRPr="00592DCD">
        <w:t>Wyniki finansowe</w:t>
      </w:r>
    </w:p>
    <w:p w14:paraId="550EB5D7" w14:textId="238FD93A" w:rsidR="000F2E7E" w:rsidRPr="00592DCD" w:rsidRDefault="006D4224" w:rsidP="00CA09BB">
      <w:pPr>
        <w:spacing w:line="288" w:lineRule="auto"/>
      </w:pPr>
      <w:r w:rsidRPr="00592DCD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90336" behindDoc="1" locked="0" layoutInCell="1" allowOverlap="1" wp14:anchorId="542C74E5" wp14:editId="19ED96E9">
                <wp:simplePos x="0" y="0"/>
                <wp:positionH relativeFrom="column">
                  <wp:posOffset>5248275</wp:posOffset>
                </wp:positionH>
                <wp:positionV relativeFrom="paragraph">
                  <wp:posOffset>59690</wp:posOffset>
                </wp:positionV>
                <wp:extent cx="1726565" cy="1009650"/>
                <wp:effectExtent l="0" t="0" r="0" b="0"/>
                <wp:wrapTight wrapText="bothSides">
                  <wp:wrapPolygon edited="0">
                    <wp:start x="715" y="0"/>
                    <wp:lineTo x="715" y="21192"/>
                    <wp:lineTo x="20734" y="21192"/>
                    <wp:lineTo x="20734" y="0"/>
                    <wp:lineTo x="715" y="0"/>
                  </wp:wrapPolygon>
                </wp:wrapTight>
                <wp:docPr id="16" name="Prostokąt 16" descr="Nadwyżka przychodów ogółem nad kosztami ogółem dla podmiotów zaliczanych do przemysłów kultury i kreatywnych wyniosła 13,4 mld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6565" cy="100965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5FEC531" w14:textId="7AAC133D" w:rsidR="006D4224" w:rsidRDefault="006D4224" w:rsidP="006D4224">
                            <w:pPr>
                              <w:pStyle w:val="tekstzboku"/>
                              <w:spacing w:before="0" w:after="120"/>
                            </w:pPr>
                            <w:r w:rsidRPr="00377A43">
                              <w:t>Nadwyżka przychodów ogółem nad kosztami ogółem dla podmiotów zaliczanych do przemysłów kultury i k</w:t>
                            </w:r>
                            <w:r w:rsidR="00491E76">
                              <w:t>reatywnych wyniosła 13,4 mld zł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C74E5" id="Prostokąt 16" o:spid="_x0000_s1030" alt="Nadwyżka przychodów ogółem nad kosztami ogółem dla podmiotów zaliczanych do przemysłów kultury i kreatywnych wyniosła 13,4 mld zł" style="position:absolute;margin-left:413.25pt;margin-top:4.7pt;width:135.95pt;height:79.5pt;z-index:-251526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" filled="f" stroked="f" strokeweight=".26mm">
                <v:textbox>
                  <w:txbxContent>
                    <w:p w14:paraId="15FEC531" w14:textId="7AAC133D" w:rsidR="006D4224" w:rsidRDefault="006D4224" w:rsidP="006D4224">
                      <w:pPr>
                        <w:pStyle w:val="tekstzboku"/>
                        <w:spacing w:before="0" w:after="120"/>
                      </w:pPr>
                      <w:r w:rsidRPr="00377A43">
                        <w:t>Nadwyżka przychodów ogółem nad kosztami ogółem dla podmiotów zaliczanych do przemysłów kultury i k</w:t>
                      </w:r>
                      <w:r w:rsidR="00491E76">
                        <w:t>reatywnych wyniosła 13,4 mld zł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F33B9E" w:rsidRPr="00592DCD">
        <w:t>P</w:t>
      </w:r>
      <w:r w:rsidRPr="00592DCD">
        <w:t>odmioty zaliczane do przemysłów kultury i kreatywnych osiągnęły przychody ogółem w wysokości 90,8 ml</w:t>
      </w:r>
      <w:r w:rsidR="00377A43" w:rsidRPr="00592DCD">
        <w:t>d</w:t>
      </w:r>
      <w:r w:rsidRPr="00592DCD">
        <w:t xml:space="preserve"> zł (o </w:t>
      </w:r>
      <w:r w:rsidR="00377A43" w:rsidRPr="00592DCD">
        <w:t>6</w:t>
      </w:r>
      <w:r w:rsidRPr="00592DCD">
        <w:t>,3 ml</w:t>
      </w:r>
      <w:r w:rsidR="00377A43" w:rsidRPr="00592DCD">
        <w:t>d</w:t>
      </w:r>
      <w:r w:rsidRPr="00592DCD">
        <w:t xml:space="preserve"> więcej niż </w:t>
      </w:r>
      <w:r w:rsidR="00377A43" w:rsidRPr="00592DCD">
        <w:t xml:space="preserve">w </w:t>
      </w:r>
      <w:r w:rsidR="00F33B9E" w:rsidRPr="00592DCD">
        <w:t>2020 r.</w:t>
      </w:r>
      <w:r w:rsidRPr="00592DCD">
        <w:t>), przy kosztach ogółem wynoszących 77,5</w:t>
      </w:r>
      <w:r w:rsidR="00F33B9E" w:rsidRPr="00592DCD">
        <w:t> </w:t>
      </w:r>
      <w:r w:rsidRPr="00592DCD">
        <w:t>ml</w:t>
      </w:r>
      <w:r w:rsidR="00701680" w:rsidRPr="00592DCD">
        <w:t>d</w:t>
      </w:r>
      <w:r w:rsidRPr="00592DCD">
        <w:t xml:space="preserve"> zł (o 4,8 ml</w:t>
      </w:r>
      <w:r w:rsidR="00701680" w:rsidRPr="00592DCD">
        <w:t>d</w:t>
      </w:r>
      <w:r w:rsidRPr="00592DCD">
        <w:t xml:space="preserve"> zł więcej). Odnotowano więc, podobnie jak w latach poprzednich, nadwyżkę przychodów ogółem nad kosztami ogółem w wysokości 13,4 ml</w:t>
      </w:r>
      <w:r w:rsidR="00386015" w:rsidRPr="00592DCD">
        <w:t>d</w:t>
      </w:r>
      <w:r w:rsidRPr="00592DCD">
        <w:t xml:space="preserve"> zł (o</w:t>
      </w:r>
      <w:r w:rsidR="00F33B9E" w:rsidRPr="00592DCD">
        <w:t> </w:t>
      </w:r>
      <w:r w:rsidRPr="00592DCD">
        <w:t>1,6</w:t>
      </w:r>
      <w:r w:rsidR="00F33B9E" w:rsidRPr="00592DCD">
        <w:t> </w:t>
      </w:r>
      <w:r w:rsidRPr="00592DCD">
        <w:t>ml</w:t>
      </w:r>
      <w:r w:rsidR="00386015" w:rsidRPr="00592DCD">
        <w:t>d</w:t>
      </w:r>
      <w:r w:rsidRPr="00592DCD">
        <w:t xml:space="preserve"> zł więcej niż w 20</w:t>
      </w:r>
      <w:r w:rsidR="00386015" w:rsidRPr="00592DCD">
        <w:t>20 r.</w:t>
      </w:r>
      <w:r w:rsidRPr="00592DCD">
        <w:t>). Wskaźnik poziomu kosztów (relacja kosztów ogółem do przychodów ogółem) dla przedsiębiorstw zaliczanych do przemysłów kultury i kreatywnych wyniósł 85,3% (spadek o 0,7 p. proc w stosunku do 2020 r.) i w porównaniu ze wskaźnikiem dla przedsiębiorstw niefinansowych był niższy o 5,6 p. proc. – działalność o charakterze kulturalnym i</w:t>
      </w:r>
      <w:r w:rsidR="00E610C8" w:rsidRPr="00592DCD">
        <w:t> </w:t>
      </w:r>
      <w:r w:rsidRPr="00592DCD">
        <w:t xml:space="preserve">kreatywnym była więc mniej kosztochłonna. </w:t>
      </w:r>
    </w:p>
    <w:p w14:paraId="32F5F951" w14:textId="4C134291" w:rsidR="006D4224" w:rsidRPr="00592DCD" w:rsidRDefault="00774668" w:rsidP="00CA09BB">
      <w:pPr>
        <w:pStyle w:val="Tytuwykresu0"/>
        <w:spacing w:before="240"/>
        <w:ind w:left="851" w:hanging="851"/>
        <w:rPr>
          <w:rFonts w:ascii="Fira Sans" w:hAnsi="Fira Sans"/>
        </w:rPr>
      </w:pPr>
      <w:r w:rsidRPr="00592DCD">
        <w:rPr>
          <w:rFonts w:ascii="Fira Sans" w:hAnsi="Fira Sans"/>
        </w:rPr>
        <w:drawing>
          <wp:anchor distT="0" distB="0" distL="114300" distR="114300" simplePos="0" relativeHeight="251802624" behindDoc="0" locked="0" layoutInCell="1" allowOverlap="1" wp14:anchorId="2EEAD6D5" wp14:editId="0A1F2813">
            <wp:simplePos x="0" y="0"/>
            <wp:positionH relativeFrom="margin">
              <wp:align>left</wp:align>
            </wp:positionH>
            <wp:positionV relativeFrom="paragraph">
              <wp:posOffset>538204</wp:posOffset>
            </wp:positionV>
            <wp:extent cx="5047615" cy="3030220"/>
            <wp:effectExtent l="0" t="0" r="0" b="0"/>
            <wp:wrapTopAndBottom/>
            <wp:docPr id="31" name="Obraz 31" descr="Wykres 3. słupkowy przedstawiający nadwyżkę przychodów ogółem nad kosztami ogółem w przedsiębiorstwach zaliczanych do przemysłów kultury i kreatywnych według klasy wielkości przedsiębiorst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303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78C8" w:rsidRPr="00592DCD">
        <w:rPr>
          <w:rFonts w:ascii="Fira Sans" w:hAnsi="Fira Sans"/>
        </w:rPr>
        <w:t xml:space="preserve">Wykres 3. </w:t>
      </w:r>
      <w:r w:rsidR="006D4224" w:rsidRPr="00592DCD">
        <w:rPr>
          <w:rFonts w:ascii="Fira Sans" w:hAnsi="Fira Sans"/>
        </w:rPr>
        <w:t>Nadwyżka przychodów ogółem nad kosztami ogółem w przedsiębiorstwach zaliczanych do przemysłów kultury i kreatywnych według k</w:t>
      </w:r>
      <w:r w:rsidR="00A910B5" w:rsidRPr="00592DCD">
        <w:rPr>
          <w:rFonts w:ascii="Fira Sans" w:hAnsi="Fira Sans"/>
        </w:rPr>
        <w:t>lasy wielkości przedsiębiorstwa</w:t>
      </w:r>
    </w:p>
    <w:p w14:paraId="60F82914" w14:textId="5D50C408" w:rsidR="00C24B22" w:rsidRPr="00592DCD" w:rsidRDefault="00C24B22" w:rsidP="00774668">
      <w:pPr>
        <w:spacing w:before="240" w:line="288" w:lineRule="auto"/>
        <w:rPr>
          <w:highlight w:val="yellow"/>
        </w:rPr>
      </w:pPr>
      <w:r w:rsidRPr="00592DCD">
        <w:t xml:space="preserve">Koszty ogółem w przeliczeniu na 1 podmiot zaliczany do przemysłów kultury i kreatywnych wyniosły 573,7 tys. zł, </w:t>
      </w:r>
      <w:r w:rsidR="005022CC" w:rsidRPr="00592DCD">
        <w:t xml:space="preserve">natomiast </w:t>
      </w:r>
      <w:r w:rsidRPr="00592DCD">
        <w:t xml:space="preserve">przychody ogółem – 672,7 tys. zł. Udział zarówno przychodów </w:t>
      </w:r>
      <w:r w:rsidRPr="00592DCD">
        <w:lastRenderedPageBreak/>
        <w:t xml:space="preserve">ogółem, jak i kosztów ogółem generowanych przez przedsiębiorstwa zaliczane do przemysłów kultury i kreatywnych w przychodach ogółem i kosztach ogółem osiągniętych przez wszystkie przedsiębiorstwa niefinansowe wyniósł w obu przypadkach 1,4%. </w:t>
      </w:r>
    </w:p>
    <w:p w14:paraId="091C29FF" w14:textId="67111141" w:rsidR="006D4224" w:rsidRPr="00592DCD" w:rsidRDefault="00F33B9E" w:rsidP="00936CE3">
      <w:pPr>
        <w:spacing w:line="288" w:lineRule="auto"/>
        <w:rPr>
          <w:rFonts w:cstheme="minorHAnsi"/>
          <w:szCs w:val="19"/>
        </w:rPr>
      </w:pPr>
      <w:r w:rsidRPr="00592DCD">
        <w:t>P</w:t>
      </w:r>
      <w:r w:rsidR="006D4224" w:rsidRPr="00592DCD">
        <w:t>rzedsiębiorstwa z grupy przemysłów kultury i kreatywnych wytworzyły wartość dodaną w</w:t>
      </w:r>
      <w:r w:rsidR="00017EE0" w:rsidRPr="00592DCD">
        <w:t> </w:t>
      </w:r>
      <w:r w:rsidR="006D4224" w:rsidRPr="00592DCD">
        <w:t>wysokości 25,4 mld zł (o 7</w:t>
      </w:r>
      <w:r w:rsidR="006530C5" w:rsidRPr="00592DCD">
        <w:t>38,8</w:t>
      </w:r>
      <w:r w:rsidR="006D4224" w:rsidRPr="00592DCD">
        <w:t xml:space="preserve"> mln zł więcej niż </w:t>
      </w:r>
      <w:r w:rsidRPr="00592DCD">
        <w:t>w 2020 r.</w:t>
      </w:r>
      <w:r w:rsidR="006D4224" w:rsidRPr="00592DCD">
        <w:t>), co stanowiło 1,8% (spadek o</w:t>
      </w:r>
      <w:r w:rsidR="00017EE0" w:rsidRPr="00592DCD">
        <w:t> </w:t>
      </w:r>
      <w:r w:rsidR="006D4224" w:rsidRPr="00592DCD">
        <w:t>0,1</w:t>
      </w:r>
      <w:r w:rsidR="00017EE0" w:rsidRPr="00592DCD">
        <w:t> </w:t>
      </w:r>
      <w:r w:rsidR="006D4224" w:rsidRPr="00592DCD">
        <w:t>p.</w:t>
      </w:r>
      <w:r w:rsidR="00017EE0" w:rsidRPr="00592DCD">
        <w:t> </w:t>
      </w:r>
      <w:r w:rsidR="006D4224" w:rsidRPr="00592DCD">
        <w:t>proc. w stosunku do 2020</w:t>
      </w:r>
      <w:r w:rsidR="006530C5" w:rsidRPr="00592DCD">
        <w:t xml:space="preserve"> r.</w:t>
      </w:r>
      <w:r w:rsidR="006D4224" w:rsidRPr="00592DCD">
        <w:t>) wartości dodanej wytworzonej przez wszystkie przedsiębiorstwa niefinansowe w analizowanym roku. Niemal poł</w:t>
      </w:r>
      <w:r w:rsidRPr="00592DCD">
        <w:t>owę wartości dodanej dostarczyły</w:t>
      </w:r>
      <w:r w:rsidR="006D4224" w:rsidRPr="00592DCD">
        <w:t xml:space="preserve"> mikroprzedsiębiorstwa </w:t>
      </w:r>
      <w:r w:rsidR="00E610C8" w:rsidRPr="00592DCD">
        <w:t xml:space="preserve">– </w:t>
      </w:r>
      <w:r w:rsidR="006D4224" w:rsidRPr="00592DCD">
        <w:t>11,7 mld zł</w:t>
      </w:r>
      <w:r w:rsidR="00E610C8" w:rsidRPr="00592DCD">
        <w:t xml:space="preserve">. W przypadku dużych przedsiębiorstw było to </w:t>
      </w:r>
      <w:r w:rsidR="006D4224" w:rsidRPr="00592DCD">
        <w:t>7</w:t>
      </w:r>
      <w:r w:rsidR="006A2932" w:rsidRPr="00592DCD">
        <w:t>,0</w:t>
      </w:r>
      <w:r w:rsidR="00F403A0" w:rsidRPr="00592DCD">
        <w:t> </w:t>
      </w:r>
      <w:r w:rsidR="006D4224" w:rsidRPr="00592DCD">
        <w:t xml:space="preserve">mld zł, </w:t>
      </w:r>
      <w:r w:rsidR="00E610C8" w:rsidRPr="00592DCD">
        <w:t xml:space="preserve">a małych </w:t>
      </w:r>
      <w:r w:rsidR="006D4224" w:rsidRPr="00592DCD">
        <w:t xml:space="preserve">i </w:t>
      </w:r>
      <w:r w:rsidR="00E610C8" w:rsidRPr="00592DCD">
        <w:t xml:space="preserve">średnich – odpowiednio </w:t>
      </w:r>
      <w:r w:rsidR="006D4224" w:rsidRPr="00592DCD">
        <w:t>3,1 mld zł i 3,6 mld zł. W przeliczeniu na 1</w:t>
      </w:r>
      <w:r w:rsidR="00017EE0" w:rsidRPr="00592DCD">
        <w:t> </w:t>
      </w:r>
      <w:r w:rsidR="006D4224" w:rsidRPr="00592DCD">
        <w:t>przedsiębiorstwo wartość dodana przemysłów kultury i kreatywnych ogółem była 3,</w:t>
      </w:r>
      <w:r w:rsidR="00F403A0" w:rsidRPr="00592DCD">
        <w:t>3</w:t>
      </w:r>
      <w:r w:rsidR="006D4224" w:rsidRPr="00592DCD">
        <w:t xml:space="preserve"> razy niższa niż wartość dodana przypadająca na 1 przedsiębiorstwo niefinansowe</w:t>
      </w:r>
      <w:r w:rsidR="006D4224" w:rsidRPr="00592DCD">
        <w:rPr>
          <w:rFonts w:cstheme="minorHAnsi"/>
          <w:szCs w:val="19"/>
        </w:rPr>
        <w:t>.</w:t>
      </w:r>
    </w:p>
    <w:p w14:paraId="114ED87F" w14:textId="77777777" w:rsidR="006D4224" w:rsidRPr="00592DCD" w:rsidRDefault="006D4224" w:rsidP="00936CE3">
      <w:pPr>
        <w:pStyle w:val="Nagwek1"/>
        <w:rPr>
          <w:highlight w:val="yellow"/>
        </w:rPr>
      </w:pPr>
      <w:r w:rsidRPr="00592DCD">
        <w:t>Międzynarodowa wymiana dóbr i usług kulturalnych i kreatywnych</w:t>
      </w:r>
    </w:p>
    <w:p w14:paraId="18D44CB7" w14:textId="175BAD9C" w:rsidR="006D4224" w:rsidRPr="00592DCD" w:rsidRDefault="006D4224" w:rsidP="00936CE3">
      <w:pPr>
        <w:spacing w:line="288" w:lineRule="auto"/>
        <w:rPr>
          <w:rFonts w:cstheme="minorHAnsi"/>
          <w:szCs w:val="19"/>
        </w:rPr>
      </w:pPr>
      <w:r w:rsidRPr="00592DCD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88288" behindDoc="1" locked="0" layoutInCell="1" allowOverlap="1" wp14:anchorId="71B30557" wp14:editId="08DBF3A7">
                <wp:simplePos x="0" y="0"/>
                <wp:positionH relativeFrom="page">
                  <wp:posOffset>5741670</wp:posOffset>
                </wp:positionH>
                <wp:positionV relativeFrom="paragraph">
                  <wp:posOffset>526415</wp:posOffset>
                </wp:positionV>
                <wp:extent cx="1805305" cy="1377950"/>
                <wp:effectExtent l="0" t="0" r="0" b="0"/>
                <wp:wrapTight wrapText="bothSides">
                  <wp:wrapPolygon edited="0">
                    <wp:start x="684" y="0"/>
                    <wp:lineTo x="684" y="21202"/>
                    <wp:lineTo x="20741" y="21202"/>
                    <wp:lineTo x="20741" y="0"/>
                    <wp:lineTo x="684" y="0"/>
                  </wp:wrapPolygon>
                </wp:wrapTight>
                <wp:docPr id="15" name="Prostokąt 15" descr="W 2021 r. zanotowano dodatnie saldo międzynarodowego obrotu dobrami kulturalnymi i kreatywnymi w wysokości 5 461,8 mln zł. Saldo handlu usługami kulturalnymi i kreatywnymi było ujemne i wyniosło -1 429,0 mln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5305" cy="137795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6D38F6A" w14:textId="09BD213C" w:rsidR="006D4224" w:rsidRDefault="006D4224" w:rsidP="006D4224">
                            <w:pPr>
                              <w:pStyle w:val="tekstzboku"/>
                              <w:spacing w:before="0" w:after="120"/>
                            </w:pPr>
                            <w:r w:rsidRPr="006A53B2">
                              <w:t>W 2021 r. zanotowano dodatnie saldo międzynarodowego obrotu dobrami kulturalnymi i kreatywnymi w wysokości 5 461,</w:t>
                            </w:r>
                            <w:r w:rsidR="006A53B2" w:rsidRPr="006A53B2">
                              <w:t>8</w:t>
                            </w:r>
                            <w:r w:rsidRPr="006A53B2">
                              <w:t xml:space="preserve"> mln zł. Saldo handlu usługami kulturalnymi i kreatywnymi było ujemne</w:t>
                            </w:r>
                            <w:r w:rsidR="00870FA8">
                              <w:t xml:space="preserve"> i wyniosło</w:t>
                            </w:r>
                            <w:r w:rsidRPr="006A53B2">
                              <w:t xml:space="preserve"> </w:t>
                            </w:r>
                            <w:r w:rsidR="006A53B2" w:rsidRPr="006A53B2">
                              <w:t>-</w:t>
                            </w:r>
                            <w:r w:rsidRPr="006A53B2">
                              <w:rPr>
                                <w:rFonts w:cstheme="minorHAnsi"/>
                                <w:szCs w:val="19"/>
                              </w:rPr>
                              <w:t>1 429,</w:t>
                            </w:r>
                            <w:r w:rsidR="006A53B2" w:rsidRPr="006A53B2">
                              <w:rPr>
                                <w:rFonts w:cstheme="minorHAnsi"/>
                                <w:szCs w:val="19"/>
                              </w:rPr>
                              <w:t>0</w:t>
                            </w:r>
                            <w:r w:rsidRPr="006A53B2">
                              <w:rPr>
                                <w:rFonts w:cstheme="minorHAnsi"/>
                                <w:szCs w:val="19"/>
                              </w:rPr>
                              <w:t xml:space="preserve"> </w:t>
                            </w:r>
                            <w:r w:rsidR="00870FA8">
                              <w:t>mln zł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30557" id="Prostokąt 15" o:spid="_x0000_s1031" alt="W 2021 r. zanotowano dodatnie saldo międzynarodowego obrotu dobrami kulturalnymi i kreatywnymi w wysokości 5 461,8 mln zł. Saldo handlu usługami kulturalnymi i kreatywnymi było ujemne i wyniosło -1 429,0 mln zł" style="position:absolute;margin-left:452.1pt;margin-top:41.45pt;width:142.15pt;height:108.5pt;z-index:-251528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" filled="f" stroked="f" strokeweight=".26mm">
                <v:textbox>
                  <w:txbxContent>
                    <w:p w14:paraId="46D38F6A" w14:textId="09BD213C" w:rsidR="006D4224" w:rsidRDefault="006D4224" w:rsidP="006D4224">
                      <w:pPr>
                        <w:pStyle w:val="tekstzboku"/>
                        <w:spacing w:before="0" w:after="120"/>
                      </w:pPr>
                      <w:r w:rsidRPr="006A53B2">
                        <w:t>W 2021 r. zanotowano dodatnie saldo międzynarodowego obrotu dobrami kulturalnymi i kreatywnymi w wysokości 5 461,</w:t>
                      </w:r>
                      <w:r w:rsidR="006A53B2" w:rsidRPr="006A53B2">
                        <w:t>8</w:t>
                      </w:r>
                      <w:r w:rsidRPr="006A53B2">
                        <w:t xml:space="preserve"> mln zł. Saldo handlu usługami kulturalnymi i kreatywnymi było ujemne</w:t>
                      </w:r>
                      <w:r w:rsidR="00870FA8">
                        <w:t xml:space="preserve"> i wyniosło</w:t>
                      </w:r>
                      <w:r w:rsidRPr="006A53B2">
                        <w:t xml:space="preserve"> </w:t>
                      </w:r>
                      <w:r w:rsidR="006A53B2" w:rsidRPr="006A53B2">
                        <w:t>-</w:t>
                      </w:r>
                      <w:r w:rsidRPr="006A53B2">
                        <w:rPr>
                          <w:rFonts w:cstheme="minorHAnsi"/>
                          <w:szCs w:val="19"/>
                        </w:rPr>
                        <w:t>1 429,</w:t>
                      </w:r>
                      <w:r w:rsidR="006A53B2" w:rsidRPr="006A53B2">
                        <w:rPr>
                          <w:rFonts w:cstheme="minorHAnsi"/>
                          <w:szCs w:val="19"/>
                        </w:rPr>
                        <w:t>0</w:t>
                      </w:r>
                      <w:r w:rsidRPr="006A53B2">
                        <w:rPr>
                          <w:rFonts w:cstheme="minorHAnsi"/>
                          <w:szCs w:val="19"/>
                        </w:rPr>
                        <w:t xml:space="preserve"> </w:t>
                      </w:r>
                      <w:r w:rsidR="00870FA8">
                        <w:t>mln zł</w:t>
                      </w:r>
                    </w:p>
                  </w:txbxContent>
                </v:textbox>
                <w10:wrap type="tight" anchorx="page"/>
              </v:rect>
            </w:pict>
          </mc:Fallback>
        </mc:AlternateContent>
      </w:r>
      <w:r w:rsidRPr="00592DCD">
        <w:rPr>
          <w:rFonts w:cstheme="minorHAnsi"/>
          <w:szCs w:val="19"/>
        </w:rPr>
        <w:t>W 2021 r. sprzedano za granicę dobra kulturalne i kreatywne o wartości 18 055,</w:t>
      </w:r>
      <w:r w:rsidR="00B62D0B" w:rsidRPr="00592DCD">
        <w:rPr>
          <w:rFonts w:cstheme="minorHAnsi"/>
          <w:szCs w:val="19"/>
        </w:rPr>
        <w:t>6</w:t>
      </w:r>
      <w:r w:rsidRPr="00592DCD">
        <w:rPr>
          <w:rFonts w:cstheme="minorHAnsi"/>
          <w:szCs w:val="19"/>
        </w:rPr>
        <w:t xml:space="preserve"> mln zł, tj. </w:t>
      </w:r>
      <w:r w:rsidR="00B62D0B" w:rsidRPr="00592DCD">
        <w:rPr>
          <w:rFonts w:cstheme="minorHAnsi"/>
          <w:szCs w:val="19"/>
        </w:rPr>
        <w:t>o</w:t>
      </w:r>
      <w:r w:rsidR="008E3275" w:rsidRPr="00592DCD">
        <w:rPr>
          <w:rFonts w:cstheme="minorHAnsi"/>
          <w:szCs w:val="19"/>
        </w:rPr>
        <w:t> </w:t>
      </w:r>
      <w:r w:rsidRPr="00592DCD">
        <w:rPr>
          <w:rFonts w:cstheme="minorHAnsi"/>
          <w:szCs w:val="19"/>
        </w:rPr>
        <w:t>1 07</w:t>
      </w:r>
      <w:r w:rsidR="00B62D0B" w:rsidRPr="00592DCD">
        <w:rPr>
          <w:rFonts w:cstheme="minorHAnsi"/>
          <w:szCs w:val="19"/>
        </w:rPr>
        <w:t>5</w:t>
      </w:r>
      <w:r w:rsidRPr="00592DCD">
        <w:rPr>
          <w:rFonts w:cstheme="minorHAnsi"/>
          <w:szCs w:val="19"/>
        </w:rPr>
        <w:t>,</w:t>
      </w:r>
      <w:r w:rsidR="00B62D0B" w:rsidRPr="00592DCD">
        <w:rPr>
          <w:rFonts w:cstheme="minorHAnsi"/>
          <w:szCs w:val="19"/>
        </w:rPr>
        <w:t>1</w:t>
      </w:r>
      <w:r w:rsidRPr="00592DCD">
        <w:rPr>
          <w:rFonts w:cstheme="minorHAnsi"/>
          <w:szCs w:val="19"/>
        </w:rPr>
        <w:t xml:space="preserve"> mln zł (</w:t>
      </w:r>
      <w:r w:rsidR="00B62D0B" w:rsidRPr="00592DCD">
        <w:rPr>
          <w:rFonts w:cstheme="minorHAnsi"/>
          <w:szCs w:val="19"/>
        </w:rPr>
        <w:t>6,3%</w:t>
      </w:r>
      <w:r w:rsidRPr="00592DCD">
        <w:rPr>
          <w:rFonts w:cstheme="minorHAnsi"/>
          <w:szCs w:val="19"/>
        </w:rPr>
        <w:t xml:space="preserve">) więcej w porównaniu z rokiem poprzednim. </w:t>
      </w:r>
      <w:r w:rsidR="005022CC" w:rsidRPr="00592DCD">
        <w:rPr>
          <w:rFonts w:cstheme="minorHAnsi"/>
          <w:szCs w:val="19"/>
        </w:rPr>
        <w:t>W</w:t>
      </w:r>
      <w:r w:rsidRPr="00592DCD">
        <w:rPr>
          <w:rFonts w:cstheme="minorHAnsi"/>
          <w:szCs w:val="19"/>
        </w:rPr>
        <w:t>zrósł także import dóbr kulturalnych i kreatywnych</w:t>
      </w:r>
      <w:r w:rsidR="005022CC" w:rsidRPr="00592DCD">
        <w:rPr>
          <w:rFonts w:cstheme="minorHAnsi"/>
          <w:szCs w:val="19"/>
        </w:rPr>
        <w:t xml:space="preserve"> o 16,7%</w:t>
      </w:r>
      <w:r w:rsidRPr="00592DCD">
        <w:rPr>
          <w:rFonts w:cstheme="minorHAnsi"/>
          <w:szCs w:val="19"/>
        </w:rPr>
        <w:t>, osiągając kwotę 12 593,8 mln zł. Saldo obrotu zagranicznego wyniosło więc 5 461,</w:t>
      </w:r>
      <w:r w:rsidR="00A05677" w:rsidRPr="00592DCD">
        <w:rPr>
          <w:rFonts w:cstheme="minorHAnsi"/>
          <w:szCs w:val="19"/>
        </w:rPr>
        <w:t>8</w:t>
      </w:r>
      <w:r w:rsidRPr="00592DCD">
        <w:rPr>
          <w:rFonts w:cstheme="minorHAnsi"/>
          <w:szCs w:val="19"/>
        </w:rPr>
        <w:t xml:space="preserve"> mln zł. </w:t>
      </w:r>
      <w:r w:rsidR="00666100" w:rsidRPr="00592DCD">
        <w:rPr>
          <w:rFonts w:cstheme="minorHAnsi"/>
          <w:szCs w:val="19"/>
        </w:rPr>
        <w:t>N</w:t>
      </w:r>
      <w:r w:rsidRPr="00592DCD">
        <w:rPr>
          <w:rFonts w:cstheme="minorHAnsi"/>
          <w:szCs w:val="19"/>
        </w:rPr>
        <w:t xml:space="preserve">ajwiększą kwotę uzyskano ze sprzedaży dóbr w ramach </w:t>
      </w:r>
      <w:r w:rsidRPr="00592DCD">
        <w:rPr>
          <w:rFonts w:cstheme="minorHAnsi"/>
          <w:i/>
          <w:iCs/>
          <w:szCs w:val="19"/>
        </w:rPr>
        <w:t>dziedziny Książki i prasa</w:t>
      </w:r>
      <w:r w:rsidRPr="00592DCD">
        <w:rPr>
          <w:rFonts w:cstheme="minorHAnsi"/>
          <w:szCs w:val="19"/>
        </w:rPr>
        <w:t xml:space="preserve"> (</w:t>
      </w:r>
      <w:r w:rsidR="00666100" w:rsidRPr="00592DCD">
        <w:rPr>
          <w:rFonts w:cstheme="minorHAnsi"/>
          <w:szCs w:val="19"/>
        </w:rPr>
        <w:t xml:space="preserve">8 136,5 mln zł), a w dalszej kolejności </w:t>
      </w:r>
      <w:r w:rsidR="00666100" w:rsidRPr="00592DCD">
        <w:rPr>
          <w:rFonts w:cstheme="minorHAnsi"/>
          <w:i/>
          <w:szCs w:val="19"/>
        </w:rPr>
        <w:t>Sztuki audiowizualne i</w:t>
      </w:r>
      <w:r w:rsidR="00017EE0" w:rsidRPr="00592DCD">
        <w:rPr>
          <w:rFonts w:cstheme="minorHAnsi"/>
          <w:i/>
          <w:szCs w:val="19"/>
        </w:rPr>
        <w:t> </w:t>
      </w:r>
      <w:r w:rsidR="00666100" w:rsidRPr="00592DCD">
        <w:rPr>
          <w:rFonts w:cstheme="minorHAnsi"/>
          <w:i/>
          <w:szCs w:val="19"/>
        </w:rPr>
        <w:t>multimedia</w:t>
      </w:r>
      <w:r w:rsidR="00666100" w:rsidRPr="00592DCD">
        <w:rPr>
          <w:rFonts w:cstheme="minorHAnsi"/>
          <w:szCs w:val="19"/>
        </w:rPr>
        <w:t xml:space="preserve"> (7 986,1 mln zł). </w:t>
      </w:r>
      <w:r w:rsidRPr="00592DCD">
        <w:rPr>
          <w:rFonts w:cstheme="minorHAnsi"/>
          <w:szCs w:val="19"/>
        </w:rPr>
        <w:t xml:space="preserve"> </w:t>
      </w:r>
      <w:r w:rsidR="005022CC" w:rsidRPr="00592DCD">
        <w:rPr>
          <w:rFonts w:cstheme="minorHAnsi"/>
          <w:szCs w:val="19"/>
        </w:rPr>
        <w:t>W</w:t>
      </w:r>
      <w:r w:rsidRPr="00592DCD">
        <w:rPr>
          <w:rFonts w:cstheme="minorHAnsi"/>
          <w:szCs w:val="19"/>
        </w:rPr>
        <w:t xml:space="preserve"> przypadku dziedziny </w:t>
      </w:r>
      <w:r w:rsidRPr="00592DCD">
        <w:rPr>
          <w:rFonts w:cstheme="minorHAnsi"/>
          <w:i/>
          <w:iCs/>
          <w:szCs w:val="19"/>
        </w:rPr>
        <w:t>Książki i prasa</w:t>
      </w:r>
      <w:r w:rsidRPr="00592DCD">
        <w:rPr>
          <w:rFonts w:cstheme="minorHAnsi"/>
          <w:szCs w:val="19"/>
        </w:rPr>
        <w:t xml:space="preserve"> odnotowano dodatnie saldo obrotów (4 992,9 mln zł), </w:t>
      </w:r>
      <w:r w:rsidR="005022CC" w:rsidRPr="00592DCD">
        <w:rPr>
          <w:rFonts w:cstheme="minorHAnsi"/>
          <w:szCs w:val="19"/>
        </w:rPr>
        <w:t>natomiast</w:t>
      </w:r>
      <w:r w:rsidRPr="00592DCD">
        <w:rPr>
          <w:rFonts w:cstheme="minorHAnsi"/>
          <w:szCs w:val="19"/>
        </w:rPr>
        <w:t xml:space="preserve"> obszar </w:t>
      </w:r>
      <w:r w:rsidRPr="00592DCD">
        <w:rPr>
          <w:rFonts w:cstheme="minorHAnsi"/>
          <w:i/>
          <w:iCs/>
          <w:szCs w:val="19"/>
        </w:rPr>
        <w:t>Sztuk audiowizualnych i multimediów</w:t>
      </w:r>
      <w:r w:rsidRPr="00592DCD">
        <w:rPr>
          <w:rFonts w:cstheme="minorHAnsi"/>
          <w:szCs w:val="19"/>
        </w:rPr>
        <w:t xml:space="preserve"> wykazał największe ujemne saldo ze wszystkich dziedzin (</w:t>
      </w:r>
      <w:r w:rsidR="00F72306" w:rsidRPr="00592DCD">
        <w:rPr>
          <w:rFonts w:cstheme="minorHAnsi"/>
          <w:szCs w:val="19"/>
        </w:rPr>
        <w:t>-</w:t>
      </w:r>
      <w:r w:rsidRPr="00592DCD">
        <w:rPr>
          <w:rFonts w:cstheme="minorHAnsi"/>
          <w:szCs w:val="19"/>
        </w:rPr>
        <w:t>374,7 mln zł). To zupełnie inne wyniki niż w</w:t>
      </w:r>
      <w:r w:rsidR="00592DCD">
        <w:rPr>
          <w:rFonts w:cstheme="minorHAnsi"/>
          <w:szCs w:val="19"/>
        </w:rPr>
        <w:t> </w:t>
      </w:r>
      <w:r w:rsidRPr="00592DCD">
        <w:rPr>
          <w:rFonts w:cstheme="minorHAnsi"/>
          <w:szCs w:val="19"/>
        </w:rPr>
        <w:t xml:space="preserve">2020 r., gdzie ta ostatnia dziedzina nie tylko notowała najwyższe </w:t>
      </w:r>
      <w:r w:rsidR="00666100" w:rsidRPr="00592DCD">
        <w:rPr>
          <w:rFonts w:cstheme="minorHAnsi"/>
          <w:szCs w:val="19"/>
        </w:rPr>
        <w:t>kwoty sprzedaży</w:t>
      </w:r>
      <w:r w:rsidR="00E610C8" w:rsidRPr="00592DCD">
        <w:rPr>
          <w:rFonts w:cstheme="minorHAnsi"/>
          <w:szCs w:val="19"/>
        </w:rPr>
        <w:t>,</w:t>
      </w:r>
      <w:r w:rsidRPr="00592DCD">
        <w:rPr>
          <w:rFonts w:cstheme="minorHAnsi"/>
          <w:szCs w:val="19"/>
        </w:rPr>
        <w:t xml:space="preserve"> ale także wykazała dodatnie saldo </w:t>
      </w:r>
      <w:r w:rsidR="00666100" w:rsidRPr="00592DCD">
        <w:rPr>
          <w:rFonts w:cstheme="minorHAnsi"/>
          <w:szCs w:val="19"/>
        </w:rPr>
        <w:t>obrotu zagranicznego</w:t>
      </w:r>
      <w:r w:rsidR="0036229D" w:rsidRPr="00592DCD">
        <w:rPr>
          <w:rFonts w:cstheme="minorHAnsi"/>
          <w:szCs w:val="19"/>
        </w:rPr>
        <w:t>.</w:t>
      </w:r>
      <w:r w:rsidR="00666100" w:rsidRPr="00592DCD">
        <w:rPr>
          <w:rFonts w:cstheme="minorHAnsi"/>
          <w:szCs w:val="19"/>
        </w:rPr>
        <w:t xml:space="preserve"> </w:t>
      </w:r>
    </w:p>
    <w:p w14:paraId="238FD463" w14:textId="710BB9F7" w:rsidR="006D4224" w:rsidRPr="00592DCD" w:rsidRDefault="000134C6" w:rsidP="00936CE3">
      <w:pPr>
        <w:spacing w:line="288" w:lineRule="auto"/>
        <w:rPr>
          <w:rFonts w:cstheme="minorHAnsi"/>
          <w:szCs w:val="19"/>
        </w:rPr>
      </w:pPr>
      <w:r w:rsidRPr="00592DCD">
        <w:rPr>
          <w:rFonts w:cstheme="minorHAnsi"/>
          <w:szCs w:val="19"/>
        </w:rPr>
        <w:t>W porównaniu z 2020 r. n</w:t>
      </w:r>
      <w:r w:rsidR="006D4224" w:rsidRPr="00592DCD">
        <w:rPr>
          <w:rFonts w:cstheme="minorHAnsi"/>
          <w:szCs w:val="19"/>
        </w:rPr>
        <w:t>ajwiększy wzrost</w:t>
      </w:r>
      <w:r w:rsidRPr="00592DCD">
        <w:rPr>
          <w:rFonts w:cstheme="minorHAnsi"/>
          <w:szCs w:val="19"/>
        </w:rPr>
        <w:t xml:space="preserve"> wartości eksportowanych dóbr kulturalnych i kreatywnych </w:t>
      </w:r>
      <w:r w:rsidR="006D4224" w:rsidRPr="00592DCD">
        <w:rPr>
          <w:rFonts w:cstheme="minorHAnsi"/>
          <w:szCs w:val="19"/>
        </w:rPr>
        <w:t xml:space="preserve">zaobserwowano w przypadku </w:t>
      </w:r>
      <w:r w:rsidR="006D4224" w:rsidRPr="00592DCD">
        <w:rPr>
          <w:rFonts w:cstheme="minorHAnsi"/>
          <w:i/>
          <w:iCs/>
          <w:szCs w:val="19"/>
        </w:rPr>
        <w:t>Dziedzictwa kulturowego</w:t>
      </w:r>
      <w:r w:rsidRPr="00592DCD">
        <w:rPr>
          <w:rFonts w:cstheme="minorHAnsi"/>
          <w:i/>
          <w:iCs/>
          <w:szCs w:val="19"/>
        </w:rPr>
        <w:t xml:space="preserve"> </w:t>
      </w:r>
      <w:r w:rsidRPr="00592DCD">
        <w:rPr>
          <w:rFonts w:cstheme="minorHAnsi"/>
          <w:szCs w:val="19"/>
        </w:rPr>
        <w:t>(o 363,8%).</w:t>
      </w:r>
      <w:r w:rsidR="006D4224" w:rsidRPr="00592DCD">
        <w:rPr>
          <w:rFonts w:cstheme="minorHAnsi"/>
          <w:szCs w:val="19"/>
        </w:rPr>
        <w:t xml:space="preserve"> </w:t>
      </w:r>
      <w:r w:rsidRPr="00592DCD">
        <w:rPr>
          <w:rFonts w:cstheme="minorHAnsi"/>
          <w:szCs w:val="19"/>
        </w:rPr>
        <w:t>D</w:t>
      </w:r>
      <w:r w:rsidR="006D4224" w:rsidRPr="00592DCD">
        <w:rPr>
          <w:rFonts w:cstheme="minorHAnsi"/>
          <w:szCs w:val="19"/>
        </w:rPr>
        <w:t>uży wzrost wykazały także takie dziedziny jak</w:t>
      </w:r>
      <w:r w:rsidRPr="00592DCD">
        <w:rPr>
          <w:rFonts w:cstheme="minorHAnsi"/>
          <w:szCs w:val="19"/>
        </w:rPr>
        <w:t>:</w:t>
      </w:r>
      <w:r w:rsidR="006D4224" w:rsidRPr="00592DCD">
        <w:rPr>
          <w:rFonts w:cstheme="minorHAnsi"/>
          <w:szCs w:val="19"/>
        </w:rPr>
        <w:t xml:space="preserve"> </w:t>
      </w:r>
      <w:r w:rsidR="006D4224" w:rsidRPr="00592DCD">
        <w:rPr>
          <w:rFonts w:cstheme="minorHAnsi"/>
          <w:i/>
          <w:iCs/>
          <w:szCs w:val="19"/>
        </w:rPr>
        <w:t>Rękodzieło artystyczne</w:t>
      </w:r>
      <w:r w:rsidR="006D4224" w:rsidRPr="00592DCD">
        <w:rPr>
          <w:rFonts w:cstheme="minorHAnsi"/>
          <w:szCs w:val="19"/>
        </w:rPr>
        <w:t xml:space="preserve"> (1</w:t>
      </w:r>
      <w:r w:rsidR="00403EAE" w:rsidRPr="00592DCD">
        <w:rPr>
          <w:rFonts w:cstheme="minorHAnsi"/>
          <w:szCs w:val="19"/>
        </w:rPr>
        <w:t>13,0%</w:t>
      </w:r>
      <w:r w:rsidR="006D4224" w:rsidRPr="00592DCD">
        <w:rPr>
          <w:rFonts w:cstheme="minorHAnsi"/>
          <w:szCs w:val="19"/>
        </w:rPr>
        <w:t xml:space="preserve">), </w:t>
      </w:r>
      <w:r w:rsidR="006D4224" w:rsidRPr="00592DCD">
        <w:rPr>
          <w:rFonts w:cstheme="minorHAnsi"/>
          <w:i/>
          <w:iCs/>
          <w:szCs w:val="19"/>
        </w:rPr>
        <w:t>Sztuki wizualne</w:t>
      </w:r>
      <w:r w:rsidR="006D4224" w:rsidRPr="00592DCD">
        <w:rPr>
          <w:rFonts w:cstheme="minorHAnsi"/>
          <w:szCs w:val="19"/>
        </w:rPr>
        <w:t xml:space="preserve"> (6</w:t>
      </w:r>
      <w:r w:rsidR="00403EAE" w:rsidRPr="00592DCD">
        <w:rPr>
          <w:rFonts w:cstheme="minorHAnsi"/>
          <w:szCs w:val="19"/>
        </w:rPr>
        <w:t>5,9%</w:t>
      </w:r>
      <w:r w:rsidR="006D4224" w:rsidRPr="00592DCD">
        <w:rPr>
          <w:rFonts w:cstheme="minorHAnsi"/>
          <w:szCs w:val="19"/>
        </w:rPr>
        <w:t>)</w:t>
      </w:r>
      <w:r w:rsidR="00403EAE" w:rsidRPr="00592DCD">
        <w:rPr>
          <w:rFonts w:cstheme="minorHAnsi"/>
          <w:szCs w:val="19"/>
        </w:rPr>
        <w:t xml:space="preserve">, Sztuki </w:t>
      </w:r>
      <w:proofErr w:type="spellStart"/>
      <w:r w:rsidR="006D4224" w:rsidRPr="00592DCD">
        <w:rPr>
          <w:rFonts w:cstheme="minorHAnsi"/>
          <w:i/>
          <w:iCs/>
          <w:szCs w:val="19"/>
        </w:rPr>
        <w:t>performatywne</w:t>
      </w:r>
      <w:proofErr w:type="spellEnd"/>
      <w:r w:rsidR="006D4224" w:rsidRPr="00592DCD">
        <w:rPr>
          <w:rFonts w:cstheme="minorHAnsi"/>
          <w:szCs w:val="19"/>
        </w:rPr>
        <w:t xml:space="preserve"> (3</w:t>
      </w:r>
      <w:r w:rsidR="00403EAE" w:rsidRPr="00592DCD">
        <w:rPr>
          <w:rFonts w:cstheme="minorHAnsi"/>
          <w:szCs w:val="19"/>
        </w:rPr>
        <w:t>2,9%</w:t>
      </w:r>
      <w:r w:rsidR="006D4224" w:rsidRPr="00592DCD">
        <w:rPr>
          <w:rFonts w:cstheme="minorHAnsi"/>
          <w:szCs w:val="19"/>
        </w:rPr>
        <w:t xml:space="preserve">), </w:t>
      </w:r>
      <w:r w:rsidR="006D4224" w:rsidRPr="00592DCD">
        <w:rPr>
          <w:rFonts w:cstheme="minorHAnsi"/>
          <w:i/>
          <w:iCs/>
          <w:szCs w:val="19"/>
        </w:rPr>
        <w:t>Książki i prasa</w:t>
      </w:r>
      <w:r w:rsidR="006D4224" w:rsidRPr="00592DCD">
        <w:rPr>
          <w:rFonts w:cstheme="minorHAnsi"/>
          <w:szCs w:val="19"/>
        </w:rPr>
        <w:t xml:space="preserve"> (o 1</w:t>
      </w:r>
      <w:r w:rsidR="00403EAE" w:rsidRPr="00592DCD">
        <w:rPr>
          <w:rFonts w:cstheme="minorHAnsi"/>
          <w:szCs w:val="19"/>
        </w:rPr>
        <w:t>5,8%</w:t>
      </w:r>
      <w:r w:rsidR="006D4224" w:rsidRPr="00592DCD">
        <w:rPr>
          <w:rFonts w:cstheme="minorHAnsi"/>
          <w:szCs w:val="19"/>
        </w:rPr>
        <w:t xml:space="preserve">) oraz </w:t>
      </w:r>
      <w:r w:rsidR="006D4224" w:rsidRPr="00592DCD">
        <w:rPr>
          <w:rFonts w:cstheme="minorHAnsi"/>
          <w:i/>
          <w:iCs/>
          <w:szCs w:val="19"/>
        </w:rPr>
        <w:t>Reklama</w:t>
      </w:r>
      <w:r w:rsidR="006D4224" w:rsidRPr="00592DCD">
        <w:rPr>
          <w:rFonts w:cstheme="minorHAnsi"/>
          <w:szCs w:val="19"/>
        </w:rPr>
        <w:t xml:space="preserve"> (7</w:t>
      </w:r>
      <w:r w:rsidR="00403EAE" w:rsidRPr="00592DCD">
        <w:rPr>
          <w:rFonts w:cstheme="minorHAnsi"/>
          <w:szCs w:val="19"/>
        </w:rPr>
        <w:t>,3%</w:t>
      </w:r>
      <w:r w:rsidR="006D4224" w:rsidRPr="00592DCD">
        <w:rPr>
          <w:rFonts w:cstheme="minorHAnsi"/>
          <w:szCs w:val="19"/>
        </w:rPr>
        <w:t>).</w:t>
      </w:r>
    </w:p>
    <w:p w14:paraId="71A11AA1" w14:textId="7CEE6B85" w:rsidR="00C24B22" w:rsidRPr="00592DCD" w:rsidRDefault="00C24B22" w:rsidP="00936CE3">
      <w:pPr>
        <w:spacing w:line="288" w:lineRule="auto"/>
        <w:rPr>
          <w:rFonts w:cstheme="minorHAnsi"/>
          <w:szCs w:val="19"/>
        </w:rPr>
      </w:pPr>
      <w:r w:rsidRPr="00592DCD">
        <w:rPr>
          <w:rFonts w:cstheme="minorHAnsi"/>
          <w:szCs w:val="19"/>
        </w:rPr>
        <w:t xml:space="preserve">W 2021 r. dostarczono za granicę usługi kulturalne i kreatywne o wartości 12 855,3 mln zł (tj. 1 610,9 mln zł więcej niż w 2020 r.), nabyto natomiast usługi kulturalne i kreatywne o wartości 14 284,4 mln zł. Dało to ujemne saldo </w:t>
      </w:r>
      <w:r w:rsidR="00EE4563" w:rsidRPr="00592DCD">
        <w:rPr>
          <w:rFonts w:cstheme="minorHAnsi"/>
          <w:szCs w:val="19"/>
        </w:rPr>
        <w:t>usług</w:t>
      </w:r>
      <w:r w:rsidRPr="00592DCD">
        <w:rPr>
          <w:rFonts w:cstheme="minorHAnsi"/>
          <w:szCs w:val="19"/>
        </w:rPr>
        <w:t xml:space="preserve"> w wysokości -1 429,0 mln zł. Dziedzinami, w</w:t>
      </w:r>
      <w:r w:rsidR="00EE4563" w:rsidRPr="00592DCD">
        <w:rPr>
          <w:rFonts w:cstheme="minorHAnsi"/>
          <w:szCs w:val="19"/>
        </w:rPr>
        <w:t> </w:t>
      </w:r>
      <w:r w:rsidRPr="00592DCD">
        <w:rPr>
          <w:rFonts w:cstheme="minorHAnsi"/>
          <w:szCs w:val="19"/>
        </w:rPr>
        <w:t xml:space="preserve">których zanotowano dodatnie saldo </w:t>
      </w:r>
      <w:r w:rsidR="00EE4563" w:rsidRPr="00592DCD">
        <w:rPr>
          <w:rFonts w:cstheme="minorHAnsi"/>
          <w:szCs w:val="19"/>
        </w:rPr>
        <w:t>usług</w:t>
      </w:r>
      <w:r w:rsidRPr="00592DCD">
        <w:rPr>
          <w:rFonts w:cstheme="minorHAnsi"/>
          <w:szCs w:val="19"/>
        </w:rPr>
        <w:t xml:space="preserve"> były: </w:t>
      </w:r>
      <w:r w:rsidRPr="00592DCD">
        <w:rPr>
          <w:rFonts w:cstheme="minorHAnsi"/>
          <w:i/>
          <w:szCs w:val="19"/>
        </w:rPr>
        <w:t>Reklama</w:t>
      </w:r>
      <w:r w:rsidRPr="00592DCD">
        <w:rPr>
          <w:rFonts w:cstheme="minorHAnsi"/>
          <w:szCs w:val="19"/>
        </w:rPr>
        <w:t xml:space="preserve"> (1 212,7 mln zł), </w:t>
      </w:r>
      <w:r w:rsidRPr="00592DCD">
        <w:rPr>
          <w:rFonts w:cstheme="minorHAnsi"/>
          <w:i/>
          <w:szCs w:val="19"/>
        </w:rPr>
        <w:t>Architektura</w:t>
      </w:r>
      <w:r w:rsidRPr="00592DCD">
        <w:rPr>
          <w:rFonts w:cstheme="minorHAnsi"/>
          <w:szCs w:val="19"/>
        </w:rPr>
        <w:t xml:space="preserve"> (95,2</w:t>
      </w:r>
      <w:r w:rsidR="00590015" w:rsidRPr="00592DCD">
        <w:rPr>
          <w:rFonts w:cstheme="minorHAnsi"/>
          <w:szCs w:val="19"/>
        </w:rPr>
        <w:t> </w:t>
      </w:r>
      <w:r w:rsidRPr="00592DCD">
        <w:rPr>
          <w:rFonts w:cstheme="minorHAnsi"/>
          <w:szCs w:val="19"/>
        </w:rPr>
        <w:t xml:space="preserve">mln zł) i </w:t>
      </w:r>
      <w:r w:rsidRPr="00592DCD">
        <w:rPr>
          <w:rFonts w:cstheme="minorHAnsi"/>
          <w:i/>
          <w:szCs w:val="19"/>
        </w:rPr>
        <w:t>Dziedzictwo kulturowe</w:t>
      </w:r>
      <w:r w:rsidRPr="00592DCD">
        <w:rPr>
          <w:rFonts w:cstheme="minorHAnsi"/>
          <w:szCs w:val="19"/>
        </w:rPr>
        <w:t xml:space="preserve"> (15,8 mln zł). Ujemne saldo usług zanotowano w dziedzinie </w:t>
      </w:r>
      <w:r w:rsidRPr="00592DCD">
        <w:rPr>
          <w:rFonts w:cstheme="minorHAnsi"/>
          <w:i/>
          <w:szCs w:val="19"/>
        </w:rPr>
        <w:t>Sztuki audiowizualne i multimedia</w:t>
      </w:r>
      <w:r w:rsidRPr="00592DCD">
        <w:rPr>
          <w:rFonts w:cstheme="minorHAnsi"/>
          <w:szCs w:val="19"/>
        </w:rPr>
        <w:t xml:space="preserve"> (-2 013,5 mln zł), gdzie import przewyższał eksport ponad 2,7 razy, </w:t>
      </w:r>
      <w:r w:rsidRPr="00592DCD">
        <w:rPr>
          <w:rFonts w:cstheme="minorHAnsi"/>
          <w:i/>
          <w:szCs w:val="19"/>
        </w:rPr>
        <w:t>Książki i prasa</w:t>
      </w:r>
      <w:r w:rsidRPr="00592DCD">
        <w:rPr>
          <w:rFonts w:cstheme="minorHAnsi"/>
          <w:szCs w:val="19"/>
        </w:rPr>
        <w:t xml:space="preserve"> (-69,6 mln zł) oraz </w:t>
      </w:r>
      <w:r w:rsidRPr="00592DCD">
        <w:rPr>
          <w:rFonts w:cstheme="minorHAnsi"/>
          <w:i/>
          <w:szCs w:val="19"/>
        </w:rPr>
        <w:t xml:space="preserve">Sztuki </w:t>
      </w:r>
      <w:proofErr w:type="spellStart"/>
      <w:r w:rsidRPr="00592DCD">
        <w:rPr>
          <w:rFonts w:cstheme="minorHAnsi"/>
          <w:i/>
          <w:szCs w:val="19"/>
        </w:rPr>
        <w:t>performatywne</w:t>
      </w:r>
      <w:proofErr w:type="spellEnd"/>
      <w:r w:rsidRPr="00592DCD">
        <w:rPr>
          <w:rFonts w:cstheme="minorHAnsi"/>
          <w:szCs w:val="19"/>
        </w:rPr>
        <w:t xml:space="preserve"> (-169,5 mln zł). Najwyższą wartość eksportu usług kulturalnych i kreatywnych odnotowano w dziedzinie </w:t>
      </w:r>
      <w:r w:rsidRPr="00592DCD">
        <w:rPr>
          <w:rFonts w:cstheme="minorHAnsi"/>
          <w:i/>
          <w:szCs w:val="19"/>
        </w:rPr>
        <w:t>Reklama</w:t>
      </w:r>
      <w:r w:rsidRPr="00592DCD">
        <w:rPr>
          <w:rFonts w:cstheme="minorHAnsi"/>
          <w:szCs w:val="19"/>
        </w:rPr>
        <w:t xml:space="preserve"> (10 835,7 mln zł), znacząco przewyższającą wartością eksportu kolejne dziedziny: </w:t>
      </w:r>
      <w:r w:rsidRPr="00592DCD">
        <w:rPr>
          <w:rFonts w:cstheme="minorHAnsi"/>
          <w:i/>
          <w:szCs w:val="19"/>
        </w:rPr>
        <w:t>Sztuki audiowizualne i multimedia</w:t>
      </w:r>
      <w:r w:rsidRPr="00592DCD">
        <w:rPr>
          <w:rFonts w:cstheme="minorHAnsi"/>
          <w:szCs w:val="19"/>
        </w:rPr>
        <w:t xml:space="preserve"> (1 163,9 mln zł) i </w:t>
      </w:r>
      <w:r w:rsidRPr="00592DCD">
        <w:rPr>
          <w:rFonts w:cstheme="minorHAnsi"/>
          <w:i/>
          <w:szCs w:val="19"/>
        </w:rPr>
        <w:t>Dziedzictwo kulturowe</w:t>
      </w:r>
      <w:r w:rsidRPr="00592DCD">
        <w:rPr>
          <w:rFonts w:cstheme="minorHAnsi"/>
          <w:szCs w:val="19"/>
        </w:rPr>
        <w:t xml:space="preserve"> (318,7 mln zł). Najwyższą wartość importu odnotowano w dziedzinie </w:t>
      </w:r>
      <w:r w:rsidRPr="00592DCD">
        <w:rPr>
          <w:rFonts w:cstheme="minorHAnsi"/>
          <w:i/>
          <w:szCs w:val="19"/>
        </w:rPr>
        <w:t>Reklama</w:t>
      </w:r>
      <w:r w:rsidRPr="00592DCD">
        <w:rPr>
          <w:rFonts w:cstheme="minorHAnsi"/>
          <w:szCs w:val="19"/>
        </w:rPr>
        <w:t xml:space="preserve"> (9 623,0 mln zł), </w:t>
      </w:r>
      <w:r w:rsidR="00590015" w:rsidRPr="00592DCD">
        <w:rPr>
          <w:rFonts w:cstheme="minorHAnsi"/>
          <w:szCs w:val="19"/>
        </w:rPr>
        <w:t>czyli znacznie więcej niż w dziedzinach</w:t>
      </w:r>
      <w:r w:rsidRPr="00592DCD">
        <w:rPr>
          <w:rFonts w:cstheme="minorHAnsi"/>
          <w:szCs w:val="19"/>
        </w:rPr>
        <w:t xml:space="preserve"> </w:t>
      </w:r>
      <w:r w:rsidRPr="00592DCD">
        <w:rPr>
          <w:rFonts w:cstheme="minorHAnsi"/>
          <w:i/>
          <w:szCs w:val="19"/>
        </w:rPr>
        <w:t>Sztuki audiowizualne i multimedia</w:t>
      </w:r>
      <w:r w:rsidRPr="00592DCD">
        <w:rPr>
          <w:rFonts w:cstheme="minorHAnsi"/>
          <w:szCs w:val="19"/>
        </w:rPr>
        <w:t xml:space="preserve"> (3 177,4 mln zł) oraz </w:t>
      </w:r>
      <w:r w:rsidRPr="00592DCD">
        <w:rPr>
          <w:rFonts w:cstheme="minorHAnsi"/>
          <w:i/>
          <w:szCs w:val="19"/>
        </w:rPr>
        <w:t>Książka i prasa</w:t>
      </w:r>
      <w:r w:rsidRPr="00592DCD">
        <w:rPr>
          <w:rFonts w:cstheme="minorHAnsi"/>
          <w:szCs w:val="19"/>
        </w:rPr>
        <w:t xml:space="preserve"> (705,8</w:t>
      </w:r>
      <w:r w:rsidR="00695A5C" w:rsidRPr="00592DCD">
        <w:rPr>
          <w:rFonts w:cstheme="minorHAnsi"/>
          <w:szCs w:val="19"/>
        </w:rPr>
        <w:t> </w:t>
      </w:r>
      <w:r w:rsidRPr="00592DCD">
        <w:rPr>
          <w:rFonts w:cstheme="minorHAnsi"/>
          <w:szCs w:val="19"/>
        </w:rPr>
        <w:t>mln zł).</w:t>
      </w:r>
    </w:p>
    <w:p w14:paraId="78A9089D" w14:textId="4C7C5DCC" w:rsidR="00485759" w:rsidRPr="00592DCD" w:rsidRDefault="00485759" w:rsidP="00936CE3">
      <w:pPr>
        <w:spacing w:line="288" w:lineRule="auto"/>
        <w:rPr>
          <w:rFonts w:cstheme="minorHAnsi"/>
          <w:szCs w:val="19"/>
        </w:rPr>
      </w:pPr>
      <w:r w:rsidRPr="00592DCD">
        <w:rPr>
          <w:rFonts w:cstheme="minorHAnsi"/>
          <w:szCs w:val="19"/>
        </w:rPr>
        <w:t xml:space="preserve">W strukturze handlu zagranicznego Polski obrót dobrami i usługami kulturalnymi i kreatywnymi odgrywał relatywnie niedużą rolę i w przeciągu ostatnich lat udział ten oscylował wokół tych samych wielkości. Udział </w:t>
      </w:r>
      <w:r w:rsidR="00BE383F" w:rsidRPr="00592DCD">
        <w:rPr>
          <w:rFonts w:cstheme="minorHAnsi"/>
          <w:szCs w:val="19"/>
        </w:rPr>
        <w:t>dóbr kulturalnych i kreatywnych</w:t>
      </w:r>
      <w:r w:rsidRPr="00592DCD">
        <w:rPr>
          <w:rFonts w:cstheme="minorHAnsi"/>
          <w:szCs w:val="19"/>
        </w:rPr>
        <w:t xml:space="preserve"> w eksporcie dóbr w 2021 r. wyniósł 1,4% (spadek o</w:t>
      </w:r>
      <w:r w:rsidR="00017EE0" w:rsidRPr="00592DCD">
        <w:rPr>
          <w:rFonts w:cstheme="minorHAnsi"/>
          <w:szCs w:val="19"/>
        </w:rPr>
        <w:t> </w:t>
      </w:r>
      <w:r w:rsidRPr="00592DCD">
        <w:rPr>
          <w:rFonts w:cstheme="minorHAnsi"/>
          <w:szCs w:val="19"/>
        </w:rPr>
        <w:t>0,2</w:t>
      </w:r>
      <w:r w:rsidR="00017EE0" w:rsidRPr="00592DCD">
        <w:rPr>
          <w:rFonts w:cstheme="minorHAnsi"/>
          <w:szCs w:val="19"/>
        </w:rPr>
        <w:t> </w:t>
      </w:r>
      <w:r w:rsidRPr="00592DCD">
        <w:rPr>
          <w:rFonts w:cstheme="minorHAnsi"/>
          <w:szCs w:val="19"/>
        </w:rPr>
        <w:t xml:space="preserve">p. proc.), natomiast w imporcie – 1,0% (spadek o 0,1 p. proc.). Udział </w:t>
      </w:r>
      <w:r w:rsidR="00BE383F" w:rsidRPr="00592DCD">
        <w:rPr>
          <w:rFonts w:cstheme="minorHAnsi"/>
          <w:szCs w:val="19"/>
        </w:rPr>
        <w:t xml:space="preserve">usług kulturalnych i kreatywnych </w:t>
      </w:r>
      <w:r w:rsidRPr="00592DCD">
        <w:rPr>
          <w:rFonts w:cstheme="minorHAnsi"/>
          <w:szCs w:val="19"/>
        </w:rPr>
        <w:t xml:space="preserve">w handlu usługami był nieco wyższy i wynosił odpowiednio 4,1% i 7,5% dla eksportu i importu (spadek udziału w eksporcie o 0,3 p. proc. i wzrost udział w imporcie o 0,2 p. proc.). </w:t>
      </w:r>
    </w:p>
    <w:p w14:paraId="0F2C06F8" w14:textId="67164230" w:rsidR="00485759" w:rsidRPr="00592DCD" w:rsidRDefault="00485759" w:rsidP="00936CE3">
      <w:pPr>
        <w:spacing w:line="288" w:lineRule="auto"/>
        <w:rPr>
          <w:rFonts w:cstheme="minorHAnsi"/>
          <w:szCs w:val="19"/>
        </w:rPr>
      </w:pPr>
      <w:r w:rsidRPr="00592DCD">
        <w:rPr>
          <w:rFonts w:cstheme="minorHAnsi"/>
          <w:szCs w:val="19"/>
        </w:rPr>
        <w:t xml:space="preserve">Odbiorcami polskich dóbr kulturalnych i kreatywnych były przede wszystkim kraje rozwinięte gospodarczo, szczególnie państwa należące do UE (88,9% wszystkich obrotów), w tym </w:t>
      </w:r>
      <w:r w:rsidR="00FE0121" w:rsidRPr="00592DCD">
        <w:rPr>
          <w:rFonts w:cstheme="minorHAnsi"/>
          <w:szCs w:val="19"/>
        </w:rPr>
        <w:t xml:space="preserve">do </w:t>
      </w:r>
      <w:r w:rsidRPr="00592DCD">
        <w:rPr>
          <w:rFonts w:cstheme="minorHAnsi"/>
          <w:szCs w:val="19"/>
        </w:rPr>
        <w:t>stref</w:t>
      </w:r>
      <w:r w:rsidR="00FE0121" w:rsidRPr="00592DCD">
        <w:rPr>
          <w:rFonts w:cstheme="minorHAnsi"/>
          <w:szCs w:val="19"/>
        </w:rPr>
        <w:t>y</w:t>
      </w:r>
      <w:r w:rsidRPr="00592DCD">
        <w:rPr>
          <w:rFonts w:cstheme="minorHAnsi"/>
          <w:szCs w:val="19"/>
        </w:rPr>
        <w:t xml:space="preserve"> euro (76,8% wszystkich obrotów). Podobnie sytuacja wyglądała w przypadku importu dóbr, gdzie główne obroty były realizowane z krajami rozwiniętymi, choć w mniejszym stopniu z UE (53,4%), czy samą strefą euro (49,6%). Struktura geograficzna handlu usługami kulturalnymi i</w:t>
      </w:r>
      <w:r w:rsidR="00590015" w:rsidRPr="00592DCD">
        <w:rPr>
          <w:rFonts w:cstheme="minorHAnsi"/>
          <w:szCs w:val="19"/>
        </w:rPr>
        <w:t> </w:t>
      </w:r>
      <w:r w:rsidRPr="00592DCD">
        <w:rPr>
          <w:rFonts w:cstheme="minorHAnsi"/>
          <w:szCs w:val="19"/>
        </w:rPr>
        <w:t xml:space="preserve">kreatywnymi była podobna. Większość usług była eksportowana i importowana do </w:t>
      </w:r>
      <w:r w:rsidRPr="00592DCD">
        <w:rPr>
          <w:rFonts w:cstheme="minorHAnsi"/>
          <w:szCs w:val="19"/>
        </w:rPr>
        <w:lastRenderedPageBreak/>
        <w:t>i</w:t>
      </w:r>
      <w:r w:rsidR="00805072" w:rsidRPr="00592DCD">
        <w:rPr>
          <w:rFonts w:cstheme="minorHAnsi"/>
          <w:szCs w:val="19"/>
        </w:rPr>
        <w:t> </w:t>
      </w:r>
      <w:r w:rsidRPr="00592DCD">
        <w:rPr>
          <w:rFonts w:cstheme="minorHAnsi"/>
          <w:szCs w:val="19"/>
        </w:rPr>
        <w:t>z krajów rozwiniętych gospodarczo (odpowiednio 94,7% i 95,6%), z czego połowa do i z krajów sfery euro.</w:t>
      </w:r>
    </w:p>
    <w:p w14:paraId="51E8D998" w14:textId="0AA89BAB" w:rsidR="006D4224" w:rsidRPr="00592DCD" w:rsidRDefault="00543DA2" w:rsidP="00936CE3">
      <w:pPr>
        <w:pStyle w:val="Tytutablicy"/>
        <w:ind w:left="851" w:hanging="851"/>
        <w:rPr>
          <w:rFonts w:cstheme="minorBidi"/>
          <w:szCs w:val="22"/>
        </w:rPr>
      </w:pPr>
      <w:r w:rsidRPr="00592DCD">
        <w:t xml:space="preserve">Tablica 2. </w:t>
      </w:r>
      <w:r w:rsidR="006D4224" w:rsidRPr="00592DCD">
        <w:t>Handel międzynarodowy dobrami i usługami kulturalnymi i kreatywnymi według dziedzin kultury w 2021 r.</w:t>
      </w:r>
    </w:p>
    <w:tbl>
      <w:tblPr>
        <w:tblStyle w:val="Siatkatabelijasna1"/>
        <w:tblW w:w="7797" w:type="dxa"/>
        <w:tblInd w:w="0" w:type="dxa"/>
        <w:tblBorders>
          <w:top w:val="single" w:sz="4" w:space="0" w:color="001D77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2" w:space="0" w:color="001D77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  <w:tblCaption w:val="Tablica 2 przedstawiająca handel międzynarodowy dobrami i usługami kulturalnymi i kreatywnymi według dziedzin kultury w 2021 r."/>
      </w:tblPr>
      <w:tblGrid>
        <w:gridCol w:w="2268"/>
        <w:gridCol w:w="1382"/>
        <w:gridCol w:w="1382"/>
        <w:gridCol w:w="1382"/>
        <w:gridCol w:w="1383"/>
      </w:tblGrid>
      <w:tr w:rsidR="006D4224" w:rsidRPr="00592DCD" w14:paraId="0C4C0566" w14:textId="77777777" w:rsidTr="005E1B75">
        <w:trPr>
          <w:trHeight w:val="57"/>
        </w:trPr>
        <w:tc>
          <w:tcPr>
            <w:tcW w:w="2268" w:type="dxa"/>
            <w:vMerge w:val="restart"/>
            <w:vAlign w:val="center"/>
            <w:hideMark/>
          </w:tcPr>
          <w:p w14:paraId="6CF0717C" w14:textId="504D7362" w:rsidR="006D4224" w:rsidRPr="00592DCD" w:rsidRDefault="00362A9B" w:rsidP="00362A9B">
            <w:pPr>
              <w:pStyle w:val="Tablicagwkarodek"/>
            </w:pPr>
            <w:r w:rsidRPr="00592DCD">
              <w:t>Wyszczególnienie</w:t>
            </w:r>
          </w:p>
        </w:tc>
        <w:tc>
          <w:tcPr>
            <w:tcW w:w="2764" w:type="dxa"/>
            <w:gridSpan w:val="2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53F30E3D" w14:textId="77777777" w:rsidR="00362A9B" w:rsidRPr="00592DCD" w:rsidRDefault="006D4224" w:rsidP="00362A9B">
            <w:pPr>
              <w:pStyle w:val="Tablicagwkarodek"/>
              <w:spacing w:after="0"/>
            </w:pPr>
            <w:r w:rsidRPr="00592DCD">
              <w:t xml:space="preserve">Dobra kulturalne </w:t>
            </w:r>
          </w:p>
          <w:p w14:paraId="5F3E9702" w14:textId="2E76277B" w:rsidR="006D4224" w:rsidRPr="00592DCD" w:rsidRDefault="006D4224" w:rsidP="00362A9B">
            <w:pPr>
              <w:pStyle w:val="Tablicagwkarodek"/>
              <w:spacing w:before="0"/>
            </w:pPr>
            <w:r w:rsidRPr="00592DCD">
              <w:t>i kreatywne</w:t>
            </w:r>
          </w:p>
        </w:tc>
        <w:tc>
          <w:tcPr>
            <w:tcW w:w="2765" w:type="dxa"/>
            <w:gridSpan w:val="2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338133A1" w14:textId="77777777" w:rsidR="00362A9B" w:rsidRPr="00592DCD" w:rsidRDefault="006D4224" w:rsidP="00362A9B">
            <w:pPr>
              <w:pStyle w:val="Tablicagwkarodek"/>
              <w:spacing w:after="0"/>
            </w:pPr>
            <w:r w:rsidRPr="00592DCD">
              <w:t xml:space="preserve">Usługi kulturalne </w:t>
            </w:r>
          </w:p>
          <w:p w14:paraId="7F341664" w14:textId="7EA67C14" w:rsidR="006D4224" w:rsidRPr="00592DCD" w:rsidRDefault="006D4224" w:rsidP="00362A9B">
            <w:pPr>
              <w:pStyle w:val="Tablicagwkarodek"/>
              <w:spacing w:before="0"/>
            </w:pPr>
            <w:r w:rsidRPr="00592DCD">
              <w:t>i kreatywne</w:t>
            </w:r>
          </w:p>
        </w:tc>
      </w:tr>
      <w:tr w:rsidR="006D4224" w:rsidRPr="00592DCD" w14:paraId="5A35D5EC" w14:textId="77777777" w:rsidTr="005E1B75">
        <w:trPr>
          <w:trHeight w:val="57"/>
        </w:trPr>
        <w:tc>
          <w:tcPr>
            <w:tcW w:w="2268" w:type="dxa"/>
            <w:vMerge/>
            <w:vAlign w:val="center"/>
            <w:hideMark/>
          </w:tcPr>
          <w:p w14:paraId="5B77D253" w14:textId="77777777" w:rsidR="006D4224" w:rsidRPr="00592DCD" w:rsidRDefault="006D4224">
            <w:pPr>
              <w:spacing w:before="0" w:after="0" w:line="240" w:lineRule="auto"/>
              <w:rPr>
                <w:rFonts w:eastAsia="Times New Roman" w:cs="Arial"/>
                <w:bCs/>
                <w:color w:val="000000" w:themeColor="text1"/>
                <w:szCs w:val="19"/>
              </w:rPr>
            </w:pP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1ECCA3CE" w14:textId="77777777" w:rsidR="006D4224" w:rsidRPr="00592DCD" w:rsidRDefault="006D4224" w:rsidP="00362A9B">
            <w:pPr>
              <w:pStyle w:val="Tablicagwkarodek"/>
            </w:pPr>
            <w:r w:rsidRPr="00592DCD">
              <w:t>eksport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2BB4CDA9" w14:textId="77777777" w:rsidR="006D4224" w:rsidRPr="00592DCD" w:rsidRDefault="006D4224" w:rsidP="00362A9B">
            <w:pPr>
              <w:pStyle w:val="Tablicagwkarodek"/>
            </w:pPr>
            <w:r w:rsidRPr="00592DCD">
              <w:t>import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52428C3C" w14:textId="77777777" w:rsidR="006D4224" w:rsidRPr="00592DCD" w:rsidRDefault="006D4224" w:rsidP="00362A9B">
            <w:pPr>
              <w:pStyle w:val="Tablicagwkarodek"/>
            </w:pPr>
            <w:r w:rsidRPr="00592DCD">
              <w:t>eksport</w:t>
            </w:r>
          </w:p>
        </w:tc>
        <w:tc>
          <w:tcPr>
            <w:tcW w:w="1383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5E0AAA58" w14:textId="77777777" w:rsidR="006D4224" w:rsidRPr="00592DCD" w:rsidRDefault="006D4224" w:rsidP="00362A9B">
            <w:pPr>
              <w:pStyle w:val="Tablicagwkarodek"/>
            </w:pPr>
            <w:r w:rsidRPr="00592DCD">
              <w:t>import</w:t>
            </w:r>
          </w:p>
        </w:tc>
      </w:tr>
      <w:tr w:rsidR="00362A9B" w:rsidRPr="00592DCD" w14:paraId="0D4F3A05" w14:textId="77777777" w:rsidTr="005E1B75">
        <w:trPr>
          <w:trHeight w:val="258"/>
        </w:trPr>
        <w:tc>
          <w:tcPr>
            <w:tcW w:w="2268" w:type="dxa"/>
            <w:vMerge/>
            <w:vAlign w:val="center"/>
            <w:hideMark/>
          </w:tcPr>
          <w:p w14:paraId="5E5CA469" w14:textId="77777777" w:rsidR="00362A9B" w:rsidRPr="00592DCD" w:rsidRDefault="00362A9B">
            <w:pPr>
              <w:spacing w:before="0" w:after="0" w:line="240" w:lineRule="auto"/>
              <w:rPr>
                <w:rFonts w:eastAsia="Times New Roman" w:cs="Arial"/>
                <w:bCs/>
                <w:color w:val="000000" w:themeColor="text1"/>
                <w:szCs w:val="19"/>
              </w:rPr>
            </w:pPr>
          </w:p>
        </w:tc>
        <w:tc>
          <w:tcPr>
            <w:tcW w:w="5529" w:type="dxa"/>
            <w:gridSpan w:val="4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231C3CA5" w14:textId="79A113CA" w:rsidR="00362A9B" w:rsidRPr="00592DCD" w:rsidRDefault="00362A9B" w:rsidP="00362A9B">
            <w:pPr>
              <w:pStyle w:val="Tablicagwkarodek"/>
            </w:pPr>
            <w:r w:rsidRPr="00592DCD">
              <w:t>w mln zł</w:t>
            </w:r>
          </w:p>
        </w:tc>
      </w:tr>
      <w:tr w:rsidR="006D4224" w:rsidRPr="00592DCD" w14:paraId="487674E0" w14:textId="77777777" w:rsidTr="005E1B75">
        <w:trPr>
          <w:trHeight w:val="227"/>
        </w:trPr>
        <w:tc>
          <w:tcPr>
            <w:tcW w:w="2268" w:type="dxa"/>
            <w:vAlign w:val="center"/>
            <w:hideMark/>
          </w:tcPr>
          <w:p w14:paraId="33718E82" w14:textId="56CB0798" w:rsidR="006D4224" w:rsidRPr="00592DCD" w:rsidRDefault="00362A9B">
            <w:pPr>
              <w:pStyle w:val="Nagwek5"/>
              <w:tabs>
                <w:tab w:val="right" w:leader="dot" w:pos="4156"/>
              </w:tabs>
              <w:spacing w:before="0" w:line="240" w:lineRule="auto"/>
              <w:contextualSpacing/>
              <w:outlineLvl w:val="4"/>
              <w:rPr>
                <w:rFonts w:ascii="Fira Sans" w:hAnsi="Fira Sans"/>
                <w:color w:val="000000" w:themeColor="text1"/>
                <w:szCs w:val="19"/>
              </w:rPr>
            </w:pPr>
            <w:r w:rsidRPr="00592DCD">
              <w:rPr>
                <w:rFonts w:ascii="Fira Sans" w:eastAsia="Times New Roman" w:hAnsi="Fira Sans" w:cs="Fira Sans"/>
                <w:b/>
                <w:color w:val="auto"/>
                <w:spacing w:val="-1"/>
                <w:szCs w:val="19"/>
                <w:lang w:eastAsia="pl-PL"/>
              </w:rPr>
              <w:t>Ogółem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2674F003" w14:textId="1BE435CD" w:rsidR="006D4224" w:rsidRPr="00592DCD" w:rsidRDefault="006D4224" w:rsidP="00B62D0B">
            <w:pPr>
              <w:spacing w:before="0" w:after="0" w:line="240" w:lineRule="auto"/>
              <w:jc w:val="right"/>
              <w:rPr>
                <w:b/>
                <w:szCs w:val="19"/>
              </w:rPr>
            </w:pPr>
            <w:r w:rsidRPr="00592DCD">
              <w:rPr>
                <w:rFonts w:cs="Arial"/>
                <w:b/>
                <w:bCs/>
                <w:color w:val="000000"/>
                <w:szCs w:val="19"/>
              </w:rPr>
              <w:t>18 055,</w:t>
            </w:r>
            <w:r w:rsidR="00B62D0B" w:rsidRPr="00592DCD">
              <w:rPr>
                <w:rFonts w:cs="Arial"/>
                <w:b/>
                <w:bCs/>
                <w:color w:val="000000"/>
                <w:szCs w:val="19"/>
              </w:rPr>
              <w:t>6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6F28744F" w14:textId="77777777" w:rsidR="006D4224" w:rsidRPr="00592DCD" w:rsidRDefault="006D4224">
            <w:pPr>
              <w:spacing w:before="0" w:after="0" w:line="240" w:lineRule="auto"/>
              <w:jc w:val="right"/>
              <w:rPr>
                <w:b/>
                <w:szCs w:val="19"/>
              </w:rPr>
            </w:pPr>
            <w:r w:rsidRPr="00592DCD">
              <w:rPr>
                <w:rFonts w:cs="Arial"/>
                <w:b/>
                <w:bCs/>
                <w:color w:val="000000"/>
                <w:szCs w:val="19"/>
              </w:rPr>
              <w:t>12 593,8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7E02F700" w14:textId="77777777" w:rsidR="006D4224" w:rsidRPr="00592DCD" w:rsidRDefault="006D4224">
            <w:pPr>
              <w:spacing w:before="0" w:after="0" w:line="240" w:lineRule="auto"/>
              <w:jc w:val="right"/>
              <w:rPr>
                <w:b/>
                <w:szCs w:val="19"/>
              </w:rPr>
            </w:pPr>
            <w:r w:rsidRPr="00592DCD">
              <w:rPr>
                <w:rFonts w:cs="Arial"/>
                <w:b/>
                <w:bCs/>
                <w:color w:val="000000"/>
                <w:szCs w:val="19"/>
              </w:rPr>
              <w:t>12 855,3</w:t>
            </w:r>
          </w:p>
        </w:tc>
        <w:tc>
          <w:tcPr>
            <w:tcW w:w="1383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52CAC864" w14:textId="1CF0CC1F" w:rsidR="006D4224" w:rsidRPr="00592DCD" w:rsidRDefault="006D4224">
            <w:pPr>
              <w:spacing w:before="0" w:after="0" w:line="240" w:lineRule="auto"/>
              <w:jc w:val="right"/>
              <w:rPr>
                <w:b/>
                <w:szCs w:val="19"/>
              </w:rPr>
            </w:pPr>
            <w:r w:rsidRPr="00592DCD">
              <w:rPr>
                <w:b/>
                <w:bCs/>
                <w:color w:val="000000"/>
                <w:szCs w:val="19"/>
              </w:rPr>
              <w:t>14 284,</w:t>
            </w:r>
            <w:r w:rsidR="00C14F50" w:rsidRPr="00592DCD">
              <w:rPr>
                <w:b/>
                <w:bCs/>
                <w:color w:val="000000"/>
                <w:szCs w:val="19"/>
              </w:rPr>
              <w:t>3</w:t>
            </w:r>
          </w:p>
        </w:tc>
      </w:tr>
      <w:tr w:rsidR="006D4224" w:rsidRPr="00592DCD" w14:paraId="3832374B" w14:textId="77777777" w:rsidTr="005E1B75">
        <w:trPr>
          <w:trHeight w:val="227"/>
        </w:trPr>
        <w:tc>
          <w:tcPr>
            <w:tcW w:w="2268" w:type="dxa"/>
            <w:vAlign w:val="center"/>
            <w:hideMark/>
          </w:tcPr>
          <w:p w14:paraId="036E9955" w14:textId="77777777" w:rsidR="006D4224" w:rsidRPr="00592DCD" w:rsidRDefault="006D4224" w:rsidP="00362A9B">
            <w:pPr>
              <w:pStyle w:val="Tablicaboczek"/>
              <w:rPr>
                <w:rFonts w:cs="Fira Sans"/>
                <w:spacing w:val="-1"/>
              </w:rPr>
            </w:pPr>
            <w:r w:rsidRPr="00592DCD">
              <w:rPr>
                <w:rFonts w:cs="Fira Sans"/>
                <w:spacing w:val="-1"/>
              </w:rPr>
              <w:t>Dziedzictwo kulturowe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44FD1131" w14:textId="77777777" w:rsidR="006D4224" w:rsidRPr="00592DCD" w:rsidRDefault="006D4224" w:rsidP="002E386D">
            <w:pPr>
              <w:pStyle w:val="Tablicadanerodek"/>
            </w:pPr>
            <w:r w:rsidRPr="00592DCD">
              <w:t>57,8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3B89714C" w14:textId="77777777" w:rsidR="006D4224" w:rsidRPr="00592DCD" w:rsidRDefault="006D4224" w:rsidP="002E386D">
            <w:pPr>
              <w:pStyle w:val="Tablicadanerodek"/>
            </w:pPr>
            <w:r w:rsidRPr="00592DCD">
              <w:t>286,5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22CC4B0D" w14:textId="77777777" w:rsidR="006D4224" w:rsidRPr="00592DCD" w:rsidRDefault="006D4224" w:rsidP="002E386D">
            <w:pPr>
              <w:pStyle w:val="Tablicadanerodek"/>
            </w:pPr>
            <w:r w:rsidRPr="00592DCD">
              <w:t>318,7</w:t>
            </w:r>
          </w:p>
        </w:tc>
        <w:tc>
          <w:tcPr>
            <w:tcW w:w="1383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1267EE6B" w14:textId="77777777" w:rsidR="006D4224" w:rsidRPr="00592DCD" w:rsidRDefault="006D4224" w:rsidP="002E386D">
            <w:pPr>
              <w:pStyle w:val="Tablicadanerodek"/>
            </w:pPr>
            <w:r w:rsidRPr="00592DCD">
              <w:t>303,0</w:t>
            </w:r>
          </w:p>
        </w:tc>
      </w:tr>
      <w:tr w:rsidR="006D4224" w:rsidRPr="00592DCD" w14:paraId="44851D55" w14:textId="77777777" w:rsidTr="005E1B75">
        <w:trPr>
          <w:trHeight w:val="227"/>
        </w:trPr>
        <w:tc>
          <w:tcPr>
            <w:tcW w:w="2268" w:type="dxa"/>
            <w:vAlign w:val="center"/>
            <w:hideMark/>
          </w:tcPr>
          <w:p w14:paraId="79800977" w14:textId="77777777" w:rsidR="006D4224" w:rsidRPr="00592DCD" w:rsidRDefault="006D4224" w:rsidP="00362A9B">
            <w:pPr>
              <w:pStyle w:val="Tablicaboczek"/>
              <w:rPr>
                <w:rFonts w:cs="Fira Sans"/>
                <w:spacing w:val="-1"/>
              </w:rPr>
            </w:pPr>
            <w:r w:rsidRPr="00592DCD">
              <w:rPr>
                <w:rFonts w:cs="Fira Sans"/>
                <w:spacing w:val="-1"/>
              </w:rPr>
              <w:t>Książki i prasa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3FF81689" w14:textId="77777777" w:rsidR="006D4224" w:rsidRPr="00592DCD" w:rsidRDefault="006D4224" w:rsidP="002E386D">
            <w:pPr>
              <w:pStyle w:val="Tablicadanerodek"/>
            </w:pPr>
            <w:r w:rsidRPr="00592DCD">
              <w:t>8 136,5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2B856CCC" w14:textId="77777777" w:rsidR="006D4224" w:rsidRPr="00592DCD" w:rsidRDefault="006D4224" w:rsidP="002E386D">
            <w:pPr>
              <w:pStyle w:val="Tablicadanerodek"/>
            </w:pPr>
            <w:r w:rsidRPr="00592DCD">
              <w:t>3 143,6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38AB9E95" w14:textId="77777777" w:rsidR="006D4224" w:rsidRPr="00592DCD" w:rsidRDefault="006D4224" w:rsidP="002E386D">
            <w:pPr>
              <w:pStyle w:val="Tablicadanerodek"/>
            </w:pPr>
            <w:r w:rsidRPr="00592DCD">
              <w:t>136,1</w:t>
            </w:r>
          </w:p>
        </w:tc>
        <w:tc>
          <w:tcPr>
            <w:tcW w:w="1383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2AEF971E" w14:textId="77777777" w:rsidR="006D4224" w:rsidRPr="00592DCD" w:rsidRDefault="006D4224" w:rsidP="002E386D">
            <w:pPr>
              <w:pStyle w:val="Tablicadanerodek"/>
            </w:pPr>
            <w:r w:rsidRPr="00592DCD">
              <w:t>705,8</w:t>
            </w:r>
          </w:p>
        </w:tc>
      </w:tr>
      <w:tr w:rsidR="006D4224" w:rsidRPr="00592DCD" w14:paraId="4119A169" w14:textId="77777777" w:rsidTr="005E1B75">
        <w:trPr>
          <w:trHeight w:val="227"/>
        </w:trPr>
        <w:tc>
          <w:tcPr>
            <w:tcW w:w="2268" w:type="dxa"/>
            <w:vAlign w:val="center"/>
            <w:hideMark/>
          </w:tcPr>
          <w:p w14:paraId="41C33200" w14:textId="77777777" w:rsidR="006D4224" w:rsidRPr="00592DCD" w:rsidRDefault="006D4224" w:rsidP="00362A9B">
            <w:pPr>
              <w:pStyle w:val="Tablicaboczek"/>
              <w:rPr>
                <w:rFonts w:cs="Fira Sans"/>
                <w:spacing w:val="-1"/>
              </w:rPr>
            </w:pPr>
            <w:r w:rsidRPr="00592DCD">
              <w:rPr>
                <w:rFonts w:cs="Fira Sans"/>
                <w:spacing w:val="-1"/>
              </w:rPr>
              <w:t>Sztuki wizualne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786207F5" w14:textId="77777777" w:rsidR="006D4224" w:rsidRPr="00592DCD" w:rsidRDefault="006D4224" w:rsidP="002E386D">
            <w:pPr>
              <w:pStyle w:val="Tablicadanerodek"/>
            </w:pPr>
            <w:r w:rsidRPr="00592DCD">
              <w:t>312,4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63D839AA" w14:textId="77777777" w:rsidR="006D4224" w:rsidRPr="00592DCD" w:rsidRDefault="006D4224" w:rsidP="002E386D">
            <w:pPr>
              <w:pStyle w:val="Tablicadanerodek"/>
            </w:pPr>
            <w:r w:rsidRPr="00592DCD">
              <w:t>186,9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79290BBE" w14:textId="77777777" w:rsidR="006D4224" w:rsidRPr="00592DCD" w:rsidRDefault="006D4224" w:rsidP="002E386D">
            <w:pPr>
              <w:pStyle w:val="Tablicadanerodek"/>
            </w:pPr>
            <w:r w:rsidRPr="00592DCD">
              <w:t>–</w:t>
            </w:r>
          </w:p>
        </w:tc>
        <w:tc>
          <w:tcPr>
            <w:tcW w:w="1383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36B461D3" w14:textId="77777777" w:rsidR="006D4224" w:rsidRPr="00592DCD" w:rsidRDefault="006D4224" w:rsidP="002E386D">
            <w:pPr>
              <w:pStyle w:val="Tablicadanerodek"/>
            </w:pPr>
            <w:r w:rsidRPr="00592DCD">
              <w:t>–</w:t>
            </w:r>
          </w:p>
        </w:tc>
      </w:tr>
      <w:tr w:rsidR="006D4224" w:rsidRPr="00592DCD" w14:paraId="4388F84E" w14:textId="77777777" w:rsidTr="005E1B75">
        <w:trPr>
          <w:trHeight w:val="227"/>
        </w:trPr>
        <w:tc>
          <w:tcPr>
            <w:tcW w:w="2268" w:type="dxa"/>
            <w:vAlign w:val="center"/>
            <w:hideMark/>
          </w:tcPr>
          <w:p w14:paraId="0F52171C" w14:textId="77777777" w:rsidR="006D4224" w:rsidRPr="00592DCD" w:rsidRDefault="006D4224" w:rsidP="00362A9B">
            <w:pPr>
              <w:pStyle w:val="Tablicaboczek"/>
              <w:rPr>
                <w:rFonts w:cs="Fira Sans"/>
                <w:spacing w:val="-1"/>
              </w:rPr>
            </w:pPr>
            <w:r w:rsidRPr="00592DCD">
              <w:rPr>
                <w:rFonts w:cs="Fira Sans"/>
                <w:spacing w:val="-1"/>
              </w:rPr>
              <w:t>Architektura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5B4D381B" w14:textId="77777777" w:rsidR="006D4224" w:rsidRPr="00592DCD" w:rsidRDefault="006D4224" w:rsidP="002E386D">
            <w:pPr>
              <w:pStyle w:val="Tablicadanerodek"/>
            </w:pPr>
            <w:r w:rsidRPr="00592DCD">
              <w:t>2,2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3C6E40B8" w14:textId="77777777" w:rsidR="006D4224" w:rsidRPr="00592DCD" w:rsidRDefault="006D4224" w:rsidP="002E386D">
            <w:pPr>
              <w:pStyle w:val="Tablicadanerodek"/>
            </w:pPr>
            <w:r w:rsidRPr="00592DCD">
              <w:t>8,7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6CB5B5AC" w14:textId="77777777" w:rsidR="006D4224" w:rsidRPr="00592DCD" w:rsidRDefault="006D4224" w:rsidP="002E386D">
            <w:pPr>
              <w:pStyle w:val="Tablicadanerodek"/>
            </w:pPr>
            <w:r w:rsidRPr="00592DCD">
              <w:t>238,9</w:t>
            </w:r>
          </w:p>
        </w:tc>
        <w:tc>
          <w:tcPr>
            <w:tcW w:w="1383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120777BB" w14:textId="77777777" w:rsidR="006D4224" w:rsidRPr="00592DCD" w:rsidRDefault="006D4224" w:rsidP="002E386D">
            <w:pPr>
              <w:pStyle w:val="Tablicadanerodek"/>
            </w:pPr>
            <w:r w:rsidRPr="00592DCD">
              <w:t>143,7</w:t>
            </w:r>
          </w:p>
        </w:tc>
      </w:tr>
      <w:tr w:rsidR="006D4224" w:rsidRPr="00592DCD" w14:paraId="34D88EBC" w14:textId="77777777" w:rsidTr="005E1B75">
        <w:trPr>
          <w:trHeight w:val="227"/>
        </w:trPr>
        <w:tc>
          <w:tcPr>
            <w:tcW w:w="2268" w:type="dxa"/>
            <w:vAlign w:val="center"/>
            <w:hideMark/>
          </w:tcPr>
          <w:p w14:paraId="78AAAB17" w14:textId="77777777" w:rsidR="006D4224" w:rsidRPr="00592DCD" w:rsidRDefault="006D4224" w:rsidP="00362A9B">
            <w:pPr>
              <w:pStyle w:val="Tablicaboczek"/>
              <w:rPr>
                <w:rFonts w:cs="Fira Sans"/>
                <w:spacing w:val="-1"/>
              </w:rPr>
            </w:pPr>
            <w:r w:rsidRPr="00592DCD">
              <w:rPr>
                <w:rFonts w:cs="Fira Sans"/>
                <w:spacing w:val="-1"/>
              </w:rPr>
              <w:t xml:space="preserve">Sztuki </w:t>
            </w:r>
            <w:proofErr w:type="spellStart"/>
            <w:r w:rsidRPr="00592DCD">
              <w:rPr>
                <w:rFonts w:cs="Fira Sans"/>
                <w:spacing w:val="-1"/>
              </w:rPr>
              <w:t>performatywne</w:t>
            </w:r>
            <w:proofErr w:type="spellEnd"/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46727AA1" w14:textId="77777777" w:rsidR="006D4224" w:rsidRPr="00592DCD" w:rsidRDefault="006D4224" w:rsidP="002E386D">
            <w:pPr>
              <w:pStyle w:val="Tablicadanerodek"/>
            </w:pPr>
            <w:r w:rsidRPr="00592DCD">
              <w:t>241,6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30D75445" w14:textId="77777777" w:rsidR="006D4224" w:rsidRPr="00592DCD" w:rsidRDefault="006D4224" w:rsidP="002E386D">
            <w:pPr>
              <w:pStyle w:val="Tablicadanerodek"/>
            </w:pPr>
            <w:r w:rsidRPr="00592DCD">
              <w:t>363,4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4FC8B67A" w14:textId="77777777" w:rsidR="006D4224" w:rsidRPr="00592DCD" w:rsidRDefault="006D4224" w:rsidP="002E386D">
            <w:pPr>
              <w:pStyle w:val="Tablicadanerodek"/>
            </w:pPr>
            <w:r w:rsidRPr="00592DCD">
              <w:t>162,0</w:t>
            </w:r>
          </w:p>
        </w:tc>
        <w:tc>
          <w:tcPr>
            <w:tcW w:w="1383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620D573C" w14:textId="77777777" w:rsidR="006D4224" w:rsidRPr="00592DCD" w:rsidRDefault="006D4224" w:rsidP="002E386D">
            <w:pPr>
              <w:pStyle w:val="Tablicadanerodek"/>
            </w:pPr>
            <w:r w:rsidRPr="00592DCD">
              <w:t>331,5</w:t>
            </w:r>
          </w:p>
        </w:tc>
      </w:tr>
      <w:tr w:rsidR="006D4224" w:rsidRPr="00592DCD" w14:paraId="7034E3E6" w14:textId="77777777" w:rsidTr="005E1B75">
        <w:trPr>
          <w:trHeight w:val="227"/>
        </w:trPr>
        <w:tc>
          <w:tcPr>
            <w:tcW w:w="2268" w:type="dxa"/>
            <w:vAlign w:val="center"/>
            <w:hideMark/>
          </w:tcPr>
          <w:p w14:paraId="72E89863" w14:textId="77777777" w:rsidR="006D4224" w:rsidRPr="00592DCD" w:rsidRDefault="006D4224" w:rsidP="00362A9B">
            <w:pPr>
              <w:pStyle w:val="Tablicaboczek"/>
              <w:rPr>
                <w:rFonts w:cs="Fira Sans"/>
                <w:spacing w:val="-1"/>
              </w:rPr>
            </w:pPr>
            <w:r w:rsidRPr="00592DCD">
              <w:rPr>
                <w:rFonts w:cs="Fira Sans"/>
                <w:spacing w:val="-1"/>
              </w:rPr>
              <w:t>Sztuki audiowizualne i multimedia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602B02DA" w14:textId="77777777" w:rsidR="006D4224" w:rsidRPr="00592DCD" w:rsidRDefault="006D4224" w:rsidP="002E386D">
            <w:pPr>
              <w:pStyle w:val="Tablicadanerodek"/>
            </w:pPr>
            <w:r w:rsidRPr="00592DCD">
              <w:t>7 986,1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6D194CD2" w14:textId="77777777" w:rsidR="006D4224" w:rsidRPr="00592DCD" w:rsidRDefault="006D4224" w:rsidP="002E386D">
            <w:pPr>
              <w:pStyle w:val="Tablicadanerodek"/>
            </w:pPr>
            <w:r w:rsidRPr="00592DCD">
              <w:t>8 360,8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7EA4F624" w14:textId="77777777" w:rsidR="006D4224" w:rsidRPr="00592DCD" w:rsidRDefault="006D4224" w:rsidP="002E386D">
            <w:pPr>
              <w:pStyle w:val="Tablicadanerodek"/>
            </w:pPr>
            <w:r w:rsidRPr="00592DCD">
              <w:t>1 163,9</w:t>
            </w:r>
          </w:p>
        </w:tc>
        <w:tc>
          <w:tcPr>
            <w:tcW w:w="1383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1983CBFA" w14:textId="77777777" w:rsidR="006D4224" w:rsidRPr="00592DCD" w:rsidRDefault="006D4224" w:rsidP="002E386D">
            <w:pPr>
              <w:pStyle w:val="Tablicadanerodek"/>
            </w:pPr>
            <w:r w:rsidRPr="00592DCD">
              <w:t>3 177,4</w:t>
            </w:r>
          </w:p>
        </w:tc>
      </w:tr>
      <w:tr w:rsidR="006D4224" w:rsidRPr="00592DCD" w14:paraId="52733449" w14:textId="77777777" w:rsidTr="005E1B75">
        <w:trPr>
          <w:trHeight w:val="227"/>
        </w:trPr>
        <w:tc>
          <w:tcPr>
            <w:tcW w:w="2268" w:type="dxa"/>
            <w:vAlign w:val="center"/>
            <w:hideMark/>
          </w:tcPr>
          <w:p w14:paraId="3817E398" w14:textId="77777777" w:rsidR="006D4224" w:rsidRPr="00592DCD" w:rsidRDefault="006D4224" w:rsidP="00362A9B">
            <w:pPr>
              <w:pStyle w:val="Tablicaboczek"/>
              <w:rPr>
                <w:rFonts w:cs="Fira Sans"/>
                <w:spacing w:val="-1"/>
              </w:rPr>
            </w:pPr>
            <w:r w:rsidRPr="00592DCD">
              <w:rPr>
                <w:rFonts w:cs="Fira Sans"/>
                <w:spacing w:val="-1"/>
              </w:rPr>
              <w:t>Reklama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07830D92" w14:textId="77777777" w:rsidR="006D4224" w:rsidRPr="00592DCD" w:rsidRDefault="006D4224" w:rsidP="002E386D">
            <w:pPr>
              <w:pStyle w:val="Tablicadanerodek"/>
            </w:pPr>
            <w:r w:rsidRPr="00592DCD">
              <w:t>1 318,3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49AC5B3A" w14:textId="77777777" w:rsidR="006D4224" w:rsidRPr="00592DCD" w:rsidRDefault="006D4224" w:rsidP="002E386D">
            <w:pPr>
              <w:pStyle w:val="Tablicadanerodek"/>
            </w:pPr>
            <w:r w:rsidRPr="00592DCD">
              <w:t>241,1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74349AF5" w14:textId="77777777" w:rsidR="006D4224" w:rsidRPr="00592DCD" w:rsidRDefault="006D4224" w:rsidP="002E386D">
            <w:pPr>
              <w:pStyle w:val="Tablicadanerodek"/>
            </w:pPr>
            <w:r w:rsidRPr="00592DCD">
              <w:t>10 835,7</w:t>
            </w:r>
          </w:p>
        </w:tc>
        <w:tc>
          <w:tcPr>
            <w:tcW w:w="1383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21298F82" w14:textId="77777777" w:rsidR="006D4224" w:rsidRPr="00592DCD" w:rsidRDefault="006D4224" w:rsidP="002E386D">
            <w:pPr>
              <w:pStyle w:val="Tablicadanerodek"/>
            </w:pPr>
            <w:r w:rsidRPr="00592DCD">
              <w:t>9 623,0</w:t>
            </w:r>
          </w:p>
        </w:tc>
      </w:tr>
      <w:tr w:rsidR="006D4224" w:rsidRPr="00592DCD" w14:paraId="7311B920" w14:textId="77777777" w:rsidTr="005E1B75">
        <w:trPr>
          <w:trHeight w:val="227"/>
        </w:trPr>
        <w:tc>
          <w:tcPr>
            <w:tcW w:w="2268" w:type="dxa"/>
            <w:vAlign w:val="center"/>
            <w:hideMark/>
          </w:tcPr>
          <w:p w14:paraId="28A9A7FE" w14:textId="77777777" w:rsidR="006D4224" w:rsidRPr="00592DCD" w:rsidRDefault="006D4224" w:rsidP="00362A9B">
            <w:pPr>
              <w:pStyle w:val="Tablicaboczek"/>
              <w:rPr>
                <w:rFonts w:cs="Fira Sans"/>
                <w:spacing w:val="-1"/>
              </w:rPr>
            </w:pPr>
            <w:r w:rsidRPr="00592DCD">
              <w:rPr>
                <w:rFonts w:cs="Fira Sans"/>
                <w:spacing w:val="-1"/>
              </w:rPr>
              <w:t>Rękodzieło artystyczne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0F9E7C17" w14:textId="77777777" w:rsidR="006D4224" w:rsidRPr="00592DCD" w:rsidRDefault="006D4224" w:rsidP="002E386D">
            <w:pPr>
              <w:pStyle w:val="Tablicadanerodek"/>
            </w:pPr>
            <w:r w:rsidRPr="00592DCD">
              <w:t>0,8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4E0B3667" w14:textId="77777777" w:rsidR="006D4224" w:rsidRPr="00592DCD" w:rsidRDefault="006D4224" w:rsidP="002E386D">
            <w:pPr>
              <w:pStyle w:val="Tablicadanerodek"/>
            </w:pPr>
            <w:r w:rsidRPr="00592DCD">
              <w:t>2,8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1F32E22A" w14:textId="77777777" w:rsidR="006D4224" w:rsidRPr="00592DCD" w:rsidRDefault="006D4224" w:rsidP="002E386D">
            <w:pPr>
              <w:pStyle w:val="Tablicadanerodek"/>
            </w:pPr>
            <w:r w:rsidRPr="00592DCD">
              <w:t>–</w:t>
            </w:r>
          </w:p>
        </w:tc>
        <w:tc>
          <w:tcPr>
            <w:tcW w:w="1383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7E1B2970" w14:textId="77777777" w:rsidR="006D4224" w:rsidRPr="00592DCD" w:rsidRDefault="006D4224" w:rsidP="002E386D">
            <w:pPr>
              <w:pStyle w:val="Tablicadanerodek"/>
            </w:pPr>
            <w:r w:rsidRPr="00592DCD">
              <w:t>–</w:t>
            </w:r>
          </w:p>
        </w:tc>
      </w:tr>
    </w:tbl>
    <w:p w14:paraId="1D25F948" w14:textId="730F0A40" w:rsidR="00627887" w:rsidRPr="00592DCD" w:rsidRDefault="00627887" w:rsidP="00774668">
      <w:pPr>
        <w:spacing w:before="4560" w:after="0" w:line="288" w:lineRule="auto"/>
        <w:rPr>
          <w:sz w:val="18"/>
        </w:rPr>
        <w:sectPr w:rsidR="00627887" w:rsidRPr="00592DCD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592DCD">
        <w:rPr>
          <w:shd w:val="clear" w:color="auto" w:fill="FFFFFF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  <w:tblCaption w:val="headings"/>
      </w:tblPr>
      <w:tblGrid>
        <w:gridCol w:w="4926"/>
        <w:gridCol w:w="4927"/>
      </w:tblGrid>
      <w:tr w:rsidR="00863791" w:rsidRPr="00592DCD" w14:paraId="58BEDCB7" w14:textId="77777777" w:rsidTr="005E1B75">
        <w:trPr>
          <w:cantSplit/>
          <w:trHeight w:val="1626"/>
        </w:trPr>
        <w:tc>
          <w:tcPr>
            <w:tcW w:w="4926" w:type="dxa"/>
          </w:tcPr>
          <w:p w14:paraId="3CED53C5" w14:textId="77777777" w:rsidR="00863791" w:rsidRPr="00592DCD" w:rsidRDefault="00863791" w:rsidP="00412D3F">
            <w:pPr>
              <w:spacing w:before="0"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592DCD">
              <w:rPr>
                <w:rFonts w:cs="Arial"/>
                <w:sz w:val="20"/>
              </w:rPr>
              <w:lastRenderedPageBreak/>
              <w:t xml:space="preserve">Opracowanie merytoryczne: </w:t>
            </w:r>
            <w:r w:rsidRPr="00592DCD">
              <w:rPr>
                <w:rFonts w:cs="Arial"/>
                <w:sz w:val="20"/>
              </w:rPr>
              <w:br/>
            </w:r>
            <w:r w:rsidRPr="00592DCD">
              <w:rPr>
                <w:b/>
                <w:sz w:val="20"/>
                <w:szCs w:val="20"/>
              </w:rPr>
              <w:t>Urząd Statystyczny w Krakowie</w:t>
            </w:r>
          </w:p>
          <w:p w14:paraId="77B37146" w14:textId="77777777" w:rsidR="00863791" w:rsidRPr="00592DCD" w:rsidRDefault="00863791" w:rsidP="00412D3F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592DCD">
              <w:rPr>
                <w:b/>
                <w:sz w:val="20"/>
                <w:szCs w:val="20"/>
              </w:rPr>
              <w:t xml:space="preserve">Dyrektor Agnieszka </w:t>
            </w:r>
            <w:proofErr w:type="spellStart"/>
            <w:r w:rsidRPr="00592DCD">
              <w:rPr>
                <w:b/>
                <w:sz w:val="20"/>
                <w:szCs w:val="20"/>
              </w:rPr>
              <w:t>Szlubowska</w:t>
            </w:r>
            <w:proofErr w:type="spellEnd"/>
          </w:p>
          <w:p w14:paraId="3A0D79EC" w14:textId="77777777" w:rsidR="00863791" w:rsidRPr="00592DCD" w:rsidRDefault="00863791" w:rsidP="00412D3F">
            <w:pPr>
              <w:spacing w:before="0" w:line="276" w:lineRule="auto"/>
              <w:rPr>
                <w:rFonts w:cs="Arial"/>
                <w:color w:val="000000" w:themeColor="text1"/>
              </w:rPr>
            </w:pPr>
            <w:r w:rsidRPr="00592DCD">
              <w:rPr>
                <w:sz w:val="20"/>
              </w:rPr>
              <w:t>Tel: 12 420 40 50</w:t>
            </w:r>
          </w:p>
        </w:tc>
        <w:tc>
          <w:tcPr>
            <w:tcW w:w="4927" w:type="dxa"/>
          </w:tcPr>
          <w:p w14:paraId="320B375D" w14:textId="77777777" w:rsidR="00863791" w:rsidRPr="00592DCD" w:rsidRDefault="00863791" w:rsidP="00412D3F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592DCD">
              <w:rPr>
                <w:rFonts w:cs="Arial"/>
                <w:sz w:val="20"/>
              </w:rPr>
              <w:t>Rozpowszechnianie:</w:t>
            </w:r>
            <w:r w:rsidRPr="00592DCD">
              <w:rPr>
                <w:rFonts w:cs="Arial"/>
                <w:sz w:val="20"/>
              </w:rPr>
              <w:br/>
            </w:r>
            <w:r w:rsidRPr="00592DCD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7357C273" w14:textId="77777777" w:rsidR="00863791" w:rsidRPr="00592DCD" w:rsidRDefault="00863791" w:rsidP="00412D3F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592DCD">
              <w:rPr>
                <w:b/>
                <w:sz w:val="20"/>
                <w:szCs w:val="20"/>
              </w:rPr>
              <w:t>Karolina Banaszek</w:t>
            </w:r>
          </w:p>
          <w:p w14:paraId="08CBA38D" w14:textId="77777777" w:rsidR="00863791" w:rsidRPr="00592DCD" w:rsidRDefault="00863791" w:rsidP="00412D3F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</w:rPr>
            </w:pPr>
            <w:r w:rsidRPr="00592DCD">
              <w:rPr>
                <w:rFonts w:ascii="Fira Sans" w:hAnsi="Fira Sans" w:cs="Arial"/>
                <w:color w:val="000000" w:themeColor="text1"/>
                <w:sz w:val="20"/>
              </w:rPr>
              <w:t>Tel: 695 255 011</w:t>
            </w:r>
          </w:p>
          <w:p w14:paraId="074E0FC0" w14:textId="77777777" w:rsidR="00863791" w:rsidRPr="00592DCD" w:rsidRDefault="00863791" w:rsidP="00412D3F">
            <w:pPr>
              <w:rPr>
                <w:sz w:val="18"/>
              </w:rPr>
            </w:pPr>
          </w:p>
        </w:tc>
      </w:tr>
      <w:tr w:rsidR="00863791" w:rsidRPr="00592DCD" w14:paraId="7A532510" w14:textId="77777777" w:rsidTr="005E1B75">
        <w:trPr>
          <w:cantSplit/>
          <w:trHeight w:val="418"/>
        </w:trPr>
        <w:tc>
          <w:tcPr>
            <w:tcW w:w="4926" w:type="dxa"/>
            <w:vMerge w:val="restart"/>
          </w:tcPr>
          <w:p w14:paraId="2D263984" w14:textId="77777777" w:rsidR="00863791" w:rsidRPr="00592DCD" w:rsidRDefault="00863791" w:rsidP="00412D3F">
            <w:pPr>
              <w:rPr>
                <w:b/>
                <w:sz w:val="20"/>
              </w:rPr>
            </w:pPr>
            <w:r w:rsidRPr="00592DCD">
              <w:rPr>
                <w:b/>
                <w:sz w:val="20"/>
              </w:rPr>
              <w:t xml:space="preserve">Wydział Współpracy z Mediami </w:t>
            </w:r>
          </w:p>
          <w:p w14:paraId="2E79390C" w14:textId="77777777" w:rsidR="00863791" w:rsidRPr="00592DCD" w:rsidRDefault="00863791" w:rsidP="00412D3F">
            <w:pPr>
              <w:spacing w:before="0" w:after="0"/>
              <w:rPr>
                <w:sz w:val="20"/>
              </w:rPr>
            </w:pPr>
            <w:r w:rsidRPr="00592DCD">
              <w:rPr>
                <w:sz w:val="20"/>
              </w:rPr>
              <w:t xml:space="preserve">Tel: 22 608 38 04 </w:t>
            </w:r>
          </w:p>
          <w:p w14:paraId="7B8E4EC2" w14:textId="7E543F2E" w:rsidR="00863791" w:rsidRPr="00592DCD" w:rsidRDefault="00863791" w:rsidP="00412D3F">
            <w:pPr>
              <w:rPr>
                <w:sz w:val="18"/>
              </w:rPr>
            </w:pPr>
            <w:r w:rsidRPr="00592DCD">
              <w:rPr>
                <w:b/>
                <w:sz w:val="20"/>
              </w:rPr>
              <w:t>e-mail:</w:t>
            </w:r>
            <w:r w:rsidRPr="00592DCD">
              <w:rPr>
                <w:sz w:val="20"/>
              </w:rPr>
              <w:t xml:space="preserve"> </w:t>
            </w:r>
            <w:hyperlink r:id="rId18" w:tooltip="link do e-maila obsługi prasowej" w:history="1">
              <w:r w:rsidRPr="00592DCD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1D705AAB" w14:textId="77777777" w:rsidR="00863791" w:rsidRPr="00592DCD" w:rsidRDefault="00863791" w:rsidP="00412D3F">
            <w:pPr>
              <w:ind w:firstLine="680"/>
              <w:rPr>
                <w:sz w:val="18"/>
              </w:rPr>
            </w:pPr>
            <w:r w:rsidRPr="00592DCD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3589FC47" wp14:editId="09A00D6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0" name="Obraz 20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92DCD">
              <w:rPr>
                <w:sz w:val="20"/>
              </w:rPr>
              <w:t>stat.gov.pl</w:t>
            </w:r>
          </w:p>
        </w:tc>
      </w:tr>
      <w:tr w:rsidR="00863791" w:rsidRPr="00592DCD" w14:paraId="4880347E" w14:textId="77777777" w:rsidTr="005E1B75">
        <w:trPr>
          <w:cantSplit/>
          <w:trHeight w:val="418"/>
        </w:trPr>
        <w:tc>
          <w:tcPr>
            <w:tcW w:w="4926" w:type="dxa"/>
            <w:vMerge/>
          </w:tcPr>
          <w:p w14:paraId="62C1D9EF" w14:textId="77777777" w:rsidR="00863791" w:rsidRPr="00592DCD" w:rsidRDefault="00863791" w:rsidP="00412D3F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41D2A13B" w14:textId="77777777" w:rsidR="00863791" w:rsidRPr="00592DCD" w:rsidRDefault="00863791" w:rsidP="00412D3F">
            <w:pPr>
              <w:ind w:firstLine="680"/>
              <w:rPr>
                <w:sz w:val="18"/>
              </w:rPr>
            </w:pPr>
            <w:r w:rsidRPr="00592DCD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5C2E170E" wp14:editId="6F3765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5" name="Obraz 25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92DCD">
              <w:rPr>
                <w:sz w:val="20"/>
              </w:rPr>
              <w:t>@GUS_STAT</w:t>
            </w:r>
            <w:r w:rsidRPr="00592DCD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63791" w:rsidRPr="00592DCD" w14:paraId="6244D3CC" w14:textId="77777777" w:rsidTr="005E1B75">
        <w:trPr>
          <w:cantSplit/>
          <w:trHeight w:val="476"/>
        </w:trPr>
        <w:tc>
          <w:tcPr>
            <w:tcW w:w="4926" w:type="dxa"/>
            <w:vMerge/>
          </w:tcPr>
          <w:p w14:paraId="796A9A5D" w14:textId="77777777" w:rsidR="00863791" w:rsidRPr="00592DCD" w:rsidRDefault="00863791" w:rsidP="00412D3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9B0E4C3" w14:textId="77777777" w:rsidR="00863791" w:rsidRPr="00592DCD" w:rsidRDefault="00863791" w:rsidP="00412D3F">
            <w:pPr>
              <w:ind w:firstLine="680"/>
              <w:rPr>
                <w:sz w:val="18"/>
              </w:rPr>
            </w:pPr>
            <w:r w:rsidRPr="00592DCD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3B41A5E7" wp14:editId="60866A8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92DCD">
              <w:rPr>
                <w:sz w:val="20"/>
              </w:rPr>
              <w:t>@</w:t>
            </w:r>
            <w:proofErr w:type="spellStart"/>
            <w:r w:rsidRPr="00592DCD">
              <w:rPr>
                <w:sz w:val="20"/>
              </w:rPr>
              <w:t>GlownyUrzadStatystyczny</w:t>
            </w:r>
            <w:proofErr w:type="spellEnd"/>
            <w:r w:rsidRPr="00592DCD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63791" w:rsidRPr="00592DCD" w14:paraId="2008B9E7" w14:textId="77777777" w:rsidTr="005E1B75">
        <w:trPr>
          <w:cantSplit/>
          <w:trHeight w:val="426"/>
        </w:trPr>
        <w:tc>
          <w:tcPr>
            <w:tcW w:w="4926" w:type="dxa"/>
          </w:tcPr>
          <w:p w14:paraId="057E137A" w14:textId="77777777" w:rsidR="00863791" w:rsidRPr="00592DCD" w:rsidRDefault="00863791" w:rsidP="00412D3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0BDE50B" w14:textId="77777777" w:rsidR="00863791" w:rsidRPr="00592DCD" w:rsidRDefault="00863791" w:rsidP="00412D3F">
            <w:pPr>
              <w:ind w:firstLine="680"/>
              <w:rPr>
                <w:noProof/>
                <w:sz w:val="20"/>
                <w:lang w:eastAsia="pl-PL"/>
              </w:rPr>
            </w:pPr>
            <w:r w:rsidRPr="00592DCD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0096" behindDoc="0" locked="0" layoutInCell="1" allowOverlap="1" wp14:anchorId="1FB2A90C" wp14:editId="240BF49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92DCD">
              <w:rPr>
                <w:sz w:val="20"/>
              </w:rPr>
              <w:t>gus_stat</w:t>
            </w:r>
            <w:proofErr w:type="spellEnd"/>
          </w:p>
        </w:tc>
      </w:tr>
      <w:tr w:rsidR="00863791" w:rsidRPr="00592DCD" w14:paraId="17F3C851" w14:textId="77777777" w:rsidTr="005E1B75">
        <w:trPr>
          <w:cantSplit/>
          <w:trHeight w:val="504"/>
        </w:trPr>
        <w:tc>
          <w:tcPr>
            <w:tcW w:w="4926" w:type="dxa"/>
          </w:tcPr>
          <w:p w14:paraId="09D0A3C5" w14:textId="77777777" w:rsidR="00863791" w:rsidRPr="00592DCD" w:rsidRDefault="00863791" w:rsidP="00412D3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4276FAB" w14:textId="77777777" w:rsidR="00863791" w:rsidRPr="00592DCD" w:rsidRDefault="00863791" w:rsidP="00412D3F">
            <w:pPr>
              <w:ind w:firstLine="680"/>
              <w:rPr>
                <w:noProof/>
                <w:sz w:val="20"/>
                <w:lang w:eastAsia="pl-PL"/>
              </w:rPr>
            </w:pPr>
            <w:r w:rsidRPr="00592DCD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anchorId="79B25C41" wp14:editId="4A8A13F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92DCD">
              <w:rPr>
                <w:sz w:val="20"/>
              </w:rPr>
              <w:t>glownyurzadstatystycznygus</w:t>
            </w:r>
            <w:proofErr w:type="spellEnd"/>
          </w:p>
        </w:tc>
      </w:tr>
      <w:tr w:rsidR="00863791" w:rsidRPr="00592DCD" w14:paraId="7056FFE8" w14:textId="77777777" w:rsidTr="005E1B75">
        <w:trPr>
          <w:cantSplit/>
          <w:trHeight w:val="1546"/>
        </w:trPr>
        <w:tc>
          <w:tcPr>
            <w:tcW w:w="4926" w:type="dxa"/>
          </w:tcPr>
          <w:p w14:paraId="7E58930E" w14:textId="77777777" w:rsidR="00863791" w:rsidRPr="00592DCD" w:rsidRDefault="00863791" w:rsidP="00412D3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70E72CE" w14:textId="77777777" w:rsidR="00863791" w:rsidRPr="00592DCD" w:rsidRDefault="00863791" w:rsidP="00412D3F">
            <w:pPr>
              <w:ind w:firstLine="680"/>
              <w:rPr>
                <w:noProof/>
                <w:sz w:val="20"/>
                <w:lang w:eastAsia="pl-PL"/>
              </w:rPr>
            </w:pPr>
            <w:r w:rsidRPr="00592DCD">
              <w:rPr>
                <w:noProof/>
                <w:sz w:val="20"/>
                <w:lang w:eastAsia="pl-PL"/>
              </w:rPr>
              <w:t>glownyurzadstatystyczny</w:t>
            </w:r>
            <w:r w:rsidRPr="00592DCD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2144" behindDoc="0" locked="0" layoutInCell="1" allowOverlap="1" wp14:anchorId="2E2BAE70" wp14:editId="5CCFC6C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63791" w:rsidRPr="00592DCD" w14:paraId="4BF9499D" w14:textId="77777777" w:rsidTr="005E1B75">
        <w:trPr>
          <w:cantSplit/>
          <w:trHeight w:val="2700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4A45487" w14:textId="77777777" w:rsidR="00863791" w:rsidRPr="00592DCD" w:rsidRDefault="00863791" w:rsidP="00412D3F">
            <w:pPr>
              <w:shd w:val="clear" w:color="auto" w:fill="D9D9D9" w:themeFill="background1" w:themeFillShade="D9"/>
              <w:spacing w:before="360"/>
              <w:rPr>
                <w:b/>
              </w:rPr>
            </w:pPr>
            <w:r w:rsidRPr="00592DCD">
              <w:rPr>
                <w:b/>
              </w:rPr>
              <w:t>Powiązane opracowania</w:t>
            </w:r>
          </w:p>
          <w:p w14:paraId="656A8FCA" w14:textId="4008CDDF" w:rsidR="00102CD1" w:rsidRPr="00592DCD" w:rsidRDefault="0061159F" w:rsidP="00102CD1">
            <w:pPr>
              <w:rPr>
                <w:rStyle w:val="Hipercze"/>
              </w:rPr>
            </w:pPr>
            <w:hyperlink r:id="rId25" w:tooltip="link do publikacji pt.&quot;Przemysły kultury i kreatywne w latach 2014–2016&quot;" w:history="1">
              <w:r w:rsidR="00102CD1" w:rsidRPr="00592DCD">
                <w:rPr>
                  <w:rStyle w:val="Hipercze"/>
                </w:rPr>
                <w:t>Przemysły kultury i kreatywne w latach 2014–2016</w:t>
              </w:r>
            </w:hyperlink>
            <w:r w:rsidR="00102CD1" w:rsidRPr="00592DCD">
              <w:rPr>
                <w:rStyle w:val="Hipercze"/>
              </w:rPr>
              <w:t xml:space="preserve"> </w:t>
            </w:r>
          </w:p>
          <w:p w14:paraId="441B1704" w14:textId="1DC3F769" w:rsidR="00102CD1" w:rsidRPr="00592DCD" w:rsidRDefault="0061159F" w:rsidP="00102CD1">
            <w:pPr>
              <w:rPr>
                <w:rStyle w:val="Hipercze"/>
              </w:rPr>
            </w:pPr>
            <w:hyperlink r:id="rId26" w:tooltip="link do publikacji pt.&quot;Przemysły kultury i kreatywne w 2020 roku&quot;" w:history="1">
              <w:r w:rsidR="00102CD1" w:rsidRPr="00592DCD">
                <w:rPr>
                  <w:rStyle w:val="Hipercze"/>
                </w:rPr>
                <w:t>Przemysły kultury i kreatywne w 2020 roku</w:t>
              </w:r>
            </w:hyperlink>
          </w:p>
          <w:p w14:paraId="2A13CB6E" w14:textId="5B60646A" w:rsidR="00863791" w:rsidRPr="00592DCD" w:rsidRDefault="0061159F" w:rsidP="00102CD1">
            <w:pPr>
              <w:rPr>
                <w:rStyle w:val="Hipercze"/>
              </w:rPr>
            </w:pPr>
            <w:hyperlink r:id="rId27" w:tooltip="link do publikacji pt.&quot;Kultura i dziedzictwo narodowe w 2021 r.&quot;" w:history="1">
              <w:r w:rsidR="00102CD1" w:rsidRPr="00592DCD">
                <w:rPr>
                  <w:rStyle w:val="Hipercze"/>
                </w:rPr>
                <w:t>Kultura i dziedzictwo narodowe w 2021 r.</w:t>
              </w:r>
            </w:hyperlink>
          </w:p>
          <w:p w14:paraId="2391B181" w14:textId="77777777" w:rsidR="00863791" w:rsidRPr="00592DCD" w:rsidRDefault="00863791" w:rsidP="00412D3F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592DCD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30941E52" w14:textId="185E1ECD" w:rsidR="00102CD1" w:rsidRPr="00592DCD" w:rsidRDefault="0061159F" w:rsidP="00102CD1">
            <w:pPr>
              <w:rPr>
                <w:rStyle w:val="Hipercze"/>
              </w:rPr>
            </w:pPr>
            <w:hyperlink r:id="rId28" w:tooltip="link do pojęcia &quot;Eksport towarów i usług&quot;" w:history="1">
              <w:r w:rsidR="00102CD1" w:rsidRPr="00592DCD">
                <w:rPr>
                  <w:rStyle w:val="Hipercze"/>
                </w:rPr>
                <w:t>Eksport towarów i usług</w:t>
              </w:r>
            </w:hyperlink>
          </w:p>
          <w:p w14:paraId="3D5C06C8" w14:textId="46C0F5B3" w:rsidR="00102CD1" w:rsidRPr="00592DCD" w:rsidRDefault="0061159F" w:rsidP="00102CD1">
            <w:pPr>
              <w:rPr>
                <w:rStyle w:val="Hipercze"/>
              </w:rPr>
            </w:pPr>
            <w:hyperlink r:id="rId29" w:tooltip="link do pojęcia &quot;Import towarów i usług&quot;" w:history="1">
              <w:r w:rsidR="00102CD1" w:rsidRPr="00592DCD">
                <w:rPr>
                  <w:rStyle w:val="Hipercze"/>
                </w:rPr>
                <w:t>Import towarów i usług</w:t>
              </w:r>
            </w:hyperlink>
          </w:p>
          <w:p w14:paraId="0E7CFC14" w14:textId="788C8B4F" w:rsidR="00102CD1" w:rsidRPr="00592DCD" w:rsidRDefault="0061159F" w:rsidP="00102CD1">
            <w:pPr>
              <w:rPr>
                <w:rStyle w:val="Hipercze"/>
              </w:rPr>
            </w:pPr>
            <w:hyperlink r:id="rId30" w:tooltip="link do pojęcia &quot;Koszty ogółem&quot;" w:history="1">
              <w:r w:rsidR="00102CD1" w:rsidRPr="00592DCD">
                <w:rPr>
                  <w:rStyle w:val="Hipercze"/>
                </w:rPr>
                <w:t>Koszty ogółem</w:t>
              </w:r>
            </w:hyperlink>
          </w:p>
          <w:p w14:paraId="6BDF4170" w14:textId="6B3C3E46" w:rsidR="00102CD1" w:rsidRPr="00592DCD" w:rsidRDefault="0061159F" w:rsidP="00102CD1">
            <w:pPr>
              <w:rPr>
                <w:rStyle w:val="Hipercze"/>
              </w:rPr>
            </w:pPr>
            <w:hyperlink r:id="rId31" w:tooltip="link do pojęcia &quot;Przeciętne miesięczne wynagrodzenie brutto&quot;" w:history="1">
              <w:r w:rsidR="00102CD1" w:rsidRPr="00592DCD">
                <w:rPr>
                  <w:rStyle w:val="Hipercze"/>
                </w:rPr>
                <w:t>Przeciętne miesięczne wynagrodzenie brutto</w:t>
              </w:r>
            </w:hyperlink>
          </w:p>
          <w:p w14:paraId="6EDE4C09" w14:textId="02FD9119" w:rsidR="00102CD1" w:rsidRPr="00592DCD" w:rsidRDefault="0061159F" w:rsidP="00102CD1">
            <w:pPr>
              <w:rPr>
                <w:rStyle w:val="Hipercze"/>
              </w:rPr>
            </w:pPr>
            <w:hyperlink r:id="rId32" w:tooltip="link do pojęcia &quot;Przeciętne zatrudnienie&quot;" w:history="1">
              <w:r w:rsidR="00102CD1" w:rsidRPr="00592DCD">
                <w:rPr>
                  <w:rStyle w:val="Hipercze"/>
                </w:rPr>
                <w:t>Przeciętne zatrudnienie</w:t>
              </w:r>
            </w:hyperlink>
          </w:p>
          <w:p w14:paraId="6117FA44" w14:textId="181DD75C" w:rsidR="00102CD1" w:rsidRPr="00592DCD" w:rsidRDefault="0061159F" w:rsidP="00102CD1">
            <w:pPr>
              <w:rPr>
                <w:rStyle w:val="Hipercze"/>
              </w:rPr>
            </w:pPr>
            <w:hyperlink r:id="rId33" w:tooltip="link do pojęcia &quot;Przychody ogółem&quot;" w:history="1">
              <w:r w:rsidR="00102CD1" w:rsidRPr="00592DCD">
                <w:rPr>
                  <w:rStyle w:val="Hipercze"/>
                </w:rPr>
                <w:t>Przychody ogółem</w:t>
              </w:r>
            </w:hyperlink>
          </w:p>
          <w:p w14:paraId="6FE8EC6D" w14:textId="0A42CC91" w:rsidR="00102CD1" w:rsidRPr="00592DCD" w:rsidRDefault="0061159F" w:rsidP="00102CD1">
            <w:pPr>
              <w:rPr>
                <w:rStyle w:val="Hipercze"/>
              </w:rPr>
            </w:pPr>
            <w:hyperlink r:id="rId34" w:tooltip="link do pojęcia &quot;Saldo obrotów towarowych handlu zagranicznego&quot;" w:history="1">
              <w:r w:rsidR="00102CD1" w:rsidRPr="00592DCD">
                <w:rPr>
                  <w:rStyle w:val="Hipercze"/>
                </w:rPr>
                <w:t>Saldo obrotów towarowych handlu zagranicznego</w:t>
              </w:r>
            </w:hyperlink>
          </w:p>
          <w:p w14:paraId="55C2F6C0" w14:textId="1ABDD24C" w:rsidR="00102CD1" w:rsidRPr="00592DCD" w:rsidRDefault="0061159F" w:rsidP="00102CD1">
            <w:pPr>
              <w:rPr>
                <w:rStyle w:val="Hipercze"/>
              </w:rPr>
            </w:pPr>
            <w:hyperlink r:id="rId35" w:tooltip="link do pojęcia &quot;Saldo usług&quot;" w:history="1">
              <w:r w:rsidR="00102CD1" w:rsidRPr="00592DCD">
                <w:rPr>
                  <w:rStyle w:val="Hipercze"/>
                </w:rPr>
                <w:t>Saldo usług</w:t>
              </w:r>
            </w:hyperlink>
          </w:p>
          <w:p w14:paraId="338105FB" w14:textId="2113D906" w:rsidR="00102CD1" w:rsidRPr="00592DCD" w:rsidRDefault="0061159F" w:rsidP="00102CD1">
            <w:pPr>
              <w:rPr>
                <w:rStyle w:val="Hipercze"/>
              </w:rPr>
            </w:pPr>
            <w:hyperlink r:id="rId36" w:tooltip="link do pojęcia &quot;Wskaźnik poziomu kosztów&quot;" w:history="1">
              <w:r w:rsidR="00102CD1" w:rsidRPr="00592DCD">
                <w:rPr>
                  <w:rStyle w:val="Hipercze"/>
                </w:rPr>
                <w:t>Wskaźnik poziomu kosztów</w:t>
              </w:r>
            </w:hyperlink>
          </w:p>
          <w:p w14:paraId="68A2E35D" w14:textId="6A4F0AA2" w:rsidR="00863791" w:rsidRPr="00592DCD" w:rsidRDefault="0061159F" w:rsidP="00102CD1">
            <w:pPr>
              <w:rPr>
                <w:rFonts w:cs="Times New Roman"/>
                <w:color w:val="0000FF"/>
                <w:u w:val="single"/>
              </w:rPr>
            </w:pPr>
            <w:hyperlink r:id="rId37" w:tooltip="link do pojęcia &quot;Wynagrodzenia brutto&quot;" w:history="1">
              <w:r w:rsidR="00102CD1" w:rsidRPr="00592DCD">
                <w:rPr>
                  <w:rStyle w:val="Hipercze"/>
                </w:rPr>
                <w:t>Wynagrodzenia brutto</w:t>
              </w:r>
            </w:hyperlink>
          </w:p>
        </w:tc>
      </w:tr>
    </w:tbl>
    <w:p w14:paraId="7C19EFAE" w14:textId="1156A8A9" w:rsidR="00D261A2" w:rsidRPr="00592DCD" w:rsidRDefault="00D261A2" w:rsidP="00863791">
      <w:pPr>
        <w:spacing w:before="0" w:after="0" w:line="276" w:lineRule="auto"/>
        <w:rPr>
          <w:sz w:val="18"/>
        </w:rPr>
      </w:pPr>
    </w:p>
    <w:sectPr w:rsidR="00D261A2" w:rsidRPr="00592DCD" w:rsidSect="003B18B6">
      <w:headerReference w:type="default" r:id="rId38"/>
      <w:footerReference w:type="default" r:id="rId3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BE840" w14:textId="77777777" w:rsidR="00B57E19" w:rsidRDefault="00B57E19" w:rsidP="000662E2">
      <w:pPr>
        <w:spacing w:after="0" w:line="240" w:lineRule="auto"/>
      </w:pPr>
      <w:r>
        <w:separator/>
      </w:r>
    </w:p>
  </w:endnote>
  <w:endnote w:type="continuationSeparator" w:id="0">
    <w:p w14:paraId="2CA78EF2" w14:textId="77777777" w:rsidR="00B57E19" w:rsidRDefault="00B57E1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Times New Roman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4341880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299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7639192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299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299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3D085" w14:textId="77777777" w:rsidR="00B57E19" w:rsidRDefault="00B57E19" w:rsidP="000662E2">
      <w:pPr>
        <w:spacing w:after="0" w:line="240" w:lineRule="auto"/>
      </w:pPr>
      <w:r>
        <w:separator/>
      </w:r>
    </w:p>
  </w:footnote>
  <w:footnote w:type="continuationSeparator" w:id="0">
    <w:p w14:paraId="3F937B88" w14:textId="77777777" w:rsidR="00B57E19" w:rsidRDefault="00B57E19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4277A" w14:textId="3C2CA9BE" w:rsidR="00F32749" w:rsidRDefault="0049246F" w:rsidP="00627887">
    <w:pPr>
      <w:pStyle w:val="Nagwek"/>
      <w:spacing w:before="240" w:after="480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878C055" wp14:editId="774DC2A1">
          <wp:extent cx="1006337" cy="432000"/>
          <wp:effectExtent l="0" t="0" r="3810" b="6350"/>
          <wp:docPr id="13" name="Obraz 13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us 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33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7332C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E1A9192" wp14:editId="4FFD3CC5">
              <wp:simplePos x="0" y="0"/>
              <wp:positionH relativeFrom="column">
                <wp:posOffset>5290820</wp:posOffset>
              </wp:positionH>
              <wp:positionV relativeFrom="paragraph">
                <wp:posOffset>930579</wp:posOffset>
              </wp:positionV>
              <wp:extent cx="1432293" cy="336589"/>
              <wp:effectExtent l="0" t="0" r="0" b="6350"/>
              <wp:wrapNone/>
              <wp:docPr id="18" name="Pole tekstowe 2" descr="30 marca 2023 roku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00F46" w14:textId="0DE37456" w:rsidR="0057332C" w:rsidRPr="00A01B40" w:rsidRDefault="006D4224" w:rsidP="0057332C">
                          <w:pPr>
                            <w:pStyle w:val="Datainformacjisygnalnej"/>
                          </w:pPr>
                          <w:r>
                            <w:t>30</w:t>
                          </w:r>
                          <w:r w:rsidR="0057332C">
                            <w:t>.</w:t>
                          </w:r>
                          <w:r w:rsidR="00B01F63">
                            <w:t>03</w:t>
                          </w:r>
                          <w:r w:rsidR="0057332C">
                            <w:t>.</w:t>
                          </w:r>
                          <w:r w:rsidR="00B01F63">
                            <w:t xml:space="preserve">2023 </w:t>
                          </w:r>
                          <w:r w:rsidR="0057332C"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A9192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30 marca 2023 roku" style="position:absolute;margin-left:416.6pt;margin-top:73.25pt;width:112.8pt;height:26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" filled="f" stroked="f">
              <v:textbox>
                <w:txbxContent>
                  <w:p w14:paraId="30E00F46" w14:textId="0DE37456" w:rsidR="0057332C" w:rsidRPr="00A01B40" w:rsidRDefault="006D4224" w:rsidP="0057332C">
                    <w:pPr>
                      <w:pStyle w:val="Datainformacjisygnalnej"/>
                    </w:pPr>
                    <w:r>
                      <w:t>30</w:t>
                    </w:r>
                    <w:r w:rsidR="0057332C">
                      <w:t>.</w:t>
                    </w:r>
                    <w:r w:rsidR="00B01F63">
                      <w:t>03</w:t>
                    </w:r>
                    <w:r w:rsidR="0057332C">
                      <w:t>.</w:t>
                    </w:r>
                    <w:r w:rsidR="00B01F63">
                      <w:t xml:space="preserve">2023 </w:t>
                    </w:r>
                    <w:r w:rsidR="0057332C">
                      <w:t>r.</w:t>
                    </w:r>
                  </w:p>
                </w:txbxContent>
              </v:textbox>
            </v:shape>
          </w:pict>
        </mc:Fallback>
      </mc:AlternateContent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02919D8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F3307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3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WqKYwYAAD8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F3307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692DA98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D55DB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75pt;height:126.75pt;visibility:visible;mso-wrap-style:square" o:bullet="t">
        <v:imagedata r:id="rId1" o:title=""/>
      </v:shape>
    </w:pict>
  </w:numPicBullet>
  <w:numPicBullet w:numPicBulletId="1">
    <w:pict>
      <v:shape id="_x0000_i1027" type="#_x0000_t75" style="width:123.75pt;height:126.75pt;visibility:visible;mso-wrap-style:squar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920EB1A0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B8E656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8EC33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AA5C52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4380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1ABB1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C4342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38DA2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583B9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5E4A4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1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2B65"/>
    <w:rsid w:val="00003437"/>
    <w:rsid w:val="00004119"/>
    <w:rsid w:val="00006843"/>
    <w:rsid w:val="0000709F"/>
    <w:rsid w:val="00010159"/>
    <w:rsid w:val="000108B8"/>
    <w:rsid w:val="00011A62"/>
    <w:rsid w:val="000134C6"/>
    <w:rsid w:val="000152F5"/>
    <w:rsid w:val="00017EE0"/>
    <w:rsid w:val="00021C39"/>
    <w:rsid w:val="00025AC2"/>
    <w:rsid w:val="00026804"/>
    <w:rsid w:val="000303D7"/>
    <w:rsid w:val="00044667"/>
    <w:rsid w:val="0004582E"/>
    <w:rsid w:val="000470AA"/>
    <w:rsid w:val="0004788F"/>
    <w:rsid w:val="000564CC"/>
    <w:rsid w:val="00057CA1"/>
    <w:rsid w:val="0006380D"/>
    <w:rsid w:val="000647A9"/>
    <w:rsid w:val="000662E2"/>
    <w:rsid w:val="00066883"/>
    <w:rsid w:val="00071B39"/>
    <w:rsid w:val="0007265D"/>
    <w:rsid w:val="0007301F"/>
    <w:rsid w:val="00074DD8"/>
    <w:rsid w:val="00075742"/>
    <w:rsid w:val="00075759"/>
    <w:rsid w:val="000758EC"/>
    <w:rsid w:val="000806F7"/>
    <w:rsid w:val="00080C64"/>
    <w:rsid w:val="00086906"/>
    <w:rsid w:val="00092305"/>
    <w:rsid w:val="00097840"/>
    <w:rsid w:val="000A16D8"/>
    <w:rsid w:val="000A7BED"/>
    <w:rsid w:val="000A7C30"/>
    <w:rsid w:val="000B0727"/>
    <w:rsid w:val="000B19C5"/>
    <w:rsid w:val="000B323E"/>
    <w:rsid w:val="000B3F66"/>
    <w:rsid w:val="000B3F99"/>
    <w:rsid w:val="000C135D"/>
    <w:rsid w:val="000C4742"/>
    <w:rsid w:val="000D1D43"/>
    <w:rsid w:val="000D225C"/>
    <w:rsid w:val="000D2A5C"/>
    <w:rsid w:val="000D2F00"/>
    <w:rsid w:val="000D39F0"/>
    <w:rsid w:val="000D7E5C"/>
    <w:rsid w:val="000E0918"/>
    <w:rsid w:val="000E7199"/>
    <w:rsid w:val="000E7901"/>
    <w:rsid w:val="000E79A9"/>
    <w:rsid w:val="000F2E7E"/>
    <w:rsid w:val="001011C3"/>
    <w:rsid w:val="00102CD1"/>
    <w:rsid w:val="00106DA3"/>
    <w:rsid w:val="00107A55"/>
    <w:rsid w:val="00110214"/>
    <w:rsid w:val="00110D87"/>
    <w:rsid w:val="00112399"/>
    <w:rsid w:val="00114DB9"/>
    <w:rsid w:val="00116087"/>
    <w:rsid w:val="00117711"/>
    <w:rsid w:val="00122E88"/>
    <w:rsid w:val="00123C9E"/>
    <w:rsid w:val="00124153"/>
    <w:rsid w:val="00125525"/>
    <w:rsid w:val="00130296"/>
    <w:rsid w:val="00131443"/>
    <w:rsid w:val="0013205B"/>
    <w:rsid w:val="00134145"/>
    <w:rsid w:val="00136736"/>
    <w:rsid w:val="00136D67"/>
    <w:rsid w:val="001423B6"/>
    <w:rsid w:val="00143957"/>
    <w:rsid w:val="001448A7"/>
    <w:rsid w:val="00146621"/>
    <w:rsid w:val="00151077"/>
    <w:rsid w:val="00153446"/>
    <w:rsid w:val="00156EC0"/>
    <w:rsid w:val="001617E3"/>
    <w:rsid w:val="00162325"/>
    <w:rsid w:val="00163D43"/>
    <w:rsid w:val="00174A1D"/>
    <w:rsid w:val="00180822"/>
    <w:rsid w:val="00193AA0"/>
    <w:rsid w:val="001951DA"/>
    <w:rsid w:val="00197D40"/>
    <w:rsid w:val="001B011C"/>
    <w:rsid w:val="001B053D"/>
    <w:rsid w:val="001B313A"/>
    <w:rsid w:val="001B52E0"/>
    <w:rsid w:val="001C147B"/>
    <w:rsid w:val="001C3269"/>
    <w:rsid w:val="001D19B6"/>
    <w:rsid w:val="001D1C78"/>
    <w:rsid w:val="001D1DB4"/>
    <w:rsid w:val="001D23F1"/>
    <w:rsid w:val="001D25F9"/>
    <w:rsid w:val="001D2EEB"/>
    <w:rsid w:val="001D4695"/>
    <w:rsid w:val="001D61ED"/>
    <w:rsid w:val="001E0386"/>
    <w:rsid w:val="001E0B4B"/>
    <w:rsid w:val="001E5B2D"/>
    <w:rsid w:val="001F1ADC"/>
    <w:rsid w:val="001F4ABF"/>
    <w:rsid w:val="00200D3A"/>
    <w:rsid w:val="0020156C"/>
    <w:rsid w:val="00203905"/>
    <w:rsid w:val="002130F5"/>
    <w:rsid w:val="002153B1"/>
    <w:rsid w:val="00216634"/>
    <w:rsid w:val="00217196"/>
    <w:rsid w:val="002200E0"/>
    <w:rsid w:val="002214CE"/>
    <w:rsid w:val="002239FF"/>
    <w:rsid w:val="00226513"/>
    <w:rsid w:val="00231082"/>
    <w:rsid w:val="00231B77"/>
    <w:rsid w:val="0023674F"/>
    <w:rsid w:val="00241963"/>
    <w:rsid w:val="00241FA7"/>
    <w:rsid w:val="00242D31"/>
    <w:rsid w:val="002442BD"/>
    <w:rsid w:val="00247B69"/>
    <w:rsid w:val="0025481E"/>
    <w:rsid w:val="002574F9"/>
    <w:rsid w:val="00260894"/>
    <w:rsid w:val="00262B61"/>
    <w:rsid w:val="00262CC6"/>
    <w:rsid w:val="00263E08"/>
    <w:rsid w:val="002669F1"/>
    <w:rsid w:val="00266DDB"/>
    <w:rsid w:val="0027180D"/>
    <w:rsid w:val="00271D23"/>
    <w:rsid w:val="00272C59"/>
    <w:rsid w:val="00276811"/>
    <w:rsid w:val="00280BDF"/>
    <w:rsid w:val="00282699"/>
    <w:rsid w:val="00285253"/>
    <w:rsid w:val="00286680"/>
    <w:rsid w:val="002926DF"/>
    <w:rsid w:val="00296697"/>
    <w:rsid w:val="00297B38"/>
    <w:rsid w:val="002A2E23"/>
    <w:rsid w:val="002A471E"/>
    <w:rsid w:val="002A655D"/>
    <w:rsid w:val="002B0472"/>
    <w:rsid w:val="002B3C0D"/>
    <w:rsid w:val="002B6282"/>
    <w:rsid w:val="002B6B12"/>
    <w:rsid w:val="002C21F0"/>
    <w:rsid w:val="002C3E5F"/>
    <w:rsid w:val="002C4469"/>
    <w:rsid w:val="002C70F6"/>
    <w:rsid w:val="002D01DF"/>
    <w:rsid w:val="002D2B89"/>
    <w:rsid w:val="002D30C7"/>
    <w:rsid w:val="002D6769"/>
    <w:rsid w:val="002E1608"/>
    <w:rsid w:val="002E175E"/>
    <w:rsid w:val="002E229C"/>
    <w:rsid w:val="002E386D"/>
    <w:rsid w:val="002E3EB3"/>
    <w:rsid w:val="002E6140"/>
    <w:rsid w:val="002E6985"/>
    <w:rsid w:val="002E71B6"/>
    <w:rsid w:val="002F1645"/>
    <w:rsid w:val="002F35F6"/>
    <w:rsid w:val="002F44E9"/>
    <w:rsid w:val="002F77C8"/>
    <w:rsid w:val="00302A3F"/>
    <w:rsid w:val="00304F22"/>
    <w:rsid w:val="00306C7C"/>
    <w:rsid w:val="0031107D"/>
    <w:rsid w:val="00314F86"/>
    <w:rsid w:val="00315802"/>
    <w:rsid w:val="00315FB4"/>
    <w:rsid w:val="00317F4D"/>
    <w:rsid w:val="00321B3E"/>
    <w:rsid w:val="00322EDD"/>
    <w:rsid w:val="00323407"/>
    <w:rsid w:val="003260BE"/>
    <w:rsid w:val="003309FA"/>
    <w:rsid w:val="00330D24"/>
    <w:rsid w:val="00332320"/>
    <w:rsid w:val="00335908"/>
    <w:rsid w:val="00342D75"/>
    <w:rsid w:val="00347D72"/>
    <w:rsid w:val="00352E86"/>
    <w:rsid w:val="00353F45"/>
    <w:rsid w:val="0035677A"/>
    <w:rsid w:val="00357611"/>
    <w:rsid w:val="0036229D"/>
    <w:rsid w:val="00362A9B"/>
    <w:rsid w:val="0036432A"/>
    <w:rsid w:val="00364AF9"/>
    <w:rsid w:val="00367237"/>
    <w:rsid w:val="0037077F"/>
    <w:rsid w:val="003718CD"/>
    <w:rsid w:val="00372411"/>
    <w:rsid w:val="00373882"/>
    <w:rsid w:val="00377A43"/>
    <w:rsid w:val="003806A0"/>
    <w:rsid w:val="003843DB"/>
    <w:rsid w:val="00386015"/>
    <w:rsid w:val="0039064A"/>
    <w:rsid w:val="00393761"/>
    <w:rsid w:val="003946F9"/>
    <w:rsid w:val="00394E26"/>
    <w:rsid w:val="00396691"/>
    <w:rsid w:val="00397D18"/>
    <w:rsid w:val="003A1B36"/>
    <w:rsid w:val="003A2B07"/>
    <w:rsid w:val="003B1454"/>
    <w:rsid w:val="003B18B6"/>
    <w:rsid w:val="003B3863"/>
    <w:rsid w:val="003B3D7D"/>
    <w:rsid w:val="003B54B6"/>
    <w:rsid w:val="003B668D"/>
    <w:rsid w:val="003C025A"/>
    <w:rsid w:val="003C161B"/>
    <w:rsid w:val="003C430B"/>
    <w:rsid w:val="003C59E0"/>
    <w:rsid w:val="003C5CC0"/>
    <w:rsid w:val="003C6C8D"/>
    <w:rsid w:val="003C75B2"/>
    <w:rsid w:val="003D2656"/>
    <w:rsid w:val="003D4F95"/>
    <w:rsid w:val="003D5F42"/>
    <w:rsid w:val="003D60A9"/>
    <w:rsid w:val="003E16FF"/>
    <w:rsid w:val="003E76F6"/>
    <w:rsid w:val="003F4C97"/>
    <w:rsid w:val="003F5475"/>
    <w:rsid w:val="003F666D"/>
    <w:rsid w:val="003F7FE6"/>
    <w:rsid w:val="00400193"/>
    <w:rsid w:val="0040084E"/>
    <w:rsid w:val="00401D2E"/>
    <w:rsid w:val="00403EAE"/>
    <w:rsid w:val="00404EA3"/>
    <w:rsid w:val="00410F71"/>
    <w:rsid w:val="00411A97"/>
    <w:rsid w:val="00416EAF"/>
    <w:rsid w:val="00420219"/>
    <w:rsid w:val="004212E7"/>
    <w:rsid w:val="00423C88"/>
    <w:rsid w:val="0042403F"/>
    <w:rsid w:val="0042446D"/>
    <w:rsid w:val="00427BF8"/>
    <w:rsid w:val="00431BF5"/>
    <w:rsid w:val="00431C02"/>
    <w:rsid w:val="00434FE7"/>
    <w:rsid w:val="00437395"/>
    <w:rsid w:val="00441DCD"/>
    <w:rsid w:val="004442D0"/>
    <w:rsid w:val="00444D37"/>
    <w:rsid w:val="00445047"/>
    <w:rsid w:val="00445AA3"/>
    <w:rsid w:val="00446749"/>
    <w:rsid w:val="00446D34"/>
    <w:rsid w:val="004528E0"/>
    <w:rsid w:val="00452A07"/>
    <w:rsid w:val="00453672"/>
    <w:rsid w:val="00453EB7"/>
    <w:rsid w:val="00457427"/>
    <w:rsid w:val="00463E39"/>
    <w:rsid w:val="004657FC"/>
    <w:rsid w:val="00466A99"/>
    <w:rsid w:val="004733F6"/>
    <w:rsid w:val="00473557"/>
    <w:rsid w:val="00474E69"/>
    <w:rsid w:val="0048136E"/>
    <w:rsid w:val="00483E9F"/>
    <w:rsid w:val="00485759"/>
    <w:rsid w:val="00485A2C"/>
    <w:rsid w:val="00491E76"/>
    <w:rsid w:val="0049246F"/>
    <w:rsid w:val="0049621B"/>
    <w:rsid w:val="004A1D19"/>
    <w:rsid w:val="004A28E4"/>
    <w:rsid w:val="004A399C"/>
    <w:rsid w:val="004B0408"/>
    <w:rsid w:val="004B56CA"/>
    <w:rsid w:val="004B678F"/>
    <w:rsid w:val="004B6CDA"/>
    <w:rsid w:val="004C1895"/>
    <w:rsid w:val="004C1D0E"/>
    <w:rsid w:val="004C6D40"/>
    <w:rsid w:val="004C7FB6"/>
    <w:rsid w:val="004E28B4"/>
    <w:rsid w:val="004E6AA8"/>
    <w:rsid w:val="004F0C3C"/>
    <w:rsid w:val="004F2280"/>
    <w:rsid w:val="004F23BB"/>
    <w:rsid w:val="004F63FC"/>
    <w:rsid w:val="005022CC"/>
    <w:rsid w:val="0050328A"/>
    <w:rsid w:val="00505A92"/>
    <w:rsid w:val="005067F2"/>
    <w:rsid w:val="00511823"/>
    <w:rsid w:val="00511E14"/>
    <w:rsid w:val="00513768"/>
    <w:rsid w:val="00513C95"/>
    <w:rsid w:val="005203F1"/>
    <w:rsid w:val="00521BC3"/>
    <w:rsid w:val="005232C7"/>
    <w:rsid w:val="005233CF"/>
    <w:rsid w:val="005244EC"/>
    <w:rsid w:val="0052656C"/>
    <w:rsid w:val="00531FB0"/>
    <w:rsid w:val="00533632"/>
    <w:rsid w:val="00534013"/>
    <w:rsid w:val="00540C5C"/>
    <w:rsid w:val="00541E6E"/>
    <w:rsid w:val="00542252"/>
    <w:rsid w:val="0054251F"/>
    <w:rsid w:val="00543DA2"/>
    <w:rsid w:val="00551392"/>
    <w:rsid w:val="005520D8"/>
    <w:rsid w:val="005520F3"/>
    <w:rsid w:val="00555CFB"/>
    <w:rsid w:val="00556CF1"/>
    <w:rsid w:val="00556DCC"/>
    <w:rsid w:val="0057109D"/>
    <w:rsid w:val="0057289C"/>
    <w:rsid w:val="0057332C"/>
    <w:rsid w:val="00573991"/>
    <w:rsid w:val="005762A7"/>
    <w:rsid w:val="00587CEE"/>
    <w:rsid w:val="00590015"/>
    <w:rsid w:val="005916D7"/>
    <w:rsid w:val="00592DCD"/>
    <w:rsid w:val="00593C33"/>
    <w:rsid w:val="0059427F"/>
    <w:rsid w:val="0059603E"/>
    <w:rsid w:val="0059780C"/>
    <w:rsid w:val="005A0E54"/>
    <w:rsid w:val="005A698C"/>
    <w:rsid w:val="005B1F61"/>
    <w:rsid w:val="005B26E9"/>
    <w:rsid w:val="005B538E"/>
    <w:rsid w:val="005B5788"/>
    <w:rsid w:val="005B5820"/>
    <w:rsid w:val="005C0CAC"/>
    <w:rsid w:val="005C1525"/>
    <w:rsid w:val="005D062E"/>
    <w:rsid w:val="005D1394"/>
    <w:rsid w:val="005D1A32"/>
    <w:rsid w:val="005D3C7C"/>
    <w:rsid w:val="005D6955"/>
    <w:rsid w:val="005E0799"/>
    <w:rsid w:val="005E10F9"/>
    <w:rsid w:val="005E1200"/>
    <w:rsid w:val="005E1389"/>
    <w:rsid w:val="005E1B75"/>
    <w:rsid w:val="005E2CC7"/>
    <w:rsid w:val="005F45EE"/>
    <w:rsid w:val="005F4A8B"/>
    <w:rsid w:val="005F5A80"/>
    <w:rsid w:val="006044FF"/>
    <w:rsid w:val="00607CC5"/>
    <w:rsid w:val="0061179B"/>
    <w:rsid w:val="006125F9"/>
    <w:rsid w:val="006254CD"/>
    <w:rsid w:val="00627887"/>
    <w:rsid w:val="00633014"/>
    <w:rsid w:val="0063437B"/>
    <w:rsid w:val="00636E2C"/>
    <w:rsid w:val="0064017E"/>
    <w:rsid w:val="00643272"/>
    <w:rsid w:val="00645703"/>
    <w:rsid w:val="006523BA"/>
    <w:rsid w:val="0065267F"/>
    <w:rsid w:val="006530C5"/>
    <w:rsid w:val="00654BB6"/>
    <w:rsid w:val="00664FFB"/>
    <w:rsid w:val="00666100"/>
    <w:rsid w:val="006673CA"/>
    <w:rsid w:val="00670C24"/>
    <w:rsid w:val="00671156"/>
    <w:rsid w:val="00673C26"/>
    <w:rsid w:val="00674DE5"/>
    <w:rsid w:val="006764FF"/>
    <w:rsid w:val="00677ACA"/>
    <w:rsid w:val="006812AF"/>
    <w:rsid w:val="0068327D"/>
    <w:rsid w:val="00687523"/>
    <w:rsid w:val="00691534"/>
    <w:rsid w:val="0069194C"/>
    <w:rsid w:val="00693880"/>
    <w:rsid w:val="00694493"/>
    <w:rsid w:val="00694AF0"/>
    <w:rsid w:val="0069552C"/>
    <w:rsid w:val="00695A5C"/>
    <w:rsid w:val="006A2932"/>
    <w:rsid w:val="006A4686"/>
    <w:rsid w:val="006A472D"/>
    <w:rsid w:val="006A53B2"/>
    <w:rsid w:val="006B0E9E"/>
    <w:rsid w:val="006B486D"/>
    <w:rsid w:val="006B5AE4"/>
    <w:rsid w:val="006B5B9D"/>
    <w:rsid w:val="006C10E2"/>
    <w:rsid w:val="006C1B76"/>
    <w:rsid w:val="006D1507"/>
    <w:rsid w:val="006D167E"/>
    <w:rsid w:val="006D4054"/>
    <w:rsid w:val="006D4224"/>
    <w:rsid w:val="006D74F0"/>
    <w:rsid w:val="006E02EC"/>
    <w:rsid w:val="006E1229"/>
    <w:rsid w:val="006E3371"/>
    <w:rsid w:val="006E3C4F"/>
    <w:rsid w:val="006E5DA5"/>
    <w:rsid w:val="006E6F41"/>
    <w:rsid w:val="006E73E6"/>
    <w:rsid w:val="006F1F24"/>
    <w:rsid w:val="006F7BE1"/>
    <w:rsid w:val="00701680"/>
    <w:rsid w:val="0070216F"/>
    <w:rsid w:val="00705D19"/>
    <w:rsid w:val="00710F28"/>
    <w:rsid w:val="007211B1"/>
    <w:rsid w:val="00727559"/>
    <w:rsid w:val="007277DA"/>
    <w:rsid w:val="00730795"/>
    <w:rsid w:val="00731BEB"/>
    <w:rsid w:val="00731D27"/>
    <w:rsid w:val="007346B2"/>
    <w:rsid w:val="00740DD6"/>
    <w:rsid w:val="007424B6"/>
    <w:rsid w:val="007440C6"/>
    <w:rsid w:val="00746187"/>
    <w:rsid w:val="00746814"/>
    <w:rsid w:val="00746B84"/>
    <w:rsid w:val="007500BD"/>
    <w:rsid w:val="00750AB8"/>
    <w:rsid w:val="00751277"/>
    <w:rsid w:val="00755481"/>
    <w:rsid w:val="0076254F"/>
    <w:rsid w:val="0076383B"/>
    <w:rsid w:val="00766EE4"/>
    <w:rsid w:val="0077121F"/>
    <w:rsid w:val="00772293"/>
    <w:rsid w:val="0077314A"/>
    <w:rsid w:val="00774668"/>
    <w:rsid w:val="007801F5"/>
    <w:rsid w:val="00783CA4"/>
    <w:rsid w:val="007842FB"/>
    <w:rsid w:val="00785608"/>
    <w:rsid w:val="00786124"/>
    <w:rsid w:val="00792546"/>
    <w:rsid w:val="0079514B"/>
    <w:rsid w:val="00795252"/>
    <w:rsid w:val="00797434"/>
    <w:rsid w:val="007A2DC1"/>
    <w:rsid w:val="007A6717"/>
    <w:rsid w:val="007B49E9"/>
    <w:rsid w:val="007D05A1"/>
    <w:rsid w:val="007D0869"/>
    <w:rsid w:val="007D14C4"/>
    <w:rsid w:val="007D1899"/>
    <w:rsid w:val="007D3319"/>
    <w:rsid w:val="007D335D"/>
    <w:rsid w:val="007D605C"/>
    <w:rsid w:val="007E00CB"/>
    <w:rsid w:val="007E03F6"/>
    <w:rsid w:val="007E3314"/>
    <w:rsid w:val="007E3514"/>
    <w:rsid w:val="007E4B03"/>
    <w:rsid w:val="007E59A0"/>
    <w:rsid w:val="007E6F11"/>
    <w:rsid w:val="007F0108"/>
    <w:rsid w:val="007F14B1"/>
    <w:rsid w:val="007F2BC9"/>
    <w:rsid w:val="007F324B"/>
    <w:rsid w:val="00800827"/>
    <w:rsid w:val="00805072"/>
    <w:rsid w:val="0080553C"/>
    <w:rsid w:val="00805B46"/>
    <w:rsid w:val="00805DB4"/>
    <w:rsid w:val="008077CE"/>
    <w:rsid w:val="00810599"/>
    <w:rsid w:val="008170A6"/>
    <w:rsid w:val="00817DDF"/>
    <w:rsid w:val="00821B53"/>
    <w:rsid w:val="00822E90"/>
    <w:rsid w:val="00823593"/>
    <w:rsid w:val="00825DC2"/>
    <w:rsid w:val="00834AD3"/>
    <w:rsid w:val="00843795"/>
    <w:rsid w:val="00843F2E"/>
    <w:rsid w:val="00846E76"/>
    <w:rsid w:val="00847F0F"/>
    <w:rsid w:val="00850FAD"/>
    <w:rsid w:val="00851428"/>
    <w:rsid w:val="00852448"/>
    <w:rsid w:val="00863791"/>
    <w:rsid w:val="008641DA"/>
    <w:rsid w:val="00870FA8"/>
    <w:rsid w:val="00873E14"/>
    <w:rsid w:val="00877F6C"/>
    <w:rsid w:val="0088258A"/>
    <w:rsid w:val="00886332"/>
    <w:rsid w:val="008867DC"/>
    <w:rsid w:val="00887A8A"/>
    <w:rsid w:val="008911E2"/>
    <w:rsid w:val="008925F0"/>
    <w:rsid w:val="00893E27"/>
    <w:rsid w:val="0089448A"/>
    <w:rsid w:val="00896D9D"/>
    <w:rsid w:val="00897877"/>
    <w:rsid w:val="00897922"/>
    <w:rsid w:val="008A26D9"/>
    <w:rsid w:val="008A47B0"/>
    <w:rsid w:val="008A4B6E"/>
    <w:rsid w:val="008A5C1E"/>
    <w:rsid w:val="008A7B5B"/>
    <w:rsid w:val="008B12D2"/>
    <w:rsid w:val="008C0C29"/>
    <w:rsid w:val="008C77F9"/>
    <w:rsid w:val="008C7F39"/>
    <w:rsid w:val="008D02DA"/>
    <w:rsid w:val="008D6BC2"/>
    <w:rsid w:val="008D754D"/>
    <w:rsid w:val="008D76BC"/>
    <w:rsid w:val="008D79B2"/>
    <w:rsid w:val="008E0411"/>
    <w:rsid w:val="008E3275"/>
    <w:rsid w:val="008E7DBA"/>
    <w:rsid w:val="008F0829"/>
    <w:rsid w:val="008F3638"/>
    <w:rsid w:val="008F385A"/>
    <w:rsid w:val="008F4441"/>
    <w:rsid w:val="008F67D8"/>
    <w:rsid w:val="008F695A"/>
    <w:rsid w:val="008F6B20"/>
    <w:rsid w:val="008F6F31"/>
    <w:rsid w:val="008F74DF"/>
    <w:rsid w:val="00902274"/>
    <w:rsid w:val="00905935"/>
    <w:rsid w:val="0090684A"/>
    <w:rsid w:val="009104D4"/>
    <w:rsid w:val="00911ACF"/>
    <w:rsid w:val="009127BA"/>
    <w:rsid w:val="00916135"/>
    <w:rsid w:val="00920436"/>
    <w:rsid w:val="00920AAE"/>
    <w:rsid w:val="009227A6"/>
    <w:rsid w:val="00933EC1"/>
    <w:rsid w:val="00936CE3"/>
    <w:rsid w:val="009408B9"/>
    <w:rsid w:val="00940AE5"/>
    <w:rsid w:val="009425C0"/>
    <w:rsid w:val="009446AD"/>
    <w:rsid w:val="0094749C"/>
    <w:rsid w:val="00950C92"/>
    <w:rsid w:val="0095206E"/>
    <w:rsid w:val="009530DB"/>
    <w:rsid w:val="00953676"/>
    <w:rsid w:val="00956B1E"/>
    <w:rsid w:val="00956F30"/>
    <w:rsid w:val="009611B4"/>
    <w:rsid w:val="00966C9A"/>
    <w:rsid w:val="009705EE"/>
    <w:rsid w:val="00974A54"/>
    <w:rsid w:val="00974D29"/>
    <w:rsid w:val="00977927"/>
    <w:rsid w:val="0098135C"/>
    <w:rsid w:val="0098156A"/>
    <w:rsid w:val="009826E4"/>
    <w:rsid w:val="0098398B"/>
    <w:rsid w:val="00986D3C"/>
    <w:rsid w:val="009873E1"/>
    <w:rsid w:val="00991BAC"/>
    <w:rsid w:val="00993775"/>
    <w:rsid w:val="009A0B98"/>
    <w:rsid w:val="009A26B9"/>
    <w:rsid w:val="009A6EA0"/>
    <w:rsid w:val="009B155D"/>
    <w:rsid w:val="009B1972"/>
    <w:rsid w:val="009C12A7"/>
    <w:rsid w:val="009C1335"/>
    <w:rsid w:val="009C1AB2"/>
    <w:rsid w:val="009C7251"/>
    <w:rsid w:val="009D466C"/>
    <w:rsid w:val="009D7A0D"/>
    <w:rsid w:val="009E0D43"/>
    <w:rsid w:val="009E25E1"/>
    <w:rsid w:val="009E2E91"/>
    <w:rsid w:val="00A01B40"/>
    <w:rsid w:val="00A05677"/>
    <w:rsid w:val="00A10BA5"/>
    <w:rsid w:val="00A139F5"/>
    <w:rsid w:val="00A14146"/>
    <w:rsid w:val="00A24A85"/>
    <w:rsid w:val="00A2668F"/>
    <w:rsid w:val="00A32B36"/>
    <w:rsid w:val="00A32E16"/>
    <w:rsid w:val="00A3528D"/>
    <w:rsid w:val="00A365F4"/>
    <w:rsid w:val="00A36FCB"/>
    <w:rsid w:val="00A44B8F"/>
    <w:rsid w:val="00A47D80"/>
    <w:rsid w:val="00A52B4E"/>
    <w:rsid w:val="00A53132"/>
    <w:rsid w:val="00A563F2"/>
    <w:rsid w:val="00A566E8"/>
    <w:rsid w:val="00A61856"/>
    <w:rsid w:val="00A61E4F"/>
    <w:rsid w:val="00A62D30"/>
    <w:rsid w:val="00A66347"/>
    <w:rsid w:val="00A73F73"/>
    <w:rsid w:val="00A810F9"/>
    <w:rsid w:val="00A82D31"/>
    <w:rsid w:val="00A82EED"/>
    <w:rsid w:val="00A85E7E"/>
    <w:rsid w:val="00A86ECC"/>
    <w:rsid w:val="00A86FCC"/>
    <w:rsid w:val="00A90A6D"/>
    <w:rsid w:val="00A910B5"/>
    <w:rsid w:val="00A971E5"/>
    <w:rsid w:val="00AA0698"/>
    <w:rsid w:val="00AA710D"/>
    <w:rsid w:val="00AB5FC7"/>
    <w:rsid w:val="00AB64F3"/>
    <w:rsid w:val="00AB6D25"/>
    <w:rsid w:val="00AC0DF2"/>
    <w:rsid w:val="00AC3ECE"/>
    <w:rsid w:val="00AD062C"/>
    <w:rsid w:val="00AD086E"/>
    <w:rsid w:val="00AD0C58"/>
    <w:rsid w:val="00AD0E56"/>
    <w:rsid w:val="00AD1704"/>
    <w:rsid w:val="00AD7641"/>
    <w:rsid w:val="00AD7D81"/>
    <w:rsid w:val="00AE229B"/>
    <w:rsid w:val="00AE2D4B"/>
    <w:rsid w:val="00AE4F99"/>
    <w:rsid w:val="00AF1E52"/>
    <w:rsid w:val="00AF499E"/>
    <w:rsid w:val="00B01F63"/>
    <w:rsid w:val="00B06F75"/>
    <w:rsid w:val="00B11B69"/>
    <w:rsid w:val="00B13BAC"/>
    <w:rsid w:val="00B1432B"/>
    <w:rsid w:val="00B14952"/>
    <w:rsid w:val="00B14FBA"/>
    <w:rsid w:val="00B16871"/>
    <w:rsid w:val="00B23582"/>
    <w:rsid w:val="00B25B45"/>
    <w:rsid w:val="00B267FF"/>
    <w:rsid w:val="00B30564"/>
    <w:rsid w:val="00B31DB9"/>
    <w:rsid w:val="00B31E5A"/>
    <w:rsid w:val="00B465D8"/>
    <w:rsid w:val="00B46CBE"/>
    <w:rsid w:val="00B47359"/>
    <w:rsid w:val="00B579AB"/>
    <w:rsid w:val="00B57E19"/>
    <w:rsid w:val="00B62D0B"/>
    <w:rsid w:val="00B653AB"/>
    <w:rsid w:val="00B65F9E"/>
    <w:rsid w:val="00B6639B"/>
    <w:rsid w:val="00B66B19"/>
    <w:rsid w:val="00B81C8F"/>
    <w:rsid w:val="00B8473F"/>
    <w:rsid w:val="00B872AC"/>
    <w:rsid w:val="00B914E9"/>
    <w:rsid w:val="00B916F1"/>
    <w:rsid w:val="00B92C97"/>
    <w:rsid w:val="00B956EE"/>
    <w:rsid w:val="00B95BE9"/>
    <w:rsid w:val="00B96ED8"/>
    <w:rsid w:val="00B97AAF"/>
    <w:rsid w:val="00B97F31"/>
    <w:rsid w:val="00BA2BA1"/>
    <w:rsid w:val="00BA2BA7"/>
    <w:rsid w:val="00BA3447"/>
    <w:rsid w:val="00BA3562"/>
    <w:rsid w:val="00BB0BDB"/>
    <w:rsid w:val="00BB4793"/>
    <w:rsid w:val="00BB4F09"/>
    <w:rsid w:val="00BC0EDF"/>
    <w:rsid w:val="00BC12E2"/>
    <w:rsid w:val="00BC2D48"/>
    <w:rsid w:val="00BC36E6"/>
    <w:rsid w:val="00BC66BD"/>
    <w:rsid w:val="00BD4E33"/>
    <w:rsid w:val="00BE077B"/>
    <w:rsid w:val="00BE2813"/>
    <w:rsid w:val="00BE383F"/>
    <w:rsid w:val="00BE7F14"/>
    <w:rsid w:val="00BF27FA"/>
    <w:rsid w:val="00BF2E69"/>
    <w:rsid w:val="00BF4AA9"/>
    <w:rsid w:val="00BF768F"/>
    <w:rsid w:val="00C013B9"/>
    <w:rsid w:val="00C02AC4"/>
    <w:rsid w:val="00C030DE"/>
    <w:rsid w:val="00C051A8"/>
    <w:rsid w:val="00C10C66"/>
    <w:rsid w:val="00C14F50"/>
    <w:rsid w:val="00C1689D"/>
    <w:rsid w:val="00C20615"/>
    <w:rsid w:val="00C21F58"/>
    <w:rsid w:val="00C22105"/>
    <w:rsid w:val="00C244B6"/>
    <w:rsid w:val="00C247E0"/>
    <w:rsid w:val="00C24B22"/>
    <w:rsid w:val="00C27BF1"/>
    <w:rsid w:val="00C32E34"/>
    <w:rsid w:val="00C34FFB"/>
    <w:rsid w:val="00C35801"/>
    <w:rsid w:val="00C35E76"/>
    <w:rsid w:val="00C36C83"/>
    <w:rsid w:val="00C3702F"/>
    <w:rsid w:val="00C4379C"/>
    <w:rsid w:val="00C4500A"/>
    <w:rsid w:val="00C50128"/>
    <w:rsid w:val="00C52FFC"/>
    <w:rsid w:val="00C56B13"/>
    <w:rsid w:val="00C62238"/>
    <w:rsid w:val="00C64A37"/>
    <w:rsid w:val="00C7158E"/>
    <w:rsid w:val="00C7250B"/>
    <w:rsid w:val="00C72EF8"/>
    <w:rsid w:val="00C72FE2"/>
    <w:rsid w:val="00C7346B"/>
    <w:rsid w:val="00C76710"/>
    <w:rsid w:val="00C77C0E"/>
    <w:rsid w:val="00C83715"/>
    <w:rsid w:val="00C845E3"/>
    <w:rsid w:val="00C91687"/>
    <w:rsid w:val="00C924A8"/>
    <w:rsid w:val="00C945FE"/>
    <w:rsid w:val="00C96FAA"/>
    <w:rsid w:val="00C97A04"/>
    <w:rsid w:val="00CA09BB"/>
    <w:rsid w:val="00CA1065"/>
    <w:rsid w:val="00CA107B"/>
    <w:rsid w:val="00CA300E"/>
    <w:rsid w:val="00CA37FA"/>
    <w:rsid w:val="00CA484D"/>
    <w:rsid w:val="00CA4FB6"/>
    <w:rsid w:val="00CB1E65"/>
    <w:rsid w:val="00CB2CEB"/>
    <w:rsid w:val="00CB2F90"/>
    <w:rsid w:val="00CB689D"/>
    <w:rsid w:val="00CB6AD4"/>
    <w:rsid w:val="00CC0A00"/>
    <w:rsid w:val="00CC0FE6"/>
    <w:rsid w:val="00CC1CB1"/>
    <w:rsid w:val="00CC4420"/>
    <w:rsid w:val="00CC4EBB"/>
    <w:rsid w:val="00CC635A"/>
    <w:rsid w:val="00CC739E"/>
    <w:rsid w:val="00CD0C94"/>
    <w:rsid w:val="00CD1EBB"/>
    <w:rsid w:val="00CD2410"/>
    <w:rsid w:val="00CD28CF"/>
    <w:rsid w:val="00CD402E"/>
    <w:rsid w:val="00CD58B7"/>
    <w:rsid w:val="00CD7967"/>
    <w:rsid w:val="00CE04FB"/>
    <w:rsid w:val="00CE4B64"/>
    <w:rsid w:val="00CF076D"/>
    <w:rsid w:val="00CF0D68"/>
    <w:rsid w:val="00CF111C"/>
    <w:rsid w:val="00CF18EE"/>
    <w:rsid w:val="00CF278D"/>
    <w:rsid w:val="00CF30BD"/>
    <w:rsid w:val="00CF4099"/>
    <w:rsid w:val="00CF5EBF"/>
    <w:rsid w:val="00D00796"/>
    <w:rsid w:val="00D0314E"/>
    <w:rsid w:val="00D04A10"/>
    <w:rsid w:val="00D1265D"/>
    <w:rsid w:val="00D261A2"/>
    <w:rsid w:val="00D262A8"/>
    <w:rsid w:val="00D2709F"/>
    <w:rsid w:val="00D307AD"/>
    <w:rsid w:val="00D30ADE"/>
    <w:rsid w:val="00D31400"/>
    <w:rsid w:val="00D40538"/>
    <w:rsid w:val="00D43306"/>
    <w:rsid w:val="00D616D2"/>
    <w:rsid w:val="00D6351C"/>
    <w:rsid w:val="00D63B5F"/>
    <w:rsid w:val="00D66006"/>
    <w:rsid w:val="00D70EF7"/>
    <w:rsid w:val="00D76F96"/>
    <w:rsid w:val="00D8397C"/>
    <w:rsid w:val="00D94EED"/>
    <w:rsid w:val="00D96026"/>
    <w:rsid w:val="00D972F6"/>
    <w:rsid w:val="00DA331D"/>
    <w:rsid w:val="00DA3C88"/>
    <w:rsid w:val="00DA7C1C"/>
    <w:rsid w:val="00DB0536"/>
    <w:rsid w:val="00DB147A"/>
    <w:rsid w:val="00DB1B7A"/>
    <w:rsid w:val="00DB3752"/>
    <w:rsid w:val="00DB706E"/>
    <w:rsid w:val="00DC6708"/>
    <w:rsid w:val="00DC7DCB"/>
    <w:rsid w:val="00DD011A"/>
    <w:rsid w:val="00DD21BA"/>
    <w:rsid w:val="00DD382C"/>
    <w:rsid w:val="00DE2400"/>
    <w:rsid w:val="00DE58F1"/>
    <w:rsid w:val="00DE6B58"/>
    <w:rsid w:val="00DF0BAD"/>
    <w:rsid w:val="00DF587A"/>
    <w:rsid w:val="00DF5D38"/>
    <w:rsid w:val="00DF5E32"/>
    <w:rsid w:val="00E01436"/>
    <w:rsid w:val="00E027F0"/>
    <w:rsid w:val="00E02F90"/>
    <w:rsid w:val="00E03E79"/>
    <w:rsid w:val="00E045BD"/>
    <w:rsid w:val="00E04D6C"/>
    <w:rsid w:val="00E17B77"/>
    <w:rsid w:val="00E231AB"/>
    <w:rsid w:val="00E23337"/>
    <w:rsid w:val="00E245B1"/>
    <w:rsid w:val="00E259EA"/>
    <w:rsid w:val="00E25D33"/>
    <w:rsid w:val="00E2641A"/>
    <w:rsid w:val="00E32061"/>
    <w:rsid w:val="00E33F48"/>
    <w:rsid w:val="00E33F66"/>
    <w:rsid w:val="00E40A56"/>
    <w:rsid w:val="00E42FF9"/>
    <w:rsid w:val="00E44790"/>
    <w:rsid w:val="00E4714C"/>
    <w:rsid w:val="00E5178D"/>
    <w:rsid w:val="00E51AEB"/>
    <w:rsid w:val="00E522A7"/>
    <w:rsid w:val="00E52651"/>
    <w:rsid w:val="00E5349E"/>
    <w:rsid w:val="00E54452"/>
    <w:rsid w:val="00E55166"/>
    <w:rsid w:val="00E56776"/>
    <w:rsid w:val="00E60642"/>
    <w:rsid w:val="00E610C8"/>
    <w:rsid w:val="00E61970"/>
    <w:rsid w:val="00E63B0C"/>
    <w:rsid w:val="00E664C5"/>
    <w:rsid w:val="00E671A2"/>
    <w:rsid w:val="00E70F8F"/>
    <w:rsid w:val="00E76D26"/>
    <w:rsid w:val="00E76EE5"/>
    <w:rsid w:val="00E93DB8"/>
    <w:rsid w:val="00E948B2"/>
    <w:rsid w:val="00E953FE"/>
    <w:rsid w:val="00E95B8E"/>
    <w:rsid w:val="00EA3CB1"/>
    <w:rsid w:val="00EB0537"/>
    <w:rsid w:val="00EB1390"/>
    <w:rsid w:val="00EB2C71"/>
    <w:rsid w:val="00EB2E72"/>
    <w:rsid w:val="00EB3333"/>
    <w:rsid w:val="00EB4340"/>
    <w:rsid w:val="00EB4F67"/>
    <w:rsid w:val="00EB556D"/>
    <w:rsid w:val="00EB5A7D"/>
    <w:rsid w:val="00EC2817"/>
    <w:rsid w:val="00EC73D3"/>
    <w:rsid w:val="00ED460F"/>
    <w:rsid w:val="00ED55C0"/>
    <w:rsid w:val="00ED5DBC"/>
    <w:rsid w:val="00ED682B"/>
    <w:rsid w:val="00EE41D5"/>
    <w:rsid w:val="00EE4563"/>
    <w:rsid w:val="00EE79FF"/>
    <w:rsid w:val="00EF1488"/>
    <w:rsid w:val="00F0166F"/>
    <w:rsid w:val="00F037A4"/>
    <w:rsid w:val="00F049AB"/>
    <w:rsid w:val="00F07A42"/>
    <w:rsid w:val="00F107D9"/>
    <w:rsid w:val="00F10AD7"/>
    <w:rsid w:val="00F142DB"/>
    <w:rsid w:val="00F145A8"/>
    <w:rsid w:val="00F16054"/>
    <w:rsid w:val="00F24AFD"/>
    <w:rsid w:val="00F24B16"/>
    <w:rsid w:val="00F2640F"/>
    <w:rsid w:val="00F27C8F"/>
    <w:rsid w:val="00F27EAD"/>
    <w:rsid w:val="00F27FDC"/>
    <w:rsid w:val="00F32742"/>
    <w:rsid w:val="00F32749"/>
    <w:rsid w:val="00F33074"/>
    <w:rsid w:val="00F3358C"/>
    <w:rsid w:val="00F33B9E"/>
    <w:rsid w:val="00F37172"/>
    <w:rsid w:val="00F403A0"/>
    <w:rsid w:val="00F4359C"/>
    <w:rsid w:val="00F435E5"/>
    <w:rsid w:val="00F4477E"/>
    <w:rsid w:val="00F46269"/>
    <w:rsid w:val="00F526E6"/>
    <w:rsid w:val="00F60BA8"/>
    <w:rsid w:val="00F619F2"/>
    <w:rsid w:val="00F62E3D"/>
    <w:rsid w:val="00F654F7"/>
    <w:rsid w:val="00F67D8F"/>
    <w:rsid w:val="00F70AB2"/>
    <w:rsid w:val="00F71EF0"/>
    <w:rsid w:val="00F72040"/>
    <w:rsid w:val="00F72306"/>
    <w:rsid w:val="00F740EB"/>
    <w:rsid w:val="00F74F10"/>
    <w:rsid w:val="00F802BE"/>
    <w:rsid w:val="00F80E93"/>
    <w:rsid w:val="00F80F5A"/>
    <w:rsid w:val="00F81003"/>
    <w:rsid w:val="00F8306D"/>
    <w:rsid w:val="00F8530B"/>
    <w:rsid w:val="00F85BAE"/>
    <w:rsid w:val="00F86024"/>
    <w:rsid w:val="00F8611A"/>
    <w:rsid w:val="00F86991"/>
    <w:rsid w:val="00F87D74"/>
    <w:rsid w:val="00F95292"/>
    <w:rsid w:val="00F96CFE"/>
    <w:rsid w:val="00FA1273"/>
    <w:rsid w:val="00FA1FD6"/>
    <w:rsid w:val="00FA2171"/>
    <w:rsid w:val="00FA3299"/>
    <w:rsid w:val="00FA5128"/>
    <w:rsid w:val="00FA68C6"/>
    <w:rsid w:val="00FB42D4"/>
    <w:rsid w:val="00FB5417"/>
    <w:rsid w:val="00FB5906"/>
    <w:rsid w:val="00FB762F"/>
    <w:rsid w:val="00FB78C8"/>
    <w:rsid w:val="00FC2AED"/>
    <w:rsid w:val="00FC3E51"/>
    <w:rsid w:val="00FD149C"/>
    <w:rsid w:val="00FD5EA7"/>
    <w:rsid w:val="00FD63C7"/>
    <w:rsid w:val="00FD7AC4"/>
    <w:rsid w:val="00FE0121"/>
    <w:rsid w:val="00FE11F9"/>
    <w:rsid w:val="00FE36CF"/>
    <w:rsid w:val="00FE5069"/>
    <w:rsid w:val="00FF0246"/>
    <w:rsid w:val="00FF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1B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1B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customStyle="1" w:styleId="Hipercza">
    <w:name w:val="Hiperłącza"/>
    <w:basedOn w:val="Normalny"/>
    <w:qFormat/>
    <w:rsid w:val="00627887"/>
    <w:rPr>
      <w:color w:val="001D77"/>
      <w:sz w:val="18"/>
      <w:szCs w:val="18"/>
      <w:u w:val="single"/>
    </w:rPr>
  </w:style>
  <w:style w:type="paragraph" w:customStyle="1" w:styleId="Tytuhipercza">
    <w:name w:val="Tytuł hiperłącza"/>
    <w:basedOn w:val="Normalny"/>
    <w:qFormat/>
    <w:rsid w:val="00627887"/>
    <w:pPr>
      <w:spacing w:before="360" w:after="0" w:line="288" w:lineRule="auto"/>
    </w:pPr>
    <w:rPr>
      <w:b/>
      <w:szCs w:val="19"/>
    </w:rPr>
  </w:style>
  <w:style w:type="paragraph" w:styleId="Tekstpodstawowy">
    <w:name w:val="Body Text"/>
    <w:basedOn w:val="Normalny"/>
    <w:link w:val="TekstpodstawowyZnak"/>
    <w:uiPriority w:val="1"/>
    <w:qFormat/>
    <w:rsid w:val="008A5C1E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5C1E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D43306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3674F"/>
    <w:rPr>
      <w:color w:val="954F72" w:themeColor="followedHyperlink"/>
      <w:u w:val="single"/>
    </w:rPr>
  </w:style>
  <w:style w:type="paragraph" w:customStyle="1" w:styleId="Zawartoramki">
    <w:name w:val="Zawartość ramki"/>
    <w:basedOn w:val="Normalny"/>
    <w:qFormat/>
    <w:rsid w:val="006D4224"/>
    <w:rPr>
      <w:color w:val="00000A"/>
    </w:rPr>
  </w:style>
  <w:style w:type="table" w:customStyle="1" w:styleId="Siatkatabelijasna1">
    <w:name w:val="Siatka tabeli — jasna1"/>
    <w:basedOn w:val="Standardowy"/>
    <w:uiPriority w:val="40"/>
    <w:rsid w:val="006D4224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217196"/>
    <w:pPr>
      <w:spacing w:after="0" w:line="240" w:lineRule="auto"/>
    </w:pPr>
    <w:rPr>
      <w:rFonts w:ascii="Fira Sans" w:hAnsi="Fira Sans"/>
      <w:sz w:val="19"/>
    </w:rPr>
  </w:style>
  <w:style w:type="paragraph" w:styleId="Adresnakopercie">
    <w:name w:val="envelope address"/>
    <w:basedOn w:val="Normalny"/>
    <w:uiPriority w:val="99"/>
    <w:semiHidden/>
    <w:unhideWhenUsed/>
    <w:rsid w:val="005E1B75"/>
    <w:pPr>
      <w:framePr w:w="7920" w:h="1980" w:hRule="exact" w:hSpace="141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5E1B75"/>
    <w:pPr>
      <w:spacing w:before="0"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zodstpw">
    <w:name w:val="No Spacing"/>
    <w:uiPriority w:val="1"/>
    <w:rsid w:val="005E1B75"/>
    <w:pPr>
      <w:spacing w:after="0" w:line="240" w:lineRule="auto"/>
    </w:pPr>
    <w:rPr>
      <w:rFonts w:ascii="Fira Sans" w:hAnsi="Fira Sans"/>
      <w:sz w:val="19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5E1B75"/>
  </w:style>
  <w:style w:type="paragraph" w:styleId="Cytat">
    <w:name w:val="Quote"/>
    <w:basedOn w:val="Normalny"/>
    <w:next w:val="Normalny"/>
    <w:link w:val="CytatZnak"/>
    <w:uiPriority w:val="29"/>
    <w:qFormat/>
    <w:rsid w:val="005E1B7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1B75"/>
    <w:rPr>
      <w:rFonts w:ascii="Fira Sans" w:hAnsi="Fira Sans"/>
      <w:i/>
      <w:iCs/>
      <w:color w:val="404040" w:themeColor="text1" w:themeTint="BF"/>
      <w:sz w:val="19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1B7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1B75"/>
    <w:rPr>
      <w:rFonts w:ascii="Fira Sans" w:hAnsi="Fira Sans"/>
      <w:i/>
      <w:iCs/>
      <w:color w:val="5B9BD5" w:themeColor="accent1"/>
      <w:sz w:val="19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5E1B75"/>
  </w:style>
  <w:style w:type="character" w:customStyle="1" w:styleId="DataZnak">
    <w:name w:val="Data Znak"/>
    <w:basedOn w:val="Domylnaczcionkaakapitu"/>
    <w:link w:val="Data"/>
    <w:uiPriority w:val="99"/>
    <w:semiHidden/>
    <w:rsid w:val="005E1B75"/>
    <w:rPr>
      <w:rFonts w:ascii="Fira Sans" w:hAnsi="Fira Sans"/>
      <w:sz w:val="19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5E1B75"/>
    <w:pPr>
      <w:spacing w:before="0"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5E1B75"/>
    <w:rPr>
      <w:rFonts w:ascii="Fira Sans" w:hAnsi="Fira Sans"/>
      <w:i/>
      <w:iCs/>
      <w:sz w:val="19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E1B75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E1B75"/>
    <w:rPr>
      <w:rFonts w:ascii="Consolas" w:hAnsi="Consolas"/>
      <w:sz w:val="20"/>
      <w:szCs w:val="20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5E1B75"/>
    <w:pPr>
      <w:spacing w:before="0" w:after="0" w:line="240" w:lineRule="auto"/>
      <w:ind w:left="190" w:hanging="19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5E1B75"/>
    <w:pPr>
      <w:spacing w:before="0" w:after="0" w:line="240" w:lineRule="auto"/>
      <w:ind w:left="380" w:hanging="19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5E1B75"/>
    <w:pPr>
      <w:spacing w:before="0" w:after="0" w:line="240" w:lineRule="auto"/>
      <w:ind w:left="570" w:hanging="19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5E1B75"/>
    <w:pPr>
      <w:spacing w:before="0" w:after="0" w:line="240" w:lineRule="auto"/>
      <w:ind w:left="760" w:hanging="19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5E1B75"/>
    <w:pPr>
      <w:spacing w:before="0" w:after="0" w:line="240" w:lineRule="auto"/>
      <w:ind w:left="950" w:hanging="19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5E1B75"/>
    <w:pPr>
      <w:spacing w:before="0" w:after="0" w:line="240" w:lineRule="auto"/>
      <w:ind w:left="1140" w:hanging="19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5E1B75"/>
    <w:pPr>
      <w:spacing w:before="0" w:after="0" w:line="240" w:lineRule="auto"/>
      <w:ind w:left="1330" w:hanging="19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5E1B75"/>
    <w:pPr>
      <w:spacing w:before="0" w:after="0" w:line="240" w:lineRule="auto"/>
      <w:ind w:left="1520" w:hanging="19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5E1B75"/>
    <w:pPr>
      <w:spacing w:before="0" w:after="0" w:line="240" w:lineRule="auto"/>
      <w:ind w:left="1710" w:hanging="190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5E1B75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5E1B75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5E1B75"/>
    <w:pPr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5E1B75"/>
    <w:pPr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5E1B75"/>
    <w:pPr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5E1B75"/>
    <w:pPr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5E1B75"/>
    <w:pPr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5E1B75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5E1B75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5E1B75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5E1B75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5E1B75"/>
    <w:pPr>
      <w:numPr>
        <w:numId w:val="7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5E1B75"/>
    <w:pPr>
      <w:numPr>
        <w:numId w:val="8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5E1B75"/>
    <w:pPr>
      <w:numPr>
        <w:numId w:val="9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5E1B75"/>
    <w:pPr>
      <w:numPr>
        <w:numId w:val="10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5E1B75"/>
    <w:pPr>
      <w:numPr>
        <w:numId w:val="11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5E1B75"/>
    <w:pPr>
      <w:numPr>
        <w:numId w:val="12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5E1B75"/>
    <w:pPr>
      <w:numPr>
        <w:numId w:val="13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5E1B75"/>
    <w:pPr>
      <w:numPr>
        <w:numId w:val="14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5E1B75"/>
    <w:pPr>
      <w:numPr>
        <w:numId w:val="15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5E1B75"/>
    <w:pPr>
      <w:numPr>
        <w:numId w:val="16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E1B75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E1B75"/>
    <w:rPr>
      <w:rFonts w:ascii="Segoe UI" w:hAnsi="Segoe UI" w:cs="Segoe UI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1B75"/>
    <w:rPr>
      <w:rFonts w:asciiTheme="majorHAnsi" w:eastAsiaTheme="majorEastAsia" w:hAnsiTheme="majorHAnsi" w:cstheme="majorBidi"/>
      <w:color w:val="1F4D78" w:themeColor="accent1" w:themeShade="7F"/>
      <w:sz w:val="19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1B75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5E1B75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5E1B75"/>
    <w:pPr>
      <w:spacing w:before="0"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5E1B75"/>
    <w:rPr>
      <w:rFonts w:ascii="Fira Sans" w:hAnsi="Fira Sans"/>
      <w:sz w:val="1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E1B75"/>
    <w:pPr>
      <w:keepLines/>
      <w:spacing w:before="240" w:after="0" w:line="240" w:lineRule="exac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sz w:val="32"/>
      <w:szCs w:val="32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5E1B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5E1B7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5E1B75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5E1B75"/>
    <w:rPr>
      <w:rFonts w:ascii="Times New Roman" w:hAnsi="Times New Roman" w:cs="Times New Roman"/>
      <w:sz w:val="24"/>
      <w:szCs w:val="24"/>
    </w:rPr>
  </w:style>
  <w:style w:type="paragraph" w:styleId="Podpis">
    <w:name w:val="Signature"/>
    <w:basedOn w:val="Normalny"/>
    <w:link w:val="PodpisZnak"/>
    <w:uiPriority w:val="99"/>
    <w:semiHidden/>
    <w:unhideWhenUsed/>
    <w:rsid w:val="005E1B75"/>
    <w:pPr>
      <w:spacing w:before="0"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5E1B75"/>
    <w:rPr>
      <w:rFonts w:ascii="Fira Sans" w:hAnsi="Fira Sans"/>
      <w:sz w:val="19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5E1B75"/>
    <w:pPr>
      <w:spacing w:before="0"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5E1B75"/>
    <w:rPr>
      <w:rFonts w:ascii="Fira Sans" w:hAnsi="Fira Sans"/>
      <w:sz w:val="19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1B7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E1B75"/>
    <w:rPr>
      <w:rFonts w:eastAsiaTheme="minorEastAsia"/>
      <w:color w:val="5A5A5A" w:themeColor="text1" w:themeTint="A5"/>
      <w:spacing w:val="15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5E1B75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E1B7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5E1B75"/>
    <w:pPr>
      <w:spacing w:after="100"/>
      <w:ind w:left="19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5E1B75"/>
    <w:pPr>
      <w:spacing w:after="100"/>
      <w:ind w:left="38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5E1B75"/>
    <w:pPr>
      <w:spacing w:after="100"/>
      <w:ind w:left="57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5E1B75"/>
    <w:pPr>
      <w:spacing w:after="100"/>
      <w:ind w:left="76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5E1B75"/>
    <w:pPr>
      <w:spacing w:after="100"/>
      <w:ind w:left="95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5E1B75"/>
    <w:pPr>
      <w:spacing w:after="100"/>
      <w:ind w:left="114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5E1B75"/>
    <w:pPr>
      <w:spacing w:after="100"/>
      <w:ind w:left="133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5E1B75"/>
    <w:pPr>
      <w:spacing w:after="100"/>
      <w:ind w:left="1520"/>
    </w:pPr>
  </w:style>
  <w:style w:type="paragraph" w:styleId="Tekstblokowy">
    <w:name w:val="Block Text"/>
    <w:basedOn w:val="Normalny"/>
    <w:uiPriority w:val="99"/>
    <w:semiHidden/>
    <w:unhideWhenUsed/>
    <w:rsid w:val="005E1B75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Tekstmakra">
    <w:name w:val="macro"/>
    <w:link w:val="TekstmakraZnak"/>
    <w:uiPriority w:val="99"/>
    <w:semiHidden/>
    <w:unhideWhenUsed/>
    <w:rsid w:val="005E1B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exact"/>
    </w:pPr>
    <w:rPr>
      <w:rFonts w:ascii="Consolas" w:hAnsi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5E1B75"/>
    <w:rPr>
      <w:rFonts w:ascii="Consolas" w:hAnsi="Consolas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E1B75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E1B75"/>
    <w:rPr>
      <w:rFonts w:ascii="Fira Sans" w:hAnsi="Fira Sans"/>
      <w:sz w:val="19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E1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E1B75"/>
    <w:rPr>
      <w:rFonts w:ascii="Fira Sans" w:hAnsi="Fira Sans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E1B75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E1B75"/>
    <w:rPr>
      <w:rFonts w:ascii="Fira Sans" w:hAnsi="Fira Sans"/>
      <w:sz w:val="19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E1B75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E1B75"/>
    <w:rPr>
      <w:rFonts w:ascii="Fira Sans" w:hAnsi="Fira Sans"/>
      <w:sz w:val="19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E1B75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E1B75"/>
    <w:rPr>
      <w:rFonts w:ascii="Fira Sans" w:hAnsi="Fira Sans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5E1B75"/>
    <w:pPr>
      <w:widowControl/>
      <w:autoSpaceDE/>
      <w:autoSpaceDN/>
      <w:adjustRightInd/>
      <w:spacing w:before="120" w:after="120" w:line="240" w:lineRule="exact"/>
      <w:ind w:left="0" w:firstLine="360"/>
    </w:pPr>
    <w:rPr>
      <w:rFonts w:eastAsiaTheme="minorHAnsi" w:cstheme="minorBidi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5E1B75"/>
    <w:rPr>
      <w:rFonts w:ascii="Fira Sans" w:eastAsia="Times New Roman" w:hAnsi="Fira Sans" w:cs="Fira Sans"/>
      <w:sz w:val="19"/>
      <w:szCs w:val="19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5E1B75"/>
    <w:pPr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5E1B75"/>
    <w:rPr>
      <w:rFonts w:ascii="Fira Sans" w:hAnsi="Fira Sans"/>
      <w:sz w:val="1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1B7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1B75"/>
    <w:rPr>
      <w:rFonts w:ascii="Fira Sans" w:hAnsi="Fira Sans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E1B75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1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Wcicienormalne">
    <w:name w:val="Normal Indent"/>
    <w:basedOn w:val="Normalny"/>
    <w:uiPriority w:val="99"/>
    <w:semiHidden/>
    <w:unhideWhenUsed/>
    <w:rsid w:val="005E1B75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5E1B75"/>
    <w:pPr>
      <w:spacing w:after="0"/>
      <w:ind w:left="190" w:hanging="190"/>
    </w:p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5E1B75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5E1B75"/>
    <w:rPr>
      <w:rFonts w:ascii="Fira Sans" w:hAnsi="Fira Sans"/>
      <w:sz w:val="19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5E1B75"/>
    <w:pPr>
      <w:spacing w:before="0"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5E1B75"/>
    <w:rPr>
      <w:rFonts w:ascii="Fira Sans" w:hAnsi="Fira Sans"/>
      <w:sz w:val="19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E1B75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E1B7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obszary-tematyczne/kultura-turystyka-sport/kultura/przemysly-kultury-i-kreatywne-w-2020-roku,21,4.html" TargetMode="External"/><Relationship Id="rId39" Type="http://schemas.openxmlformats.org/officeDocument/2006/relationships/footer" Target="footer3.xml"/><Relationship Id="rId21" Type="http://schemas.openxmlformats.org/officeDocument/2006/relationships/image" Target="media/image9.png"/><Relationship Id="rId34" Type="http://schemas.openxmlformats.org/officeDocument/2006/relationships/hyperlink" Target="https://stat.gov.pl/metainformacje/slownik-pojec/pojecia-stosowane-w-statystyce-publicznej/449,pojecie.html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8.png"/><Relationship Id="rId29" Type="http://schemas.openxmlformats.org/officeDocument/2006/relationships/hyperlink" Target="https://stat.gov.pl/metainformacje/slownik-pojec/pojecia-stosowane-w-statystyce-publicznej/3775,pojecie.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image" Target="media/image12.png"/><Relationship Id="rId32" Type="http://schemas.openxmlformats.org/officeDocument/2006/relationships/hyperlink" Target="https://stat.gov.pl/metainformacje/slownik-pojec/pojecia-stosowane-w-statystyce-publicznej/376,pojecie.html" TargetMode="External"/><Relationship Id="rId37" Type="http://schemas.openxmlformats.org/officeDocument/2006/relationships/hyperlink" Target="https://stat.gov.pl/metainformacje/slownik-pojec/pojecia-stosowane-w-statystyce-publicznej/3390,pojecie.html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11.png"/><Relationship Id="rId28" Type="http://schemas.openxmlformats.org/officeDocument/2006/relationships/hyperlink" Target="https://stat.gov.pl/metainformacje/slownik-pojec/pojecia-stosowane-w-statystyce-publicznej/3774,pojecie.html" TargetMode="External"/><Relationship Id="rId36" Type="http://schemas.openxmlformats.org/officeDocument/2006/relationships/hyperlink" Target="https://stat.gov.pl/metainformacje/slownik-pojec/pojecia-stosowane-w-statystyce-publicznej/583,pojecie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hyperlink" Target="https://stat.gov.pl/metainformacje/slownik-pojec/pojecia-stosowane-w-statystyce-publicznej/693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10.png"/><Relationship Id="rId27" Type="http://schemas.openxmlformats.org/officeDocument/2006/relationships/hyperlink" Target="https://stat.gov.pl/obszary-tematyczne/kultura-turystyka-sport/kultura/kultura-i-dziedzictwo-narodowe-w-2021-r-,2,19.html" TargetMode="External"/><Relationship Id="rId30" Type="http://schemas.openxmlformats.org/officeDocument/2006/relationships/hyperlink" Target="https://stat.gov.pl/metainformacje/slownik-pojec/pojecia-stosowane-w-statystyce-publicznej/158,pojecie.html" TargetMode="External"/><Relationship Id="rId35" Type="http://schemas.openxmlformats.org/officeDocument/2006/relationships/hyperlink" Target="https://stat.gov.pl/metainformacje/slownik-pojec/pojecia-stosowane-w-statystyce-publicznej/3806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kultura-turystyka-sport/kultura/przemysly-kultury-i-kreatywne-w-latach-2014-2016,19,1.html" TargetMode="External"/><Relationship Id="rId33" Type="http://schemas.openxmlformats.org/officeDocument/2006/relationships/hyperlink" Target="https://stat.gov.pl/metainformacje/slownik-pojec/pojecia-stosowane-w-statystyce-publicznej/395,pojecie.html" TargetMode="External"/><Relationship Id="rId38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NazwaPliku xmlns="AD3641B4-23D9-4536-AF9E-7D0EADDEB824">01.Przemysly kultury i kreatywne w 2021 r..docx.docx</NazwaPliku>
    <Osoba xmlns="AD3641B4-23D9-4536-AF9E-7D0EADDEB824">STAT\CZARNECKAK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3860D-A843-4C34-8D15-97ADF51FF552}"/>
</file>

<file path=customXml/itemProps2.xml><?xml version="1.0" encoding="utf-8"?>
<ds:datastoreItem xmlns:ds="http://schemas.openxmlformats.org/officeDocument/2006/customXml" ds:itemID="{E5777B78-E118-4B87-A243-489012129A67}"/>
</file>

<file path=customXml/itemProps3.xml><?xml version="1.0" encoding="utf-8"?>
<ds:datastoreItem xmlns:ds="http://schemas.openxmlformats.org/officeDocument/2006/customXml" ds:itemID="{E05948E0-458B-4090-9EFE-890DDF758AB9}"/>
</file>

<file path=customXml/itemProps4.xml><?xml version="1.0" encoding="utf-8"?>
<ds:datastoreItem xmlns:ds="http://schemas.openxmlformats.org/officeDocument/2006/customXml" ds:itemID="{97F10034-325F-4216-A23A-D8B8FDD71D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2152</Words>
  <Characters>12826</Characters>
  <Application>Microsoft Office Word</Application>
  <DocSecurity>0</DocSecurity>
  <Lines>328</Lines>
  <Paragraphs>197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Przemysły kultury i kreatywne w 2021 r.</vt:lpstr>
    </vt:vector>
  </TitlesOfParts>
  <Company>Główny Urząd Statystyczny</Company>
  <LinksUpToDate>false</LinksUpToDate>
  <CharactersWithSpaces>14781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Przemysły kultury i kreatywne w 2021 r.</dc:title>
  <dc:subject>Wyniki finansowe instytucji kultury</dc:subject>
  <cp:keywords>Przemysły kultury i kreatywne</cp:keywords>
  <dc:description/>
  <cp:lastPrinted>2023-03-20T13:35:00Z</cp:lastPrinted>
  <dcterms:created xsi:type="dcterms:W3CDTF">2023-03-20T13:17:00Z</dcterms:created>
  <dcterms:modified xsi:type="dcterms:W3CDTF">2023-03-20T13:35:00Z</dcterms:modified>
  <cp:category>Kultura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2022-28926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Morawska Beata</vt:lpwstr>
  </property>
  <property fmtid="{D5CDD505-2E9C-101B-9397-08002B2CF9AE}" pid="7" name="AutorInicjaly">
    <vt:lpwstr>BM</vt:lpwstr>
  </property>
  <property fmtid="{D5CDD505-2E9C-101B-9397-08002B2CF9AE}" pid="8" name="AutorNrTelefonu">
    <vt:lpwstr>37-15</vt:lpwstr>
  </property>
  <property fmtid="{D5CDD505-2E9C-101B-9397-08002B2CF9AE}" pid="9" name="Stanowisko">
    <vt:lpwstr>główny specjalista</vt:lpwstr>
  </property>
  <property fmtid="{D5CDD505-2E9C-101B-9397-08002B2CF9AE}" pid="10" name="OpisPisma">
    <vt:lpwstr>Wzory informacji sygnalnych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2022-02-04</vt:lpwstr>
  </property>
  <property fmtid="{D5CDD505-2E9C-101B-9397-08002B2CF9AE}" pid="14" name="Wydzial">
    <vt:lpwstr>Wydział Opracowań Graficznych</vt:lpwstr>
  </property>
  <property fmtid="{D5CDD505-2E9C-101B-9397-08002B2CF9AE}" pid="15" name="KodWydzialu">
    <vt:lpwstr>OS-03</vt:lpwstr>
  </property>
  <property fmtid="{D5CDD505-2E9C-101B-9397-08002B2CF9AE}" pid="16" name="ZaakceptowanePrzez">
    <vt:lpwstr>n/d</vt:lpwstr>
  </property>
  <property fmtid="{D5CDD505-2E9C-101B-9397-08002B2CF9AE}" pid="17" name="PrzekazanieDo">
    <vt:lpwstr>Karolina Banaszek</vt:lpwstr>
  </property>
  <property fmtid="{D5CDD505-2E9C-101B-9397-08002B2CF9AE}" pid="18" name="PrzekazanieDoStanowisko">
    <vt:lpwstr>zastępca dyrektora departamentu</vt:lpwstr>
  </property>
  <property fmtid="{D5CDD505-2E9C-101B-9397-08002B2CF9AE}" pid="19" name="PrzekazanieDoKomorkaPracownika">
    <vt:lpwstr>Z-ca Dyrektora DK(DK-II)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