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9BA01" w14:textId="04B462B6" w:rsidR="00A148D7" w:rsidRPr="00190A26" w:rsidRDefault="00CE23B4" w:rsidP="00190A26">
      <w:pPr>
        <w:pStyle w:val="Tytuinfomacjisygnalnej"/>
      </w:pPr>
      <w:r w:rsidRPr="00587CE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467FC5">
                <wp:simplePos x="0" y="0"/>
                <wp:positionH relativeFrom="margin">
                  <wp:posOffset>-12065</wp:posOffset>
                </wp:positionH>
                <wp:positionV relativeFrom="paragraph">
                  <wp:posOffset>977900</wp:posOffset>
                </wp:positionV>
                <wp:extent cx="2345055" cy="1248410"/>
                <wp:effectExtent l="0" t="0" r="0" b="8890"/>
                <wp:wrapSquare wrapText="bothSides"/>
                <wp:docPr id="6" name="Pole tekstowe 2" descr="1,4% Wzrost przeciętnego zatrudnienia w 2022 r. w gospodarce narodowej w stosunku do roku poprzedn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2484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A6297" w14:textId="77777777" w:rsidR="00190A26" w:rsidRPr="00190A26" w:rsidRDefault="00190A26" w:rsidP="00190A2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0A26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1,4%</w:t>
                            </w:r>
                          </w:p>
                          <w:p w14:paraId="718C57B1" w14:textId="6CDBB590" w:rsidR="00373050" w:rsidRPr="00190A26" w:rsidRDefault="00190A26" w:rsidP="00190A26">
                            <w:pPr>
                              <w:pStyle w:val="Opiswskanika"/>
                            </w:pPr>
                            <w:r w:rsidRPr="00190A26">
                              <w:t xml:space="preserve">Wzrost przeciętnego zatrudnienia w 2022 r. w gospodarce narodowej </w:t>
                            </w:r>
                            <w:r w:rsidR="004A6BF9">
                              <w:t>w stosunku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,4% Wzrost przeciętnego zatrudnienia w 2022 r. w gospodarce narodowej w stosunku do roku poprzedniego&#10;" style="position:absolute;margin-left:-.95pt;margin-top:77pt;width:184.65pt;height:98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" fillcolor="#001d77" stroked="f">
                <v:stroke joinstyle="miter"/>
                <v:textbox>
                  <w:txbxContent>
                    <w:p w14:paraId="0BFA6297" w14:textId="77777777" w:rsidR="00190A26" w:rsidRPr="00190A26" w:rsidRDefault="00190A26" w:rsidP="00190A2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0A26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1,4%</w:t>
                      </w:r>
                    </w:p>
                    <w:p w14:paraId="718C57B1" w14:textId="6CDBB590" w:rsidR="00373050" w:rsidRPr="00190A26" w:rsidRDefault="00190A26" w:rsidP="00190A26">
                      <w:pPr>
                        <w:pStyle w:val="Opiswskanika"/>
                      </w:pPr>
                      <w:r w:rsidRPr="00190A26">
                        <w:t xml:space="preserve">Wzrost przeciętnego zatrudnienia w 2022 r. w gospodarce narodowej </w:t>
                      </w:r>
                      <w:r w:rsidR="004A6BF9">
                        <w:t>w stosunku do 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0A26" w:rsidRPr="00190A26">
        <w:t>Przeciętne</w:t>
      </w:r>
      <w:r w:rsidR="00190A26">
        <w:t xml:space="preserve"> zatrudnienie i wynagrodzenia w </w:t>
      </w:r>
      <w:r w:rsidR="00190A26" w:rsidRPr="00190A26">
        <w:t>gospodarce narodowej w 2022 r. – dane wstępne</w:t>
      </w:r>
    </w:p>
    <w:p w14:paraId="666C5FAC" w14:textId="5F7B1DC7" w:rsidR="006D7409" w:rsidRPr="00157508" w:rsidRDefault="00190A26" w:rsidP="008B4635">
      <w:pPr>
        <w:pStyle w:val="Lead"/>
        <w:spacing w:before="240" w:after="1080"/>
      </w:pPr>
      <w:r w:rsidRPr="00190A26">
        <w:t>Według danych wstępnych w 2022 r. przeciętne zatrudnienie w gospodarce narodo</w:t>
      </w:r>
      <w:r>
        <w:t>wej wyniosło 11,0 mln etatów. W </w:t>
      </w:r>
      <w:r w:rsidRPr="00190A26">
        <w:t>stosunku do poprzedniego roku było to więcej o 1,4%.</w:t>
      </w:r>
    </w:p>
    <w:p w14:paraId="25165F08" w14:textId="63B099F5" w:rsidR="00190A26" w:rsidRDefault="00176FB7" w:rsidP="008B4635">
      <w:pPr>
        <w:pStyle w:val="Nagwek1"/>
      </w:pPr>
      <w:r w:rsidRPr="00176FB7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AD5E498" wp14:editId="61835A86">
                <wp:simplePos x="0" y="0"/>
                <wp:positionH relativeFrom="column">
                  <wp:posOffset>5255895</wp:posOffset>
                </wp:positionH>
                <wp:positionV relativeFrom="paragraph">
                  <wp:posOffset>135890</wp:posOffset>
                </wp:positionV>
                <wp:extent cx="1760855" cy="1067435"/>
                <wp:effectExtent l="0" t="0" r="0" b="0"/>
                <wp:wrapTight wrapText="bothSides">
                  <wp:wrapPolygon edited="0">
                    <wp:start x="701" y="0"/>
                    <wp:lineTo x="701" y="21202"/>
                    <wp:lineTo x="20798" y="21202"/>
                    <wp:lineTo x="20798" y="0"/>
                    <wp:lineTo x="701" y="0"/>
                  </wp:wrapPolygon>
                </wp:wrapTight>
                <wp:docPr id="3" name="Pole tekstowe 3" descr="Przeciętne zatrudnienie uwzględnia pracowników pełnozatrudnionych oraz niepełnozatrudnionych w przeliczeniu na pełne eta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DD6E" w14:textId="45E2792A"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Przeciętne zatrudnienie uwzględnia pracowników pełnozatrudnionych oraz niepełnozatrudnionych w przeliczeniu na pełne etaty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5E498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eciętne zatrudnienie uwzględnia pracowników pełnozatrudnionych oraz niepełnozatrudnionych w przeliczeniu na pełne etaty" style="position:absolute;margin-left:413.85pt;margin-top:10.7pt;width:138.65pt;height:84.0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" filled="f" stroked="f">
                <v:textbox>
                  <w:txbxContent>
                    <w:p w14:paraId="024BDD6E" w14:textId="45E2792A"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Przeciętne zatrudnienie uwzględnia pracowników pełnozatrudnionych oraz niepełnozatrudnionych w przeliczeniu na pełne etaty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635" w:rsidRPr="008B4635">
        <w:t>Przeciętne zatrudnienie w gospodarce narodowej</w:t>
      </w:r>
    </w:p>
    <w:p w14:paraId="017DCE5A" w14:textId="27C31D14" w:rsidR="00190A26" w:rsidRDefault="008B4635" w:rsidP="008B4635">
      <w:pPr>
        <w:spacing w:line="288" w:lineRule="auto"/>
      </w:pPr>
      <w:r w:rsidRPr="008B4635">
        <w:t>W 2022 r</w:t>
      </w:r>
      <w:r>
        <w:t>.</w:t>
      </w:r>
      <w:r w:rsidRPr="008B4635">
        <w:t xml:space="preserve"> najwięcej etatów skupionych było w sekcji Przetwórstwo przemysłowe – 23,2% przeciętnego zatrudnienia ogółem. W odniesieniu do 2021 r. przeciętne zatrudnienie zmniejszyło się w pięciu sekcjach, najwyższy spadek odno</w:t>
      </w:r>
      <w:r>
        <w:t>towano w sekcjach Wytwarzanie i </w:t>
      </w:r>
      <w:r w:rsidRPr="008B4635">
        <w:t>zaopatrywanie w energię elektryczną, gaz, parę</w:t>
      </w:r>
      <w:r w:rsidRPr="00537B7A">
        <w:t xml:space="preserve"> </w:t>
      </w:r>
      <w:r w:rsidR="0011503D" w:rsidRPr="00537B7A">
        <w:t xml:space="preserve">wodną </w:t>
      </w:r>
      <w:r w:rsidRPr="00537B7A">
        <w:t>i</w:t>
      </w:r>
      <w:r w:rsidRPr="008B4635">
        <w:t xml:space="preserve"> gorącą wodę</w:t>
      </w:r>
      <w:r w:rsidRPr="008B4635">
        <w:rPr>
          <w:vertAlign w:val="superscript"/>
        </w:rPr>
        <w:t>∆</w:t>
      </w:r>
      <w:r w:rsidRPr="008B4635">
        <w:t xml:space="preserve"> oraz Rolnictwo, leśnictwo, łowiectwo i rybactwo (po 1,2%). W stosunku do 2021 r. przeciętne zatrudnienie najbardziej wzrosło w sekcjach Informacja i komunikacja </w:t>
      </w:r>
      <w:r w:rsidR="00537B7A">
        <w:t>(o 10,2%) oraz Zakwaterowanie i </w:t>
      </w:r>
      <w:r w:rsidRPr="008B4635">
        <w:t>gastronomia</w:t>
      </w:r>
      <w:r w:rsidRPr="008B4635">
        <w:rPr>
          <w:vertAlign w:val="superscript"/>
        </w:rPr>
        <w:t>∆</w:t>
      </w:r>
      <w:r w:rsidRPr="008B4635">
        <w:t xml:space="preserve"> (o 7,1%).</w:t>
      </w:r>
    </w:p>
    <w:p w14:paraId="69D40F82" w14:textId="4C87DE32" w:rsidR="008B4635" w:rsidRPr="00176FB7" w:rsidRDefault="00176FB7" w:rsidP="00176FB7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 w:rsidRPr="008B4635"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335D530E" wp14:editId="1487C4BF">
            <wp:simplePos x="0" y="0"/>
            <wp:positionH relativeFrom="column">
              <wp:posOffset>0</wp:posOffset>
            </wp:positionH>
            <wp:positionV relativeFrom="paragraph">
              <wp:posOffset>475961</wp:posOffset>
            </wp:positionV>
            <wp:extent cx="5041265" cy="4577715"/>
            <wp:effectExtent l="0" t="0" r="6985" b="0"/>
            <wp:wrapTopAndBottom/>
            <wp:docPr id="2" name="Obraz 2" descr="Na wykresie przedstawiono przeciętne zatrudnienie w gospodarce narodowej według sekcji PKD w tys. etatów. Dane zaprezentowane na wykresie są danymi wstępnymi. Najwyższe przeciętne zatrudnienie wystąpiło w sekcji Przetwórstwo przemysłowe, natomiast najniższe w sekcji Wytwarzanie i zaopatrywanie w energię elektryczną, gaz, parę wodną i gorącą wodę.&#10;Zmiana przeciętnego zatrudnienia w stosunku do 2021 r.&#10;Wykres przedstawia zmianę przeciętnego zatrudnienia w stosunku do 2021 r. Dane zaprezentowane na wykresie są danymi wstępnymi. Najwyższa zmiana w przeciętnym zatrudnieniu wystąpiła w sekcji Informacja i komunikacja, z kolei najniższa w sekcji Administrowanie i działalność wspierająca.&#10;" title="Wykres 1 . Przeciętne zatrudnienie w gospodarce narodowej według sekcji PKD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bdg01\WOU_SHARE\PUBLIKACJE\PUBLIKACJE_2023\SYGNALNE\przec_zatrudn_i_wynagrodz_w_gosp_narod_w_2022_dane_wstepne\jpg\wykres_01_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635" w:rsidRPr="00176FB7">
        <w:rPr>
          <w:sz w:val="19"/>
          <w:szCs w:val="19"/>
        </w:rPr>
        <w:t xml:space="preserve">Wykres 1 . Przeciętne zatrudnienie w gospodarce narodowej według sekcji PKD w 2022 r. </w:t>
      </w:r>
      <w:r>
        <w:rPr>
          <w:sz w:val="19"/>
          <w:szCs w:val="19"/>
        </w:rPr>
        <w:br/>
      </w:r>
      <w:r w:rsidR="008B4635" w:rsidRPr="00176FB7">
        <w:rPr>
          <w:sz w:val="19"/>
          <w:szCs w:val="19"/>
        </w:rPr>
        <w:t>– dane wstępne</w:t>
      </w:r>
    </w:p>
    <w:p w14:paraId="4639A6F2" w14:textId="09E25FF5" w:rsidR="008B4635" w:rsidRDefault="008B4635" w:rsidP="008B4635">
      <w:pPr>
        <w:spacing w:line="288" w:lineRule="auto"/>
      </w:pPr>
    </w:p>
    <w:p w14:paraId="14C80B15" w14:textId="77777777" w:rsidR="00176FB7" w:rsidRPr="00132C82" w:rsidRDefault="00176FB7" w:rsidP="00176FB7">
      <w:pPr>
        <w:pStyle w:val="Nagwek1"/>
        <w:rPr>
          <w:b/>
        </w:rPr>
      </w:pPr>
      <w:r w:rsidRPr="0090365E">
        <w:rPr>
          <w:noProof/>
        </w:rPr>
        <w:lastRenderedPageBreak/>
        <w:t>Prz</w:t>
      </w:r>
      <w:r>
        <w:rPr>
          <w:noProof/>
        </w:rPr>
        <w:t>eciętne miesięczne wynagrodzenia</w:t>
      </w:r>
      <w:r w:rsidRPr="0090365E">
        <w:rPr>
          <w:noProof/>
        </w:rPr>
        <w:t xml:space="preserve"> brutto w gospodarce narodowej</w:t>
      </w:r>
    </w:p>
    <w:p w14:paraId="595DE9F0" w14:textId="77777777" w:rsidR="00176FB7" w:rsidRDefault="00176FB7" w:rsidP="00176FB7">
      <w:r w:rsidRPr="00A808F0">
        <w:t>Według danych wstępnych prze</w:t>
      </w:r>
      <w:r>
        <w:t xml:space="preserve">ciętne miesięczne wynagrodzenie </w:t>
      </w:r>
      <w:r w:rsidRPr="00A808F0">
        <w:t xml:space="preserve">brutto w gospodarce narodowej </w:t>
      </w:r>
      <w:r>
        <w:t>w Polsce w 2022</w:t>
      </w:r>
      <w:r w:rsidRPr="00A808F0">
        <w:t xml:space="preserve"> r. wyniosło </w:t>
      </w:r>
      <w:r>
        <w:t>6346,15 zł. W porównaniu z 2021</w:t>
      </w:r>
      <w:r w:rsidRPr="00A808F0">
        <w:t xml:space="preserve"> r. wzrosło </w:t>
      </w:r>
      <w:r>
        <w:t>nominalnie</w:t>
      </w:r>
      <w:r>
        <w:br/>
      </w:r>
      <w:r w:rsidRPr="00A808F0">
        <w:t xml:space="preserve">o </w:t>
      </w:r>
      <w:r>
        <w:t>11,7</w:t>
      </w:r>
      <w:r w:rsidRPr="00A808F0">
        <w:t>%.</w:t>
      </w:r>
      <w:r>
        <w:t xml:space="preserve"> </w:t>
      </w:r>
      <w:r w:rsidRPr="00A808F0">
        <w:t xml:space="preserve">Jest to </w:t>
      </w:r>
      <w:r w:rsidRPr="00616CFA">
        <w:t xml:space="preserve">wzrost </w:t>
      </w:r>
      <w:r>
        <w:t>większy niż notowany w 2021</w:t>
      </w:r>
      <w:r w:rsidRPr="00A808F0">
        <w:t xml:space="preserve"> r.</w:t>
      </w:r>
      <w:r>
        <w:t xml:space="preserve"> w porównaniu z 2020</w:t>
      </w:r>
      <w:r w:rsidRPr="00A808F0">
        <w:t xml:space="preserve"> r. </w:t>
      </w:r>
      <w:r>
        <w:t>– </w:t>
      </w:r>
      <w:r w:rsidRPr="00A808F0">
        <w:t>przeciętne miesięczne wynagrodzenie brutto wzrosło</w:t>
      </w:r>
      <w:r>
        <w:t xml:space="preserve"> wówczas</w:t>
      </w:r>
      <w:r w:rsidRPr="00A808F0">
        <w:t xml:space="preserve"> o </w:t>
      </w:r>
      <w:r>
        <w:t>8,7</w:t>
      </w:r>
      <w:r w:rsidRPr="00A808F0">
        <w:t xml:space="preserve">%. </w:t>
      </w:r>
    </w:p>
    <w:p w14:paraId="02E476B4" w14:textId="45F85963" w:rsidR="00176FB7" w:rsidRPr="00A808F0" w:rsidRDefault="00176FB7" w:rsidP="00176FB7">
      <w:r w:rsidRPr="00A808F0">
        <w:t xml:space="preserve">Przeciętne miesięczne wynagrodzenie brutto </w:t>
      </w:r>
      <w:r w:rsidRPr="00042EEB">
        <w:t xml:space="preserve">według sekcji PKD </w:t>
      </w:r>
      <w:r w:rsidRPr="00A808F0">
        <w:t xml:space="preserve">pozostało </w:t>
      </w:r>
      <w:r>
        <w:t>nadal zróżnicowane. W 2022</w:t>
      </w:r>
      <w:r w:rsidRPr="00A808F0">
        <w:t xml:space="preserve"> r. wah</w:t>
      </w:r>
      <w:r>
        <w:t xml:space="preserve">ało się od </w:t>
      </w:r>
      <w:r w:rsidRPr="009755FB">
        <w:t>4127,68</w:t>
      </w:r>
      <w:r>
        <w:t xml:space="preserve"> zł w sekcji Z</w:t>
      </w:r>
      <w:r w:rsidRPr="00A808F0">
        <w:t>akwaterowanie i gastronomia</w:t>
      </w:r>
      <w:r w:rsidRPr="00A808F0">
        <w:rPr>
          <w:vertAlign w:val="superscript"/>
        </w:rPr>
        <w:t>∆</w:t>
      </w:r>
      <w:r>
        <w:t xml:space="preserve"> do 11101,46 zł w sekcji Górnictwo i wydobywanie</w:t>
      </w:r>
      <w:r w:rsidRPr="00A808F0">
        <w:t>. Było to odpowiednio o 3</w:t>
      </w:r>
      <w:r>
        <w:t xml:space="preserve">5,0% mniej i o 74,9% więcej </w:t>
      </w:r>
      <w:r w:rsidRPr="00A808F0">
        <w:t xml:space="preserve">od przeciętnego miesięcznego wynagrodzenia brutto w Polsce. </w:t>
      </w:r>
    </w:p>
    <w:p w14:paraId="61AFD80B" w14:textId="73C4601B" w:rsidR="00176FB7" w:rsidRDefault="00176FB7" w:rsidP="00176FB7">
      <w:pPr>
        <w:spacing w:before="360" w:line="240" w:lineRule="auto"/>
        <w:ind w:left="851" w:hanging="851"/>
        <w:rPr>
          <w:b/>
          <w:szCs w:val="19"/>
        </w:rPr>
      </w:pPr>
      <w:r w:rsidRPr="00606E66">
        <w:rPr>
          <w:b/>
          <w:noProof/>
          <w:color w:val="FF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835FB91" wp14:editId="270DE484">
                <wp:simplePos x="0" y="0"/>
                <wp:positionH relativeFrom="page">
                  <wp:posOffset>5720080</wp:posOffset>
                </wp:positionH>
                <wp:positionV relativeFrom="paragraph">
                  <wp:posOffset>5034280</wp:posOffset>
                </wp:positionV>
                <wp:extent cx="1739265" cy="1199515"/>
                <wp:effectExtent l="0" t="0" r="0" b="635"/>
                <wp:wrapTight wrapText="bothSides">
                  <wp:wrapPolygon edited="0">
                    <wp:start x="710" y="0"/>
                    <wp:lineTo x="710" y="21268"/>
                    <wp:lineTo x="20819" y="21268"/>
                    <wp:lineTo x="20819" y="0"/>
                    <wp:lineTo x="710" y="0"/>
                  </wp:wrapPolygon>
                </wp:wrapTight>
                <wp:docPr id="4" name="Pole tekstowe 4" descr="W 2022 r. w stosunku do 2021 r. przeciętne miesięczne wynagrodzenie nominalne brutto w gospodarce narodowej wzrosło o 11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80C05" w14:textId="143F1B4B"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 xml:space="preserve">W 2022 r. w stosunku </w:t>
                            </w:r>
                            <w:r w:rsidRPr="000A2282">
                              <w:br/>
                              <w:t xml:space="preserve">do 2021 r. przeciętne </w:t>
                            </w:r>
                            <w:r w:rsidRPr="000A2282">
                              <w:br/>
                              <w:t>miesięczne wynagrodzenie nominalne brutto w gospodarce narodowej wzrosło o 11,7%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FB91" id="Pole tekstowe 4" o:spid="_x0000_s1028" type="#_x0000_t202" alt="W 2022 r. w stosunku do 2021 r. przeciętne miesięczne wynagrodzenie nominalne brutto w gospodarce narodowej wzrosło o 11,7%&#10;" style="position:absolute;left:0;text-align:left;margin-left:450.4pt;margin-top:396.4pt;width:136.95pt;height:94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" filled="f" stroked="f">
                <v:textbox>
                  <w:txbxContent>
                    <w:p w14:paraId="61E80C05" w14:textId="143F1B4B"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 xml:space="preserve">W 2022 r. w stosunku </w:t>
                      </w:r>
                      <w:r w:rsidRPr="000A2282">
                        <w:br/>
                        <w:t xml:space="preserve">do 2021 r. przeciętne </w:t>
                      </w:r>
                      <w:r w:rsidRPr="000A2282">
                        <w:br/>
                        <w:t>miesięczne wynagrodzenie nominalne brutto w gospodarce narodowej wzrosło o 11,7%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76FB7">
        <w:rPr>
          <w:noProof/>
          <w:szCs w:val="19"/>
          <w:lang w:eastAsia="pl-PL"/>
        </w:rPr>
        <w:drawing>
          <wp:anchor distT="0" distB="0" distL="114300" distR="114300" simplePos="0" relativeHeight="251758592" behindDoc="0" locked="0" layoutInCell="1" allowOverlap="1" wp14:anchorId="120542EF" wp14:editId="1948C7D3">
            <wp:simplePos x="0" y="0"/>
            <wp:positionH relativeFrom="column">
              <wp:posOffset>0</wp:posOffset>
            </wp:positionH>
            <wp:positionV relativeFrom="paragraph">
              <wp:posOffset>486492</wp:posOffset>
            </wp:positionV>
            <wp:extent cx="5041265" cy="4548505"/>
            <wp:effectExtent l="0" t="0" r="6985" b="4445"/>
            <wp:wrapTopAndBottom/>
            <wp:docPr id="17" name="Obraz 17" descr="Na wykresie przedstawiono przeciętne miesięczne wynagrodzenia brutto w gospodarce narodowej według sekcji PKD w tys. zł. Dane zaprezentowane na wykresie są danymi wstępnymi. Największą wartość przeciętnego miesięcznego wynagrodzenia brutto odnotowano w sekcji Górnictwo i wydobywanie, natomiast najmniejszą w sekcji Zakwaterowanie i gastronomia.&#10;Zmiana przeciętnych miesięcznych wynagrodzeń nominalnych brutto w stosunku do 2021 r.&#10;Wykres przedstawia zmianę przeciętnych miesięcznych wynagrodzeń nominalnych brutto w stosunku do 2021 r. Dane zaprezentowane na wykresie są danymi wstępnymi. Największy wzrost przeciętnego miesięcznego wynagrodzenia brutto wystąpił w sekcji Górnictwo i wydobywanie, natomiast najmniejszy w sekcji Edukacja. &#10;" title="Wykres 2. Przeciętne miesięczne wynagrodzenia brutto w gospodarce narodowej według sekcji PKD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bdg01\WOU_SHARE\PUBLIKACJE\PUBLIKACJE_2023\SYGNALNE\przec_zatrudn_i_wynagrodz_w_gosp_narod_w_2022_dane_wstepne\jpg\wykres_02_p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FB7">
        <w:rPr>
          <w:b/>
          <w:szCs w:val="19"/>
        </w:rPr>
        <w:t xml:space="preserve">Wykres 2. Przeciętne miesięczne wynagrodzenia brutto w gospodarce narodowej według </w:t>
      </w:r>
      <w:r>
        <w:rPr>
          <w:b/>
          <w:szCs w:val="19"/>
        </w:rPr>
        <w:br/>
      </w:r>
      <w:r w:rsidRPr="00176FB7">
        <w:rPr>
          <w:b/>
          <w:szCs w:val="19"/>
        </w:rPr>
        <w:t>sekcji PKD w 2022 r</w:t>
      </w:r>
      <w:r>
        <w:rPr>
          <w:b/>
          <w:szCs w:val="19"/>
        </w:rPr>
        <w:t>.</w:t>
      </w:r>
      <w:r w:rsidR="00F16408">
        <w:rPr>
          <w:b/>
          <w:szCs w:val="19"/>
        </w:rPr>
        <w:t xml:space="preserve"> </w:t>
      </w:r>
      <w:r w:rsidR="00F16408" w:rsidRPr="00F16408">
        <w:rPr>
          <w:b/>
          <w:szCs w:val="19"/>
        </w:rPr>
        <w:t>– dane wstępne</w:t>
      </w:r>
    </w:p>
    <w:p w14:paraId="1E21F80E" w14:textId="750D7E7E" w:rsidR="00176FB7" w:rsidRPr="00A808F0" w:rsidRDefault="00176FB7" w:rsidP="00176FB7">
      <w:pPr>
        <w:spacing w:before="360"/>
      </w:pPr>
      <w:r w:rsidRPr="00A808F0">
        <w:t>We wszystkich</w:t>
      </w:r>
      <w:r>
        <w:t xml:space="preserve"> sekcjach PKD w stosunku do 2021</w:t>
      </w:r>
      <w:r w:rsidRPr="00A808F0">
        <w:t xml:space="preserve"> r. zanotowano wzrost przeciętnego miesięcznego wynagrodzenia </w:t>
      </w:r>
      <w:r>
        <w:t xml:space="preserve">nominalnego </w:t>
      </w:r>
      <w:r w:rsidRPr="00A808F0">
        <w:t>brutto. Wzros</w:t>
      </w:r>
      <w:r>
        <w:t>t ten wyniósł od 5,9% w sekcji Edukacja do 22,6% w sekcji Górnictwo i wydobywanie</w:t>
      </w:r>
      <w:r w:rsidRPr="00A808F0">
        <w:t>.</w:t>
      </w:r>
    </w:p>
    <w:p w14:paraId="7871A7F6" w14:textId="77777777" w:rsidR="00176FB7" w:rsidRPr="00176FB7" w:rsidRDefault="00176FB7" w:rsidP="00176FB7">
      <w:pPr>
        <w:pStyle w:val="Nagwek1"/>
        <w:rPr>
          <w:noProof/>
        </w:rPr>
      </w:pPr>
      <w:r w:rsidRPr="00176FB7">
        <w:rPr>
          <w:noProof/>
        </w:rPr>
        <w:t>Minimalne wynagrodzenie brutto</w:t>
      </w:r>
    </w:p>
    <w:p w14:paraId="3B457982" w14:textId="030DBA24" w:rsidR="00176FB7" w:rsidRPr="00176FB7" w:rsidRDefault="00176FB7" w:rsidP="00176FB7">
      <w:pPr>
        <w:rPr>
          <w:shd w:val="clear" w:color="auto" w:fill="FFFFFF"/>
        </w:rPr>
      </w:pPr>
      <w:r w:rsidRPr="00176FB7">
        <w:t>W 2022 r. minimalne wynagrodzenie brutto wzrosło w stosunku do 2021 r. o 2</w:t>
      </w:r>
      <w:r>
        <w:t>10,00 zł i </w:t>
      </w:r>
      <w:r w:rsidRPr="00176FB7">
        <w:t>wyniosło 3010,00 zł. Stanowiło ono 47,9% przeciętnego mies</w:t>
      </w:r>
      <w:r>
        <w:t>ięcznego wynagrodzenia brutto w </w:t>
      </w:r>
      <w:r w:rsidRPr="00176FB7">
        <w:t>gospodarce narodowej bez wypłat nagród rocznych</w:t>
      </w:r>
      <w:r w:rsidRPr="00176FB7">
        <w:rPr>
          <w:vertAlign w:val="superscript"/>
        </w:rPr>
        <w:footnoteReference w:id="1"/>
      </w:r>
      <w:r w:rsidRPr="00176FB7">
        <w:t>. Według danych wstępnych w grudniu 2022 r. wynagrodzenie, które było równe lub niższe niż minimalne wynagrodzenie brutto pobierało 402,6 tys. zatrudnionych osób</w:t>
      </w:r>
      <w:r w:rsidRPr="00176FB7">
        <w:rPr>
          <w:vertAlign w:val="superscript"/>
        </w:rPr>
        <w:footnoteReference w:id="2"/>
      </w:r>
      <w:r w:rsidRPr="00176FB7">
        <w:t>.</w:t>
      </w:r>
    </w:p>
    <w:p w14:paraId="3B80C84A" w14:textId="3991BA38" w:rsidR="00176FB7" w:rsidRPr="00176FB7" w:rsidRDefault="00287018" w:rsidP="00176FB7">
      <w:pPr>
        <w:spacing w:before="84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 xml:space="preserve">Znak (∆) </w:t>
      </w:r>
      <w:bookmarkStart w:id="0" w:name="_GoBack"/>
      <w:bookmarkEnd w:id="0"/>
      <w:r w:rsidR="00176FB7" w:rsidRPr="00176FB7">
        <w:rPr>
          <w:szCs w:val="19"/>
          <w:shd w:val="clear" w:color="auto" w:fill="FFFFFF"/>
        </w:rPr>
        <w:t>— oznacza, że nazwy zostały skrócone w stosunku do obowiązującej klasyfikacji;</w:t>
      </w:r>
      <w:r w:rsidR="00176FB7" w:rsidRPr="00176FB7">
        <w:rPr>
          <w:szCs w:val="19"/>
          <w:shd w:val="clear" w:color="auto" w:fill="FFFFFF"/>
        </w:rPr>
        <w:br/>
        <w:t xml:space="preserve">ich pełne nazwy dostępne są na stronie GUS pod adresem: </w:t>
      </w:r>
      <w:hyperlink r:id="rId13" w:history="1">
        <w:r w:rsidR="00176FB7" w:rsidRPr="00176FB7">
          <w:rPr>
            <w:color w:val="0000FF"/>
            <w:szCs w:val="19"/>
            <w:u w:val="single"/>
            <w:shd w:val="clear" w:color="auto" w:fill="FFFFFF"/>
          </w:rPr>
          <w:t>http://stat.gov.pl/Klasyfikacje/.</w:t>
        </w:r>
      </w:hyperlink>
    </w:p>
    <w:p w14:paraId="4809D44B" w14:textId="602E0CD9"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DF1A6B5"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41A1AE38" w14:textId="3CD3E04F"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5425F0B4" w14:textId="5DF634AE"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7D74457" w14:textId="77777777" w:rsidR="00176FB7" w:rsidRPr="00176FB7" w:rsidRDefault="00176FB7" w:rsidP="00176FB7">
            <w:pPr>
              <w:shd w:val="clear" w:color="auto" w:fill="D9D9D9" w:themeFill="background1" w:themeFillShade="D9"/>
              <w:rPr>
                <w:b/>
              </w:rPr>
            </w:pPr>
            <w:r w:rsidRPr="00176FB7">
              <w:rPr>
                <w:b/>
              </w:rPr>
              <w:t>Powiązane opracowania</w:t>
            </w:r>
          </w:p>
          <w:p w14:paraId="5865968B" w14:textId="77777777" w:rsidR="00176FB7" w:rsidRPr="00FE5D55" w:rsidRDefault="00176FB7" w:rsidP="00176FB7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Pr="00176FB7">
              <w:rPr>
                <w:color w:val="001D77"/>
                <w:szCs w:val="19"/>
              </w:rPr>
              <w:instrText>HYPERLINK "https://stat.gov.pl/obszary-tematyczne/roczniki-statystyczne/roczniki-statystyczne/rocznik-statystyczny-pracy-2021,7,7.html" \o "Link do opracowania pt. Rocznik Statystyczny Pracy 2021"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Rocznik Statystyczny Pracy 2021</w:t>
            </w:r>
          </w:p>
          <w:p w14:paraId="4C4D43A3" w14:textId="77777777" w:rsidR="00176FB7" w:rsidRPr="00FE5D55" w:rsidRDefault="00176FB7" w:rsidP="00176FB7">
            <w:pPr>
              <w:rPr>
                <w:rFonts w:cs="Times New Roman"/>
                <w:b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color w:val="001D77"/>
                <w:szCs w:val="19"/>
              </w:rPr>
              <w:fldChar w:fldCharType="begin"/>
            </w:r>
            <w:r w:rsidRPr="00176FB7">
              <w:rPr>
                <w:color w:val="001D77"/>
                <w:szCs w:val="19"/>
              </w:rPr>
              <w:instrText>HYPERLINK "http://stat.gov.pl/publikacje/szukaj.html?topic=11&amp;page=2" \o "Link do opracowania pt. Inne opracowania dot. rynku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Inne opracowania dot. rynku pracy</w:t>
            </w:r>
          </w:p>
          <w:p w14:paraId="4B28A8B1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1DC7E64" w14:textId="77777777" w:rsidR="00176FB7" w:rsidRPr="00FE5D55" w:rsidRDefault="00287018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hyperlink r:id="rId25" w:tooltip="Link do danych w bazie: Bank Danych lokalnych -&gt; Rynek pracy " w:history="1">
              <w:r w:rsidR="00176FB7" w:rsidRPr="00FE5D55">
                <w:rPr>
                  <w:rFonts w:cs="Times New Roman"/>
                  <w:color w:val="001D77"/>
                  <w:szCs w:val="19"/>
                  <w:u w:val="single"/>
                </w:rPr>
                <w:t>Bank Danych lokalnych -&gt; Rynek pracy</w:t>
              </w:r>
            </w:hyperlink>
            <w:r w:rsidR="00176FB7" w:rsidRPr="00FE5D55">
              <w:rPr>
                <w:rFonts w:cs="Times New Roman"/>
                <w:color w:val="001D77"/>
                <w:szCs w:val="19"/>
                <w:u w:val="single"/>
              </w:rPr>
              <w:t xml:space="preserve"> </w:t>
            </w:r>
          </w:p>
          <w:p w14:paraId="32E9B857" w14:textId="77777777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Pr="00176FB7">
              <w:rPr>
                <w:color w:val="001D77"/>
                <w:szCs w:val="19"/>
              </w:rPr>
              <w:instrText>HYPERLINK "http://old-strateg.stat.gov.pl/Home/Strateg" \o "Link do danych w bazie: Strateg -&gt; Obszary tematyczne -&gt; Rynek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Strateg -&gt; Obszary tematyczne -&gt; Rynek pracy</w:t>
            </w:r>
          </w:p>
          <w:p w14:paraId="4B51BEBE" w14:textId="6DEACF02"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begin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instrText>HYPERLINK "http://swaid.stat.gov.pl/SitePages/StronaGlownaDBW.aspx" \o "Link do danych w bazie: Dziedzinowa Baza Wiedzy -&gt; Rynek pracy"</w:instrText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Dziedzinowa Baza Wiedzy -&gt; Rynek pracy</w:t>
            </w:r>
          </w:p>
          <w:p w14:paraId="1A0F5066" w14:textId="77777777"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88C1692" w14:textId="2A4474FC" w:rsidR="00176FB7" w:rsidRPr="00176FB7" w:rsidRDefault="00176FB7" w:rsidP="00176FB7">
            <w:pPr>
              <w:rPr>
                <w:rFonts w:cs="Times New Roman"/>
                <w:color w:val="001D77"/>
                <w:u w:val="single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begin"/>
            </w:r>
            <w:r>
              <w:rPr>
                <w:rFonts w:cs="Times New Roman"/>
                <w:color w:val="001D77"/>
                <w:u w:val="single"/>
              </w:rPr>
              <w:instrText>HYPERLINK "http://stat.gov.pl/metainformacje/slownik-pojec/pojecia-stosowane-w-statystyce-publicznej/376,pojecie.html" \o "Link do słownika pojęć: Przeciętne zatrudnienie"</w:instrText>
            </w:r>
            <w:r w:rsidRPr="00176FB7">
              <w:rPr>
                <w:rFonts w:cs="Times New Roman"/>
                <w:color w:val="001D77"/>
                <w:u w:val="single"/>
              </w:rPr>
              <w:fldChar w:fldCharType="separate"/>
            </w:r>
            <w:r w:rsidRPr="00176FB7">
              <w:rPr>
                <w:rFonts w:cs="Times New Roman"/>
                <w:color w:val="001D77"/>
                <w:u w:val="single"/>
              </w:rPr>
              <w:t>Przeciętne zatrudnienie</w:t>
            </w:r>
          </w:p>
          <w:p w14:paraId="59EB7117" w14:textId="114ABDC0" w:rsidR="00531873" w:rsidRPr="00FE5D55" w:rsidRDefault="00176FB7" w:rsidP="00176FB7">
            <w:pPr>
              <w:spacing w:after="600"/>
              <w:rPr>
                <w:b/>
                <w:color w:val="001D77"/>
                <w:szCs w:val="24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end"/>
            </w:r>
            <w:hyperlink r:id="rId26" w:history="1">
              <w:r w:rsidRPr="00FE5D55">
                <w:rPr>
                  <w:color w:val="001D77"/>
                  <w:szCs w:val="24"/>
                  <w:u w:val="single"/>
                </w:rPr>
                <w:t>Przeciętne miesięczne wynagrodzenie brutto</w:t>
              </w:r>
            </w:hyperlink>
          </w:p>
        </w:tc>
      </w:tr>
    </w:tbl>
    <w:p w14:paraId="1634A8FA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AA550" w14:textId="77777777" w:rsidR="00E6314E" w:rsidRDefault="00E6314E" w:rsidP="000662E2">
      <w:pPr>
        <w:spacing w:after="0" w:line="240" w:lineRule="auto"/>
      </w:pPr>
      <w:r>
        <w:separator/>
      </w:r>
    </w:p>
  </w:endnote>
  <w:endnote w:type="continuationSeparator" w:id="0">
    <w:p w14:paraId="3974D6A3" w14:textId="77777777" w:rsidR="00E6314E" w:rsidRDefault="00E631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B3EE052-2D3B-4A2C-9A92-C5C166A75097}"/>
    <w:embedBold r:id="rId2" w:fontKey="{3221A98E-EE17-4B08-8DA6-CD3EADF219FF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717E6CA-05D6-49C7-8EEF-B4090E975359}"/>
    <w:embedBold r:id="rId4" w:fontKey="{8A99E16C-5F62-4D39-9B24-38F01326F24F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75241D4-3DA0-4D52-98E3-21D4FEBEC2B8}"/>
    <w:embedBold r:id="rId6" w:fontKey="{E3669CA4-995D-43A4-B503-3966657E32CB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349DD08-E08A-4CF2-998E-581BC81060B3}"/>
    <w:embedItalic r:id="rId8" w:fontKey="{C11E1BB2-A05B-4387-B0FB-7CA5E7CFB5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B791B0D-E274-482C-99D2-080AB4FDFA5A}"/>
  </w:font>
  <w:font w:name="Fira Sans Extra Condensed SemiB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38E1226-06BB-443A-9483-A12191DF8F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B7DD09E-2B3F-4501-AF9A-B1A3E22464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2914911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01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1127F3EE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01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64CC78D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01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C3382" w14:textId="77777777" w:rsidR="00E6314E" w:rsidRDefault="00E6314E" w:rsidP="000662E2">
      <w:pPr>
        <w:spacing w:after="0" w:line="240" w:lineRule="auto"/>
      </w:pPr>
      <w:r>
        <w:separator/>
      </w:r>
    </w:p>
  </w:footnote>
  <w:footnote w:type="continuationSeparator" w:id="0">
    <w:p w14:paraId="2B0B11ED" w14:textId="77777777" w:rsidR="00E6314E" w:rsidRDefault="00E6314E" w:rsidP="000662E2">
      <w:pPr>
        <w:spacing w:after="0" w:line="240" w:lineRule="auto"/>
      </w:pPr>
      <w:r>
        <w:continuationSeparator/>
      </w:r>
    </w:p>
  </w:footnote>
  <w:footnote w:id="1">
    <w:p w14:paraId="735354DA" w14:textId="77777777" w:rsidR="00176FB7" w:rsidRPr="006E732C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Z tytułu udziału w zysku do podziału i w nadwyżce bilansowej w spółdzielniach oraz dodatkowe wynagrodzenia roczne dla pracowników jednostek sfery budżetowej.</w:t>
      </w:r>
    </w:p>
  </w:footnote>
  <w:footnote w:id="2">
    <w:p w14:paraId="5EEB2D39" w14:textId="77777777" w:rsidR="00176FB7" w:rsidRPr="00F16408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Dane dotyczą podmiotów gospodarki narodowej o liczbie pracujących 10 i więcej osób oraz jednostek sfery budżetowej niezależnie od liczby pracujących.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94780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1A8E00A" w:rsidR="00F37172" w:rsidRPr="00A01B40" w:rsidRDefault="00176FB7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7B2FEB"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9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0lHgU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71A8E00A" w:rsidR="00F37172" w:rsidRPr="00A01B40" w:rsidRDefault="00176FB7" w:rsidP="00F049AB">
                    <w:pPr>
                      <w:pStyle w:val="Datainformacjisygnalnej"/>
                    </w:pPr>
                    <w:r>
                      <w:t>19</w:t>
                    </w:r>
                    <w:r w:rsidR="00DE6B58">
                      <w:t>.</w:t>
                    </w:r>
                    <w:r w:rsidR="007B2FEB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7B2FEB"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20.5pt;height:23.5pt;visibility:visible;mso-wrap-style:square" o:bullet="t">
        <v:imagedata r:id="rId3" o:title=""/>
      </v:shape>
    </w:pict>
  </w:numPicBullet>
  <w:numPicBullet w:numPicBulletId="3">
    <w:pict>
      <v:shape id="_x0000_i1029" type="#_x0000_t75" style="width:20.5pt;height:23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DD6"/>
    <w:rsid w:val="00097840"/>
    <w:rsid w:val="000A2282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503D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76FB7"/>
    <w:rsid w:val="00190A26"/>
    <w:rsid w:val="001951DA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16634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87018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A6BF9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37B7A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91534"/>
    <w:rsid w:val="00693880"/>
    <w:rsid w:val="00694AF0"/>
    <w:rsid w:val="006A3FBF"/>
    <w:rsid w:val="006A4686"/>
    <w:rsid w:val="006B0E9E"/>
    <w:rsid w:val="006B486D"/>
    <w:rsid w:val="006B5AE4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2C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34AD3"/>
    <w:rsid w:val="00843795"/>
    <w:rsid w:val="00847F0F"/>
    <w:rsid w:val="00852448"/>
    <w:rsid w:val="0085362C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4635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27BA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7251"/>
    <w:rsid w:val="009D0892"/>
    <w:rsid w:val="009E2E91"/>
    <w:rsid w:val="00A01B40"/>
    <w:rsid w:val="00A01C66"/>
    <w:rsid w:val="00A139F5"/>
    <w:rsid w:val="00A148D7"/>
    <w:rsid w:val="00A16921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D04DF"/>
    <w:rsid w:val="00AD0E56"/>
    <w:rsid w:val="00AE229B"/>
    <w:rsid w:val="00AE2D4B"/>
    <w:rsid w:val="00AE4F99"/>
    <w:rsid w:val="00B11AE5"/>
    <w:rsid w:val="00B11B69"/>
    <w:rsid w:val="00B14952"/>
    <w:rsid w:val="00B16101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C60A4"/>
    <w:rsid w:val="00BD4E33"/>
    <w:rsid w:val="00C030DE"/>
    <w:rsid w:val="00C04AA3"/>
    <w:rsid w:val="00C051A8"/>
    <w:rsid w:val="00C166E9"/>
    <w:rsid w:val="00C22105"/>
    <w:rsid w:val="00C244B6"/>
    <w:rsid w:val="00C27BF1"/>
    <w:rsid w:val="00C310E6"/>
    <w:rsid w:val="00C3702F"/>
    <w:rsid w:val="00C4500A"/>
    <w:rsid w:val="00C50F83"/>
    <w:rsid w:val="00C62238"/>
    <w:rsid w:val="00C64A37"/>
    <w:rsid w:val="00C66F9B"/>
    <w:rsid w:val="00C7158E"/>
    <w:rsid w:val="00C7250B"/>
    <w:rsid w:val="00C7346B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7B77"/>
    <w:rsid w:val="00E231AB"/>
    <w:rsid w:val="00E23337"/>
    <w:rsid w:val="00E24F9F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14E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5ACA"/>
    <w:rsid w:val="00ED682B"/>
    <w:rsid w:val="00EE41D5"/>
    <w:rsid w:val="00F0166F"/>
    <w:rsid w:val="00F037A4"/>
    <w:rsid w:val="00F03D62"/>
    <w:rsid w:val="00F049AB"/>
    <w:rsid w:val="00F142DB"/>
    <w:rsid w:val="00F16408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D7549"/>
    <w:rsid w:val="00FE36CF"/>
    <w:rsid w:val="00FE5D55"/>
    <w:rsid w:val="00FE74C8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at.gov.pl/Klasyfikacje/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0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sygnalna_Przeciętne zatrudnienie i wynagrodzenia w gospodarce narodowej w 2022 r. – dane wstępne.docx.docx</NazwaPliku>
    <Osoba xmlns="AD3641B4-23D9-4536-AF9E-7D0EADDEB824">STAT\GORKAM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DA5B9-95A8-44B7-A582-1530505E652D}"/>
</file>

<file path=customXml/itemProps2.xml><?xml version="1.0" encoding="utf-8"?>
<ds:datastoreItem xmlns:ds="http://schemas.openxmlformats.org/officeDocument/2006/customXml" ds:itemID="{2FE5E234-4AE0-40F2-9631-AC4A8152C518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2FE5E234-4AE0-40F2-9631-AC4A8152C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678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wynagrodzenia w gospodarce narodowej w 2022 r. – dane wstępne</vt:lpstr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wynagrodzenia w gospodarce narodowej w 2022 r. – dane wstępne</dc:title>
  <dc:subject/>
  <cp:keywords/>
  <dc:description/>
  <cp:lastPrinted>2023-02-23T07:13:00Z</cp:lastPrinted>
  <dcterms:created xsi:type="dcterms:W3CDTF">2023-06-12T11:12:00Z</dcterms:created>
  <dcterms:modified xsi:type="dcterms:W3CDTF">2023-06-13T09:33:00Z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