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DD" w:rsidRPr="00560C2A" w:rsidRDefault="00FE5CB2" w:rsidP="00720CDD">
      <w:pPr>
        <w:pStyle w:val="Tytuinfomacjisygnalnej"/>
      </w:pPr>
      <w:r w:rsidRPr="008317CE">
        <w:rPr>
          <w:color w:val="auto"/>
        </w:rPr>
        <w:t>Popyt</w:t>
      </w:r>
      <w:r w:rsidR="003D7DDE">
        <w:rPr>
          <w:color w:val="auto"/>
        </w:rPr>
        <w:t xml:space="preserve"> na pracę w pierwszym</w:t>
      </w:r>
      <w:r w:rsidRPr="008317CE">
        <w:rPr>
          <w:color w:val="auto"/>
        </w:rPr>
        <w:t xml:space="preserve"> kwarta</w:t>
      </w:r>
      <w:r w:rsidR="003D7DDE">
        <w:rPr>
          <w:color w:val="auto"/>
        </w:rPr>
        <w:t>le</w:t>
      </w:r>
      <w:r w:rsidR="008317CE" w:rsidRPr="008317CE">
        <w:rPr>
          <w:color w:val="auto"/>
        </w:rPr>
        <w:t xml:space="preserve"> 2023</w:t>
      </w:r>
      <w:r w:rsidR="00495BD4" w:rsidRPr="008317CE">
        <w:rPr>
          <w:color w:val="auto"/>
        </w:rPr>
        <w:t xml:space="preserve"> r.</w:t>
      </w:r>
      <w:r w:rsidR="00495BD4">
        <w:t xml:space="preserve"> </w:t>
      </w:r>
    </w:p>
    <w:p w:rsidR="00FA069A" w:rsidRPr="003D7DDE" w:rsidRDefault="003D7DDE" w:rsidP="00A2052E">
      <w:pPr>
        <w:pStyle w:val="Lead"/>
        <w:rPr>
          <w:color w:val="000000" w:themeColor="text1"/>
        </w:rPr>
      </w:pPr>
      <w:r w:rsidRPr="008317CE">
        <w:rPr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6FECF" wp14:editId="57E10136">
                <wp:simplePos x="0" y="0"/>
                <wp:positionH relativeFrom="margin">
                  <wp:posOffset>0</wp:posOffset>
                </wp:positionH>
                <wp:positionV relativeFrom="paragraph">
                  <wp:posOffset>29295</wp:posOffset>
                </wp:positionV>
                <wp:extent cx="2101850" cy="1316990"/>
                <wp:effectExtent l="0" t="0" r="0" b="0"/>
                <wp:wrapSquare wrapText="bothSides"/>
                <wp:docPr id="2" name="Pole tekstowe 2" descr="27,6% Spadek liczby wolnych miejsc pracy w stosunku do końca pierwszego kwartału 2022 r." title="Lead grafi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169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CDD" w:rsidRPr="007D605C" w:rsidRDefault="00AD68C5" w:rsidP="00720CD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>⇩</w:t>
                            </w:r>
                            <w:r w:rsidR="00720CDD" w:rsidRPr="007B3ED5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E79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27,6</w:t>
                            </w:r>
                            <w:r w:rsidR="00720CDD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720CDD" w:rsidRPr="007D605C" w:rsidRDefault="00AD68C5" w:rsidP="00A2052E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C7438E">
                              <w:t xml:space="preserve"> l</w:t>
                            </w:r>
                            <w:r w:rsidR="00720CDD" w:rsidRPr="003028BF">
                              <w:t>iczb</w:t>
                            </w:r>
                            <w:r w:rsidR="00C7438E">
                              <w:t>y</w:t>
                            </w:r>
                            <w:r w:rsidR="00720CDD" w:rsidRPr="003028BF">
                              <w:t xml:space="preserve"> wolnych m</w:t>
                            </w:r>
                            <w:r w:rsidR="008C6733">
                              <w:t>iejsc pracy w </w:t>
                            </w:r>
                            <w:r w:rsidR="00720CDD">
                              <w:t xml:space="preserve">stosunku do </w:t>
                            </w:r>
                            <w:r w:rsidR="001E7928">
                              <w:t>końca pierwszego</w:t>
                            </w:r>
                            <w:r>
                              <w:t xml:space="preserve"> kwartału 2022</w:t>
                            </w:r>
                            <w:r w:rsidR="00B9249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6FECF" id="Pole tekstowe 2" o:spid="_x0000_s1026" alt="Tytuł: Lead graficzny — opis: 27,6% Spadek liczby wolnych miejsc pracy w stosunku do końca pierwszego kwartału 2022 r." style="position:absolute;margin-left:0;margin-top:2.3pt;width:165.5pt;height:10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" fillcolor="#001d77" stroked="f">
                <v:stroke joinstyle="miter"/>
                <v:textbox>
                  <w:txbxContent>
                    <w:p w:rsidR="00720CDD" w:rsidRPr="007D605C" w:rsidRDefault="00AD68C5" w:rsidP="00720CD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2"/>
                          <w:szCs w:val="72"/>
                        </w:rPr>
                        <w:t>⇩</w:t>
                      </w:r>
                      <w:r w:rsidR="00720CDD" w:rsidRPr="007B3ED5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E79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27,6</w:t>
                      </w:r>
                      <w:r w:rsidR="00720CDD" w:rsidRPr="00055ED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720CDD" w:rsidRPr="007D605C" w:rsidRDefault="00AD68C5" w:rsidP="00A2052E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C7438E">
                        <w:t xml:space="preserve"> l</w:t>
                      </w:r>
                      <w:r w:rsidR="00720CDD" w:rsidRPr="003028BF">
                        <w:t>iczb</w:t>
                      </w:r>
                      <w:r w:rsidR="00C7438E">
                        <w:t>y</w:t>
                      </w:r>
                      <w:r w:rsidR="00720CDD" w:rsidRPr="003028BF">
                        <w:t xml:space="preserve"> wolnych m</w:t>
                      </w:r>
                      <w:r w:rsidR="008C6733">
                        <w:t>iejsc pracy w </w:t>
                      </w:r>
                      <w:r w:rsidR="00720CDD">
                        <w:t xml:space="preserve">stosunku do </w:t>
                      </w:r>
                      <w:r w:rsidR="001E7928">
                        <w:t>końca pierwszego</w:t>
                      </w:r>
                      <w:r>
                        <w:t xml:space="preserve"> kwartału 2022</w:t>
                      </w:r>
                      <w:r w:rsidR="00B9249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529EE" w:rsidRPr="001E7928">
        <w:t>Na koniec pierwszego kwar</w:t>
      </w:r>
      <w:r w:rsidR="00AD68C5" w:rsidRPr="001E7928">
        <w:t>tału 2023</w:t>
      </w:r>
      <w:r w:rsidR="003D6F79" w:rsidRPr="001E7928">
        <w:t xml:space="preserve"> r. w Polsce było</w:t>
      </w:r>
      <w:r w:rsidR="00AD68C5" w:rsidRPr="001E7928">
        <w:t xml:space="preserve"> 114,9</w:t>
      </w:r>
      <w:r w:rsidR="005529EE" w:rsidRPr="001E7928">
        <w:t xml:space="preserve"> ty</w:t>
      </w:r>
      <w:r w:rsidR="003D6F79" w:rsidRPr="001E7928">
        <w:t xml:space="preserve">s. wolnych miejsc pracy, </w:t>
      </w:r>
      <w:r w:rsidR="00C7438E" w:rsidRPr="001E7928">
        <w:t xml:space="preserve">tj. </w:t>
      </w:r>
      <w:r w:rsidR="003D6F79" w:rsidRPr="001E7928">
        <w:t xml:space="preserve">o </w:t>
      </w:r>
      <w:r w:rsidR="00543C64">
        <w:t>0,7</w:t>
      </w:r>
      <w:r w:rsidR="004405AD">
        <w:t>% mniej</w:t>
      </w:r>
      <w:r w:rsidR="003D6F79" w:rsidRPr="001E7928">
        <w:t xml:space="preserve"> </w:t>
      </w:r>
      <w:r w:rsidR="00543C64">
        <w:t>niż w czwartym kwartale</w:t>
      </w:r>
      <w:r w:rsidR="00AD68C5" w:rsidRPr="001E7928">
        <w:t xml:space="preserve"> 2022</w:t>
      </w:r>
      <w:r w:rsidR="005529EE" w:rsidRPr="001E7928">
        <w:t xml:space="preserve"> r. </w:t>
      </w:r>
      <w:r w:rsidR="00720CDD" w:rsidRPr="001E7928">
        <w:t xml:space="preserve">Wskaźnik </w:t>
      </w:r>
      <w:r w:rsidR="003C0B54" w:rsidRPr="001E7928">
        <w:t xml:space="preserve">wolnych </w:t>
      </w:r>
      <w:r w:rsidR="00720CDD" w:rsidRPr="001E7928">
        <w:t>miejsc</w:t>
      </w:r>
      <w:r w:rsidR="00720CDD" w:rsidRPr="003D7DDE">
        <w:rPr>
          <w:color w:val="000000" w:themeColor="text1"/>
        </w:rPr>
        <w:t xml:space="preserve"> pracy</w:t>
      </w:r>
      <w:r w:rsidR="007734CA" w:rsidRPr="003D7DDE">
        <w:rPr>
          <w:color w:val="000000" w:themeColor="text1"/>
        </w:rPr>
        <w:t xml:space="preserve"> </w:t>
      </w:r>
      <w:r w:rsidR="00AD68C5" w:rsidRPr="003D7DDE">
        <w:rPr>
          <w:color w:val="000000" w:themeColor="text1"/>
        </w:rPr>
        <w:t>wyniósł 0,90</w:t>
      </w:r>
      <w:r w:rsidR="005529EE" w:rsidRPr="003D7DDE">
        <w:rPr>
          <w:color w:val="000000" w:themeColor="text1"/>
        </w:rPr>
        <w:t>%</w:t>
      </w:r>
      <w:r w:rsidR="00543C64" w:rsidRPr="003D7DDE">
        <w:rPr>
          <w:color w:val="000000" w:themeColor="text1"/>
        </w:rPr>
        <w:t>, a n</w:t>
      </w:r>
      <w:r w:rsidR="00F31971" w:rsidRPr="003D7DDE">
        <w:rPr>
          <w:color w:val="000000" w:themeColor="text1"/>
        </w:rPr>
        <w:t>ajwyższ</w:t>
      </w:r>
      <w:r w:rsidR="00543C64" w:rsidRPr="003D7DDE">
        <w:rPr>
          <w:color w:val="000000" w:themeColor="text1"/>
        </w:rPr>
        <w:t xml:space="preserve">y </w:t>
      </w:r>
      <w:r w:rsidR="00F31971" w:rsidRPr="003D7DDE">
        <w:rPr>
          <w:color w:val="000000" w:themeColor="text1"/>
        </w:rPr>
        <w:t>odnotowano w sekcj</w:t>
      </w:r>
      <w:r w:rsidR="00AD68C5" w:rsidRPr="003D7DDE">
        <w:rPr>
          <w:color w:val="000000" w:themeColor="text1"/>
        </w:rPr>
        <w:t>i Informacja i</w:t>
      </w:r>
      <w:r w:rsidR="00543C64" w:rsidRPr="003D7DDE">
        <w:rPr>
          <w:color w:val="000000" w:themeColor="text1"/>
        </w:rPr>
        <w:t xml:space="preserve"> </w:t>
      </w:r>
      <w:r w:rsidR="00AD68C5" w:rsidRPr="003D7DDE">
        <w:rPr>
          <w:color w:val="000000" w:themeColor="text1"/>
        </w:rPr>
        <w:t>komunikacja (2,03</w:t>
      </w:r>
      <w:r w:rsidR="00F31971" w:rsidRPr="003D7DDE">
        <w:rPr>
          <w:color w:val="000000" w:themeColor="text1"/>
        </w:rPr>
        <w:t>%)</w:t>
      </w:r>
      <w:r w:rsidR="00761A7B" w:rsidRPr="003D7DDE">
        <w:rPr>
          <w:color w:val="000000" w:themeColor="text1"/>
        </w:rPr>
        <w:t xml:space="preserve">. </w:t>
      </w:r>
    </w:p>
    <w:p w:rsidR="00C7438E" w:rsidRPr="003D7DDE" w:rsidRDefault="00C7438E" w:rsidP="00EF598E">
      <w:pPr>
        <w:spacing w:before="480"/>
        <w:jc w:val="both"/>
        <w:rPr>
          <w:color w:val="000000" w:themeColor="text1"/>
        </w:rPr>
      </w:pPr>
    </w:p>
    <w:p w:rsidR="0048215D" w:rsidRDefault="00F56DA1" w:rsidP="00A2052E">
      <w:pPr>
        <w:spacing w:line="288" w:lineRule="auto"/>
      </w:pPr>
      <w:r w:rsidRPr="0048215D">
        <w:t xml:space="preserve">W </w:t>
      </w:r>
      <w:r w:rsidR="00543C64" w:rsidRPr="0048215D">
        <w:t xml:space="preserve">Polsce w </w:t>
      </w:r>
      <w:r w:rsidR="00C7438E" w:rsidRPr="0048215D">
        <w:t xml:space="preserve">końcu </w:t>
      </w:r>
      <w:r w:rsidRPr="0048215D">
        <w:t>pierwsz</w:t>
      </w:r>
      <w:r w:rsidR="00C7438E" w:rsidRPr="0048215D">
        <w:t>ego</w:t>
      </w:r>
      <w:r w:rsidRPr="0048215D">
        <w:t xml:space="preserve"> kwarta</w:t>
      </w:r>
      <w:r w:rsidR="00C7438E" w:rsidRPr="0048215D">
        <w:t>łu</w:t>
      </w:r>
      <w:r w:rsidR="00EE741F" w:rsidRPr="0048215D">
        <w:t xml:space="preserve"> 2023</w:t>
      </w:r>
      <w:r w:rsidR="00EF598E" w:rsidRPr="0048215D">
        <w:t xml:space="preserve"> r. wolnymi</w:t>
      </w:r>
      <w:r w:rsidR="00EE741F" w:rsidRPr="0048215D">
        <w:t xml:space="preserve"> miejscami pracy dysponowało 6,0% spośród 636,1</w:t>
      </w:r>
      <w:r w:rsidR="00EF598E" w:rsidRPr="0048215D">
        <w:t xml:space="preserve"> tys. podmiotów gospodarki narodowej</w:t>
      </w:r>
      <w:r w:rsidR="00BE769D">
        <w:rPr>
          <w:rStyle w:val="Odwoanieprzypisudolnego"/>
        </w:rPr>
        <w:footnoteReference w:id="1"/>
      </w:r>
      <w:r w:rsidR="00EF598E" w:rsidRPr="0048215D">
        <w:t xml:space="preserve">. </w:t>
      </w:r>
      <w:r w:rsidR="0048215D" w:rsidRPr="0048215D">
        <w:t xml:space="preserve">Było </w:t>
      </w:r>
      <w:r w:rsidR="00E32DA5">
        <w:t>ich</w:t>
      </w:r>
      <w:r w:rsidR="0048215D" w:rsidRPr="0048215D">
        <w:t xml:space="preserve"> o 16,1% więcej niż w czwartym kwartale 2022 r., ale o 14,3% mniej w stosunku do pierwszego kwartału poprzedniego roku</w:t>
      </w:r>
      <w:r w:rsidR="0048215D">
        <w:t>.</w:t>
      </w:r>
    </w:p>
    <w:p w:rsidR="00543C64" w:rsidRDefault="00543C64" w:rsidP="00A2052E">
      <w:pPr>
        <w:spacing w:line="288" w:lineRule="auto"/>
        <w:rPr>
          <w:color w:val="000000" w:themeColor="text1"/>
        </w:rPr>
      </w:pPr>
      <w:r>
        <w:t>Na koniec pierwszego</w:t>
      </w:r>
      <w:r w:rsidR="00EE741F" w:rsidRPr="001E7928">
        <w:t xml:space="preserve"> kwarta</w:t>
      </w:r>
      <w:r>
        <w:t>łu</w:t>
      </w:r>
      <w:r w:rsidR="00EE741F" w:rsidRPr="001E7928">
        <w:t xml:space="preserve"> 2023 r. odnotowano 114,9</w:t>
      </w:r>
      <w:r w:rsidR="00EE5809" w:rsidRPr="001E7928">
        <w:t xml:space="preserve"> tys. </w:t>
      </w:r>
      <w:r w:rsidR="00EE5809" w:rsidRPr="00311291">
        <w:rPr>
          <w:b/>
        </w:rPr>
        <w:t>wolnych miejsc pracy</w:t>
      </w:r>
      <w:r w:rsidR="00EE5809" w:rsidRPr="001E7928">
        <w:t>, czyli o</w:t>
      </w:r>
      <w:r w:rsidR="00A2052E">
        <w:t> </w:t>
      </w:r>
      <w:r w:rsidR="00402693" w:rsidRPr="001E7928">
        <w:t>0,8 tys. mniej niż w czwartym kwartale 2022 r. i o 43,8</w:t>
      </w:r>
      <w:r w:rsidR="0072155F" w:rsidRPr="001E7928">
        <w:t xml:space="preserve"> t</w:t>
      </w:r>
      <w:r w:rsidR="00402693" w:rsidRPr="001E7928">
        <w:t>ys. mni</w:t>
      </w:r>
      <w:r w:rsidR="0072155F" w:rsidRPr="001E7928">
        <w:t>ej wzgl</w:t>
      </w:r>
      <w:r w:rsidR="00402693" w:rsidRPr="001E7928">
        <w:t>ędem analogicznego kwartału 2022</w:t>
      </w:r>
      <w:r w:rsidR="0072155F" w:rsidRPr="001E7928">
        <w:t xml:space="preserve"> r.</w:t>
      </w:r>
      <w:r>
        <w:t xml:space="preserve"> Pracowników poszukiwano m.</w:t>
      </w:r>
      <w:r w:rsidRPr="002D0409">
        <w:t>in. za pośrednictwem urzędów pracy, do których było zgłoszonych 14,0% wszystkich wolnych miejsc pracy.</w:t>
      </w:r>
      <w:r>
        <w:t xml:space="preserve"> B</w:t>
      </w:r>
      <w:r w:rsidRPr="001E7928">
        <w:t>lisko co 5 wolne miejsce pracy stanowiło miejsce nowo utworzone (20,8 tys.</w:t>
      </w:r>
      <w:r>
        <w:t xml:space="preserve"> miejsc</w:t>
      </w:r>
      <w:r w:rsidRPr="001E7928">
        <w:t xml:space="preserve">). Liczba takich miejsc pracy zmniejszyła się względem poprzedniego kwartału </w:t>
      </w:r>
      <w:r>
        <w:t>i w skali roku</w:t>
      </w:r>
      <w:r w:rsidRPr="001E7928">
        <w:t>, odpowiednio o 8,7%</w:t>
      </w:r>
      <w:r>
        <w:t xml:space="preserve"> i</w:t>
      </w:r>
      <w:r w:rsidR="00A2052E">
        <w:t> o </w:t>
      </w:r>
      <w:r w:rsidRPr="001E7928">
        <w:t>32,7%.</w:t>
      </w:r>
      <w:r>
        <w:t xml:space="preserve"> </w:t>
      </w:r>
    </w:p>
    <w:p w:rsidR="009E6832" w:rsidRPr="001E7928" w:rsidRDefault="00D74F74" w:rsidP="00A2052E">
      <w:pPr>
        <w:spacing w:line="288" w:lineRule="auto"/>
      </w:pPr>
      <w:r w:rsidRPr="001E7928">
        <w:t xml:space="preserve">Jedną z miar oceny sytuacji na rynku pracy pod kątem zgłaszanego popytu na pracę jest </w:t>
      </w:r>
      <w:r w:rsidRPr="00311291">
        <w:rPr>
          <w:b/>
        </w:rPr>
        <w:t>wskaźnik wolnych miejsc pracy</w:t>
      </w:r>
      <w:r w:rsidRPr="001E7928">
        <w:t xml:space="preserve">, określający udział wolnych miejsc pracy w </w:t>
      </w:r>
      <w:r w:rsidR="00A76CCB" w:rsidRPr="001E7928">
        <w:t>ogólnej liczbie</w:t>
      </w:r>
      <w:r w:rsidRPr="001E7928">
        <w:t xml:space="preserve"> m</w:t>
      </w:r>
      <w:r w:rsidR="00402693" w:rsidRPr="001E7928">
        <w:t>iejsc pracy</w:t>
      </w:r>
      <w:r w:rsidR="000565D6">
        <w:t xml:space="preserve"> (tj. obsadzonych i wolnych miejsc pracy)</w:t>
      </w:r>
      <w:r w:rsidR="00402693" w:rsidRPr="001E7928">
        <w:t>. Na koniec pierwszego kwartału 2023</w:t>
      </w:r>
      <w:r w:rsidRPr="001E7928">
        <w:t xml:space="preserve"> r. wskaźnik ten</w:t>
      </w:r>
      <w:r w:rsidR="00402693" w:rsidRPr="001E7928">
        <w:t xml:space="preserve"> wyniósł 0,90</w:t>
      </w:r>
      <w:r w:rsidRPr="001E7928">
        <w:t>%</w:t>
      </w:r>
      <w:r w:rsidR="00A2691B">
        <w:t xml:space="preserve"> i b</w:t>
      </w:r>
      <w:r w:rsidRPr="001E7928">
        <w:t xml:space="preserve">ył </w:t>
      </w:r>
      <w:r w:rsidR="00402693" w:rsidRPr="001E7928">
        <w:t>ni</w:t>
      </w:r>
      <w:r w:rsidRPr="001E7928">
        <w:t>ższy</w:t>
      </w:r>
      <w:r w:rsidR="00402693" w:rsidRPr="001E7928">
        <w:t xml:space="preserve"> względem </w:t>
      </w:r>
      <w:r w:rsidR="00A2691B">
        <w:t>czwartego</w:t>
      </w:r>
      <w:r w:rsidR="00A2691B" w:rsidRPr="001E7928">
        <w:t xml:space="preserve"> </w:t>
      </w:r>
      <w:r w:rsidR="00402693" w:rsidRPr="001E7928">
        <w:t>kwartału</w:t>
      </w:r>
      <w:r w:rsidR="0029572F">
        <w:t>,</w:t>
      </w:r>
      <w:r w:rsidR="00A2691B">
        <w:t xml:space="preserve"> jak</w:t>
      </w:r>
      <w:r w:rsidR="00402693" w:rsidRPr="001E7928">
        <w:t xml:space="preserve"> i pierwszego kwartału 2022 r.</w:t>
      </w:r>
      <w:r w:rsidR="00A2691B">
        <w:t xml:space="preserve"> (</w:t>
      </w:r>
      <w:r w:rsidR="00402693" w:rsidRPr="001E7928">
        <w:t>odpowiednio o </w:t>
      </w:r>
      <w:r w:rsidRPr="001E7928">
        <w:t>0,</w:t>
      </w:r>
      <w:r w:rsidR="001E7928" w:rsidRPr="001E7928">
        <w:t>0</w:t>
      </w:r>
      <w:r w:rsidR="00402693" w:rsidRPr="001E7928">
        <w:t>2 p. </w:t>
      </w:r>
      <w:r w:rsidR="005B27A8" w:rsidRPr="001E7928">
        <w:t>proc. i</w:t>
      </w:r>
      <w:r w:rsidR="00402693" w:rsidRPr="001E7928">
        <w:t> </w:t>
      </w:r>
      <w:r w:rsidR="005B27A8" w:rsidRPr="001E7928">
        <w:t>o 0,</w:t>
      </w:r>
      <w:r w:rsidRPr="001E7928">
        <w:t>3</w:t>
      </w:r>
      <w:r w:rsidR="005B27A8" w:rsidRPr="001E7928">
        <w:t>5</w:t>
      </w:r>
      <w:r w:rsidRPr="001E7928">
        <w:t xml:space="preserve"> p. proc</w:t>
      </w:r>
      <w:r w:rsidR="00556172" w:rsidRPr="001E7928">
        <w:rPr>
          <w:spacing w:val="-2"/>
        </w:rPr>
        <w:t>.</w:t>
      </w:r>
      <w:r w:rsidR="00A2691B">
        <w:rPr>
          <w:spacing w:val="-2"/>
        </w:rPr>
        <w:t>).</w:t>
      </w:r>
    </w:p>
    <w:p w:rsidR="005B27A8" w:rsidRDefault="00D10B58" w:rsidP="00A2052E">
      <w:pPr>
        <w:spacing w:before="360" w:line="240" w:lineRule="auto"/>
        <w:ind w:left="851" w:hanging="851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87936" behindDoc="0" locked="0" layoutInCell="1" allowOverlap="1" wp14:anchorId="43F6EAF1" wp14:editId="687D0FAB">
            <wp:simplePos x="0" y="0"/>
            <wp:positionH relativeFrom="margin">
              <wp:align>left</wp:align>
            </wp:positionH>
            <wp:positionV relativeFrom="paragraph">
              <wp:posOffset>471442</wp:posOffset>
            </wp:positionV>
            <wp:extent cx="5114544" cy="2779776"/>
            <wp:effectExtent l="0" t="0" r="0" b="1905"/>
            <wp:wrapTopAndBottom/>
            <wp:docPr id="13" name="Obraz 13" descr="Wykres przedstawia wskaźnik wolnych miejsc pracy na koniec kwartału począwszy od pierwszego kwartału 2015 r. do pierwszego kwartału 2023 r." title="Wykres 1. Wskaźnik wolnych miejsc prac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F8">
        <w:rPr>
          <w:b/>
          <w:noProof/>
          <w:color w:val="000000" w:themeColor="text1"/>
          <w:spacing w:val="-2"/>
          <w:szCs w:val="19"/>
          <w:lang w:eastAsia="pl-PL"/>
        </w:rPr>
        <w:t xml:space="preserve">Wykres </w:t>
      </w:r>
      <w:r w:rsidR="00261432">
        <w:rPr>
          <w:b/>
          <w:noProof/>
          <w:color w:val="000000" w:themeColor="text1"/>
          <w:spacing w:val="-2"/>
          <w:szCs w:val="19"/>
          <w:lang w:eastAsia="pl-PL"/>
        </w:rPr>
        <w:t>1</w:t>
      </w:r>
      <w:r w:rsidR="00C32DF8" w:rsidRPr="005177E5">
        <w:rPr>
          <w:b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C32DF8" w:rsidRPr="005177E5">
        <w:rPr>
          <w:b/>
          <w:noProof/>
          <w:color w:val="000000" w:themeColor="text1"/>
          <w:szCs w:val="19"/>
          <w:lang w:eastAsia="pl-PL"/>
        </w:rPr>
        <w:t>Wskaźnik wolnych miejsc pracy</w:t>
      </w:r>
      <w:r>
        <w:rPr>
          <w:b/>
          <w:noProof/>
          <w:color w:val="000000" w:themeColor="text1"/>
          <w:szCs w:val="19"/>
          <w:lang w:eastAsia="pl-PL"/>
        </w:rPr>
        <w:br/>
      </w:r>
      <w:r w:rsidR="005B27A8" w:rsidRPr="000964F8">
        <w:rPr>
          <w:noProof/>
          <w:szCs w:val="19"/>
          <w:lang w:eastAsia="pl-PL"/>
        </w:rPr>
        <w:t>Stan na koniec kwartał</w:t>
      </w:r>
      <w:r w:rsidR="001E7928">
        <w:rPr>
          <w:noProof/>
          <w:szCs w:val="19"/>
          <w:lang w:eastAsia="pl-PL"/>
        </w:rPr>
        <w:t>u</w:t>
      </w:r>
    </w:p>
    <w:p w:rsidR="00A503D8" w:rsidRPr="00A2691B" w:rsidRDefault="00E32DA5" w:rsidP="00A2052E">
      <w:pPr>
        <w:spacing w:line="288" w:lineRule="auto"/>
        <w:rPr>
          <w:rFonts w:eastAsia="Times New Roman"/>
          <w:color w:val="FF0000"/>
          <w:szCs w:val="19"/>
          <w:lang w:eastAsia="pl-PL"/>
        </w:rPr>
      </w:pPr>
      <w:r w:rsidRPr="005605D9">
        <w:rPr>
          <w:b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D2F0B" wp14:editId="1216C12B">
                <wp:simplePos x="0" y="0"/>
                <wp:positionH relativeFrom="column">
                  <wp:posOffset>5223510</wp:posOffset>
                </wp:positionH>
                <wp:positionV relativeFrom="paragraph">
                  <wp:posOffset>-38735</wp:posOffset>
                </wp:positionV>
                <wp:extent cx="1659890" cy="858741"/>
                <wp:effectExtent l="0" t="0" r="0" b="0"/>
                <wp:wrapNone/>
                <wp:docPr id="4" name="Text Box 23" descr="Najwyższy wskaźnik wolnych miejsc pracy na koniec pierwszego kwartału 2023 r. odnotowano w regionie warszawskim stołecz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85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DCE" w:rsidRPr="00312E3C" w:rsidRDefault="009C2EAE" w:rsidP="00C73DCE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</w:t>
                            </w:r>
                            <w:r w:rsidR="00C73DCE"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ajwyższ</w:t>
                            </w:r>
                            <w:r w:rsidR="00C73DC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y wskaźnik wolnych miejsc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pracy na</w:t>
                            </w:r>
                            <w:r w:rsidR="00402693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koniec pierwszego kwartału 2023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Pr="001E7928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Pr="00431C6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regionie warszawskim stołecznym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D2F0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alt="Najwyższy wskaźnik wolnych miejsc pracy na koniec pierwszego kwartału 2023 r. odnotowano w regionie warszawskim stołecznym" style="position:absolute;margin-left:411.3pt;margin-top:-3.05pt;width:130.7pt;height:6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" filled="f" stroked="f">
                <v:textbox>
                  <w:txbxContent>
                    <w:p w:rsidR="00C73DCE" w:rsidRPr="00312E3C" w:rsidRDefault="009C2EAE" w:rsidP="00C73DCE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N</w:t>
                      </w:r>
                      <w:r w:rsidR="00C73DCE"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ajwyższ</w:t>
                      </w:r>
                      <w:r w:rsidR="00C73DCE">
                        <w:rPr>
                          <w:bCs/>
                          <w:color w:val="001D77"/>
                          <w:sz w:val="18"/>
                          <w:szCs w:val="18"/>
                        </w:rPr>
                        <w:t>y wskaźnik wolnych miejsc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pracy na</w:t>
                      </w:r>
                      <w:r w:rsidR="00402693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koniec pierwszego kwartału 2023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Pr="001E7928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odnotowano </w:t>
                      </w:r>
                      <w:r w:rsidRPr="00431C6C">
                        <w:rPr>
                          <w:bCs/>
                          <w:color w:val="001D77"/>
                          <w:sz w:val="18"/>
                          <w:szCs w:val="18"/>
                        </w:rPr>
                        <w:t>w regionie warszawskim stołecznym</w:t>
                      </w:r>
                    </w:p>
                  </w:txbxContent>
                </v:textbox>
              </v:shape>
            </w:pict>
          </mc:Fallback>
        </mc:AlternateContent>
      </w:r>
      <w:r w:rsidR="00A2691B" w:rsidRPr="00311291">
        <w:rPr>
          <w:noProof/>
          <w:color w:val="000000" w:themeColor="text1"/>
          <w:szCs w:val="19"/>
          <w:lang w:eastAsia="pl-PL"/>
        </w:rPr>
        <w:t xml:space="preserve">W przekroju regionów (NUTS 2) na koniec </w:t>
      </w:r>
      <w:r w:rsidR="00783B91">
        <w:rPr>
          <w:noProof/>
          <w:color w:val="000000" w:themeColor="text1"/>
          <w:szCs w:val="19"/>
          <w:lang w:eastAsia="pl-PL"/>
        </w:rPr>
        <w:t>pierwszego</w:t>
      </w:r>
      <w:r w:rsidR="00A2691B" w:rsidRPr="00311291">
        <w:rPr>
          <w:noProof/>
          <w:color w:val="000000" w:themeColor="text1"/>
          <w:szCs w:val="19"/>
          <w:lang w:eastAsia="pl-PL"/>
        </w:rPr>
        <w:t xml:space="preserve"> kwartału </w:t>
      </w:r>
      <w:r w:rsidR="006C3758" w:rsidRPr="00A2691B">
        <w:rPr>
          <w:rFonts w:eastAsia="Times New Roman"/>
          <w:szCs w:val="19"/>
          <w:lang w:eastAsia="pl-PL"/>
        </w:rPr>
        <w:t xml:space="preserve">najwyższy wskaźnik wolnych miejsc pracy wystąpił w regionie warszawskim stołecznym </w:t>
      </w:r>
      <w:r w:rsidR="0073793F" w:rsidRPr="00A2691B">
        <w:rPr>
          <w:rFonts w:eastAsia="Times New Roman"/>
          <w:szCs w:val="19"/>
          <w:lang w:eastAsia="pl-PL"/>
        </w:rPr>
        <w:t>(1,17</w:t>
      </w:r>
      <w:r w:rsidR="00A503D8" w:rsidRPr="00A2691B">
        <w:rPr>
          <w:rFonts w:eastAsia="Times New Roman"/>
          <w:szCs w:val="19"/>
          <w:lang w:eastAsia="pl-PL"/>
        </w:rPr>
        <w:t>%). Wysoki wskaźnik wystąpił równie</w:t>
      </w:r>
      <w:r w:rsidR="003D6F79" w:rsidRPr="00A2691B">
        <w:rPr>
          <w:rFonts w:eastAsia="Times New Roman"/>
          <w:szCs w:val="19"/>
          <w:lang w:eastAsia="pl-PL"/>
        </w:rPr>
        <w:t>ż w r</w:t>
      </w:r>
      <w:r w:rsidR="0073793F" w:rsidRPr="00A2691B">
        <w:rPr>
          <w:rFonts w:eastAsia="Times New Roman"/>
          <w:szCs w:val="19"/>
          <w:lang w:eastAsia="pl-PL"/>
        </w:rPr>
        <w:t>egionach zachodniopomorskie (1,</w:t>
      </w:r>
      <w:r w:rsidR="003D6F79" w:rsidRPr="00A2691B">
        <w:rPr>
          <w:rFonts w:eastAsia="Times New Roman"/>
          <w:szCs w:val="19"/>
          <w:lang w:eastAsia="pl-PL"/>
        </w:rPr>
        <w:t>1</w:t>
      </w:r>
      <w:r w:rsidR="0073793F" w:rsidRPr="00A2691B">
        <w:rPr>
          <w:rFonts w:eastAsia="Times New Roman"/>
          <w:szCs w:val="19"/>
          <w:lang w:eastAsia="pl-PL"/>
        </w:rPr>
        <w:t>3</w:t>
      </w:r>
      <w:r w:rsidR="003D6F79" w:rsidRPr="00A2691B">
        <w:rPr>
          <w:rFonts w:eastAsia="Times New Roman"/>
          <w:szCs w:val="19"/>
          <w:lang w:eastAsia="pl-PL"/>
        </w:rPr>
        <w:t xml:space="preserve">%) i </w:t>
      </w:r>
      <w:r w:rsidR="0073793F" w:rsidRPr="00A2691B">
        <w:rPr>
          <w:rFonts w:eastAsia="Times New Roman"/>
          <w:szCs w:val="19"/>
          <w:lang w:eastAsia="pl-PL"/>
        </w:rPr>
        <w:t>lubuskie</w:t>
      </w:r>
      <w:r w:rsidR="00A503D8" w:rsidRPr="00A2691B">
        <w:rPr>
          <w:rFonts w:eastAsia="Times New Roman"/>
          <w:szCs w:val="19"/>
          <w:lang w:eastAsia="pl-PL"/>
        </w:rPr>
        <w:t xml:space="preserve"> (1,</w:t>
      </w:r>
      <w:r w:rsidR="0073793F" w:rsidRPr="00A2691B">
        <w:rPr>
          <w:rFonts w:eastAsia="Times New Roman"/>
          <w:szCs w:val="19"/>
          <w:lang w:eastAsia="pl-PL"/>
        </w:rPr>
        <w:t>02</w:t>
      </w:r>
      <w:r w:rsidR="00A503D8" w:rsidRPr="00A2691B">
        <w:rPr>
          <w:rFonts w:eastAsia="Times New Roman"/>
          <w:szCs w:val="19"/>
          <w:lang w:eastAsia="pl-PL"/>
        </w:rPr>
        <w:t xml:space="preserve">%). Najniższą wartość </w:t>
      </w:r>
      <w:r w:rsidR="00A76CCB" w:rsidRPr="00A2691B">
        <w:rPr>
          <w:rFonts w:eastAsia="Times New Roman"/>
          <w:szCs w:val="19"/>
          <w:lang w:eastAsia="pl-PL"/>
        </w:rPr>
        <w:t xml:space="preserve">tego </w:t>
      </w:r>
      <w:r w:rsidR="00A503D8" w:rsidRPr="00A2691B">
        <w:rPr>
          <w:rFonts w:eastAsia="Times New Roman"/>
          <w:szCs w:val="19"/>
          <w:lang w:eastAsia="pl-PL"/>
        </w:rPr>
        <w:t xml:space="preserve">wskaźnika </w:t>
      </w:r>
      <w:r w:rsidR="003D6F79" w:rsidRPr="00A2691B">
        <w:rPr>
          <w:rFonts w:eastAsia="Times New Roman"/>
          <w:szCs w:val="19"/>
          <w:lang w:eastAsia="pl-PL"/>
        </w:rPr>
        <w:t>odnotowano w regionie</w:t>
      </w:r>
      <w:r w:rsidR="00431C6C">
        <w:rPr>
          <w:rFonts w:eastAsia="Times New Roman"/>
          <w:szCs w:val="19"/>
          <w:lang w:eastAsia="pl-PL"/>
        </w:rPr>
        <w:t xml:space="preserve"> lubelskim</w:t>
      </w:r>
      <w:r w:rsidR="00A503D8" w:rsidRPr="00A2691B">
        <w:rPr>
          <w:rFonts w:eastAsia="Times New Roman"/>
          <w:szCs w:val="19"/>
          <w:lang w:eastAsia="pl-PL"/>
        </w:rPr>
        <w:t xml:space="preserve"> (0,</w:t>
      </w:r>
      <w:r w:rsidR="0073793F" w:rsidRPr="00A2691B">
        <w:rPr>
          <w:rFonts w:eastAsia="Times New Roman"/>
          <w:szCs w:val="19"/>
          <w:lang w:eastAsia="pl-PL"/>
        </w:rPr>
        <w:t>40</w:t>
      </w:r>
      <w:r w:rsidR="00A503D8" w:rsidRPr="00A2691B">
        <w:rPr>
          <w:rFonts w:eastAsia="Times New Roman"/>
          <w:szCs w:val="19"/>
          <w:lang w:eastAsia="pl-PL"/>
        </w:rPr>
        <w:t>%)</w:t>
      </w:r>
      <w:r w:rsidR="00A2691B">
        <w:rPr>
          <w:rFonts w:eastAsia="Times New Roman"/>
          <w:szCs w:val="19"/>
          <w:lang w:eastAsia="pl-PL"/>
        </w:rPr>
        <w:t>.</w:t>
      </w:r>
      <w:r w:rsidR="00A503D8" w:rsidRPr="00A2691B">
        <w:rPr>
          <w:rFonts w:eastAsia="Times New Roman"/>
          <w:szCs w:val="19"/>
          <w:lang w:eastAsia="pl-PL"/>
        </w:rPr>
        <w:t xml:space="preserve"> </w:t>
      </w:r>
    </w:p>
    <w:p w:rsidR="009D206C" w:rsidRPr="00F15C18" w:rsidRDefault="00A2052E" w:rsidP="00A2052E">
      <w:pPr>
        <w:pStyle w:val="Datainformacjisygnalnej"/>
        <w:spacing w:before="360" w:line="240" w:lineRule="auto"/>
        <w:ind w:left="680" w:hanging="680"/>
        <w:jc w:val="left"/>
        <w:rPr>
          <w:rFonts w:ascii="Fira Sans" w:hAnsi="Fira Sans"/>
          <w:color w:val="auto"/>
          <w:sz w:val="19"/>
          <w:szCs w:val="19"/>
        </w:rPr>
      </w:pPr>
      <w:r>
        <w:rPr>
          <w:rFonts w:ascii="Fira Sans" w:hAnsi="Fira Sans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688960" behindDoc="0" locked="0" layoutInCell="1" allowOverlap="1" wp14:anchorId="612410EB" wp14:editId="41C3F099">
            <wp:simplePos x="0" y="0"/>
            <wp:positionH relativeFrom="margin">
              <wp:posOffset>-15211</wp:posOffset>
            </wp:positionH>
            <wp:positionV relativeFrom="paragraph">
              <wp:posOffset>478088</wp:posOffset>
            </wp:positionV>
            <wp:extent cx="5114290" cy="2989580"/>
            <wp:effectExtent l="0" t="0" r="0" b="1270"/>
            <wp:wrapTopAndBottom/>
            <wp:docPr id="16" name="Obraz 16" descr="Mapa prezentuje wskaźnik wolnych miejsc pracy w regionach (NUTS 2) na koniec pierwszego kwartału 2023 r. Ponadto diagram przedstawia wskaźnik wolnych miejsc pracy oraz zmianę w stosunku do pierwszego kwartału 2022 r. w p. proc." title="Mapa 1. Wskaźnik wolnych miejsc pracy w regionach (NUTS 2) w pierwszym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Mapa 1. Wska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źnik wolnych miejsc pracy w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r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egionach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(</w:t>
      </w:r>
      <w:r w:rsidR="00C73DCE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>NUTS 2) w</w:t>
      </w:r>
      <w:r w:rsidR="00F15C18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</w:t>
      </w:r>
      <w:r w:rsidR="00F15C18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pierwszym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C73DCE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kwartale</w:t>
      </w:r>
      <w:r w:rsidR="00A76CCB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>202</w:t>
      </w:r>
      <w:r w:rsidR="00572592">
        <w:rPr>
          <w:rFonts w:ascii="Fira Sans" w:hAnsi="Fira Sans"/>
          <w:b/>
          <w:color w:val="auto"/>
          <w:sz w:val="19"/>
          <w:szCs w:val="19"/>
          <w:lang w:eastAsia="pl-PL"/>
        </w:rPr>
        <w:t>3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r.</w:t>
      </w:r>
      <w:r w:rsidR="00D10B58">
        <w:rPr>
          <w:rFonts w:ascii="Fira Sans" w:hAnsi="Fira Sans"/>
          <w:b/>
          <w:color w:val="auto"/>
          <w:sz w:val="19"/>
          <w:szCs w:val="19"/>
          <w:lang w:eastAsia="pl-PL"/>
        </w:rPr>
        <w:br/>
      </w:r>
      <w:r w:rsidR="00F15C18" w:rsidRPr="009C4FA4">
        <w:rPr>
          <w:rFonts w:ascii="Fira Sans" w:hAnsi="Fira Sans"/>
          <w:color w:val="auto"/>
          <w:sz w:val="19"/>
          <w:szCs w:val="19"/>
        </w:rPr>
        <w:t>Stan na koniec</w:t>
      </w:r>
      <w:r w:rsidR="00F15C18">
        <w:rPr>
          <w:rFonts w:ascii="Fira Sans" w:hAnsi="Fira Sans"/>
          <w:color w:val="auto"/>
          <w:sz w:val="19"/>
          <w:szCs w:val="19"/>
        </w:rPr>
        <w:t xml:space="preserve"> kwartału</w:t>
      </w:r>
    </w:p>
    <w:p w:rsidR="00A2691B" w:rsidRDefault="00A2691B" w:rsidP="00A2691B">
      <w:pPr>
        <w:jc w:val="both"/>
      </w:pPr>
    </w:p>
    <w:p w:rsidR="00A2691B" w:rsidRDefault="00A2691B" w:rsidP="00A2052E">
      <w:pPr>
        <w:spacing w:line="288" w:lineRule="auto"/>
        <w:rPr>
          <w:bCs/>
        </w:rPr>
      </w:pPr>
      <w:r w:rsidRPr="004134BD">
        <w:t xml:space="preserve">Ze względu na </w:t>
      </w:r>
      <w:r w:rsidRPr="00311291">
        <w:rPr>
          <w:b/>
        </w:rPr>
        <w:t>rodzaj prowadzonej działalności</w:t>
      </w:r>
      <w:r w:rsidRPr="004134BD">
        <w:t xml:space="preserve"> najwięcej wolnych miejsc </w:t>
      </w:r>
      <w:r w:rsidRPr="001E7928">
        <w:t>pracy, bo 20,4%, było w podmiotach gospodarki narodowej prowadzących działalność w sekcji Przetwórstwo przemysłowe. Ich liczba zmniejszyła się w stosunku do a</w:t>
      </w:r>
      <w:r w:rsidR="00A2052E">
        <w:t>nalogicznego kwartału 2022 r. o </w:t>
      </w:r>
      <w:r w:rsidRPr="001E7928">
        <w:t xml:space="preserve">23,7% (do 23,5 tys. miejsc). </w:t>
      </w:r>
      <w:r w:rsidRPr="001E7928">
        <w:rPr>
          <w:bCs/>
        </w:rPr>
        <w:t>Największy roczny spadek (o blisko 70%) liczby wolnych miejsc pracy</w:t>
      </w:r>
      <w:r>
        <w:rPr>
          <w:bCs/>
        </w:rPr>
        <w:t xml:space="preserve"> w </w:t>
      </w:r>
      <w:r w:rsidRPr="00135F14">
        <w:rPr>
          <w:bCs/>
        </w:rPr>
        <w:t xml:space="preserve">porównaniu z pierwszym kwartałem 2022 r. odnotowano w sekcji </w:t>
      </w:r>
      <w:r>
        <w:rPr>
          <w:bCs/>
        </w:rPr>
        <w:t>Administrowanie i d</w:t>
      </w:r>
      <w:r w:rsidRPr="00135F14">
        <w:rPr>
          <w:bCs/>
        </w:rPr>
        <w:t xml:space="preserve">ziałalność </w:t>
      </w:r>
      <w:r w:rsidRPr="001E7928">
        <w:rPr>
          <w:bCs/>
        </w:rPr>
        <w:t>wspierająca</w:t>
      </w:r>
      <w:r w:rsidRPr="001E7928">
        <w:rPr>
          <w:color w:val="000000" w:themeColor="text1"/>
          <w:szCs w:val="19"/>
          <w:vertAlign w:val="superscript"/>
        </w:rPr>
        <w:t>∆</w:t>
      </w:r>
      <w:r w:rsidRPr="001E7928">
        <w:rPr>
          <w:bCs/>
        </w:rPr>
        <w:t xml:space="preserve"> (do 3,7 tys. miejsc).</w:t>
      </w:r>
      <w:r w:rsidRPr="000C6C48">
        <w:rPr>
          <w:bCs/>
        </w:rPr>
        <w:t xml:space="preserve"> </w:t>
      </w:r>
    </w:p>
    <w:p w:rsidR="00A2691B" w:rsidRPr="004405AD" w:rsidRDefault="00A2691B" w:rsidP="00A2052E">
      <w:pPr>
        <w:pStyle w:val="tytuwykresu"/>
        <w:spacing w:before="360" w:line="240" w:lineRule="auto"/>
        <w:ind w:left="868" w:hanging="868"/>
        <w:rPr>
          <w:color w:val="000000" w:themeColor="text1"/>
          <w:szCs w:val="19"/>
        </w:rPr>
      </w:pPr>
      <w:r w:rsidRPr="00567301">
        <w:rPr>
          <w:b w:val="0"/>
          <w:noProof/>
          <w:color w:val="000000" w:themeColor="text1"/>
          <w:spacing w:val="0"/>
          <w:sz w:val="19"/>
          <w:szCs w:val="19"/>
          <w:lang w:eastAsia="pl-PL"/>
        </w:rPr>
        <w:drawing>
          <wp:anchor distT="0" distB="0" distL="114300" distR="114300" simplePos="0" relativeHeight="251689984" behindDoc="0" locked="0" layoutInCell="1" allowOverlap="1" wp14:anchorId="6288CD67" wp14:editId="76E520B1">
            <wp:simplePos x="0" y="0"/>
            <wp:positionH relativeFrom="margin">
              <wp:posOffset>-12350</wp:posOffset>
            </wp:positionH>
            <wp:positionV relativeFrom="paragraph">
              <wp:posOffset>656400</wp:posOffset>
            </wp:positionV>
            <wp:extent cx="4955540" cy="2185035"/>
            <wp:effectExtent l="0" t="0" r="0" b="5715"/>
            <wp:wrapTopAndBottom/>
            <wp:docPr id="17" name="Obraz 17" descr="Wykres prezentuje strukturę wolnych miejsc pracy w % według wybranych wielkich grup zawodów w pierwszym kwartale 2023 r. w wybranych sekcjach PKD." title="Wykres 2 . Struktura wolnych miejsc pracy w wybranych sekcjach PKD według wielkich grup zawodów w pierwszym kwartale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ykre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61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>Wykres 2 . Struktura wolnych miejsc pracy w wybranych sekcjach PKD według wielkich grup zawodów w pierwszym kwartale 2023 r.</w:t>
      </w:r>
      <w:r w:rsidR="00D10B58">
        <w:rPr>
          <w:noProof/>
          <w:color w:val="000000" w:themeColor="text1"/>
          <w:szCs w:val="19"/>
          <w:lang w:eastAsia="pl-PL"/>
        </w:rPr>
        <w:br/>
      </w:r>
      <w:r w:rsidR="001A0361" w:rsidRPr="00A2052E">
        <w:rPr>
          <w:b w:val="0"/>
          <w:sz w:val="19"/>
          <w:szCs w:val="19"/>
        </w:rPr>
        <w:t>Stan na koniec kwartału</w:t>
      </w:r>
    </w:p>
    <w:p w:rsidR="00A2052E" w:rsidRDefault="00A2052E" w:rsidP="00A2052E">
      <w:pPr>
        <w:spacing w:line="288" w:lineRule="auto"/>
        <w:jc w:val="both"/>
        <w:rPr>
          <w:bCs/>
        </w:rPr>
      </w:pPr>
    </w:p>
    <w:p w:rsidR="00DD3D0A" w:rsidRPr="008317CE" w:rsidRDefault="004C1642" w:rsidP="00A2052E">
      <w:pPr>
        <w:spacing w:line="288" w:lineRule="auto"/>
        <w:rPr>
          <w:bCs/>
          <w:color w:val="FF0000"/>
        </w:rPr>
      </w:pPr>
      <w:r w:rsidRPr="00C1006E">
        <w:rPr>
          <w:bCs/>
        </w:rPr>
        <w:t>Podobnie jak pod</w:t>
      </w:r>
      <w:r w:rsidR="00C1006E" w:rsidRPr="00C1006E">
        <w:rPr>
          <w:bCs/>
        </w:rPr>
        <w:t xml:space="preserve"> koniec pierwszego kwartału 2022</w:t>
      </w:r>
      <w:r w:rsidRPr="00C1006E">
        <w:rPr>
          <w:bCs/>
        </w:rPr>
        <w:t xml:space="preserve"> r., również na</w:t>
      </w:r>
      <w:r w:rsidRPr="00C1006E">
        <w:t xml:space="preserve"> koniec pierwszego kwartału br. </w:t>
      </w:r>
      <w:r w:rsidRPr="00C1006E">
        <w:rPr>
          <w:bCs/>
        </w:rPr>
        <w:t xml:space="preserve">najwyższy wskaźnik wolnych </w:t>
      </w:r>
      <w:r w:rsidRPr="001E7928">
        <w:rPr>
          <w:bCs/>
        </w:rPr>
        <w:t xml:space="preserve">miejsc pracy odnotowano w sekcji </w:t>
      </w:r>
      <w:r w:rsidR="00C1006E" w:rsidRPr="001E7928">
        <w:rPr>
          <w:bCs/>
        </w:rPr>
        <w:t>Informacja i komunikacja</w:t>
      </w:r>
      <w:r w:rsidR="00135F14" w:rsidRPr="001E7928">
        <w:rPr>
          <w:bCs/>
        </w:rPr>
        <w:t xml:space="preserve"> </w:t>
      </w:r>
      <w:r w:rsidR="00C1006E" w:rsidRPr="001E7928">
        <w:rPr>
          <w:bCs/>
        </w:rPr>
        <w:t xml:space="preserve">(2,03%, wobec 3,99% w </w:t>
      </w:r>
      <w:r w:rsidR="00E32DA5">
        <w:rPr>
          <w:bCs/>
        </w:rPr>
        <w:t>analogicznym kwartale</w:t>
      </w:r>
      <w:r w:rsidR="00E32DA5" w:rsidRPr="001E7928">
        <w:rPr>
          <w:bCs/>
        </w:rPr>
        <w:t xml:space="preserve"> </w:t>
      </w:r>
      <w:r w:rsidR="00C1006E" w:rsidRPr="001E7928">
        <w:rPr>
          <w:bCs/>
        </w:rPr>
        <w:t>2022</w:t>
      </w:r>
      <w:r w:rsidRPr="001E7928">
        <w:rPr>
          <w:bCs/>
        </w:rPr>
        <w:t xml:space="preserve"> r.)</w:t>
      </w:r>
      <w:r w:rsidR="00A2691B">
        <w:rPr>
          <w:bCs/>
        </w:rPr>
        <w:t>. L</w:t>
      </w:r>
      <w:r w:rsidR="00C1006E" w:rsidRPr="001E7928">
        <w:rPr>
          <w:bCs/>
        </w:rPr>
        <w:t>iczba wolnych miejsc</w:t>
      </w:r>
      <w:r w:rsidR="001A0361" w:rsidRPr="001E7928">
        <w:rPr>
          <w:bCs/>
        </w:rPr>
        <w:t xml:space="preserve"> </w:t>
      </w:r>
      <w:r w:rsidR="00A2691B">
        <w:rPr>
          <w:bCs/>
        </w:rPr>
        <w:t xml:space="preserve">pracy w tej sekcji </w:t>
      </w:r>
      <w:r w:rsidR="00A2052E">
        <w:rPr>
          <w:bCs/>
        </w:rPr>
        <w:t>zmniejszyła się w </w:t>
      </w:r>
      <w:r w:rsidR="00431C6C">
        <w:rPr>
          <w:bCs/>
        </w:rPr>
        <w:t xml:space="preserve">skali </w:t>
      </w:r>
      <w:r w:rsidR="00431C6C" w:rsidRPr="00431C6C">
        <w:rPr>
          <w:bCs/>
        </w:rPr>
        <w:t>roku o</w:t>
      </w:r>
      <w:r w:rsidR="00A2691B" w:rsidRPr="00431C6C">
        <w:rPr>
          <w:bCs/>
        </w:rPr>
        <w:t xml:space="preserve"> 47,5%,</w:t>
      </w:r>
      <w:r w:rsidR="00431C6C" w:rsidRPr="00431C6C">
        <w:rPr>
          <w:bCs/>
        </w:rPr>
        <w:t xml:space="preserve"> tj.</w:t>
      </w:r>
      <w:r w:rsidR="00431C6C">
        <w:rPr>
          <w:bCs/>
        </w:rPr>
        <w:t xml:space="preserve"> do 7,5 tys. miejsc</w:t>
      </w:r>
      <w:r w:rsidRPr="001E7928">
        <w:rPr>
          <w:bCs/>
        </w:rPr>
        <w:t>.</w:t>
      </w:r>
      <w:r w:rsidR="00EB5F18" w:rsidRPr="000C6C48">
        <w:rPr>
          <w:bCs/>
        </w:rPr>
        <w:t xml:space="preserve"> </w:t>
      </w:r>
    </w:p>
    <w:p w:rsidR="00DD3D0A" w:rsidRPr="00DD3D0A" w:rsidRDefault="00DD3D0A" w:rsidP="00DD3D0A">
      <w:pPr>
        <w:rPr>
          <w:bCs/>
        </w:rPr>
      </w:pPr>
    </w:p>
    <w:p w:rsidR="001A0361" w:rsidRPr="00A2052E" w:rsidRDefault="003D7DDE" w:rsidP="00A2052E">
      <w:pPr>
        <w:pStyle w:val="tytuwykresu"/>
        <w:spacing w:before="360" w:line="240" w:lineRule="auto"/>
        <w:ind w:left="868" w:hanging="868"/>
        <w:rPr>
          <w:color w:val="000000" w:themeColor="text1"/>
          <w:sz w:val="19"/>
          <w:szCs w:val="19"/>
        </w:rPr>
      </w:pPr>
      <w:r w:rsidRPr="00567301">
        <w:rPr>
          <w:b w:val="0"/>
          <w:noProof/>
          <w:spacing w:val="0"/>
          <w:sz w:val="19"/>
          <w:szCs w:val="19"/>
          <w:highlight w:val="yellow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23046D" wp14:editId="096DBE6A">
                <wp:simplePos x="0" y="0"/>
                <wp:positionH relativeFrom="page">
                  <wp:posOffset>5725236</wp:posOffset>
                </wp:positionH>
                <wp:positionV relativeFrom="paragraph">
                  <wp:posOffset>612822</wp:posOffset>
                </wp:positionV>
                <wp:extent cx="1634904" cy="934872"/>
                <wp:effectExtent l="0" t="0" r="0" b="0"/>
                <wp:wrapNone/>
                <wp:docPr id="18" name="Text Box 23" descr="Na koniec pierwszego kwartału br. najwyższy wskaźnik wolnych miejsc pracy wystąpił w sekcji Informacja i komunikacj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904" cy="934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642" w:rsidRPr="00312E3C" w:rsidRDefault="004C1642" w:rsidP="004C1642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Na koniec pierwszego kwartału br. najwyższy </w:t>
                            </w:r>
                            <w:r w:rsidRPr="001E7928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wystąpił w sekcji Informacja 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304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Na koniec pierwszego kwartału br. najwyższy wskaźnik wolnych miejsc pracy wystąpił w sekcji Informacja i komunikacja&#10;" style="position:absolute;left:0;text-align:left;margin-left:450.8pt;margin-top:48.25pt;width:128.75pt;height:73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" filled="f" stroked="f">
                <v:textbox>
                  <w:txbxContent>
                    <w:p w:rsidR="004C1642" w:rsidRPr="00312E3C" w:rsidRDefault="004C1642" w:rsidP="004C1642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Na koniec pierwszego kwartału br. najwyższy </w:t>
                      </w:r>
                      <w:r w:rsidRPr="001E7928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wystąpił w sekcji Informacja i komunikacja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3D9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drawing>
          <wp:anchor distT="0" distB="0" distL="114300" distR="114300" simplePos="0" relativeHeight="251691008" behindDoc="0" locked="0" layoutInCell="1" allowOverlap="1" wp14:anchorId="47E41280" wp14:editId="6C7BAE13">
            <wp:simplePos x="0" y="0"/>
            <wp:positionH relativeFrom="margin">
              <wp:posOffset>114935</wp:posOffset>
            </wp:positionH>
            <wp:positionV relativeFrom="paragraph">
              <wp:posOffset>452300</wp:posOffset>
            </wp:positionV>
            <wp:extent cx="4710430" cy="2310130"/>
            <wp:effectExtent l="0" t="0" r="0" b="0"/>
            <wp:wrapTopAndBottom/>
            <wp:docPr id="19" name="Obraz 19" descr="Wykres prezentuje wolne miejsca pracy w tys. oraz wskaźnik wolnych miejsc pracy w % według wybranych sekcji PKD. Dane obejmują stan na koniec pierwszego kwartału 2023 r." title="Wykres 3 . Wolne miejsca pracy i wskaźnik wolnych miejsc pracy w wybranych sekcjach PKD w pierwszym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04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 xml:space="preserve">Wykres </w:t>
      </w:r>
      <w:r w:rsidR="00E71CC7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>3</w:t>
      </w:r>
      <w:r w:rsidR="00CF6104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 xml:space="preserve"> </w:t>
      </w:r>
      <w:r w:rsidR="00720CDD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 xml:space="preserve">. </w:t>
      </w:r>
      <w:r w:rsidR="00CF6104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>W</w:t>
      </w:r>
      <w:r w:rsidR="00F53587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 xml:space="preserve">olne miejsca pracy i wskaźnik </w:t>
      </w:r>
      <w:r w:rsidR="00CF6104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>wolnych miejsc pracy w</w:t>
      </w:r>
      <w:r w:rsidR="00431C6C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 xml:space="preserve"> wybranych sekcjach P</w:t>
      </w:r>
      <w:r w:rsidR="007D73CA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>KD w </w:t>
      </w:r>
      <w:r w:rsidR="000C6C48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>pierwszym kwartale 2023</w:t>
      </w:r>
      <w:r w:rsidR="00F53587" w:rsidRPr="00567301">
        <w:rPr>
          <w:noProof/>
          <w:color w:val="000000" w:themeColor="text1"/>
          <w:spacing w:val="0"/>
          <w:sz w:val="19"/>
          <w:szCs w:val="19"/>
          <w:lang w:eastAsia="pl-PL"/>
        </w:rPr>
        <w:t xml:space="preserve"> r.</w:t>
      </w:r>
      <w:r w:rsidR="00D10B58">
        <w:rPr>
          <w:noProof/>
          <w:color w:val="000000" w:themeColor="text1"/>
          <w:szCs w:val="19"/>
          <w:lang w:eastAsia="pl-PL"/>
        </w:rPr>
        <w:br/>
      </w:r>
      <w:r w:rsidR="00F53587" w:rsidRPr="00A2052E">
        <w:rPr>
          <w:b w:val="0"/>
          <w:sz w:val="19"/>
          <w:szCs w:val="19"/>
        </w:rPr>
        <w:t>Stan na koniec kwartału</w:t>
      </w:r>
    </w:p>
    <w:p w:rsidR="00A2052E" w:rsidRDefault="00A2052E" w:rsidP="00A2052E">
      <w:pPr>
        <w:spacing w:before="0" w:line="288" w:lineRule="auto"/>
        <w:rPr>
          <w:szCs w:val="19"/>
        </w:rPr>
      </w:pPr>
    </w:p>
    <w:p w:rsidR="00396508" w:rsidRPr="008706FC" w:rsidRDefault="006A3AA0" w:rsidP="00A2052E">
      <w:pPr>
        <w:spacing w:before="0" w:line="288" w:lineRule="auto"/>
        <w:rPr>
          <w:szCs w:val="19"/>
        </w:rPr>
      </w:pPr>
      <w:r w:rsidRPr="004405AD">
        <w:rPr>
          <w:szCs w:val="19"/>
        </w:rPr>
        <w:t xml:space="preserve">Na podstawie wyników badania popytu na pracę można stwierdzić, iż </w:t>
      </w:r>
      <w:r w:rsidRPr="001603D9">
        <w:rPr>
          <w:szCs w:val="19"/>
        </w:rPr>
        <w:t>na koniec marca</w:t>
      </w:r>
      <w:r w:rsidR="00DE0D3C">
        <w:rPr>
          <w:szCs w:val="19"/>
        </w:rPr>
        <w:t xml:space="preserve"> 2023 r.</w:t>
      </w:r>
      <w:r w:rsidRPr="004405AD">
        <w:rPr>
          <w:szCs w:val="19"/>
        </w:rPr>
        <w:t xml:space="preserve"> </w:t>
      </w:r>
      <w:r w:rsidR="00CF750D" w:rsidRPr="004405AD">
        <w:rPr>
          <w:szCs w:val="19"/>
        </w:rPr>
        <w:t>było 426,9</w:t>
      </w:r>
      <w:r w:rsidR="0051121C" w:rsidRPr="004405AD">
        <w:rPr>
          <w:szCs w:val="19"/>
        </w:rPr>
        <w:t xml:space="preserve"> tys. osób, </w:t>
      </w:r>
      <w:r w:rsidR="0051121C" w:rsidRPr="004405AD">
        <w:rPr>
          <w:b/>
          <w:szCs w:val="19"/>
        </w:rPr>
        <w:t xml:space="preserve">które pracowały zdalnie w związku ze stanem zagrożenia </w:t>
      </w:r>
      <w:r w:rsidR="0051121C" w:rsidRPr="0089326D">
        <w:rPr>
          <w:b/>
          <w:szCs w:val="19"/>
        </w:rPr>
        <w:t>epidemicznego</w:t>
      </w:r>
      <w:r w:rsidR="00780998" w:rsidRPr="0089326D">
        <w:rPr>
          <w:szCs w:val="19"/>
        </w:rPr>
        <w:t xml:space="preserve">, tj. 32,3% mniej niż pierwszym kwartale 2022 </w:t>
      </w:r>
      <w:r w:rsidR="00780998" w:rsidRPr="00783B91">
        <w:rPr>
          <w:szCs w:val="19"/>
        </w:rPr>
        <w:t>r</w:t>
      </w:r>
      <w:r w:rsidR="0051121C" w:rsidRPr="0089326D">
        <w:rPr>
          <w:szCs w:val="19"/>
        </w:rPr>
        <w:t xml:space="preserve">. </w:t>
      </w:r>
      <w:r w:rsidR="00A049FC" w:rsidRPr="0089326D">
        <w:rPr>
          <w:szCs w:val="19"/>
        </w:rPr>
        <w:t>Pracujący zdalnie stanowili 3,4% ogólnej liczby obsadzonych miejsc pracy</w:t>
      </w:r>
      <w:r w:rsidR="00780998" w:rsidRPr="0089326D">
        <w:rPr>
          <w:szCs w:val="19"/>
        </w:rPr>
        <w:t xml:space="preserve"> (przed rokiem 5,0%)</w:t>
      </w:r>
      <w:r w:rsidR="00A049FC" w:rsidRPr="0089326D">
        <w:rPr>
          <w:szCs w:val="19"/>
        </w:rPr>
        <w:t xml:space="preserve">, z </w:t>
      </w:r>
      <w:r w:rsidR="00A049FC" w:rsidRPr="008706FC">
        <w:rPr>
          <w:szCs w:val="19"/>
        </w:rPr>
        <w:t>czego w podmiotach gospodarki narodowej należących do sektora prywatnego było to 4,1%</w:t>
      </w:r>
      <w:r w:rsidR="0076168B">
        <w:rPr>
          <w:szCs w:val="19"/>
        </w:rPr>
        <w:t>,</w:t>
      </w:r>
      <w:r w:rsidR="00A049FC" w:rsidRPr="008706FC">
        <w:rPr>
          <w:szCs w:val="19"/>
        </w:rPr>
        <w:t xml:space="preserve"> </w:t>
      </w:r>
      <w:r w:rsidR="00780998" w:rsidRPr="008706FC">
        <w:rPr>
          <w:szCs w:val="19"/>
        </w:rPr>
        <w:t>a</w:t>
      </w:r>
      <w:r w:rsidR="00A049FC" w:rsidRPr="008706FC">
        <w:rPr>
          <w:szCs w:val="19"/>
        </w:rPr>
        <w:t xml:space="preserve"> w podmiotach dużych</w:t>
      </w:r>
      <w:r w:rsidR="00780998" w:rsidRPr="008706FC">
        <w:rPr>
          <w:szCs w:val="19"/>
        </w:rPr>
        <w:t xml:space="preserve"> (50 osób pracujących i więcej)</w:t>
      </w:r>
      <w:r w:rsidR="0051121C" w:rsidRPr="008706FC">
        <w:rPr>
          <w:szCs w:val="19"/>
        </w:rPr>
        <w:t xml:space="preserve"> </w:t>
      </w:r>
      <w:r w:rsidR="00780998" w:rsidRPr="008706FC">
        <w:rPr>
          <w:szCs w:val="19"/>
        </w:rPr>
        <w:t>– 4,6%.</w:t>
      </w:r>
    </w:p>
    <w:p w:rsidR="00A049FC" w:rsidRDefault="00A049FC" w:rsidP="00A2052E">
      <w:pPr>
        <w:spacing w:before="0" w:line="288" w:lineRule="auto"/>
        <w:rPr>
          <w:szCs w:val="19"/>
        </w:rPr>
      </w:pPr>
      <w:r w:rsidRPr="00B35052">
        <w:rPr>
          <w:szCs w:val="19"/>
        </w:rPr>
        <w:t>Na koniec</w:t>
      </w:r>
      <w:r w:rsidR="00B35052" w:rsidRPr="00B35052">
        <w:rPr>
          <w:szCs w:val="19"/>
        </w:rPr>
        <w:t xml:space="preserve"> pierwszego</w:t>
      </w:r>
      <w:r w:rsidRPr="00B35052">
        <w:rPr>
          <w:szCs w:val="19"/>
        </w:rPr>
        <w:t xml:space="preserve"> kwartału 2023 r. najwięcej osób, które pracowały zdalnie w związku ze stanem zagrożenia epidemicznego było w podmiotach gospoda</w:t>
      </w:r>
      <w:r w:rsidR="00300027" w:rsidRPr="00B35052">
        <w:rPr>
          <w:szCs w:val="19"/>
        </w:rPr>
        <w:t>rki narodowej</w:t>
      </w:r>
      <w:r w:rsidRPr="00B35052">
        <w:rPr>
          <w:szCs w:val="19"/>
        </w:rPr>
        <w:t xml:space="preserve"> z</w:t>
      </w:r>
      <w:r w:rsidRPr="004405AD">
        <w:rPr>
          <w:szCs w:val="19"/>
        </w:rPr>
        <w:t xml:space="preserve"> sekcji </w:t>
      </w:r>
      <w:r w:rsidR="00780998" w:rsidRPr="004405AD">
        <w:rPr>
          <w:szCs w:val="19"/>
        </w:rPr>
        <w:t>Informacja i komunikacja (</w:t>
      </w:r>
      <w:r w:rsidR="001603D9">
        <w:rPr>
          <w:szCs w:val="19"/>
        </w:rPr>
        <w:t>stanowili 33,4% pracujących zdalnie</w:t>
      </w:r>
      <w:r w:rsidR="00780998" w:rsidRPr="004405AD">
        <w:rPr>
          <w:szCs w:val="19"/>
        </w:rPr>
        <w:t xml:space="preserve">), Działalność profesjonalna, naukowa i techniczna (18,8%), a także Działalność finansowa </w:t>
      </w:r>
      <w:r w:rsidR="001603D9">
        <w:rPr>
          <w:szCs w:val="19"/>
        </w:rPr>
        <w:t>i ubezpieczeniowa (14,7%</w:t>
      </w:r>
      <w:r w:rsidR="00780998" w:rsidRPr="004405AD">
        <w:rPr>
          <w:szCs w:val="19"/>
        </w:rPr>
        <w:t>). Osoby pracujące zdalnie w tych sekcjach stanowiły odpowiednio: 39,2%, 12,2% i 20,0% ogólnej liczby obsadzonych miejsc pracy</w:t>
      </w:r>
      <w:r w:rsidR="00A2691B" w:rsidRPr="004405AD">
        <w:rPr>
          <w:szCs w:val="19"/>
        </w:rPr>
        <w:t>.</w:t>
      </w:r>
    </w:p>
    <w:p w:rsidR="001603D9" w:rsidRPr="004405AD" w:rsidRDefault="003D7DDE" w:rsidP="003D7DDE">
      <w:pPr>
        <w:spacing w:before="2640"/>
        <w:jc w:val="center"/>
        <w:rPr>
          <w:szCs w:val="19"/>
        </w:rPr>
      </w:pPr>
      <w:r>
        <w:rPr>
          <w:szCs w:val="19"/>
        </w:rPr>
        <w:t>***</w:t>
      </w:r>
    </w:p>
    <w:p w:rsidR="003D7DDE" w:rsidRDefault="00F73F25" w:rsidP="003D7DDE">
      <w:pPr>
        <w:spacing w:line="288" w:lineRule="auto"/>
        <w:rPr>
          <w:rStyle w:val="Hipercze"/>
          <w:color w:val="000000" w:themeColor="text1"/>
          <w:szCs w:val="19"/>
        </w:rPr>
      </w:pPr>
      <w:r w:rsidRPr="003D7DDE">
        <w:rPr>
          <w:color w:val="000000" w:themeColor="text1"/>
          <w:spacing w:val="-6"/>
          <w:szCs w:val="19"/>
        </w:rPr>
        <w:t>Pełne nazwy</w:t>
      </w:r>
      <w:r w:rsidR="006A2AE7" w:rsidRPr="003D7DDE">
        <w:rPr>
          <w:color w:val="000000" w:themeColor="text1"/>
          <w:spacing w:val="-6"/>
          <w:szCs w:val="19"/>
        </w:rPr>
        <w:t xml:space="preserve"> sekcji PKD</w:t>
      </w:r>
      <w:r w:rsidRPr="003D7DDE">
        <w:rPr>
          <w:color w:val="000000" w:themeColor="text1"/>
          <w:spacing w:val="-6"/>
          <w:szCs w:val="19"/>
        </w:rPr>
        <w:t xml:space="preserve"> dostępne są na stronie GUS pod adresem:</w:t>
      </w:r>
      <w:r w:rsidR="006A2AE7" w:rsidRPr="003D7DDE">
        <w:rPr>
          <w:color w:val="000000" w:themeColor="text1"/>
          <w:spacing w:val="-6"/>
          <w:szCs w:val="19"/>
        </w:rPr>
        <w:t xml:space="preserve"> </w:t>
      </w:r>
      <w:hyperlink r:id="rId11" w:history="1">
        <w:r w:rsidR="00A2052E" w:rsidRPr="003D7DDE">
          <w:rPr>
            <w:rStyle w:val="Hipercze"/>
            <w:spacing w:val="-6"/>
            <w:szCs w:val="19"/>
          </w:rPr>
          <w:t>http://stat.gov.pl/Klasyfikacje/</w:t>
        </w:r>
      </w:hyperlink>
      <w:r w:rsidRPr="003D7DDE">
        <w:rPr>
          <w:rStyle w:val="Hipercze"/>
          <w:color w:val="000000" w:themeColor="text1"/>
          <w:spacing w:val="-6"/>
          <w:szCs w:val="19"/>
        </w:rPr>
        <w:t xml:space="preserve">. </w:t>
      </w:r>
    </w:p>
    <w:p w:rsidR="00720CDD" w:rsidRPr="006A2AE7" w:rsidRDefault="00F73F25" w:rsidP="003D7DDE">
      <w:pPr>
        <w:spacing w:line="288" w:lineRule="auto"/>
        <w:rPr>
          <w:rFonts w:cs="Times New Roman"/>
          <w:color w:val="000000" w:themeColor="text1"/>
          <w:szCs w:val="19"/>
          <w:u w:val="single"/>
        </w:rPr>
      </w:pPr>
      <w:r>
        <w:rPr>
          <w:color w:val="000000" w:themeColor="text1"/>
          <w:szCs w:val="19"/>
        </w:rPr>
        <w:t>W </w:t>
      </w:r>
      <w:r w:rsidR="00720CDD" w:rsidRPr="009E5CAD">
        <w:rPr>
          <w:color w:val="000000" w:themeColor="text1"/>
          <w:szCs w:val="19"/>
        </w:rPr>
        <w:t xml:space="preserve">opracowaniu zastosowano skrócone nazwy sekcji PKD, oznaczając skróty znakiem „∆”. </w:t>
      </w:r>
      <w:r w:rsidR="00720CDD" w:rsidRPr="009E5CAD">
        <w:rPr>
          <w:color w:val="000000" w:themeColor="text1"/>
          <w:szCs w:val="19"/>
        </w:rPr>
        <w:br/>
      </w:r>
    </w:p>
    <w:p w:rsidR="00720CDD" w:rsidRDefault="00720CDD" w:rsidP="003D7DDE">
      <w:pPr>
        <w:spacing w:line="288" w:lineRule="auto"/>
        <w:rPr>
          <w:color w:val="000000" w:themeColor="text1"/>
          <w:lang w:eastAsia="pl-PL"/>
        </w:rPr>
      </w:pPr>
      <w:r w:rsidRPr="009E5CAD">
        <w:rPr>
          <w:color w:val="000000" w:themeColor="text1"/>
          <w:lang w:eastAsia="pl-PL"/>
        </w:rPr>
        <w:t>Liczby względne (wskaźniki, odsetki) obliczono na podstawie danych bezwzględnych</w:t>
      </w:r>
      <w:r w:rsidRPr="009E5CAD">
        <w:rPr>
          <w:color w:val="000000" w:themeColor="text1"/>
        </w:rPr>
        <w:t xml:space="preserve"> </w:t>
      </w:r>
      <w:r w:rsidRPr="009E5CAD">
        <w:rPr>
          <w:color w:val="000000" w:themeColor="text1"/>
          <w:lang w:eastAsia="pl-PL"/>
        </w:rPr>
        <w:t>wyrażonych z większą dokładnością niż podano w opracowaniu.</w:t>
      </w:r>
    </w:p>
    <w:p w:rsidR="00C249EE" w:rsidRPr="009E5CAD" w:rsidRDefault="00C249EE" w:rsidP="003D7DDE">
      <w:pPr>
        <w:spacing w:line="288" w:lineRule="auto"/>
        <w:jc w:val="both"/>
        <w:rPr>
          <w:color w:val="000000" w:themeColor="text1"/>
          <w:lang w:eastAsia="pl-PL"/>
        </w:rPr>
      </w:pPr>
    </w:p>
    <w:p w:rsidR="00720CDD" w:rsidRPr="00760275" w:rsidRDefault="00720CDD" w:rsidP="003D7DDE">
      <w:pPr>
        <w:spacing w:line="288" w:lineRule="auto"/>
        <w:rPr>
          <w:color w:val="000000" w:themeColor="text1"/>
          <w:sz w:val="16"/>
        </w:rPr>
        <w:sectPr w:rsidR="00720CDD" w:rsidRPr="0076027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E5CAD">
        <w:rPr>
          <w:color w:val="000000" w:themeColor="text1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</w:t>
      </w:r>
      <w:r w:rsidR="00C16C2D">
        <w:rPr>
          <w:color w:val="000000" w:themeColor="text1"/>
        </w:rPr>
        <w:t>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20CDD" w:rsidTr="000759CD">
        <w:trPr>
          <w:trHeight w:val="1626"/>
        </w:trPr>
        <w:tc>
          <w:tcPr>
            <w:tcW w:w="4926" w:type="dxa"/>
          </w:tcPr>
          <w:p w:rsidR="00720CDD" w:rsidRPr="004A1D19" w:rsidRDefault="00720CDD" w:rsidP="0007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720CDD" w:rsidRPr="008925F0" w:rsidRDefault="00720CDD" w:rsidP="0007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720CDD" w:rsidRPr="00DE2400" w:rsidRDefault="00720CDD" w:rsidP="000759CD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:rsidR="00720CDD" w:rsidRPr="00AB24E4" w:rsidRDefault="00720CDD" w:rsidP="0007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27" w:type="dxa"/>
          </w:tcPr>
          <w:p w:rsidR="00720CDD" w:rsidRPr="004A1D19" w:rsidRDefault="00720CDD" w:rsidP="000759CD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720CDD" w:rsidRPr="004A1D19" w:rsidRDefault="00720CDD" w:rsidP="000759C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720CDD" w:rsidRPr="004A1D19" w:rsidRDefault="00720CDD" w:rsidP="000759C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720CDD" w:rsidRDefault="00720CDD" w:rsidP="000759CD">
            <w:pPr>
              <w:rPr>
                <w:sz w:val="18"/>
              </w:rPr>
            </w:pPr>
          </w:p>
        </w:tc>
      </w:tr>
      <w:tr w:rsidR="00720CDD" w:rsidTr="000759CD">
        <w:trPr>
          <w:trHeight w:val="418"/>
        </w:trPr>
        <w:tc>
          <w:tcPr>
            <w:tcW w:w="4926" w:type="dxa"/>
            <w:vMerge w:val="restart"/>
          </w:tcPr>
          <w:p w:rsidR="00720CDD" w:rsidRPr="00C91687" w:rsidRDefault="00720CDD" w:rsidP="000759C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720CDD" w:rsidRPr="00C91687" w:rsidRDefault="00720CDD" w:rsidP="000759CD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720CDD" w:rsidRPr="00F05FC7" w:rsidRDefault="00720CDD" w:rsidP="000759CD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720CDD" w:rsidRDefault="00720CDD" w:rsidP="000759CD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37A8B1B3" wp14:editId="5DB5EE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720CDD" w:rsidTr="000759CD">
        <w:trPr>
          <w:trHeight w:val="418"/>
        </w:trPr>
        <w:tc>
          <w:tcPr>
            <w:tcW w:w="4926" w:type="dxa"/>
            <w:vMerge/>
          </w:tcPr>
          <w:p w:rsidR="00720CDD" w:rsidRPr="00C91687" w:rsidRDefault="00720CDD" w:rsidP="000759C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720CDD" w:rsidRDefault="00720CDD" w:rsidP="0007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8480" behindDoc="0" locked="0" layoutInCell="1" allowOverlap="1" wp14:anchorId="277C3FA0" wp14:editId="64A1B15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:rsidTr="000759CD">
        <w:trPr>
          <w:trHeight w:val="476"/>
        </w:trPr>
        <w:tc>
          <w:tcPr>
            <w:tcW w:w="4926" w:type="dxa"/>
            <w:vMerge/>
          </w:tcPr>
          <w:p w:rsidR="00720CDD" w:rsidRPr="00C91687" w:rsidRDefault="00720CDD" w:rsidP="0007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Default="00720CDD" w:rsidP="000759C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2A1D5D1A" wp14:editId="43898A0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:rsidTr="000759CD">
        <w:trPr>
          <w:trHeight w:val="476"/>
        </w:trPr>
        <w:tc>
          <w:tcPr>
            <w:tcW w:w="4926" w:type="dxa"/>
          </w:tcPr>
          <w:p w:rsidR="00720CDD" w:rsidRPr="00C91687" w:rsidRDefault="00720CDD" w:rsidP="0007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Pr="003D5F42" w:rsidRDefault="00720CDD" w:rsidP="000759CD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0E804738" wp14:editId="6A38F6A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720CDD" w:rsidTr="000759CD">
        <w:trPr>
          <w:trHeight w:val="476"/>
        </w:trPr>
        <w:tc>
          <w:tcPr>
            <w:tcW w:w="4926" w:type="dxa"/>
          </w:tcPr>
          <w:p w:rsidR="00720CDD" w:rsidRPr="00C91687" w:rsidRDefault="00720CDD" w:rsidP="0007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Pr="003D5F42" w:rsidRDefault="00720CDD" w:rsidP="000759CD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265C21B1" wp14:editId="37854AC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20CDD" w:rsidTr="000759CD">
        <w:trPr>
          <w:trHeight w:val="953"/>
        </w:trPr>
        <w:tc>
          <w:tcPr>
            <w:tcW w:w="4926" w:type="dxa"/>
          </w:tcPr>
          <w:p w:rsidR="00720CDD" w:rsidRPr="00C91687" w:rsidRDefault="00720CDD" w:rsidP="000759C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Pr="003D5F42" w:rsidRDefault="00720CDD" w:rsidP="000759CD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0F92BF70" wp14:editId="0BC6EAE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0CDD" w:rsidRPr="003028BF" w:rsidTr="0007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720CDD" w:rsidRPr="00876479" w:rsidRDefault="00720CDD" w:rsidP="000759CD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720CDD" w:rsidRPr="002457CC" w:rsidRDefault="00720CDD" w:rsidP="000759CD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>HYPERLINK "https://stat.gov.pl/obszary-tematyczne/rynek-pracy/popyt-na-prace/popyt-na-prace-w-2021-roku,1,17.html" \o " Link do publikacji Popyt na pracę w 2021 r. Publikacja roczna"</w:instrText>
            </w:r>
            <w:r w:rsidRPr="002457CC">
              <w:rPr>
                <w:u w:val="single"/>
              </w:rPr>
              <w:fldChar w:fldCharType="separate"/>
            </w:r>
            <w:r w:rsidRPr="002457CC">
              <w:rPr>
                <w:rStyle w:val="Hipercze"/>
              </w:rPr>
              <w:t>Popyt na pracę w 202</w:t>
            </w:r>
            <w:r>
              <w:rPr>
                <w:rStyle w:val="Hipercze"/>
              </w:rPr>
              <w:t>1</w:t>
            </w:r>
            <w:r w:rsidRPr="002457CC">
              <w:rPr>
                <w:rStyle w:val="Hipercze"/>
              </w:rPr>
              <w:t xml:space="preserve"> r. – publikacja roczna</w:t>
            </w:r>
          </w:p>
          <w:p w:rsidR="00720CDD" w:rsidRPr="002457CC" w:rsidRDefault="00720CDD" w:rsidP="000759CD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="001A7684">
              <w:rPr>
                <w:rStyle w:val="Hipercze"/>
              </w:rPr>
              <w:instrText>HYPERLINK "https://stat.gov.pl/obszary-tematyczne/rynek-pracy/popyt-na-prace/popyt-na-prace-w-iv-kwartale-2022-roku,2,49.html" \o "Link do opracowania Popyt na pracę w czwartym kwartale 2022 r. Opracowanie sygnalne"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 xml:space="preserve">Popyt na pracę w </w:t>
            </w:r>
            <w:r w:rsidR="001A7684">
              <w:rPr>
                <w:rStyle w:val="Hipercze"/>
              </w:rPr>
              <w:t>czwartym</w:t>
            </w:r>
            <w:r w:rsidRPr="002457CC">
              <w:rPr>
                <w:rStyle w:val="Hipercze"/>
              </w:rPr>
              <w:t xml:space="preserve"> kwartale </w:t>
            </w:r>
            <w:r>
              <w:rPr>
                <w:rStyle w:val="Hipercze"/>
              </w:rPr>
              <w:t>2022</w:t>
            </w:r>
            <w:r w:rsidRPr="002457CC">
              <w:rPr>
                <w:rStyle w:val="Hipercze"/>
              </w:rPr>
              <w:t xml:space="preserve"> r.</w:t>
            </w:r>
            <w:r>
              <w:rPr>
                <w:rStyle w:val="Hipercze"/>
              </w:rPr>
              <w:t xml:space="preserve"> — opracowanie sygnalne</w:t>
            </w:r>
          </w:p>
          <w:p w:rsidR="00720CDD" w:rsidRPr="002457CC" w:rsidRDefault="00720CDD" w:rsidP="000759CD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  <w:bCs w:val="0"/>
              </w:rPr>
              <w:fldChar w:fldCharType="end"/>
            </w:r>
            <w:hyperlink r:id="rId23" w:tooltip="Link do opracowania Wpływ epidemii COVID-19 na wybrane elementy rynku pracy w Polsce w trzecim kwartale 2022 r. Opracowanie sygnalne" w:history="1"/>
            <w:hyperlink r:id="rId24" w:tooltip="Link do innych opracowań zawierających wyniki tych badań" w:history="1">
              <w:r w:rsidRPr="002457CC">
                <w:rPr>
                  <w:rStyle w:val="Hipercze"/>
                </w:rPr>
                <w:t>Inne opracowania zawierające wyniki tych badań: stat.gov.pl → Obszary tematyczne → Rynek pracy</w:t>
              </w:r>
            </w:hyperlink>
            <w:r w:rsidRPr="002457CC">
              <w:rPr>
                <w:rStyle w:val="Hipercze"/>
              </w:rPr>
              <w:t xml:space="preserve"> </w:t>
            </w:r>
          </w:p>
          <w:p w:rsidR="00720CDD" w:rsidRPr="002457CC" w:rsidRDefault="00720CDD" w:rsidP="000759CD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>HYPERLINK "https://stat.gov.pl/obszary-tematyczne/rynek-pracy/popyt-na-prace/zeszyt-metodologiczny-popyt-na-prace,3,1.html" \o "Link do opracowania Zeszyt metodologiczny. Popyt na pracę"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Zeszyt metodologiczny. Popyt na pracę</w:t>
            </w:r>
          </w:p>
          <w:p w:rsidR="00720CDD" w:rsidRPr="00694D63" w:rsidRDefault="00720CDD" w:rsidP="000759CD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720CDD" w:rsidRPr="001A7684" w:rsidRDefault="00720CDD" w:rsidP="000759CD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 w:rsidRPr="001A7684">
              <w:rPr>
                <w:rFonts w:cs="Arial"/>
                <w:color w:val="0000FF"/>
                <w:sz w:val="18"/>
                <w:szCs w:val="30"/>
                <w:shd w:val="clear" w:color="auto" w:fill="F0F0F0"/>
              </w:rPr>
              <w:instrText>HYPERLINK "http://strateg.stat.gov.pl/" \o "Baza danych Strateg. Obszar tematyczny Rynek pracy"</w:instrText>
            </w: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>Strateg → Obszary tematyczne → Rynek pracy</w:t>
            </w:r>
          </w:p>
          <w:p w:rsidR="00720CDD" w:rsidRPr="002457CC" w:rsidRDefault="00720CDD" w:rsidP="000759CD">
            <w:pPr>
              <w:pStyle w:val="tekstzboku"/>
              <w:rPr>
                <w:rStyle w:val="Hipercze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 xml:space="preserve"> HYPERLINK "https://bdl.stat.gov.pl/BDL/dane/podgrup/temat" \o "Link do Banku Danych Lokalnych. Obszar Rynek pracy" 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Bank Danych Lokalnych → Rynek pracy</w:t>
            </w:r>
          </w:p>
          <w:p w:rsidR="00720CDD" w:rsidRDefault="00720CDD" w:rsidP="000759CD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end"/>
            </w:r>
            <w:hyperlink r:id="rId25" w:tooltip="Link do Oficjalnych statystyk SDG. Wskaźniki dla celów globalnych" w:history="1">
              <w:r w:rsidRPr="00DD6AA9">
                <w:rPr>
                  <w:rStyle w:val="Hipercze"/>
                </w:rPr>
                <w:t>Oficjalne statystyki SDG – wskaźniki dla celów globalnych</w:t>
              </w:r>
            </w:hyperlink>
          </w:p>
          <w:p w:rsidR="00E32DA5" w:rsidRPr="00DD6AA9" w:rsidRDefault="009773C4" w:rsidP="000759CD">
            <w:pPr>
              <w:pStyle w:val="tekstzboku"/>
              <w:rPr>
                <w:rStyle w:val="Hipercze"/>
              </w:rPr>
            </w:pPr>
            <w:hyperlink r:id="rId26" w:tooltip="Dziedzinowe Bazy Wiedzy" w:history="1">
              <w:r w:rsidR="00E32DA5" w:rsidRPr="00E32DA5">
                <w:rPr>
                  <w:rStyle w:val="Hipercze"/>
                </w:rPr>
                <w:t>Dziedzinowe Bazy Wiedzy → Społeczeństwo → Rynek pracy</w:t>
              </w:r>
            </w:hyperlink>
          </w:p>
          <w:p w:rsidR="00720CDD" w:rsidRPr="00694D63" w:rsidRDefault="00720CDD" w:rsidP="000759CD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720CDD" w:rsidRPr="001A7684" w:rsidRDefault="009773C4" w:rsidP="000759CD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7" w:tooltip="Link do pojęcia popyt na pracę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Popyt na pracę</w:t>
              </w:r>
            </w:hyperlink>
            <w:r w:rsidR="00720CDD" w:rsidRPr="001A7684"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  <w:t xml:space="preserve"> </w:t>
            </w:r>
          </w:p>
          <w:p w:rsidR="00720CDD" w:rsidRPr="001A7684" w:rsidRDefault="009773C4" w:rsidP="000759CD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8" w:tooltip="Link do pojęcia Wolne miejsca pracy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Wolne miejsca pracy</w:t>
              </w:r>
            </w:hyperlink>
          </w:p>
          <w:p w:rsidR="00720CDD" w:rsidRPr="001A7684" w:rsidRDefault="009773C4" w:rsidP="000759CD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9" w:tooltip="Link do pojęcia Nowo utworzone miejsca pracy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Nowo utworzone miejsca pracy</w:t>
              </w:r>
            </w:hyperlink>
          </w:p>
          <w:p w:rsidR="00720CDD" w:rsidRPr="00DD6AA9" w:rsidRDefault="009773C4" w:rsidP="000759CD">
            <w:pPr>
              <w:pStyle w:val="tekstzboku"/>
              <w:rPr>
                <w:rStyle w:val="Hipercze"/>
              </w:rPr>
            </w:pPr>
            <w:hyperlink r:id="rId30" w:tooltip="Link do pojęcia Zlikwidowane miejsca pracy" w:history="1">
              <w:r w:rsidR="00720CDD" w:rsidRPr="00DD6AA9">
                <w:rPr>
                  <w:rStyle w:val="Hipercze"/>
                </w:rPr>
                <w:t>Zlikwidowane miejsca pracy</w:t>
              </w:r>
            </w:hyperlink>
          </w:p>
          <w:p w:rsidR="00720CDD" w:rsidRPr="00876479" w:rsidRDefault="00720CDD" w:rsidP="000759CD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382B0D" w:rsidRDefault="00382B0D" w:rsidP="000F2415"/>
    <w:sectPr w:rsidR="00382B0D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C4" w:rsidRDefault="009773C4" w:rsidP="00720CDD">
      <w:pPr>
        <w:spacing w:before="0" w:after="0" w:line="240" w:lineRule="auto"/>
      </w:pPr>
      <w:r>
        <w:separator/>
      </w:r>
    </w:p>
  </w:endnote>
  <w:endnote w:type="continuationSeparator" w:id="0">
    <w:p w:rsidR="009773C4" w:rsidRDefault="009773C4" w:rsidP="00720C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575277"/>
      <w:docPartObj>
        <w:docPartGallery w:val="Page Numbers (Bottom of Page)"/>
        <w:docPartUnique/>
      </w:docPartObj>
    </w:sdtPr>
    <w:sdtEndPr/>
    <w:sdtContent>
      <w:p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836088"/>
      <w:docPartObj>
        <w:docPartGallery w:val="Page Numbers (Bottom of Page)"/>
        <w:docPartUnique/>
      </w:docPartObj>
    </w:sdtPr>
    <w:sdtEndPr/>
    <w:sdtContent>
      <w:p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:rsidR="008025B1" w:rsidRDefault="00BC15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C4" w:rsidRDefault="009773C4" w:rsidP="00720CDD">
      <w:pPr>
        <w:spacing w:before="0" w:after="0" w:line="240" w:lineRule="auto"/>
      </w:pPr>
      <w:r>
        <w:separator/>
      </w:r>
    </w:p>
  </w:footnote>
  <w:footnote w:type="continuationSeparator" w:id="0">
    <w:p w:rsidR="009773C4" w:rsidRDefault="009773C4" w:rsidP="00720CDD">
      <w:pPr>
        <w:spacing w:before="0" w:after="0" w:line="240" w:lineRule="auto"/>
      </w:pPr>
      <w:r>
        <w:continuationSeparator/>
      </w:r>
    </w:p>
  </w:footnote>
  <w:footnote w:id="1">
    <w:p w:rsidR="00BE769D" w:rsidRDefault="00BE769D" w:rsidP="00BE76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769D">
        <w:rPr>
          <w:sz w:val="19"/>
          <w:szCs w:val="19"/>
        </w:rPr>
        <w:t>Dotyczy podmiotów gospodarki narodowej oraz ich jednostek lokalnych o liczbie zatrudnionych 1 i więcej osób, prowadzących działalność gospodarczą w zakresie sekcji PKD od A (z wyłączeniem osób fizycznych prowadzących indywidualne gospodarstwa rolne) do sekcji 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DD" w:rsidRDefault="00720C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759255" wp14:editId="027BB7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81D3B6" id="Prostokąt 12" o:spid="_x0000_s1026" style="position:absolute;margin-left:411.2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720CDD" w:rsidRDefault="00720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DD" w:rsidRDefault="00720CDD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F43FCD0" wp14:editId="4E4691C7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6473" wp14:editId="0E414B8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20CDD" w:rsidRPr="003C6C8D" w:rsidRDefault="00720CDD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536473" id="Schemat blokowy: opóźnienie 6" o:spid="_x0000_s1029" alt="Tytuł: nazwa serii wydawniczej — opis: Napis &quot;Informacje sygnalne&quot;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AHdeu7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20CDD" w:rsidRPr="003C6C8D" w:rsidRDefault="00720CDD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FA180E" wp14:editId="0A79D7E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263CA88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</w:p>
  <w:p w:rsidR="00720CDD" w:rsidRDefault="00720CDD">
    <w:pPr>
      <w:pStyle w:val="Nagwek"/>
      <w:rPr>
        <w:noProof/>
        <w:lang w:eastAsia="pl-PL"/>
      </w:rPr>
    </w:pPr>
  </w:p>
  <w:p w:rsidR="00720CDD" w:rsidRDefault="00720CDD">
    <w:pPr>
      <w:pStyle w:val="Nagwek"/>
      <w:rPr>
        <w:noProof/>
        <w:lang w:eastAsia="pl-PL"/>
      </w:rPr>
    </w:pPr>
  </w:p>
  <w:p w:rsidR="00720CDD" w:rsidRDefault="00720CD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5BCA3F" wp14:editId="7F6AC83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7 czerwiec 2023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CDD" w:rsidRPr="00A01B40" w:rsidRDefault="00566D71" w:rsidP="00F049AB">
                          <w:pPr>
                            <w:pStyle w:val="Datainformacjisygnalnej"/>
                          </w:pPr>
                          <w:r>
                            <w:t>7.06</w:t>
                          </w:r>
                          <w:r w:rsidR="00720CDD"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BCA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&#10;7 czerwiec 2023 rok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hjzWkUECAABD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:rsidR="00720CDD" w:rsidRPr="00A01B40" w:rsidRDefault="00566D71" w:rsidP="00F049AB">
                    <w:pPr>
                      <w:pStyle w:val="Datainformacjisygnalnej"/>
                    </w:pPr>
                    <w:r>
                      <w:t>7.06</w:t>
                    </w:r>
                    <w:r w:rsidR="00720CDD"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B1" w:rsidRDefault="009773C4">
    <w:pPr>
      <w:pStyle w:val="Nagwek"/>
    </w:pPr>
  </w:p>
  <w:p w:rsidR="008025B1" w:rsidRDefault="009773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DD"/>
    <w:rsid w:val="00022D7E"/>
    <w:rsid w:val="00040C0C"/>
    <w:rsid w:val="00042632"/>
    <w:rsid w:val="0004285B"/>
    <w:rsid w:val="000565D6"/>
    <w:rsid w:val="00065951"/>
    <w:rsid w:val="00072122"/>
    <w:rsid w:val="00072C8B"/>
    <w:rsid w:val="0009246D"/>
    <w:rsid w:val="000C4D6F"/>
    <w:rsid w:val="000C6C48"/>
    <w:rsid w:val="000D298A"/>
    <w:rsid w:val="000F2415"/>
    <w:rsid w:val="000F3DBF"/>
    <w:rsid w:val="00115642"/>
    <w:rsid w:val="0012374D"/>
    <w:rsid w:val="00131CCD"/>
    <w:rsid w:val="00135F14"/>
    <w:rsid w:val="001603D9"/>
    <w:rsid w:val="00197C54"/>
    <w:rsid w:val="001A0361"/>
    <w:rsid w:val="001A2B1A"/>
    <w:rsid w:val="001A3E80"/>
    <w:rsid w:val="001A7684"/>
    <w:rsid w:val="001B0215"/>
    <w:rsid w:val="001B139D"/>
    <w:rsid w:val="001D1698"/>
    <w:rsid w:val="001E7928"/>
    <w:rsid w:val="00200CEA"/>
    <w:rsid w:val="002155E9"/>
    <w:rsid w:val="00231B3B"/>
    <w:rsid w:val="00257704"/>
    <w:rsid w:val="00261432"/>
    <w:rsid w:val="0027033F"/>
    <w:rsid w:val="00271647"/>
    <w:rsid w:val="0029572F"/>
    <w:rsid w:val="002B5D32"/>
    <w:rsid w:val="002C5325"/>
    <w:rsid w:val="002C7305"/>
    <w:rsid w:val="002D0409"/>
    <w:rsid w:val="00300027"/>
    <w:rsid w:val="00304E4C"/>
    <w:rsid w:val="003105CA"/>
    <w:rsid w:val="00311291"/>
    <w:rsid w:val="00347FDF"/>
    <w:rsid w:val="0035668D"/>
    <w:rsid w:val="0037174E"/>
    <w:rsid w:val="00382B0D"/>
    <w:rsid w:val="00396508"/>
    <w:rsid w:val="003B3112"/>
    <w:rsid w:val="003B3827"/>
    <w:rsid w:val="003C0189"/>
    <w:rsid w:val="003C0B54"/>
    <w:rsid w:val="003C1471"/>
    <w:rsid w:val="003C6F05"/>
    <w:rsid w:val="003D6F79"/>
    <w:rsid w:val="003D7DDE"/>
    <w:rsid w:val="00402693"/>
    <w:rsid w:val="004134BD"/>
    <w:rsid w:val="00431C6C"/>
    <w:rsid w:val="004405AD"/>
    <w:rsid w:val="00441D2C"/>
    <w:rsid w:val="0048215D"/>
    <w:rsid w:val="00492DDE"/>
    <w:rsid w:val="00495BD4"/>
    <w:rsid w:val="004C1642"/>
    <w:rsid w:val="004D781D"/>
    <w:rsid w:val="004E12FF"/>
    <w:rsid w:val="004E5D51"/>
    <w:rsid w:val="005012C8"/>
    <w:rsid w:val="0051121C"/>
    <w:rsid w:val="005243C3"/>
    <w:rsid w:val="00530E40"/>
    <w:rsid w:val="00543C64"/>
    <w:rsid w:val="005529EE"/>
    <w:rsid w:val="00556172"/>
    <w:rsid w:val="00566D71"/>
    <w:rsid w:val="00567301"/>
    <w:rsid w:val="00572592"/>
    <w:rsid w:val="00584D4D"/>
    <w:rsid w:val="00593514"/>
    <w:rsid w:val="005961EF"/>
    <w:rsid w:val="00596530"/>
    <w:rsid w:val="005A4A62"/>
    <w:rsid w:val="005B27A8"/>
    <w:rsid w:val="005F1C21"/>
    <w:rsid w:val="005F54EC"/>
    <w:rsid w:val="00611FF9"/>
    <w:rsid w:val="00654EE9"/>
    <w:rsid w:val="00655786"/>
    <w:rsid w:val="006A2260"/>
    <w:rsid w:val="006A2AE7"/>
    <w:rsid w:val="006A3AA0"/>
    <w:rsid w:val="006B5046"/>
    <w:rsid w:val="006C3758"/>
    <w:rsid w:val="006F44F4"/>
    <w:rsid w:val="00720CDD"/>
    <w:rsid w:val="0072155F"/>
    <w:rsid w:val="00730D3F"/>
    <w:rsid w:val="0073793F"/>
    <w:rsid w:val="00760275"/>
    <w:rsid w:val="0076168B"/>
    <w:rsid w:val="00761A7B"/>
    <w:rsid w:val="007734CA"/>
    <w:rsid w:val="00780998"/>
    <w:rsid w:val="00783B91"/>
    <w:rsid w:val="007D73CA"/>
    <w:rsid w:val="008278B4"/>
    <w:rsid w:val="008317CE"/>
    <w:rsid w:val="00837BBB"/>
    <w:rsid w:val="008505E8"/>
    <w:rsid w:val="00852C76"/>
    <w:rsid w:val="0085605A"/>
    <w:rsid w:val="00863A59"/>
    <w:rsid w:val="008706FC"/>
    <w:rsid w:val="00871022"/>
    <w:rsid w:val="008835FD"/>
    <w:rsid w:val="0089326D"/>
    <w:rsid w:val="008B077A"/>
    <w:rsid w:val="008B79C3"/>
    <w:rsid w:val="008C6733"/>
    <w:rsid w:val="008D4659"/>
    <w:rsid w:val="008E6188"/>
    <w:rsid w:val="008F605B"/>
    <w:rsid w:val="009019C4"/>
    <w:rsid w:val="0092123A"/>
    <w:rsid w:val="009611F2"/>
    <w:rsid w:val="009773C4"/>
    <w:rsid w:val="0099237C"/>
    <w:rsid w:val="009A3A0C"/>
    <w:rsid w:val="009B2B20"/>
    <w:rsid w:val="009C2EAE"/>
    <w:rsid w:val="009D206C"/>
    <w:rsid w:val="009E6832"/>
    <w:rsid w:val="00A017DC"/>
    <w:rsid w:val="00A049FC"/>
    <w:rsid w:val="00A2052E"/>
    <w:rsid w:val="00A25B9F"/>
    <w:rsid w:val="00A2691B"/>
    <w:rsid w:val="00A3662F"/>
    <w:rsid w:val="00A503D8"/>
    <w:rsid w:val="00A54564"/>
    <w:rsid w:val="00A6041E"/>
    <w:rsid w:val="00A76CCB"/>
    <w:rsid w:val="00AA19F2"/>
    <w:rsid w:val="00AC6398"/>
    <w:rsid w:val="00AD44DB"/>
    <w:rsid w:val="00AD68C5"/>
    <w:rsid w:val="00B20956"/>
    <w:rsid w:val="00B25E44"/>
    <w:rsid w:val="00B35052"/>
    <w:rsid w:val="00B40E61"/>
    <w:rsid w:val="00B9249F"/>
    <w:rsid w:val="00BB03D2"/>
    <w:rsid w:val="00BC1501"/>
    <w:rsid w:val="00BC6F83"/>
    <w:rsid w:val="00BD24E2"/>
    <w:rsid w:val="00BE769D"/>
    <w:rsid w:val="00C1006E"/>
    <w:rsid w:val="00C16C2D"/>
    <w:rsid w:val="00C249EE"/>
    <w:rsid w:val="00C32DF8"/>
    <w:rsid w:val="00C4433F"/>
    <w:rsid w:val="00C44E53"/>
    <w:rsid w:val="00C5725B"/>
    <w:rsid w:val="00C64104"/>
    <w:rsid w:val="00C73DCE"/>
    <w:rsid w:val="00C7438E"/>
    <w:rsid w:val="00C86FFD"/>
    <w:rsid w:val="00C938C7"/>
    <w:rsid w:val="00CB29EC"/>
    <w:rsid w:val="00CC23ED"/>
    <w:rsid w:val="00CC654E"/>
    <w:rsid w:val="00CF5EFC"/>
    <w:rsid w:val="00CF6104"/>
    <w:rsid w:val="00CF6611"/>
    <w:rsid w:val="00CF750D"/>
    <w:rsid w:val="00D079F7"/>
    <w:rsid w:val="00D10B58"/>
    <w:rsid w:val="00D133A4"/>
    <w:rsid w:val="00D4361E"/>
    <w:rsid w:val="00D71C8E"/>
    <w:rsid w:val="00D74F74"/>
    <w:rsid w:val="00D93666"/>
    <w:rsid w:val="00DB76C6"/>
    <w:rsid w:val="00DD3D0A"/>
    <w:rsid w:val="00DE0D3C"/>
    <w:rsid w:val="00E05C9A"/>
    <w:rsid w:val="00E1512B"/>
    <w:rsid w:val="00E32DA5"/>
    <w:rsid w:val="00E518ED"/>
    <w:rsid w:val="00E57EFE"/>
    <w:rsid w:val="00E71CC7"/>
    <w:rsid w:val="00E86B44"/>
    <w:rsid w:val="00EB5F18"/>
    <w:rsid w:val="00EE5809"/>
    <w:rsid w:val="00EE741F"/>
    <w:rsid w:val="00EF598E"/>
    <w:rsid w:val="00F15C18"/>
    <w:rsid w:val="00F25093"/>
    <w:rsid w:val="00F31971"/>
    <w:rsid w:val="00F53587"/>
    <w:rsid w:val="00F54BD1"/>
    <w:rsid w:val="00F56DA1"/>
    <w:rsid w:val="00F5728B"/>
    <w:rsid w:val="00F57EAC"/>
    <w:rsid w:val="00F73F25"/>
    <w:rsid w:val="00F7621C"/>
    <w:rsid w:val="00F92148"/>
    <w:rsid w:val="00FA069A"/>
    <w:rsid w:val="00FB6942"/>
    <w:rsid w:val="00FE5CB2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BA7B0-BDFD-49C3-99CC-C0A899A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20C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20CDD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20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20CD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D">
    <w:name w:val="LID"/>
    <w:basedOn w:val="Normalny"/>
    <w:link w:val="LIDZnak"/>
    <w:qFormat/>
    <w:rsid w:val="00720CDD"/>
    <w:rPr>
      <w:b/>
      <w:noProof/>
      <w:szCs w:val="19"/>
      <w:lang w:eastAsia="pl-PL"/>
    </w:rPr>
  </w:style>
  <w:style w:type="character" w:styleId="Hipercze">
    <w:name w:val="Hyperlink"/>
    <w:semiHidden/>
    <w:rsid w:val="00720CD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D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DD"/>
    <w:rPr>
      <w:rFonts w:ascii="Fira Sans" w:hAnsi="Fira Sans"/>
      <w:sz w:val="1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D"/>
    <w:rPr>
      <w:vertAlign w:val="superscript"/>
    </w:rPr>
  </w:style>
  <w:style w:type="paragraph" w:customStyle="1" w:styleId="tekstzboku">
    <w:name w:val="tekst z boku"/>
    <w:basedOn w:val="Normalny"/>
    <w:qFormat/>
    <w:rsid w:val="00720CD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20CDD"/>
    <w:rPr>
      <w:b/>
      <w:spacing w:val="-2"/>
      <w:sz w:val="18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720CD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20CD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0CD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0CD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0CD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720CDD"/>
    <w:pPr>
      <w:spacing w:before="360"/>
    </w:pPr>
  </w:style>
  <w:style w:type="character" w:customStyle="1" w:styleId="OpiswskanikaZnak">
    <w:name w:val="Opis wskaźnika Znak"/>
    <w:basedOn w:val="Domylnaczcionkaakapitu"/>
    <w:link w:val="Opiswskanika"/>
    <w:rsid w:val="00720CD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20CD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20CDD"/>
    <w:rPr>
      <w:rFonts w:ascii="Fira Sans SemiBold" w:hAnsi="Fira Sans SemiBold"/>
      <w:color w:val="001D77"/>
      <w:sz w:val="20"/>
      <w:szCs w:val="20"/>
    </w:rPr>
  </w:style>
  <w:style w:type="table" w:customStyle="1" w:styleId="Firasans">
    <w:name w:val="Fira sans"/>
    <w:basedOn w:val="Standardowy"/>
    <w:uiPriority w:val="99"/>
    <w:rsid w:val="00720CDD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7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0B5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B54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B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E5809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F73F2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A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69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69D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dg.gov.pl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3013,pojecie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pl/Klasyfikacje/" TargetMode="External"/><Relationship Id="rId24" Type="http://schemas.openxmlformats.org/officeDocument/2006/relationships/hyperlink" Target="http://stat.gov.pl/obszary-tematyczne/rynek-pracy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popyt-na-prace/wplyw-epidemii-covid-19-na-wybrane-elementy-rynku-pracy-w-polsce-w-trzecim-kwartale-2022-roku,4,11.html" TargetMode="External"/><Relationship Id="rId28" Type="http://schemas.openxmlformats.org/officeDocument/2006/relationships/hyperlink" Target="http://stat.gov.pl/metainformacje/slownik-pojec/pojecia-stosowane-w-statystyce-publicznej/3012,pojecie.html" TargetMode="External"/><Relationship Id="rId36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011,pojecie.html" TargetMode="External"/><Relationship Id="rId30" Type="http://schemas.openxmlformats.org/officeDocument/2006/relationships/hyperlink" Target="https://stat.gov.pl/metainformacje/slownik-pojec/pojecia-stosowane-w-statystyce-publicznej/3555,pojecie.html" TargetMode="External"/><Relationship Id="rId35" Type="http://schemas.openxmlformats.org/officeDocument/2006/relationships/customXml" Target="../customXml/item2.xml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Informacja sygnalna_Popyt na prace w pierwszym kwartale 2023 r.docx.docx</NazwaPliku>
    <Osoba xmlns="AD3641B4-23D9-4536-AF9E-7D0EADDEB824">STAT\SIPAK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E4AAAC-3EAE-4569-A2C2-969A77611FFD}"/>
</file>

<file path=customXml/itemProps2.xml><?xml version="1.0" encoding="utf-8"?>
<ds:datastoreItem xmlns:ds="http://schemas.openxmlformats.org/officeDocument/2006/customXml" ds:itemID="{AD5284DC-7876-4F4D-BF06-58CFC12E0D48}"/>
</file>

<file path=customXml/itemProps3.xml><?xml version="1.0" encoding="utf-8"?>
<ds:datastoreItem xmlns:ds="http://schemas.openxmlformats.org/officeDocument/2006/customXml" ds:itemID="{32433B94-E464-4142-8028-206A86BD1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Popyt na pracę w pierwszym kwartale 2023 r.</vt:lpstr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pierwszym kwartale 2023 r.</dc:title>
  <dc:subject/>
  <dc:creator>GUS</dc:creator>
  <cp:keywords/>
  <dc:description/>
  <cp:lastPrinted>2023-05-26T10:23:00Z</cp:lastPrinted>
  <dcterms:created xsi:type="dcterms:W3CDTF">2023-05-31T12:41:00Z</dcterms:created>
  <dcterms:modified xsi:type="dcterms:W3CDTF">2023-05-31T12:41:00Z</dcterms:modified>
</cp:coreProperties>
</file>