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D605C" w:rsidR="00393761" w:rsidP="00F049AB" w:rsidRDefault="00DD5C23">
      <w:pPr>
        <w:pStyle w:val="Tytuinfomacjisygnalnej"/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144547">
        <w:t>kwiecień</w:t>
      </w:r>
      <w:r w:rsidR="00944EA3">
        <w:t xml:space="preserve"> 2023</w:t>
      </w:r>
      <w:r w:rsidRPr="00DD5C23">
        <w:t xml:space="preserve"> r.</w:t>
      </w:r>
      <w:r w:rsidRPr="007D605C" w:rsidR="00364AF9">
        <w:rPr>
          <w:sz w:val="32"/>
        </w:rPr>
        <w:tab/>
      </w:r>
    </w:p>
    <w:p w:rsidRPr="007D0869" w:rsidR="00DE58F1" w:rsidP="00F049AB" w:rsidRDefault="00731D27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CDB3092" wp14:anchorId="2FC13F9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3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5C0CAC" w:rsidP="00CE2AFA" w:rsidRDefault="004400ED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A3036B">
                              <w:rPr>
                                <w:rStyle w:val="WartowskanikaZnak"/>
                              </w:rPr>
                              <w:t>103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277EA9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Pr="007D605C" w:rsidR="005C0CAC" w:rsidP="00354E9A" w:rsidRDefault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103,1" o:spid="_x0000_s1026" fillcolor="#001d77" stroked="f" arcsize="10923f" w14:anchorId="2FC13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ENoeW5hAgAAZwQAAA4AAAAAAAAAAAAAAAAALgIAAGRycy9lMm9E&#10;b2MueG1sUEsBAi0AFAAGAAgAAAAhACYOGVDdAAAABwEAAA8AAAAAAAAAAAAAAAAAuwQAAGRycy9k&#10;b3ducmV2LnhtbFBLBQYAAAAABAAEAPMAAADFBQAAAAA=&#10;">
                <v:stroke joinstyle="miter"/>
                <v:textbox>
                  <w:txbxContent>
                    <w:p w:rsidRPr="007D605C" w:rsidR="005C0CAC" w:rsidP="00CE2AFA" w:rsidRDefault="004400ED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A3036B">
                        <w:rPr>
                          <w:rStyle w:val="WartowskanikaZnak"/>
                        </w:rPr>
                        <w:t>103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277EA9">
                        <w:rPr>
                          <w:rStyle w:val="WartowskanikaZnak"/>
                        </w:rPr>
                        <w:t>1</w:t>
                      </w:r>
                    </w:p>
                    <w:p w:rsidRPr="007D605C" w:rsidR="005C0CAC" w:rsidP="00354E9A" w:rsidRDefault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="007C373E">
        <w:t xml:space="preserve">W </w:t>
      </w:r>
      <w:r w:rsidR="00520DF1">
        <w:t xml:space="preserve">pierwszych czterech miesiącach </w:t>
      </w:r>
      <w:r w:rsidR="00837B9A">
        <w:t>2023</w:t>
      </w:r>
      <w:r w:rsidR="007C373E">
        <w:t xml:space="preserve"> roku</w:t>
      </w:r>
      <w:r w:rsidRPr="00D019E7" w:rsidR="00354E9A">
        <w:t xml:space="preserve"> oddano do </w:t>
      </w:r>
      <w:r w:rsidRPr="00D019E7" w:rsidR="00B95343">
        <w:t xml:space="preserve">użytkowania </w:t>
      </w:r>
      <w:r w:rsidR="00091FB9">
        <w:t>więcej</w:t>
      </w:r>
      <w:r w:rsidRPr="00D019E7" w:rsidR="00354E9A">
        <w:t xml:space="preserve"> mieszkań niż przed rokiem. </w:t>
      </w:r>
      <w:r w:rsidRPr="00D019E7" w:rsidR="009861C8">
        <w:t>Spadła</w:t>
      </w:r>
      <w:r w:rsidRPr="00D019E7" w:rsidR="00354E9A">
        <w:t xml:space="preserve"> </w:t>
      </w:r>
      <w:r w:rsidR="004400ED">
        <w:t>natomiast</w:t>
      </w:r>
      <w:r w:rsidRPr="00D019E7" w:rsidR="00354E9A">
        <w:t xml:space="preserve"> liczba mieszkań, na których budowę wydano pozwolenia </w:t>
      </w:r>
      <w:r w:rsidRPr="00354E9A" w:rsidR="00354E9A">
        <w:t>lub dokonano zgłoszenia z projektem budowlanym oraz liczba mieszkań, których budowę rozpoczęto.</w:t>
      </w:r>
      <w:r w:rsidRPr="00D8143C" w:rsidR="00DE6B58">
        <w:t xml:space="preserve"> </w:t>
      </w:r>
    </w:p>
    <w:p w:rsidR="00E95B8E" w:rsidP="00E95B8E" w:rsidRDefault="000647A9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512E36A" wp14:anchorId="6367A9BC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53,8% i 44,6% ogólnej liczby &#10;mieszkań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D616D2" w:rsidP="005F45EE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Pr="00AF1FE9" w:rsidR="00CE2AFA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Pr="00AF1FE9" w:rsid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CB4E71">
                              <w:t>53,8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CB4E71">
                              <w:t>44</w:t>
                            </w:r>
                            <w:r w:rsidR="00E723A4">
                              <w:t>,</w:t>
                            </w:r>
                            <w:r w:rsidR="00CB4E71">
                              <w:t>6</w:t>
                            </w:r>
                            <w:r w:rsidRPr="00AF1FE9">
                              <w:t xml:space="preserve">% ogólnej liczby </w:t>
                            </w:r>
                            <w:r w:rsidRPr="00AF1FE9" w:rsidR="00CE2AFA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67A9BC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&#10;użytkowania odpowiednio: 53,8% i 44,6% ogólnej liczby &#10;mieszkań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BvqJ59egIAAJEE&#10;AAAOAAAAAAAAAAAAAAAAAC4CAABkcnMvZTJvRG9jLnhtbFBLAQItABQABgAIAAAAIQAuR9EW4AAA&#10;AAsBAAAPAAAAAAAAAAAAAAAAANQEAABkcnMvZG93bnJldi54bWxQSwUGAAAAAAQABADzAAAA4QUA&#10;AAAA&#10;">
                <v:textbox>
                  <w:txbxContent>
                    <w:p w:rsidRPr="00E95B8E" w:rsidR="00D616D2" w:rsidP="005F45EE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Pr="00AF1FE9" w:rsidR="00CE2AFA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Pr="00AF1FE9" w:rsid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CB4E71">
                        <w:t>53,8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CB4E71">
                        <w:t>44</w:t>
                      </w:r>
                      <w:r w:rsidR="00E723A4">
                        <w:t>,</w:t>
                      </w:r>
                      <w:r w:rsidR="00CB4E71">
                        <w:t>6</w:t>
                      </w:r>
                      <w:r w:rsidRPr="00AF1FE9">
                        <w:t xml:space="preserve">% ogólnej liczby </w:t>
                      </w:r>
                      <w:r w:rsidRPr="00AF1FE9" w:rsidR="00CE2AFA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354E9A" w:rsidR="00354E9A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Pr="00A31734"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="00A11B5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="00520DF1">
        <w:rPr>
          <w:rFonts w:eastAsia="Times New Roman" w:cs="Times New Roman"/>
          <w:spacing w:val="-2"/>
          <w:szCs w:val="19"/>
          <w:lang w:eastAsia="pl-PL"/>
        </w:rPr>
        <w:t>kwiecień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846F7">
        <w:rPr>
          <w:rFonts w:eastAsia="Times New Roman" w:cs="Times New Roman"/>
          <w:spacing w:val="-2"/>
          <w:szCs w:val="19"/>
          <w:lang w:eastAsia="pl-PL"/>
        </w:rPr>
        <w:t>2023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520DF1">
        <w:rPr>
          <w:rFonts w:eastAsia="Times New Roman" w:cs="Times New Roman"/>
          <w:spacing w:val="-2"/>
          <w:szCs w:val="19"/>
          <w:lang w:eastAsia="pl-PL"/>
        </w:rPr>
        <w:t>75,6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520DF1">
        <w:rPr>
          <w:rFonts w:eastAsia="Times New Roman" w:cs="Times New Roman"/>
          <w:spacing w:val="-2"/>
          <w:szCs w:val="19"/>
          <w:lang w:eastAsia="pl-PL"/>
        </w:rPr>
        <w:t>3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1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="007D56C0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520DF1">
        <w:rPr>
          <w:rFonts w:eastAsia="Times New Roman" w:cs="Times New Roman"/>
          <w:spacing w:val="-2"/>
          <w:szCs w:val="19"/>
          <w:lang w:eastAsia="pl-PL"/>
        </w:rPr>
        <w:t>40,7</w:t>
      </w:r>
      <w:r w:rsidRPr="004F788C" w:rsidR="00E3471B">
        <w:rPr>
          <w:rFonts w:eastAsia="Times New Roman" w:cs="Times New Roman"/>
          <w:spacing w:val="-2"/>
          <w:szCs w:val="19"/>
          <w:lang w:eastAsia="pl-PL"/>
        </w:rPr>
        <w:t> </w:t>
      </w:r>
      <w:r w:rsidRPr="004F788C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Pr="004F788C"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520DF1">
        <w:rPr>
          <w:rFonts w:eastAsia="Times New Roman" w:cs="Times New Roman"/>
          <w:spacing w:val="-2"/>
          <w:szCs w:val="19"/>
          <w:lang w:eastAsia="pl-PL"/>
        </w:rPr>
        <w:t>0,5</w:t>
      </w:r>
      <w:r w:rsidRPr="004F788C" w:rsidR="00511A82">
        <w:rPr>
          <w:rFonts w:eastAsia="Times New Roman" w:cs="Times New Roman"/>
          <w:spacing w:val="-2"/>
          <w:szCs w:val="19"/>
          <w:lang w:eastAsia="pl-PL"/>
        </w:rPr>
        <w:t>%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Pr="004F788C" w:rsidR="00E3471B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4F788C" w:rsidR="009541F3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F788C">
        <w:rPr>
          <w:rFonts w:eastAsia="Times New Roman" w:cs="Times New Roman"/>
          <w:spacing w:val="-2"/>
          <w:szCs w:val="19"/>
          <w:lang w:eastAsia="pl-PL"/>
        </w:rPr>
        <w:t>,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natomiast inwestorzy indywidualni – </w:t>
      </w:r>
      <w:r w:rsidR="00520DF1">
        <w:rPr>
          <w:rFonts w:eastAsia="Times New Roman" w:cs="Times New Roman"/>
          <w:spacing w:val="-2"/>
          <w:szCs w:val="19"/>
          <w:lang w:eastAsia="pl-PL"/>
        </w:rPr>
        <w:t>3</w:t>
      </w:r>
      <w:r w:rsidR="00BB3AA7">
        <w:rPr>
          <w:rFonts w:eastAsia="Times New Roman" w:cs="Times New Roman"/>
          <w:spacing w:val="-2"/>
          <w:szCs w:val="19"/>
          <w:lang w:eastAsia="pl-PL"/>
        </w:rPr>
        <w:t>3,7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Pr="00AF1FE9"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520DF1">
        <w:rPr>
          <w:rFonts w:eastAsia="Times New Roman" w:cs="Times New Roman"/>
          <w:spacing w:val="-2"/>
          <w:szCs w:val="19"/>
          <w:lang w:eastAsia="pl-PL"/>
        </w:rPr>
        <w:t>6,6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="00520DF1">
        <w:rPr>
          <w:rFonts w:eastAsia="Times New Roman" w:cs="Times New Roman"/>
          <w:spacing w:val="-2"/>
          <w:szCs w:val="19"/>
          <w:lang w:eastAsia="pl-PL"/>
        </w:rPr>
        <w:t xml:space="preserve"> więcej</w:t>
      </w:r>
      <w:r w:rsidRPr="00AF1FE9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Pr="00AF1FE9" w:rsidR="001853FF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Pr="00385844" w:rsidR="001853FF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C30600">
        <w:rPr>
          <w:rFonts w:eastAsia="Times New Roman" w:cs="Times New Roman"/>
          <w:spacing w:val="-2"/>
          <w:szCs w:val="19"/>
          <w:lang w:eastAsia="pl-PL"/>
        </w:rPr>
        <w:t>98</w:t>
      </w:r>
      <w:r w:rsidRPr="00385844" w:rsidR="00163F04">
        <w:rPr>
          <w:rFonts w:eastAsia="Times New Roman" w:cs="Times New Roman"/>
          <w:spacing w:val="-2"/>
          <w:szCs w:val="19"/>
          <w:lang w:eastAsia="pl-PL"/>
        </w:rPr>
        <w:t>,</w:t>
      </w:r>
      <w:r w:rsidR="00B30518">
        <w:rPr>
          <w:rFonts w:eastAsia="Times New Roman" w:cs="Times New Roman"/>
          <w:spacing w:val="-2"/>
          <w:szCs w:val="19"/>
          <w:lang w:eastAsia="pl-PL"/>
        </w:rPr>
        <w:t>4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</w:t>
      </w:r>
      <w:r w:rsidR="00A11B5E">
        <w:rPr>
          <w:rFonts w:eastAsia="Times New Roman" w:cs="Times New Roman"/>
          <w:spacing w:val="-2"/>
          <w:szCs w:val="19"/>
          <w:lang w:eastAsia="pl-PL"/>
        </w:rPr>
        <w:t>tj. 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spółdzielczej, komunalnej, społecznej czynszowej i zakładowej, oddano do użytkowania łącznie </w:t>
      </w:r>
      <w:r w:rsidR="004429CC">
        <w:rPr>
          <w:rFonts w:eastAsia="Times New Roman" w:cs="Times New Roman"/>
          <w:spacing w:val="-2"/>
          <w:szCs w:val="19"/>
          <w:lang w:eastAsia="pl-PL"/>
        </w:rPr>
        <w:br/>
      </w:r>
      <w:bookmarkStart w:name="_GoBack" w:id="0"/>
      <w:bookmarkEnd w:id="0"/>
      <w:r w:rsidR="007125E3">
        <w:rPr>
          <w:rFonts w:eastAsia="Times New Roman" w:cs="Times New Roman"/>
          <w:spacing w:val="-2"/>
          <w:szCs w:val="19"/>
          <w:lang w:eastAsia="pl-PL"/>
        </w:rPr>
        <w:t>1,2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Pr="00385844" w:rsidR="0001020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7125E3">
        <w:rPr>
          <w:rFonts w:eastAsia="Times New Roman" w:cs="Times New Roman"/>
          <w:spacing w:val="-2"/>
          <w:szCs w:val="19"/>
          <w:lang w:eastAsia="pl-PL"/>
        </w:rPr>
        <w:t>1,3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385844"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Pr="00354E9A" w:rsidR="00DE6B58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EC4724">
        <w:rPr>
          <w:rFonts w:eastAsia="Times New Roman" w:cs="Times New Roman"/>
          <w:spacing w:val="-2"/>
          <w:szCs w:val="19"/>
          <w:lang w:eastAsia="pl-PL"/>
        </w:rPr>
        <w:t>7</w:t>
      </w:r>
      <w:r w:rsidR="007F34D0">
        <w:rPr>
          <w:rFonts w:eastAsia="Times New Roman" w:cs="Times New Roman"/>
          <w:spacing w:val="-2"/>
          <w:szCs w:val="19"/>
          <w:lang w:eastAsia="pl-PL"/>
        </w:rPr>
        <w:t>,3</w:t>
      </w:r>
      <w:r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EC4724">
        <w:rPr>
          <w:rFonts w:eastAsia="Times New Roman" w:cs="Times New Roman"/>
          <w:spacing w:val="-2"/>
          <w:szCs w:val="19"/>
          <w:lang w:eastAsia="pl-PL"/>
        </w:rPr>
        <w:t>2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EC4724">
        <w:rPr>
          <w:rFonts w:eastAsia="Times New Roman" w:cs="Times New Roman"/>
          <w:spacing w:val="-2"/>
          <w:szCs w:val="19"/>
          <w:lang w:eastAsia="pl-PL"/>
        </w:rPr>
        <w:t>5</w:t>
      </w:r>
      <w:r w:rsidR="007F34D0">
        <w:rPr>
          <w:rFonts w:eastAsia="Times New Roman" w:cs="Times New Roman"/>
          <w:spacing w:val="-2"/>
          <w:szCs w:val="19"/>
          <w:lang w:eastAsia="pl-PL"/>
        </w:rPr>
        <w:t>% mniej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EC4724">
        <w:rPr>
          <w:rFonts w:eastAsia="Times New Roman" w:cs="Times New Roman"/>
          <w:spacing w:val="-2"/>
          <w:szCs w:val="19"/>
          <w:lang w:eastAsia="pl-PL"/>
        </w:rPr>
        <w:t>7,1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364671" w:rsidTr="007A17DE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A84296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596220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817C0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596220" w:rsidRDefault="00FD28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978E9">
              <w:rPr>
                <w:color w:val="000000" w:themeColor="text1"/>
                <w:sz w:val="16"/>
                <w:szCs w:val="16"/>
              </w:rPr>
              <w:t>04</w:t>
            </w:r>
            <w:r w:rsidR="00D817C0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67F90" w:rsidR="00B73C02" w:rsidTr="00FC238D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364671" w:rsidRDefault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596220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ED016B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Pr="00267F90" w:rsidR="00EB06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202</w:t>
            </w:r>
            <w:r w:rsidR="00226573">
              <w:rPr>
                <w:color w:val="000000" w:themeColor="text1"/>
                <w:sz w:val="16"/>
                <w:szCs w:val="16"/>
              </w:rPr>
              <w:t>3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596220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2978E9">
              <w:rPr>
                <w:color w:val="000000" w:themeColor="text1"/>
                <w:sz w:val="16"/>
                <w:szCs w:val="16"/>
              </w:rPr>
              <w:t>4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67F90" w:rsidR="00FC0A2D" w:rsidP="00C85C67" w:rsidRDefault="004400E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F588A">
              <w:rPr>
                <w:rFonts w:cs="Arial"/>
                <w:b/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C85C67" w:rsidRDefault="00DF4CC4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FC56F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75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563</w:t>
            </w:r>
          </w:p>
        </w:tc>
        <w:tc>
          <w:tcPr>
            <w:tcW w:w="1200" w:type="dxa"/>
            <w:tcBorders>
              <w:top w:val="single" w:color="212492" w:sz="12" w:space="0"/>
              <w:right w:val="nil"/>
            </w:tcBorders>
            <w:vAlign w:val="center"/>
          </w:tcPr>
          <w:p w:rsidRPr="00267F90" w:rsidR="00FC0A2D" w:rsidP="00C85C67" w:rsidRDefault="007853EC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Pr="004400ED" w:rsidR="004400ED">
              <w:rPr>
                <w:rFonts w:cs="Arial"/>
                <w:b/>
                <w:color w:val="000000" w:themeColor="text1"/>
                <w:sz w:val="16"/>
                <w:szCs w:val="16"/>
              </w:rPr>
              <w:t>,1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134" w:type="dxa"/>
            <w:vAlign w:val="center"/>
          </w:tcPr>
          <w:p w:rsidRPr="00267F90" w:rsidR="00FC0A2D" w:rsidP="00C85C67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FC56F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C85C67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106,6</w:t>
            </w:r>
          </w:p>
        </w:tc>
      </w:tr>
      <w:tr w:rsidRPr="00267F90" w:rsidR="00FC0A2D" w:rsidTr="00FC238D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550</w:t>
            </w:r>
          </w:p>
        </w:tc>
        <w:tc>
          <w:tcPr>
            <w:tcW w:w="1134" w:type="dxa"/>
            <w:vAlign w:val="center"/>
          </w:tcPr>
          <w:p w:rsidRPr="00267F90" w:rsidR="00FC0A2D" w:rsidP="00C85C67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50E1C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FC56F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4400ED" w:rsidR="004400E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C85C67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</w:tr>
      <w:tr w:rsidRPr="00267F90" w:rsidR="00FC0A2D" w:rsidTr="00FC238D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Pr="00165B21" w:rsidR="00FC0A2D" w:rsidP="00BD047C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Pr="00EB1F44" w:rsidR="00FC0A2D" w:rsidP="00EB1F44" w:rsidRDefault="0059236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138,3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Pr="00EB1F44" w:rsidR="00FC0A2D" w:rsidP="00C85C67" w:rsidRDefault="00FC56FD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C85C67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77,8</w:t>
            </w:r>
          </w:p>
        </w:tc>
      </w:tr>
      <w:tr w:rsidRPr="00267F90" w:rsidR="00FC0A2D" w:rsidTr="00FC238D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Pr="00165B21" w:rsidR="00FC0A2D" w:rsidP="007B25A3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</w:t>
            </w:r>
            <w:r w:rsidRPr="004400ED" w:rsidR="004400ED">
              <w:rPr>
                <w:rFonts w:cs="Arial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165B21" w:rsidR="00FC0A2D" w:rsidP="0074740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FC56F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385844" w:rsidR="00FC0A2D" w:rsidP="00C85C67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70,6</w:t>
            </w:r>
          </w:p>
        </w:tc>
      </w:tr>
      <w:tr w:rsidRPr="00267F90" w:rsidR="00FC0A2D" w:rsidTr="00FC238D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:rsidRPr="00165B21" w:rsidR="00FC0A2D" w:rsidP="00C85C67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407,7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165B21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88,3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FC56F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385844" w:rsidR="00FC0A2D" w:rsidP="00C85C67" w:rsidRDefault="007853E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183,2</w:t>
            </w:r>
          </w:p>
        </w:tc>
      </w:tr>
      <w:tr w:rsidRPr="00267F90" w:rsidR="00FC0A2D" w:rsidTr="00FC238D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267F90" w:rsidR="00FC0A2D" w:rsidP="00C85C67" w:rsidRDefault="00DF4CC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267F90" w:rsidR="00FC0A2D" w:rsidP="00C85C67" w:rsidRDefault="004400E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Pr="00267F90" w:rsidR="00FC0A2D" w:rsidP="00C85C67" w:rsidRDefault="004400E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114,0</w:t>
            </w:r>
          </w:p>
        </w:tc>
      </w:tr>
      <w:tr w:rsidRPr="00267F90" w:rsidR="00FC0A2D" w:rsidTr="00FC238D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5C67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C85C67" w:rsidRDefault="00EF588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E45291" w:rsidRDefault="007B25A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59236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C85C67" w:rsidRDefault="004400E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7853EC" w:rsidRDefault="007853E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11</w:t>
            </w:r>
            <w:r w:rsidRPr="007853EC">
              <w:rPr>
                <w:rFonts w:cs="Arial"/>
                <w:color w:val="000000" w:themeColor="text1"/>
                <w:sz w:val="16"/>
                <w:szCs w:val="16"/>
              </w:rPr>
              <w:t>-krotnie mniej</w:t>
            </w:r>
          </w:p>
        </w:tc>
      </w:tr>
      <w:bookmarkEnd w:id="1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07B22A34" wp14:anchorId="1330DF10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4 2023 r. spadła o 32,0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216634" w:rsidP="00354E9A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717FC5">
                              <w:t xml:space="preserve">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994356">
                              <w:t>okresie 01</w:t>
                            </w:r>
                            <w:r w:rsidR="002B6994">
                              <w:t>-04</w:t>
                            </w:r>
                            <w:r w:rsidR="00717FC5">
                              <w:t xml:space="preserve"> </w:t>
                            </w:r>
                            <w:r>
                              <w:t>202</w:t>
                            </w:r>
                            <w:r w:rsidR="00717FC5">
                              <w:t>3</w:t>
                            </w:r>
                            <w:r>
                              <w:t xml:space="preserve"> r.</w:t>
                            </w:r>
                            <w:r w:rsidRPr="00A84296" w:rsidR="00211832">
                              <w:t xml:space="preserve"> </w:t>
                            </w:r>
                            <w:r w:rsidR="00220D8D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F55B1D">
                              <w:t>32</w:t>
                            </w:r>
                            <w:r w:rsidR="000E7CAD">
                              <w:t>,</w:t>
                            </w:r>
                            <w:r w:rsidR="00F55B1D">
                              <w:t>0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4 2023 r. spadła o 32,0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8nUNDYwCAACdBAAADgAAAAAAAAAAAAAAAAAuAgAAZHJzL2Uyb0RvYy54bWxQSwECLQAU&#10;AAYACAAAACEA9QEgtt4AAAAMAQAADwAAAAAAAAAAAAAAAADmBAAAZHJzL2Rvd25yZXYueG1sUEsF&#10;BgAAAAAEAAQA8wAAAPEFAAAAAA==&#10;" w14:anchorId="1330DF10">
                <v:textbox>
                  <w:txbxContent>
                    <w:p w:rsidRPr="00E95B8E" w:rsidR="00216634" w:rsidP="00354E9A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717FC5">
                        <w:t xml:space="preserve">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994356">
                        <w:t>okresie 01</w:t>
                      </w:r>
                      <w:r w:rsidR="002B6994">
                        <w:t>-04</w:t>
                      </w:r>
                      <w:r w:rsidR="00717FC5">
                        <w:t xml:space="preserve"> </w:t>
                      </w:r>
                      <w:r>
                        <w:t>202</w:t>
                      </w:r>
                      <w:r w:rsidR="00717FC5">
                        <w:t>3</w:t>
                      </w:r>
                      <w:r>
                        <w:t xml:space="preserve"> r.</w:t>
                      </w:r>
                      <w:r w:rsidRPr="00A84296" w:rsidR="00211832">
                        <w:t xml:space="preserve"> </w:t>
                      </w:r>
                      <w:r w:rsidR="00220D8D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F55B1D">
                        <w:t>32</w:t>
                      </w:r>
                      <w:r w:rsidR="000E7CAD">
                        <w:t>,</w:t>
                      </w:r>
                      <w:r w:rsidR="00F55B1D">
                        <w:t>0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2628BA" w:rsidR="00D972F6" w:rsidP="002628BA" w:rsidRDefault="000C5E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757787">
        <w:rPr>
          <w:rFonts w:eastAsia="Times New Roman" w:cs="Times New Roman"/>
          <w:spacing w:val="-2"/>
          <w:szCs w:val="19"/>
          <w:lang w:eastAsia="pl-PL"/>
        </w:rPr>
        <w:t xml:space="preserve">okresie styczeń – kwiecień </w:t>
      </w:r>
      <w:r w:rsidR="00C55727">
        <w:rPr>
          <w:rFonts w:eastAsia="Times New Roman" w:cs="Times New Roman"/>
          <w:spacing w:val="-2"/>
          <w:szCs w:val="19"/>
          <w:lang w:eastAsia="pl-PL"/>
        </w:rPr>
        <w:t>2023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5119A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757787">
        <w:rPr>
          <w:rFonts w:eastAsia="Times New Roman" w:cs="Times New Roman"/>
          <w:spacing w:val="-2"/>
          <w:szCs w:val="19"/>
          <w:lang w:eastAsia="pl-PL"/>
        </w:rPr>
        <w:t>72,1</w:t>
      </w:r>
      <w:r w:rsidRPr="00F5119A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757787">
        <w:rPr>
          <w:rFonts w:eastAsia="Times New Roman" w:cs="Times New Roman"/>
          <w:spacing w:val="-2"/>
          <w:szCs w:val="19"/>
          <w:lang w:eastAsia="pl-PL"/>
        </w:rPr>
        <w:t>32</w:t>
      </w:r>
      <w:r w:rsidRPr="00F5119A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="00757787">
        <w:rPr>
          <w:rFonts w:eastAsia="Times New Roman" w:cs="Times New Roman"/>
          <w:spacing w:val="-2"/>
          <w:szCs w:val="19"/>
          <w:lang w:eastAsia="pl-PL"/>
        </w:rPr>
        <w:t>0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F5119A" w:rsidR="009D1F9F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="00C55727">
        <w:rPr>
          <w:rFonts w:eastAsia="Times New Roman" w:cs="Times New Roman"/>
          <w:spacing w:val="-2"/>
          <w:szCs w:val="19"/>
          <w:lang w:eastAsia="pl-PL"/>
        </w:rPr>
        <w:t>analogicznym okresie 2022</w:t>
      </w:r>
      <w:r w:rsidRPr="00F5119A" w:rsidR="003F19DE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A93CEB">
        <w:rPr>
          <w:rFonts w:eastAsia="Times New Roman" w:cs="Times New Roman"/>
          <w:spacing w:val="-2"/>
          <w:szCs w:val="19"/>
          <w:lang w:eastAsia="pl-PL"/>
        </w:rPr>
        <w:t>48,5</w:t>
      </w:r>
      <w:r w:rsidRPr="00F5119A" w:rsidR="00A67093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F5119A" w:rsidR="000E7CAD">
        <w:rPr>
          <w:rFonts w:eastAsia="Times New Roman" w:cs="Times New Roman"/>
          <w:spacing w:val="-2"/>
          <w:szCs w:val="19"/>
          <w:lang w:eastAsia="pl-PL"/>
        </w:rPr>
        <w:t>spadek</w:t>
      </w:r>
      <w:r w:rsidRPr="00F5119A" w:rsidR="00DF6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o</w:t>
      </w:r>
      <w:r w:rsidRPr="00F5119A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="00A93CEB">
        <w:rPr>
          <w:rFonts w:eastAsia="Times New Roman" w:cs="Times New Roman"/>
          <w:spacing w:val="-2"/>
          <w:szCs w:val="19"/>
          <w:lang w:eastAsia="pl-PL"/>
        </w:rPr>
        <w:t>31</w:t>
      </w:r>
      <w:r w:rsidRPr="00F5119A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="00A93CEB">
        <w:rPr>
          <w:rFonts w:eastAsia="Times New Roman" w:cs="Times New Roman"/>
          <w:spacing w:val="-2"/>
          <w:szCs w:val="19"/>
          <w:lang w:eastAsia="pl-PL"/>
        </w:rPr>
        <w:t>6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%</w:t>
      </w:r>
      <w:r w:rsidRPr="00F5119A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F1331E">
        <w:rPr>
          <w:rFonts w:eastAsia="Times New Roman" w:cs="Times New Roman"/>
          <w:spacing w:val="-2"/>
          <w:szCs w:val="19"/>
          <w:lang w:eastAsia="pl-PL"/>
        </w:rPr>
        <w:t>21</w:t>
      </w:r>
      <w:r w:rsidR="00C55727">
        <w:rPr>
          <w:rFonts w:eastAsia="Times New Roman" w:cs="Times New Roman"/>
          <w:spacing w:val="-2"/>
          <w:szCs w:val="19"/>
          <w:lang w:eastAsia="pl-PL"/>
        </w:rPr>
        <w:t>,6</w:t>
      </w:r>
      <w:r w:rsidRPr="00F5119A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F5119A" w:rsidR="007110ED">
        <w:rPr>
          <w:rFonts w:eastAsia="Times New Roman" w:cs="Times New Roman"/>
          <w:spacing w:val="-2"/>
          <w:szCs w:val="19"/>
          <w:lang w:eastAsia="pl-PL"/>
        </w:rPr>
        <w:t>spadek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F1331E">
        <w:rPr>
          <w:rFonts w:eastAsia="Times New Roman" w:cs="Times New Roman"/>
          <w:spacing w:val="-2"/>
          <w:szCs w:val="19"/>
          <w:lang w:eastAsia="pl-PL"/>
        </w:rPr>
        <w:t>34,6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F1331E">
        <w:rPr>
          <w:rFonts w:eastAsia="Times New Roman" w:cs="Times New Roman"/>
          <w:spacing w:val="-2"/>
          <w:szCs w:val="19"/>
          <w:lang w:eastAsia="pl-PL"/>
        </w:rPr>
        <w:t>97</w:t>
      </w:r>
      <w:r w:rsidRPr="00F5119A" w:rsidR="007110ED">
        <w:rPr>
          <w:rFonts w:eastAsia="Times New Roman" w:cs="Times New Roman"/>
          <w:spacing w:val="-2"/>
          <w:szCs w:val="19"/>
          <w:lang w:eastAsia="pl-PL"/>
        </w:rPr>
        <w:t>,</w:t>
      </w:r>
      <w:r w:rsidR="00F1331E">
        <w:rPr>
          <w:rFonts w:eastAsia="Times New Roman" w:cs="Times New Roman"/>
          <w:spacing w:val="-2"/>
          <w:szCs w:val="19"/>
          <w:lang w:eastAsia="pl-PL"/>
        </w:rPr>
        <w:t>3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Pr="00F5119A" w:rsidR="002C4B21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48515A">
        <w:rPr>
          <w:rFonts w:eastAsia="Times New Roman" w:cs="Times New Roman"/>
          <w:spacing w:val="-2"/>
          <w:szCs w:val="19"/>
          <w:lang w:eastAsia="pl-PL"/>
        </w:rPr>
        <w:t>2</w:t>
      </w:r>
      <w:r w:rsidR="00BB3AA7">
        <w:rPr>
          <w:rFonts w:eastAsia="Times New Roman" w:cs="Times New Roman"/>
          <w:spacing w:val="-2"/>
          <w:szCs w:val="19"/>
          <w:lang w:eastAsia="pl-PL"/>
        </w:rPr>
        <w:t>,</w:t>
      </w:r>
      <w:r w:rsidR="0048515A">
        <w:rPr>
          <w:rFonts w:eastAsia="Times New Roman" w:cs="Times New Roman"/>
          <w:spacing w:val="-2"/>
          <w:szCs w:val="19"/>
          <w:lang w:eastAsia="pl-PL"/>
        </w:rPr>
        <w:t>0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F5119A" w:rsidR="00DC761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mie</w:t>
      </w:r>
      <w:r w:rsidRPr="00F5119A" w:rsidR="007110ED">
        <w:rPr>
          <w:rFonts w:eastAsia="Times New Roman" w:cs="Times New Roman"/>
          <w:spacing w:val="-2"/>
          <w:szCs w:val="19"/>
          <w:lang w:eastAsia="pl-PL"/>
        </w:rPr>
        <w:t>szka</w:t>
      </w:r>
      <w:r w:rsidRPr="00F5119A" w:rsidR="00DF6DEA">
        <w:rPr>
          <w:rFonts w:eastAsia="Times New Roman" w:cs="Times New Roman"/>
          <w:spacing w:val="-2"/>
          <w:szCs w:val="19"/>
          <w:lang w:eastAsia="pl-PL"/>
        </w:rPr>
        <w:t>ń</w:t>
      </w:r>
      <w:r w:rsidRPr="00F5119A" w:rsidR="007110ED">
        <w:rPr>
          <w:rFonts w:eastAsia="Times New Roman" w:cs="Times New Roman"/>
          <w:spacing w:val="-2"/>
          <w:szCs w:val="19"/>
          <w:lang w:eastAsia="pl-PL"/>
        </w:rPr>
        <w:t>, na</w:t>
      </w:r>
      <w:r w:rsidRPr="00F5119A" w:rsidR="005E01B2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7110ED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projektem budowlanym (</w:t>
      </w:r>
      <w:r w:rsidR="0048515A">
        <w:rPr>
          <w:rFonts w:eastAsia="Times New Roman" w:cs="Times New Roman"/>
          <w:spacing w:val="-2"/>
          <w:szCs w:val="19"/>
          <w:lang w:eastAsia="pl-PL"/>
        </w:rPr>
        <w:t xml:space="preserve">zbliżona wartość 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w</w:t>
      </w:r>
      <w:r w:rsidRPr="00F5119A" w:rsidR="00DC7612">
        <w:rPr>
          <w:rFonts w:eastAsia="Times New Roman" w:cs="Times New Roman"/>
          <w:spacing w:val="-2"/>
          <w:szCs w:val="19"/>
          <w:lang w:eastAsia="pl-PL"/>
        </w:rPr>
        <w:t> </w:t>
      </w:r>
      <w:r w:rsidRPr="00F5119A" w:rsidR="00354E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:rsidRPr="00F049AB" w:rsidR="00AD1F03" w:rsidP="00AC280D" w:rsidRDefault="00AD1F03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276"/>
        <w:gridCol w:w="1134"/>
        <w:gridCol w:w="1276"/>
        <w:gridCol w:w="992"/>
        <w:gridCol w:w="1075"/>
      </w:tblGrid>
      <w:tr w:rsidRPr="00A84296" w:rsidR="006A63BA" w:rsidTr="004A6BD0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822978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E002B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067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822978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7E002B">
              <w:rPr>
                <w:color w:val="000000" w:themeColor="text1"/>
                <w:sz w:val="16"/>
                <w:szCs w:val="16"/>
              </w:rPr>
              <w:t>4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6A63BA" w:rsidTr="004A6BD0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6A63BA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396D4D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E002B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6A63B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6A63BA" w:rsidP="00822978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7E002B">
              <w:rPr>
                <w:color w:val="000000" w:themeColor="text1"/>
                <w:sz w:val="16"/>
                <w:szCs w:val="16"/>
              </w:rPr>
              <w:t>3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385844" w:rsidR="00150DF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6A63BA" w:rsidP="006A63BA" w:rsidRDefault="009730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822978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7E002B">
              <w:rPr>
                <w:color w:val="000000" w:themeColor="text1"/>
                <w:sz w:val="16"/>
                <w:szCs w:val="16"/>
              </w:rPr>
              <w:t>4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FC0A2D" w:rsidTr="004A6BD0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267F90" w:rsidR="00FC0A2D" w:rsidP="00FC0A2D" w:rsidRDefault="0000759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B631E">
              <w:rPr>
                <w:rFonts w:cs="Arial"/>
                <w:b/>
                <w:color w:val="000000" w:themeColor="text1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67F90" w:rsidR="00FC0A2D" w:rsidP="00FC0A2D" w:rsidRDefault="00FC00C9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A4234C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276" w:type="dxa"/>
            <w:tcBorders>
              <w:top w:val="single" w:color="212492" w:sz="12" w:space="0"/>
              <w:right w:val="nil"/>
            </w:tcBorders>
            <w:vAlign w:val="center"/>
          </w:tcPr>
          <w:p w:rsidRPr="00385844" w:rsidR="00FC0A2D" w:rsidP="00FC0A2D" w:rsidRDefault="00CD182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Pr="00007596" w:rsidR="00007596">
              <w:rPr>
                <w:rFonts w:cs="Arial"/>
                <w:b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92" w:type="dxa"/>
            <w:tcBorders>
              <w:top w:val="single" w:color="212492" w:sz="12" w:space="0"/>
              <w:right w:val="nil"/>
            </w:tcBorders>
          </w:tcPr>
          <w:p w:rsidRPr="00385844" w:rsidR="00FC0A2D" w:rsidP="00FC0A2D" w:rsidRDefault="00EE450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081</w:t>
            </w:r>
          </w:p>
        </w:tc>
        <w:tc>
          <w:tcPr>
            <w:tcW w:w="1075" w:type="dxa"/>
            <w:tcBorders>
              <w:top w:val="single" w:color="212492" w:sz="12" w:space="0"/>
              <w:right w:val="nil"/>
            </w:tcBorders>
          </w:tcPr>
          <w:p w:rsidRPr="00267F90" w:rsidR="00FC0A2D" w:rsidP="00FC0A2D" w:rsidRDefault="00B26D9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68,0</w:t>
            </w:r>
          </w:p>
        </w:tc>
      </w:tr>
      <w:tr w:rsidRPr="00A84296" w:rsidR="00FC0A2D" w:rsidTr="004A6BD0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Pr="00267F90" w:rsidR="00FC0A2D" w:rsidP="00FC0A2D" w:rsidRDefault="000B63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936</w:t>
            </w:r>
          </w:p>
        </w:tc>
        <w:tc>
          <w:tcPr>
            <w:tcW w:w="1134" w:type="dxa"/>
            <w:vAlign w:val="center"/>
          </w:tcPr>
          <w:p w:rsidRPr="00267F90" w:rsidR="00FC0A2D" w:rsidP="00FC0A2D" w:rsidRDefault="00FC00C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385844" w:rsidR="00FC0A2D" w:rsidP="00FC0A2D" w:rsidRDefault="00CD182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992" w:type="dxa"/>
            <w:tcBorders>
              <w:right w:val="nil"/>
            </w:tcBorders>
          </w:tcPr>
          <w:p w:rsidRPr="00385844" w:rsidR="00FC0A2D" w:rsidP="00FC0A2D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585</w:t>
            </w:r>
          </w:p>
        </w:tc>
        <w:tc>
          <w:tcPr>
            <w:tcW w:w="1075" w:type="dxa"/>
            <w:tcBorders>
              <w:right w:val="nil"/>
            </w:tcBorders>
          </w:tcPr>
          <w:p w:rsidRPr="00267F90" w:rsidR="00FC0A2D" w:rsidP="00FC0A2D" w:rsidRDefault="0000759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  <w:r w:rsidR="00B26D9D"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</w:tr>
      <w:tr w:rsidRPr="00A84296" w:rsidR="00FC0A2D" w:rsidTr="004A6BD0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B5CAC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Pr="00267F90" w:rsidR="00FC0A2D" w:rsidP="00FB5CAC" w:rsidRDefault="000B63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134" w:type="dxa"/>
            <w:vAlign w:val="center"/>
          </w:tcPr>
          <w:p w:rsidRPr="00267F90" w:rsidR="00FC0A2D" w:rsidP="00FB5CAC" w:rsidRDefault="00FC00C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77,7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385844" w:rsidR="00FC0A2D" w:rsidP="00FB5CAC" w:rsidRDefault="00CD182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107,9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385844" w:rsidR="00FC0A2D" w:rsidP="00FB5CAC" w:rsidRDefault="00EE450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524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Pr="00FD758E" w:rsidR="00FC0A2D" w:rsidP="00FB5CAC" w:rsidRDefault="00B26D9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68,4</w:t>
            </w:r>
          </w:p>
        </w:tc>
      </w:tr>
      <w:tr w:rsidRPr="00A84296" w:rsidR="00FC0A2D" w:rsidTr="00A47A2A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A47A2A" w:rsidRDefault="00FC0A2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Pr="00267F90" w:rsidR="00FC0A2D" w:rsidP="00A47A2A" w:rsidRDefault="000B63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center"/>
          </w:tcPr>
          <w:p w:rsidRPr="00267F90" w:rsidR="00FC0A2D" w:rsidP="00A47A2A" w:rsidRDefault="00FC00C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Pr="00385844" w:rsidR="00FC0A2D" w:rsidP="00A47A2A" w:rsidRDefault="0000759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Pr="00385844" w:rsidR="00FC0A2D" w:rsidP="00A47A2A" w:rsidRDefault="00EE450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Pr="00FD758E" w:rsidR="00FC0A2D" w:rsidP="00A47A2A" w:rsidRDefault="00B26D9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21,3</w:t>
            </w:r>
          </w:p>
        </w:tc>
      </w:tr>
      <w:tr w:rsidRPr="00A84296" w:rsidR="00FC0A2D" w:rsidTr="004A6BD0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C87844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D32F11" w:rsidRDefault="000B63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D32F11" w:rsidRDefault="00FC00C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bottom w:val="single" w:color="212492" w:sz="4" w:space="0"/>
              <w:right w:val="nil"/>
            </w:tcBorders>
            <w:vAlign w:val="center"/>
          </w:tcPr>
          <w:p w:rsidRPr="00385844" w:rsidR="00FC0A2D" w:rsidP="006D1D56" w:rsidRDefault="00CD182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992" w:type="dxa"/>
            <w:tcBorders>
              <w:bottom w:val="single" w:color="212492" w:sz="4" w:space="0"/>
              <w:right w:val="nil"/>
            </w:tcBorders>
          </w:tcPr>
          <w:p w:rsidRPr="00385844" w:rsidR="00FC0A2D" w:rsidP="00C87844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1075" w:type="dxa"/>
            <w:tcBorders>
              <w:bottom w:val="single" w:color="212492" w:sz="4" w:space="0"/>
              <w:right w:val="nil"/>
            </w:tcBorders>
          </w:tcPr>
          <w:p w:rsidRPr="00267F90" w:rsidR="00FC0A2D" w:rsidP="00C87844" w:rsidRDefault="00B26D9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51,9</w:t>
            </w:r>
          </w:p>
        </w:tc>
      </w:tr>
      <w:tr w:rsidRPr="00A84296" w:rsidR="00FC0A2D" w:rsidTr="004A6BD0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FC0A2D" w:rsidRDefault="000B63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267F90" w:rsidR="00FC0A2D" w:rsidP="00FC0A2D" w:rsidRDefault="00FC00C9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  <w:r w:rsidRPr="00007596" w:rsidR="00007596"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385844" w:rsidR="00FC0A2D" w:rsidP="00FC0A2D" w:rsidRDefault="00CD182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385844" w:rsidR="00FC0A2D" w:rsidP="00FC0A2D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1426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267F90" w:rsidR="00FC0A2D" w:rsidP="00FC0A2D" w:rsidRDefault="00B26D9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179,8</w:t>
            </w:r>
          </w:p>
        </w:tc>
      </w:tr>
      <w:tr w:rsidRPr="00A84296" w:rsidR="00FC0A2D" w:rsidTr="004A6BD0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67F90" w:rsidR="00FC0A2D" w:rsidP="00FC0A2D" w:rsidRDefault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0B631E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67F90" w:rsidR="00FC0A2D" w:rsidP="00FC0A2D" w:rsidRDefault="00007596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A47A2A" w:rsidRDefault="00CD182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12,5</w:t>
            </w:r>
          </w:p>
        </w:tc>
        <w:tc>
          <w:tcPr>
            <w:tcW w:w="992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C0A2D" w:rsidRDefault="00EE45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75" w:type="dxa"/>
            <w:tcBorders>
              <w:bottom w:val="single" w:color="212492" w:sz="4" w:space="0"/>
              <w:right w:val="nil"/>
            </w:tcBorders>
            <w:vAlign w:val="center"/>
          </w:tcPr>
          <w:p w:rsidRPr="00267F90" w:rsidR="00FC0A2D" w:rsidP="00FB5CAC" w:rsidRDefault="00B26D9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Pr="00007596" w:rsidR="00007596">
              <w:rPr>
                <w:rFonts w:cs="Arial"/>
                <w:color w:val="000000" w:themeColor="text1"/>
                <w:sz w:val="16"/>
                <w:szCs w:val="16"/>
              </w:rPr>
              <w:t>33,3</w:t>
            </w:r>
          </w:p>
        </w:tc>
      </w:tr>
    </w:tbl>
    <w:p w:rsidRPr="00AC280D" w:rsidR="00AC280D" w:rsidP="00AC280D" w:rsidRDefault="00AC280D">
      <w:pPr>
        <w:spacing w:before="0" w:after="0"/>
        <w:rPr>
          <w:lang w:eastAsia="pl-PL"/>
        </w:rPr>
      </w:pPr>
    </w:p>
    <w:p w:rsidRPr="000647A9" w:rsidR="00DA331D" w:rsidP="00AC280D" w:rsidRDefault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2628BA" w:rsidR="00DA331D" w:rsidP="002628BA" w:rsidRDefault="00BA0FD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757787">
        <w:rPr>
          <w:rFonts w:eastAsia="Times New Roman" w:cs="Times New Roman"/>
          <w:spacing w:val="-2"/>
          <w:szCs w:val="19"/>
          <w:lang w:eastAsia="pl-PL"/>
        </w:rPr>
        <w:t>pierwszych czterech miesiącach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Pr="002628BA" w:rsidR="000C5E1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Pr="002628BA" w:rsidR="00213A1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63039">
        <w:rPr>
          <w:rFonts w:eastAsia="Times New Roman" w:cs="Times New Roman"/>
          <w:spacing w:val="-2"/>
          <w:szCs w:val="19"/>
          <w:lang w:eastAsia="pl-PL"/>
        </w:rPr>
        <w:t>53,1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213A1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>o</w:t>
      </w:r>
      <w:r w:rsidRPr="002628BA" w:rsidR="00FB5CAC">
        <w:rPr>
          <w:rFonts w:eastAsia="Times New Roman" w:cs="Times New Roman"/>
          <w:spacing w:val="-2"/>
          <w:szCs w:val="19"/>
          <w:lang w:eastAsia="pl-PL"/>
        </w:rPr>
        <w:t> </w:t>
      </w:r>
      <w:r w:rsidR="00E63039">
        <w:rPr>
          <w:rFonts w:eastAsia="Times New Roman" w:cs="Times New Roman"/>
          <w:spacing w:val="-2"/>
          <w:szCs w:val="19"/>
          <w:lang w:eastAsia="pl-PL"/>
        </w:rPr>
        <w:t>27,7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628BA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E63039">
        <w:rPr>
          <w:rFonts w:eastAsia="Times New Roman" w:cs="Times New Roman"/>
          <w:spacing w:val="-2"/>
          <w:szCs w:val="19"/>
          <w:lang w:eastAsia="pl-PL"/>
        </w:rPr>
        <w:t>30</w:t>
      </w:r>
      <w:r w:rsidR="002D0372">
        <w:rPr>
          <w:rFonts w:eastAsia="Times New Roman" w:cs="Times New Roman"/>
          <w:spacing w:val="-2"/>
          <w:szCs w:val="19"/>
          <w:lang w:eastAsia="pl-PL"/>
        </w:rPr>
        <w:t>,4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2628BA" w:rsidR="00213A1A">
        <w:rPr>
          <w:rFonts w:eastAsia="Times New Roman" w:cs="Times New Roman"/>
          <w:spacing w:val="-2"/>
          <w:szCs w:val="19"/>
          <w:lang w:eastAsia="pl-PL"/>
        </w:rPr>
        <w:t> </w:t>
      </w:r>
      <w:r w:rsidR="00E63039">
        <w:rPr>
          <w:rFonts w:eastAsia="Times New Roman" w:cs="Times New Roman"/>
          <w:spacing w:val="-2"/>
          <w:szCs w:val="19"/>
          <w:lang w:eastAsia="pl-PL"/>
        </w:rPr>
        <w:t>28,9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628BA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E63039">
        <w:rPr>
          <w:rFonts w:eastAsia="Times New Roman" w:cs="Times New Roman"/>
          <w:spacing w:val="-2"/>
          <w:szCs w:val="19"/>
          <w:lang w:eastAsia="pl-PL"/>
        </w:rPr>
        <w:t>21,4 tys. (o 27,8</w:t>
      </w:r>
      <w:r w:rsidRPr="002628BA" w:rsidR="005566D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2628BA" w:rsidR="001861D5">
        <w:rPr>
          <w:rFonts w:eastAsia="Times New Roman" w:cs="Times New Roman"/>
          <w:spacing w:val="-2"/>
          <w:szCs w:val="19"/>
          <w:lang w:eastAsia="pl-PL"/>
        </w:rPr>
        <w:t>mniej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E63039">
        <w:rPr>
          <w:rFonts w:eastAsia="Times New Roman" w:cs="Times New Roman"/>
          <w:spacing w:val="-2"/>
          <w:szCs w:val="19"/>
          <w:lang w:eastAsia="pl-PL"/>
        </w:rPr>
        <w:t>97</w:t>
      </w:r>
      <w:r w:rsidRPr="002628BA" w:rsidR="00F254D3">
        <w:rPr>
          <w:rFonts w:eastAsia="Times New Roman" w:cs="Times New Roman"/>
          <w:spacing w:val="-2"/>
          <w:szCs w:val="19"/>
          <w:lang w:eastAsia="pl-PL"/>
        </w:rPr>
        <w:t>,</w:t>
      </w:r>
      <w:r w:rsidR="00E63039">
        <w:rPr>
          <w:rFonts w:eastAsia="Times New Roman" w:cs="Times New Roman"/>
          <w:spacing w:val="-2"/>
          <w:szCs w:val="19"/>
          <w:lang w:eastAsia="pl-PL"/>
        </w:rPr>
        <w:t>6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E63039">
        <w:rPr>
          <w:rFonts w:eastAsia="Times New Roman" w:cs="Times New Roman"/>
          <w:spacing w:val="-2"/>
          <w:szCs w:val="19"/>
          <w:lang w:eastAsia="pl-PL"/>
        </w:rPr>
        <w:t>1,3</w:t>
      </w:r>
      <w:r w:rsidR="00F26B6D">
        <w:rPr>
          <w:rFonts w:eastAsia="Times New Roman" w:cs="Times New Roman"/>
          <w:spacing w:val="-2"/>
          <w:szCs w:val="19"/>
          <w:lang w:eastAsia="pl-PL"/>
        </w:rPr>
        <w:t> </w:t>
      </w:r>
      <w:r w:rsidR="004A269D">
        <w:rPr>
          <w:rFonts w:eastAsia="Times New Roman" w:cs="Times New Roman"/>
          <w:spacing w:val="-2"/>
          <w:szCs w:val="19"/>
          <w:lang w:eastAsia="pl-PL"/>
        </w:rPr>
        <w:t>tys.</w:t>
      </w:r>
      <w:r w:rsidRPr="002628BA" w:rsidR="0036719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>mieszka</w:t>
      </w:r>
      <w:r w:rsidRPr="002628BA" w:rsidR="001E41E0">
        <w:rPr>
          <w:rFonts w:eastAsia="Times New Roman" w:cs="Times New Roman"/>
          <w:spacing w:val="-2"/>
          <w:szCs w:val="19"/>
          <w:lang w:eastAsia="pl-PL"/>
        </w:rPr>
        <w:t>ń</w:t>
      </w:r>
      <w:r w:rsidRPr="002628BA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E34D1F">
        <w:rPr>
          <w:rFonts w:eastAsia="Times New Roman" w:cs="Times New Roman"/>
          <w:spacing w:val="-2"/>
          <w:szCs w:val="19"/>
          <w:lang w:eastAsia="pl-PL"/>
        </w:rPr>
        <w:t>(</w:t>
      </w:r>
      <w:r w:rsidR="00E63039">
        <w:rPr>
          <w:rFonts w:eastAsia="Times New Roman" w:cs="Times New Roman"/>
          <w:spacing w:val="-2"/>
          <w:szCs w:val="19"/>
          <w:lang w:eastAsia="pl-PL"/>
        </w:rPr>
        <w:t>1,0</w:t>
      </w:r>
      <w:r w:rsidR="002D037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Pr="002628BA" w:rsidR="00E34D1F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Pr="00F049AB" w:rsidR="00E46466" w:rsidP="00E46466" w:rsidRDefault="00AC280D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134"/>
        <w:gridCol w:w="1275"/>
        <w:gridCol w:w="1134"/>
        <w:gridCol w:w="993"/>
        <w:gridCol w:w="1326"/>
      </w:tblGrid>
      <w:tr w:rsidRPr="002C7929" w:rsidR="00D01FA2" w:rsidTr="00C707DB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E6395B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811A30">
              <w:rPr>
                <w:color w:val="000000" w:themeColor="text1"/>
                <w:sz w:val="16"/>
                <w:szCs w:val="16"/>
              </w:rPr>
              <w:t>4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E6395B" w:rsidRDefault="001861D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811A30">
              <w:rPr>
                <w:color w:val="000000" w:themeColor="text1"/>
                <w:sz w:val="16"/>
                <w:szCs w:val="16"/>
              </w:rPr>
              <w:t>4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2244A8" w:rsidTr="00C707DB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E6395B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811A30">
              <w:rPr>
                <w:color w:val="000000" w:themeColor="text1"/>
                <w:sz w:val="16"/>
                <w:szCs w:val="16"/>
              </w:rPr>
              <w:t>4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ED016B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3F64F9">
              <w:rPr>
                <w:color w:val="000000" w:themeColor="text1"/>
                <w:sz w:val="16"/>
                <w:szCs w:val="16"/>
              </w:rPr>
              <w:t>3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3F64F9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3F64F9">
              <w:rPr>
                <w:color w:val="000000" w:themeColor="text1"/>
                <w:sz w:val="16"/>
                <w:szCs w:val="16"/>
              </w:rPr>
              <w:t>4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2244A8" w:rsidTr="00C707DB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2C7929" w:rsidR="00D01FA2" w:rsidP="00742D5B" w:rsidRDefault="007F223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513</w:t>
            </w:r>
          </w:p>
        </w:tc>
        <w:tc>
          <w:tcPr>
            <w:tcW w:w="1275" w:type="dxa"/>
            <w:tcBorders>
              <w:top w:val="single" w:color="212492" w:sz="12" w:space="0"/>
            </w:tcBorders>
            <w:vAlign w:val="center"/>
          </w:tcPr>
          <w:p w:rsidRPr="002C7929" w:rsidR="00D01FA2" w:rsidP="00742D5B" w:rsidRDefault="002C5AD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71,9</w:t>
            </w:r>
          </w:p>
        </w:tc>
        <w:tc>
          <w:tcPr>
            <w:tcW w:w="1134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E7662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</w:t>
            </w:r>
            <w:r w:rsidRPr="00586E61" w:rsidR="00586E61">
              <w:rPr>
                <w:rFonts w:cs="Arial"/>
                <w:b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993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594512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53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086</w:t>
            </w:r>
          </w:p>
        </w:tc>
        <w:tc>
          <w:tcPr>
            <w:tcW w:w="1326" w:type="dxa"/>
            <w:tcBorders>
              <w:top w:val="single" w:color="212492" w:sz="12" w:space="0"/>
              <w:right w:val="nil"/>
            </w:tcBorders>
            <w:vAlign w:val="center"/>
          </w:tcPr>
          <w:p w:rsidRPr="002C7929" w:rsidR="00D01FA2" w:rsidP="00742D5B" w:rsidRDefault="00C707D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72,3</w:t>
            </w:r>
          </w:p>
        </w:tc>
      </w:tr>
      <w:tr w:rsidRPr="002C7929" w:rsidR="002244A8" w:rsidTr="00C707DB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:rsidRPr="002C7929" w:rsidR="00D01FA2" w:rsidP="00742D5B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733</w:t>
            </w:r>
          </w:p>
        </w:tc>
        <w:tc>
          <w:tcPr>
            <w:tcW w:w="1275" w:type="dxa"/>
            <w:vAlign w:val="center"/>
          </w:tcPr>
          <w:p w:rsidRPr="002C7929" w:rsidR="00D01FA2" w:rsidP="00742D5B" w:rsidRDefault="002C5AD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742D5B" w:rsidRDefault="00E766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94,0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742D5B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742D5B" w:rsidRDefault="00C707D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72,2</w:t>
            </w:r>
          </w:p>
        </w:tc>
      </w:tr>
      <w:tr w:rsidRPr="002C7929" w:rsidR="002244A8" w:rsidTr="00C707DB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vAlign w:val="center"/>
          </w:tcPr>
          <w:p w:rsidRPr="002C7929" w:rsidR="00D01FA2" w:rsidP="00742D5B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981</w:t>
            </w:r>
          </w:p>
        </w:tc>
        <w:tc>
          <w:tcPr>
            <w:tcW w:w="1275" w:type="dxa"/>
            <w:vAlign w:val="center"/>
          </w:tcPr>
          <w:p w:rsidRPr="00385844" w:rsidR="00D01FA2" w:rsidP="00742D5B" w:rsidRDefault="002C5AD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742D5B" w:rsidRDefault="00E766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742D5B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397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742D5B" w:rsidRDefault="00C707D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71,1</w:t>
            </w:r>
          </w:p>
        </w:tc>
      </w:tr>
      <w:tr w:rsidRPr="002C7929" w:rsidR="002244A8" w:rsidTr="00C707DB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C87844" w:rsidRDefault="00D01F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34" w:type="dxa"/>
            <w:vAlign w:val="center"/>
          </w:tcPr>
          <w:p w:rsidRPr="002C7929" w:rsidR="00D01FA2" w:rsidP="00C87844" w:rsidRDefault="007F223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275" w:type="dxa"/>
            <w:vAlign w:val="center"/>
          </w:tcPr>
          <w:p w:rsidRPr="00E50E1C" w:rsidR="00D01FA2" w:rsidP="00EB65DA" w:rsidRDefault="002C5AD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345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E50E1C" w:rsidR="00D01FA2" w:rsidP="00C87844" w:rsidRDefault="00E7662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223,5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C87844" w:rsidRDefault="0059451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C87844" w:rsidRDefault="00C707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33,5</w:t>
            </w:r>
          </w:p>
        </w:tc>
      </w:tr>
      <w:tr w:rsidRPr="00CD4A90" w:rsidR="002244A8" w:rsidTr="00C707DB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:rsidRPr="002C7929" w:rsidR="00D01FA2" w:rsidP="00831818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Pr="00385844" w:rsidR="00D01FA2" w:rsidP="00586E61" w:rsidRDefault="002C5AD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D01FA2" w:rsidP="00742D5B" w:rsidRDefault="00A473C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D01FA2" w:rsidP="00742D5B" w:rsidRDefault="00586E6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D01FA2" w:rsidP="00A47A2A" w:rsidRDefault="00C707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36</w:t>
            </w:r>
            <w:r w:rsidRPr="00C707DB">
              <w:rPr>
                <w:rFonts w:cs="Arial"/>
                <w:color w:val="000000" w:themeColor="text1"/>
                <w:sz w:val="16"/>
                <w:szCs w:val="16"/>
              </w:rPr>
              <w:t>-krotnie mniej</w:t>
            </w:r>
          </w:p>
        </w:tc>
      </w:tr>
      <w:tr w:rsidRPr="002C7929" w:rsidR="00CF0C7D" w:rsidTr="00C707DB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87844" w:rsidRDefault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C7929" w:rsidR="00CF0C7D" w:rsidP="00C87844" w:rsidRDefault="007F223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bottom w:val="single" w:color="212492" w:sz="4" w:space="0"/>
            </w:tcBorders>
            <w:vAlign w:val="center"/>
          </w:tcPr>
          <w:p w:rsidRPr="00385844" w:rsidR="00CF0C7D" w:rsidP="00C87844" w:rsidRDefault="00AE7D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11,3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C87844" w:rsidRDefault="00E7662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C87844" w:rsidRDefault="00594512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326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CF0C7D" w:rsidP="00C87844" w:rsidRDefault="00C707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</w:tr>
      <w:tr w:rsidRPr="002C7929" w:rsidR="00CF0C7D" w:rsidTr="00C707DB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CF0C7D" w:rsidP="00CF0C7D" w:rsidRDefault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:rsidRPr="002C7929" w:rsidR="00CF0C7D" w:rsidP="00742D5B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1275" w:type="dxa"/>
            <w:vAlign w:val="center"/>
          </w:tcPr>
          <w:p w:rsidR="002C5ADD" w:rsidP="002C5ADD" w:rsidRDefault="00BD134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13</w:t>
            </w:r>
            <w:r w:rsidRPr="00586E61" w:rsidR="002C5ADD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  <w:p w:rsidRPr="002C7929" w:rsidR="00CF0C7D" w:rsidP="002C5ADD" w:rsidRDefault="00BD134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Pr="002C7929" w:rsidR="00CF0C7D" w:rsidP="00742D5B" w:rsidRDefault="00E766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963</w:t>
            </w:r>
            <w:r w:rsidRPr="00586E61" w:rsidR="00586E61">
              <w:rPr>
                <w:rFonts w:cs="Arial"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Pr="002C7929" w:rsidR="00CF0C7D" w:rsidP="00742D5B" w:rsidRDefault="00594512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1 092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Pr="002C7929" w:rsidR="00CF0C7D" w:rsidP="00742D5B" w:rsidRDefault="00C707D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218,0</w:t>
            </w:r>
          </w:p>
        </w:tc>
      </w:tr>
      <w:tr w:rsidRPr="002C7929" w:rsidR="00EC4714" w:rsidTr="00C707DB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2C7929" w:rsidR="00EC4714" w:rsidP="00CF0C7D" w:rsidRDefault="00EC471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bottom w:val="single" w:color="212492" w:sz="4" w:space="0"/>
            </w:tcBorders>
            <w:vAlign w:val="center"/>
          </w:tcPr>
          <w:p w:rsidRPr="002C7929" w:rsidR="00EC4714" w:rsidP="00742D5B" w:rsidRDefault="007F223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bottom w:val="single" w:color="212492" w:sz="4" w:space="0"/>
            </w:tcBorders>
            <w:vAlign w:val="center"/>
          </w:tcPr>
          <w:p w:rsidRPr="002C7929" w:rsidR="00EC4714" w:rsidP="00586E61" w:rsidRDefault="00AE7D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7C100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742D5B" w:rsidRDefault="00586E6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bottom w:val="single" w:color="212492" w:sz="4" w:space="0"/>
              <w:right w:val="nil"/>
            </w:tcBorders>
            <w:vAlign w:val="center"/>
          </w:tcPr>
          <w:p w:rsidRPr="002C7929" w:rsidR="00EC4714" w:rsidP="002C5ADD" w:rsidRDefault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A2A">
              <w:rPr>
                <w:rFonts w:cs="Arial"/>
                <w:color w:val="000000" w:themeColor="text1"/>
                <w:sz w:val="16"/>
                <w:szCs w:val="16"/>
              </w:rPr>
              <w:t>16-krotnie mniej</w:t>
            </w:r>
          </w:p>
        </w:tc>
      </w:tr>
    </w:tbl>
    <w:p w:rsidR="00AC280D" w:rsidP="00C87844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122FD4">
        <w:rPr>
          <w:shd w:val="clear" w:color="auto" w:fill="FFFFFF"/>
        </w:rPr>
        <w:t>kwietnia</w:t>
      </w:r>
      <w:r w:rsidR="0091083F">
        <w:rPr>
          <w:shd w:val="clear" w:color="auto" w:fill="FFFFFF"/>
        </w:rPr>
        <w:t xml:space="preserve"> </w:t>
      </w:r>
      <w:r w:rsidR="00064127">
        <w:rPr>
          <w:shd w:val="clear" w:color="auto" w:fill="FFFFFF"/>
        </w:rPr>
        <w:t>2023</w:t>
      </w:r>
      <w:r w:rsidRPr="00CD6D30" w:rsidR="00CD6D30">
        <w:rPr>
          <w:shd w:val="clear" w:color="auto" w:fill="FFFFFF"/>
        </w:rPr>
        <w:t xml:space="preserve"> roku w budowie pozostawało </w:t>
      </w:r>
      <w:r w:rsidR="00122FD4">
        <w:rPr>
          <w:shd w:val="clear" w:color="auto" w:fill="FFFFFF"/>
        </w:rPr>
        <w:t>810,5</w:t>
      </w:r>
      <w:r w:rsidRPr="00CD6D30" w:rsidR="00CD6D30">
        <w:rPr>
          <w:shd w:val="clear" w:color="auto" w:fill="FFFFFF"/>
        </w:rPr>
        <w:t xml:space="preserve"> tys. mieszkań, tj.</w:t>
      </w:r>
      <w:r w:rsidR="0091083F">
        <w:t> </w:t>
      </w:r>
      <w:r w:rsidRPr="00CD6D30" w:rsid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122FD4">
        <w:rPr>
          <w:shd w:val="clear" w:color="auto" w:fill="FFFFFF"/>
        </w:rPr>
        <w:t>7,0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064127">
        <w:rPr>
          <w:shd w:val="clear" w:color="auto" w:fill="FFFFFF"/>
        </w:rPr>
        <w:t xml:space="preserve"> 2022</w:t>
      </w:r>
      <w:r w:rsidR="007C41ED">
        <w:rPr>
          <w:shd w:val="clear" w:color="auto" w:fill="FFFFFF"/>
        </w:rPr>
        <w:t xml:space="preserve"> r</w:t>
      </w:r>
      <w:r w:rsidRPr="00CD6D30" w:rsidR="00CD6D30">
        <w:rPr>
          <w:shd w:val="clear" w:color="auto" w:fill="FFFFFF"/>
        </w:rPr>
        <w:t>.</w:t>
      </w:r>
    </w:p>
    <w:p w:rsidRPr="00C20C26" w:rsidR="00472B00" w:rsidP="0056483A" w:rsidRDefault="00CD6D30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457E2B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57E2B"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-27995</wp:posOffset>
            </wp:positionH>
            <wp:positionV relativeFrom="paragraph">
              <wp:posOffset>128712</wp:posOffset>
            </wp:positionV>
            <wp:extent cx="5122545" cy="2317750"/>
            <wp:effectExtent l="0" t="0" r="1905" b="635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2FD31E7" wp14:anchorId="4622BF84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kwietniu, w porównaniu do marca 2023 roku, spadła liczba mieszkań oddanych do użytkowania (o 0,6%) oraz których budowę rozpoczęto (o 20,7%), wzrosła natomiast liczba mieszkań, na których budowę wydano pozwolenia lub dokonano zgłoszenia z projektem budowlanym (o 1,1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CD6D30" w:rsidP="00CD6D30" w:rsidRDefault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AE1192">
                              <w:t>kwietniu</w:t>
                            </w:r>
                            <w:r w:rsidR="00A11B5E">
                              <w:t xml:space="preserve">, w porównaniu do </w:t>
                            </w:r>
                            <w:r w:rsidR="00AE1192">
                              <w:t>marca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AE1192">
                              <w:t>spadła</w:t>
                            </w:r>
                            <w:r w:rsidR="00CE68DF">
                              <w:t xml:space="preserve"> liczba mieszkań</w:t>
                            </w:r>
                            <w:r w:rsidRPr="00725B8C" w:rsidR="00725B8C">
                              <w:rPr>
                                <w:rFonts w:eastAsiaTheme="minorHAnsi" w:cstheme="minorBidi"/>
                                <w:bCs w:val="0"/>
                                <w:color w:val="auto"/>
                                <w:sz w:val="19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725B8C" w:rsidR="00725B8C">
                              <w:t xml:space="preserve">oddanych do użytkowania (o </w:t>
                            </w:r>
                            <w:r w:rsidR="00654BD6">
                              <w:t>0,6</w:t>
                            </w:r>
                            <w:r w:rsidRPr="00725B8C" w:rsidR="00725B8C">
                              <w:t>%)</w:t>
                            </w:r>
                            <w:r w:rsidR="00AE1192">
                              <w:t xml:space="preserve"> oraz których budowę rozpoczęto (o</w:t>
                            </w:r>
                            <w:r w:rsidR="00654BD6">
                              <w:t xml:space="preserve"> 20,7%</w:t>
                            </w:r>
                            <w:r w:rsidR="00AE1192">
                              <w:t>)</w:t>
                            </w:r>
                            <w:r w:rsidR="00654BD6">
                              <w:t>, wzrosła</w:t>
                            </w:r>
                            <w:r w:rsidR="00AE1192">
                              <w:t xml:space="preserve"> natomiast liczba mieszkań, </w:t>
                            </w:r>
                            <w:r w:rsidRPr="00CE68DF" w:rsidR="00CE68DF">
                              <w:t>na których budowę wydano pozwolenia lub dokonano zg</w:t>
                            </w:r>
                            <w:r w:rsidR="00A11B5E">
                              <w:t>łoszenia z </w:t>
                            </w:r>
                            <w:r w:rsidR="004B012C">
                              <w:t xml:space="preserve">projektem budowlanym </w:t>
                            </w:r>
                            <w:r w:rsidRPr="00335FD3">
                              <w:t>(o </w:t>
                            </w:r>
                            <w:r w:rsidR="00654BD6">
                              <w:t>1</w:t>
                            </w:r>
                            <w:r w:rsidR="001E62A1">
                              <w:t>,</w:t>
                            </w:r>
                            <w:r w:rsidR="00725B8C">
                              <w:t>1</w:t>
                            </w:r>
                            <w:r w:rsidR="0059002F">
                              <w:t xml:space="preserve">%) </w:t>
                            </w:r>
                          </w:p>
                          <w:p w:rsidRPr="00CB46F1" w:rsidR="00CD6D30" w:rsidP="00CD6D30" w:rsidRDefault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kwietniu, w porównaniu do marca 2023 roku, spadła liczba mieszkań oddanych do użytkowania (o 0,6%) oraz których budowę rozpoczęto (o 20,7%), wzrosła natomiast liczba mieszkań, na których budowę wydano pozwolenia lub dokonano zgłoszenia z projektem budowlanym (o 1,1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" w14:anchorId="4622BF84">
                <v:textbox>
                  <w:txbxContent>
                    <w:p w:rsidRPr="002B6B8F" w:rsidR="00CD6D30" w:rsidP="00CD6D30" w:rsidRDefault="00CD6D30">
                      <w:pPr>
                        <w:pStyle w:val="tekstzboku"/>
                      </w:pPr>
                      <w:bookmarkStart w:name="_GoBack" w:id="2"/>
                      <w:r>
                        <w:t xml:space="preserve">W </w:t>
                      </w:r>
                      <w:r w:rsidR="00AE1192">
                        <w:t>kwietniu</w:t>
                      </w:r>
                      <w:r w:rsidR="00A11B5E">
                        <w:t xml:space="preserve">, w porównaniu do </w:t>
                      </w:r>
                      <w:r w:rsidR="00AE1192">
                        <w:t>marca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AE1192">
                        <w:t>spadła</w:t>
                      </w:r>
                      <w:r w:rsidR="00CE68DF">
                        <w:t xml:space="preserve"> liczba mieszkań</w:t>
                      </w:r>
                      <w:r w:rsidRPr="00725B8C" w:rsidR="00725B8C">
                        <w:rPr>
                          <w:rFonts w:eastAsiaTheme="minorHAnsi" w:cstheme="minorBidi"/>
                          <w:bCs w:val="0"/>
                          <w:color w:val="auto"/>
                          <w:sz w:val="19"/>
                          <w:szCs w:val="22"/>
                          <w:lang w:eastAsia="en-US"/>
                        </w:rPr>
                        <w:t xml:space="preserve"> </w:t>
                      </w:r>
                      <w:r w:rsidRPr="00725B8C" w:rsidR="00725B8C">
                        <w:t xml:space="preserve">oddanych do użytkowania (o </w:t>
                      </w:r>
                      <w:r w:rsidR="00654BD6">
                        <w:t>0,6</w:t>
                      </w:r>
                      <w:r w:rsidRPr="00725B8C" w:rsidR="00725B8C">
                        <w:t>%)</w:t>
                      </w:r>
                      <w:r w:rsidR="00AE1192">
                        <w:t xml:space="preserve"> oraz których budowę rozpoczęto (o</w:t>
                      </w:r>
                      <w:r w:rsidR="00654BD6">
                        <w:t xml:space="preserve"> 20,7%</w:t>
                      </w:r>
                      <w:r w:rsidR="00AE1192">
                        <w:t>)</w:t>
                      </w:r>
                      <w:r w:rsidR="00654BD6">
                        <w:t>, wzrosła</w:t>
                      </w:r>
                      <w:r w:rsidR="00AE1192">
                        <w:t xml:space="preserve"> natomiast liczba mieszkań, </w:t>
                      </w:r>
                      <w:r w:rsidRPr="00CE68DF" w:rsidR="00CE68DF">
                        <w:t>na których budowę wydano pozwolenia lub dokonano zg</w:t>
                      </w:r>
                      <w:r w:rsidR="00A11B5E">
                        <w:t>łoszenia z </w:t>
                      </w:r>
                      <w:r w:rsidR="004B012C">
                        <w:t xml:space="preserve">projektem budowlanym </w:t>
                      </w:r>
                      <w:r w:rsidRPr="00335FD3">
                        <w:t>(o </w:t>
                      </w:r>
                      <w:r w:rsidR="00654BD6">
                        <w:t>1</w:t>
                      </w:r>
                      <w:r w:rsidR="001E62A1">
                        <w:t>,</w:t>
                      </w:r>
                      <w:r w:rsidR="00725B8C">
                        <w:t>1</w:t>
                      </w:r>
                      <w:r w:rsidR="0059002F">
                        <w:t xml:space="preserve">%) </w:t>
                      </w:r>
                    </w:p>
                    <w:bookmarkEnd w:id="2"/>
                    <w:p w:rsidRPr="00CB46F1" w:rsidR="00CD6D30" w:rsidP="00CD6D30" w:rsidRDefault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2628BA" w:rsidR="00EE3D14" w:rsidP="002628BA" w:rsidRDefault="00A11B5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</w:t>
      </w:r>
      <w:r w:rsidR="00A0602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>
        <w:rPr>
          <w:rFonts w:eastAsia="Times New Roman" w:cs="Times New Roman"/>
          <w:spacing w:val="-2"/>
          <w:szCs w:val="19"/>
          <w:lang w:eastAsia="pl-PL"/>
        </w:rPr>
        <w:t>okresie styczeń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>
        <w:rPr>
          <w:rFonts w:eastAsia="Times New Roman" w:cs="Times New Roman"/>
          <w:spacing w:val="-2"/>
          <w:szCs w:val="19"/>
          <w:lang w:eastAsia="pl-PL"/>
        </w:rPr>
        <w:t>-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7E5C57">
        <w:rPr>
          <w:rFonts w:eastAsia="Times New Roman" w:cs="Times New Roman"/>
          <w:spacing w:val="-2"/>
          <w:szCs w:val="19"/>
          <w:lang w:eastAsia="pl-PL"/>
        </w:rPr>
        <w:t>kwiecień</w:t>
      </w:r>
      <w:r w:rsidRPr="002628BA" w:rsidR="00E51A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06024">
        <w:rPr>
          <w:rFonts w:eastAsia="Times New Roman" w:cs="Times New Roman"/>
          <w:spacing w:val="-2"/>
          <w:szCs w:val="19"/>
          <w:lang w:eastAsia="pl-PL"/>
        </w:rPr>
        <w:t>2023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Pr="002628BA" w:rsidR="00EE3D14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Pr="002628BA" w:rsidR="00BF0B34">
        <w:rPr>
          <w:rFonts w:eastAsia="Times New Roman" w:cs="Times New Roman"/>
          <w:spacing w:val="-2"/>
          <w:szCs w:val="19"/>
          <w:lang w:eastAsia="pl-PL"/>
        </w:rPr>
        <w:t>: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C336C">
        <w:rPr>
          <w:rFonts w:eastAsia="Times New Roman" w:cs="Times New Roman"/>
          <w:spacing w:val="-2"/>
          <w:szCs w:val="19"/>
          <w:lang w:eastAsia="pl-PL"/>
        </w:rPr>
        <w:t>14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6C336C">
        <w:rPr>
          <w:rFonts w:eastAsia="Times New Roman" w:cs="Times New Roman"/>
          <w:spacing w:val="-2"/>
          <w:szCs w:val="19"/>
          <w:lang w:eastAsia="pl-PL"/>
        </w:rPr>
        <w:t>5</w:t>
      </w:r>
      <w:r w:rsidRPr="002628BA" w:rsidR="006E042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>tys.</w:t>
      </w:r>
      <w:r w:rsidRPr="002628BA" w:rsidR="00DC40C7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6C336C">
        <w:rPr>
          <w:rFonts w:eastAsia="Times New Roman" w:cs="Times New Roman"/>
          <w:spacing w:val="-2"/>
          <w:szCs w:val="19"/>
          <w:lang w:eastAsia="pl-PL"/>
        </w:rPr>
        <w:t>11,4</w:t>
      </w:r>
      <w:r w:rsidR="00724C12">
        <w:rPr>
          <w:rFonts w:eastAsia="Times New Roman" w:cs="Times New Roman"/>
          <w:spacing w:val="-2"/>
          <w:szCs w:val="19"/>
          <w:lang w:eastAsia="pl-PL"/>
        </w:rPr>
        <w:t> </w:t>
      </w:r>
      <w:r w:rsidR="006C336C">
        <w:rPr>
          <w:rFonts w:eastAsia="Times New Roman" w:cs="Times New Roman"/>
          <w:spacing w:val="-2"/>
          <w:szCs w:val="19"/>
          <w:lang w:eastAsia="pl-PL"/>
        </w:rPr>
        <w:t>tys., 12</w:t>
      </w:r>
      <w:r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="006C336C">
        <w:rPr>
          <w:rFonts w:eastAsia="Times New Roman" w:cs="Times New Roman"/>
          <w:spacing w:val="-2"/>
          <w:szCs w:val="19"/>
          <w:lang w:eastAsia="pl-PL"/>
        </w:rPr>
        <w:t>7</w:t>
      </w:r>
      <w:r w:rsidRPr="002628BA" w:rsidR="00DC40C7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Pr="002628BA" w:rsidR="00801E8E">
        <w:rPr>
          <w:rFonts w:eastAsia="Times New Roman" w:cs="Times New Roman"/>
          <w:spacing w:val="-2"/>
          <w:szCs w:val="19"/>
          <w:lang w:eastAsia="pl-PL"/>
        </w:rPr>
        <w:t> </w:t>
      </w:r>
      <w:r w:rsidR="005B0E23">
        <w:rPr>
          <w:rFonts w:eastAsia="Times New Roman" w:cs="Times New Roman"/>
          <w:spacing w:val="-2"/>
          <w:szCs w:val="19"/>
          <w:lang w:eastAsia="pl-PL"/>
        </w:rPr>
        <w:t xml:space="preserve">województwie </w:t>
      </w:r>
      <w:r w:rsidR="004F7BB2">
        <w:rPr>
          <w:rFonts w:eastAsia="Times New Roman" w:cs="Times New Roman"/>
          <w:spacing w:val="-2"/>
          <w:szCs w:val="19"/>
          <w:lang w:eastAsia="pl-PL"/>
        </w:rPr>
        <w:t>wielkopolskim (8,7 tys., 4,5 tys. i 5,8</w:t>
      </w:r>
      <w:r w:rsidRPr="004B012C" w:rsidR="004B012C">
        <w:rPr>
          <w:rFonts w:eastAsia="Times New Roman" w:cs="Times New Roman"/>
          <w:spacing w:val="-2"/>
          <w:szCs w:val="19"/>
          <w:lang w:eastAsia="pl-PL"/>
        </w:rPr>
        <w:t> tys.)</w:t>
      </w:r>
      <w:r w:rsidR="004B012C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5B0E23">
        <w:rPr>
          <w:rFonts w:eastAsia="Times New Roman" w:cs="Times New Roman"/>
          <w:spacing w:val="-2"/>
          <w:szCs w:val="19"/>
          <w:lang w:eastAsia="pl-PL"/>
        </w:rPr>
        <w:t>małopolskim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4F7BB2">
        <w:rPr>
          <w:rFonts w:eastAsia="Times New Roman" w:cs="Times New Roman"/>
          <w:spacing w:val="-2"/>
          <w:szCs w:val="19"/>
          <w:lang w:eastAsia="pl-PL"/>
        </w:rPr>
        <w:t>7</w:t>
      </w:r>
      <w:r w:rsidR="004B012C">
        <w:rPr>
          <w:rFonts w:eastAsia="Times New Roman" w:cs="Times New Roman"/>
          <w:spacing w:val="-2"/>
          <w:szCs w:val="19"/>
          <w:lang w:eastAsia="pl-PL"/>
        </w:rPr>
        <w:t>,7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4F7BB2">
        <w:rPr>
          <w:rFonts w:eastAsia="Times New Roman" w:cs="Times New Roman"/>
          <w:spacing w:val="-2"/>
          <w:szCs w:val="19"/>
          <w:lang w:eastAsia="pl-PL"/>
        </w:rPr>
        <w:t>5</w:t>
      </w:r>
      <w:r w:rsidR="004B012C">
        <w:rPr>
          <w:rFonts w:eastAsia="Times New Roman" w:cs="Times New Roman"/>
          <w:spacing w:val="-2"/>
          <w:szCs w:val="19"/>
          <w:lang w:eastAsia="pl-PL"/>
        </w:rPr>
        <w:t>,2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4F7BB2">
        <w:rPr>
          <w:rFonts w:eastAsia="Times New Roman" w:cs="Times New Roman"/>
          <w:spacing w:val="-2"/>
          <w:szCs w:val="19"/>
          <w:lang w:eastAsia="pl-PL"/>
        </w:rPr>
        <w:t>8,2</w:t>
      </w:r>
      <w:r w:rsidRPr="002628BA" w:rsidR="00CD6D30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4B012C">
        <w:rPr>
          <w:rFonts w:eastAsia="Times New Roman" w:cs="Times New Roman"/>
          <w:spacing w:val="-2"/>
          <w:szCs w:val="19"/>
          <w:lang w:eastAsia="pl-PL"/>
        </w:rPr>
        <w:t>.</w:t>
      </w:r>
    </w:p>
    <w:p w:rsidR="00A617AC" w:rsidP="007B34E9" w:rsidRDefault="00A617AC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4507B6" w:rsid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="004B012C">
        <w:rPr>
          <w:rFonts w:ascii="Fira Sans" w:hAnsi="Fira Sans"/>
          <w:sz w:val="18"/>
          <w:szCs w:val="18"/>
        </w:rPr>
        <w:t>okresie styczeń</w:t>
      </w:r>
      <w:r w:rsidR="00324233">
        <w:rPr>
          <w:rFonts w:ascii="Fira Sans" w:hAnsi="Fira Sans"/>
          <w:sz w:val="18"/>
          <w:szCs w:val="18"/>
        </w:rPr>
        <w:t xml:space="preserve"> </w:t>
      </w:r>
      <w:r w:rsidR="004B012C">
        <w:rPr>
          <w:rFonts w:ascii="Fira Sans" w:hAnsi="Fira Sans"/>
          <w:sz w:val="18"/>
          <w:szCs w:val="18"/>
        </w:rPr>
        <w:t>-</w:t>
      </w:r>
      <w:r w:rsidR="00324233">
        <w:rPr>
          <w:rFonts w:ascii="Fira Sans" w:hAnsi="Fira Sans"/>
          <w:sz w:val="18"/>
          <w:szCs w:val="18"/>
        </w:rPr>
        <w:t xml:space="preserve"> </w:t>
      </w:r>
      <w:r w:rsidR="00792115">
        <w:rPr>
          <w:rFonts w:ascii="Fira Sans" w:hAnsi="Fira Sans"/>
          <w:sz w:val="18"/>
          <w:szCs w:val="18"/>
        </w:rPr>
        <w:t>kwiecień</w:t>
      </w:r>
      <w:r w:rsidRPr="004507B6" w:rsidR="004507B6">
        <w:rPr>
          <w:rFonts w:ascii="Fira Sans" w:hAnsi="Fira Sans"/>
          <w:sz w:val="18"/>
          <w:szCs w:val="18"/>
        </w:rPr>
        <w:t xml:space="preserve"> 2023 r.</w:t>
      </w:r>
    </w:p>
    <w:p w:rsidR="00B24F84" w:rsidP="00B24F84" w:rsidRDefault="00B24F84">
      <w:pPr>
        <w:spacing w:after="0" w:line="288" w:lineRule="auto"/>
        <w:rPr>
          <w:shd w:val="clear" w:color="auto" w:fill="FFFFFF"/>
        </w:rPr>
      </w:pPr>
    </w:p>
    <w:p w:rsidR="004905CF" w:rsidP="00B24F84" w:rsidRDefault="002F14AC">
      <w:pPr>
        <w:spacing w:after="0" w:line="288" w:lineRule="auto"/>
        <w:rPr>
          <w:shd w:val="clear" w:color="auto" w:fill="FFFFFF"/>
        </w:rPr>
      </w:pPr>
      <w:r w:rsidRPr="002F14AC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-65700</wp:posOffset>
            </wp:positionH>
            <wp:positionV relativeFrom="paragraph">
              <wp:posOffset>82624</wp:posOffset>
            </wp:positionV>
            <wp:extent cx="5122545" cy="2292985"/>
            <wp:effectExtent l="0" t="0" r="1905" b="0"/>
            <wp:wrapNone/>
            <wp:docPr id="15" name="Obraz 15" descr="Liczba mieszkań oddanych do użytkowania, liczba mieszkań, na których budowę wydano pozwolenia lub dokonano zgłoszenia z projektem budowlanym oraz liczba mieszkań, których budowę rozpoczęto w okresie styczeń-kwiecień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5CF" w:rsidP="00B24F84" w:rsidRDefault="004905CF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694AF0" w:rsidP="00B24F84" w:rsidRDefault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P="00DA331D" w:rsidRDefault="00DA331D">
      <w:pPr>
        <w:spacing w:before="360"/>
        <w:rPr>
          <w:sz w:val="18"/>
        </w:rPr>
      </w:pPr>
    </w:p>
    <w:p w:rsidRPr="00001C5B" w:rsidR="00875CF3" w:rsidP="00DA331D" w:rsidRDefault="00875CF3">
      <w:pPr>
        <w:spacing w:before="360"/>
        <w:rPr>
          <w:sz w:val="18"/>
        </w:rPr>
        <w:sectPr w:rsidRPr="00001C5B" w:rsidR="00875CF3" w:rsidSect="003B1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Pr="004A1D19" w:rsidR="00DE2400" w:rsidP="00DE2400" w:rsidRDefault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747B8C" w:rsidRDefault="00DE240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747B8C" w:rsidRDefault="00DE2400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8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FFFB08C" wp14:anchorId="5AB4AA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editId="3C4859F4" wp14:anchorId="6F481B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7615F0B5" wp14:anchorId="44DD3A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6F200EDE" wp14:anchorId="1969138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7307646B" wp14:anchorId="31DC7F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28691B76" wp14:anchorId="3CEE98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747B8C" w:rsidRDefault="00DE240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5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A8590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6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747B8C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A85908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7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Pr="00946F6D" w:rsidR="008575EA" w:rsidP="008575EA" w:rsidRDefault="00A85908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8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946F6D" w:rsidR="008575EA" w:rsidP="008575EA" w:rsidRDefault="00A85908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9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30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A85908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1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747B8C" w:rsidRDefault="00DE2400">
            <w:pPr>
              <w:rPr>
                <w:rStyle w:val="Hipercze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>
        <w:trPr>
          <w:trHeight w:val="1912"/>
        </w:trPr>
        <w:tc>
          <w:tcPr>
            <w:tcW w:w="4379" w:type="dxa"/>
          </w:tcPr>
          <w:p w:rsidRPr="004A1D19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>
      <w:pPr>
        <w:rPr>
          <w:sz w:val="20"/>
        </w:rPr>
      </w:pPr>
    </w:p>
    <w:p w:rsidR="000470AA" w:rsidP="000470AA" w:rsidRDefault="000470AA">
      <w:pPr>
        <w:rPr>
          <w:sz w:val="18"/>
        </w:rPr>
      </w:pPr>
    </w:p>
    <w:p w:rsidRPr="00001C5B" w:rsidR="00D261A2" w:rsidP="00AD0E56" w:rsidRDefault="00D261A2">
      <w:pPr>
        <w:rPr>
          <w:sz w:val="18"/>
        </w:rPr>
      </w:pPr>
    </w:p>
    <w:sectPr w:rsidRPr="00001C5B" w:rsidR="00D261A2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08" w:rsidRDefault="00A85908" w:rsidP="000662E2">
      <w:pPr>
        <w:spacing w:after="0" w:line="240" w:lineRule="auto"/>
      </w:pPr>
      <w:r>
        <w:separator/>
      </w:r>
    </w:p>
  </w:endnote>
  <w:endnote w:type="continuationSeparator" w:id="0">
    <w:p w:rsidR="00A85908" w:rsidRDefault="00A8590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5B39FEC-52DA-48EA-8778-70510BF143A6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C5988E43-E260-46C3-9080-AEE317ACA071}"/>
    <w:embedBold r:id="rId3" w:fontKey="{DAFFB61B-7FF7-4DAD-A0E9-99FFDA17A3B7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81B87F6-EFF8-46A1-9FBE-CA1DF6DEBCE1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F0E25AA5-DD9C-42CC-B6E9-BF00A7FF0903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7" w:rsidRDefault="008348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CC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CC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C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08" w:rsidRDefault="00A85908" w:rsidP="000662E2">
      <w:pPr>
        <w:spacing w:after="0" w:line="240" w:lineRule="auto"/>
      </w:pPr>
      <w:r>
        <w:separator/>
      </w:r>
    </w:p>
  </w:footnote>
  <w:footnote w:type="continuationSeparator" w:id="0">
    <w:p w:rsidR="00A85908" w:rsidRDefault="00A85908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8F7" w:rsidRDefault="008348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.05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8348F7">
                            <w:t>3</w:t>
                          </w:r>
                          <w:r w:rsidR="00DD5C23">
                            <w:t>.</w:t>
                          </w:r>
                          <w:r w:rsidR="008348F7">
                            <w:t>05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.05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3DIAIAABQEAAAOAAAAZHJzL2Uyb0RvYy54bWysU9Fu2yAUfZ+0f0C8z3bspG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PT7dwy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bookmarkStart w:id="2" w:name="_GoBack"/>
                    <w:r>
                      <w:t>2</w:t>
                    </w:r>
                    <w:r w:rsidR="008348F7">
                      <w:t>3</w:t>
                    </w:r>
                    <w:r w:rsidR="00DD5C23">
                      <w:t>.</w:t>
                    </w:r>
                    <w:r w:rsidR="008348F7">
                      <w:t>05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  <w:bookmarkEnd w:id="2"/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123.35pt;height:123.35pt;visibility:visible;mso-wrap-style:square" o:bullet="t">
        <v:imagedata r:id="rId1" o:title=""/>
      </v:shape>
    </w:pict>
  </w:numPicBullet>
  <w:numPicBullet w:numPicBulletId="1">
    <w:pict>
      <v:shape id="_x0000_i1251" type="#_x0000_t75" style="width:123.95pt;height:123.3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33D0"/>
    <w:rsid w:val="00057A45"/>
    <w:rsid w:val="00057CA1"/>
    <w:rsid w:val="00057E11"/>
    <w:rsid w:val="00063395"/>
    <w:rsid w:val="00064127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1A0E"/>
    <w:rsid w:val="00091FB9"/>
    <w:rsid w:val="00092305"/>
    <w:rsid w:val="00095EB4"/>
    <w:rsid w:val="000963FB"/>
    <w:rsid w:val="00097840"/>
    <w:rsid w:val="000A15C4"/>
    <w:rsid w:val="000A372D"/>
    <w:rsid w:val="000B02E8"/>
    <w:rsid w:val="000B0727"/>
    <w:rsid w:val="000B0BE0"/>
    <w:rsid w:val="000B631E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FD4"/>
    <w:rsid w:val="0013019D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80D78"/>
    <w:rsid w:val="00183B62"/>
    <w:rsid w:val="0018403F"/>
    <w:rsid w:val="001851BE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6634"/>
    <w:rsid w:val="00220D8D"/>
    <w:rsid w:val="0022267D"/>
    <w:rsid w:val="00224210"/>
    <w:rsid w:val="002244A8"/>
    <w:rsid w:val="00226573"/>
    <w:rsid w:val="00226DDE"/>
    <w:rsid w:val="00232CCF"/>
    <w:rsid w:val="00242D31"/>
    <w:rsid w:val="00245964"/>
    <w:rsid w:val="00246E54"/>
    <w:rsid w:val="0025481E"/>
    <w:rsid w:val="002574F9"/>
    <w:rsid w:val="002628BA"/>
    <w:rsid w:val="00262B61"/>
    <w:rsid w:val="00262CC6"/>
    <w:rsid w:val="00263E08"/>
    <w:rsid w:val="00265F51"/>
    <w:rsid w:val="00266918"/>
    <w:rsid w:val="00267F90"/>
    <w:rsid w:val="002707DF"/>
    <w:rsid w:val="0027364B"/>
    <w:rsid w:val="00275CB3"/>
    <w:rsid w:val="00276811"/>
    <w:rsid w:val="00277EA9"/>
    <w:rsid w:val="002809D2"/>
    <w:rsid w:val="00282699"/>
    <w:rsid w:val="002926DF"/>
    <w:rsid w:val="0029373C"/>
    <w:rsid w:val="00294283"/>
    <w:rsid w:val="00296697"/>
    <w:rsid w:val="0029709E"/>
    <w:rsid w:val="002978E9"/>
    <w:rsid w:val="002A1AF2"/>
    <w:rsid w:val="002A2E23"/>
    <w:rsid w:val="002B0472"/>
    <w:rsid w:val="002B68D2"/>
    <w:rsid w:val="002B6994"/>
    <w:rsid w:val="002B6B12"/>
    <w:rsid w:val="002C21F0"/>
    <w:rsid w:val="002C4983"/>
    <w:rsid w:val="002C4B21"/>
    <w:rsid w:val="002C5ADD"/>
    <w:rsid w:val="002C5C97"/>
    <w:rsid w:val="002C608B"/>
    <w:rsid w:val="002C7929"/>
    <w:rsid w:val="002D01DF"/>
    <w:rsid w:val="002D0372"/>
    <w:rsid w:val="002D1211"/>
    <w:rsid w:val="002E3EB3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3F84"/>
    <w:rsid w:val="00314F86"/>
    <w:rsid w:val="00316808"/>
    <w:rsid w:val="00317F4D"/>
    <w:rsid w:val="00317FB1"/>
    <w:rsid w:val="00322EDD"/>
    <w:rsid w:val="00324233"/>
    <w:rsid w:val="003309FA"/>
    <w:rsid w:val="00332320"/>
    <w:rsid w:val="00335FD3"/>
    <w:rsid w:val="0034251D"/>
    <w:rsid w:val="00347D72"/>
    <w:rsid w:val="00351173"/>
    <w:rsid w:val="00353726"/>
    <w:rsid w:val="00353F45"/>
    <w:rsid w:val="00354E9A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0E1"/>
    <w:rsid w:val="003A5211"/>
    <w:rsid w:val="003A6083"/>
    <w:rsid w:val="003B1454"/>
    <w:rsid w:val="003B18B6"/>
    <w:rsid w:val="003C0D6B"/>
    <w:rsid w:val="003C0FF5"/>
    <w:rsid w:val="003C161B"/>
    <w:rsid w:val="003C2909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E42CD"/>
    <w:rsid w:val="003E7842"/>
    <w:rsid w:val="003F19DE"/>
    <w:rsid w:val="003F24B9"/>
    <w:rsid w:val="003F459C"/>
    <w:rsid w:val="003F4C97"/>
    <w:rsid w:val="003F64F9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49BE"/>
    <w:rsid w:val="0042599A"/>
    <w:rsid w:val="004268D9"/>
    <w:rsid w:val="00427BF8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3EB7"/>
    <w:rsid w:val="00457E2B"/>
    <w:rsid w:val="00463E39"/>
    <w:rsid w:val="004647E0"/>
    <w:rsid w:val="004657FC"/>
    <w:rsid w:val="00467A02"/>
    <w:rsid w:val="00471E79"/>
    <w:rsid w:val="00472B00"/>
    <w:rsid w:val="004733F6"/>
    <w:rsid w:val="00474E69"/>
    <w:rsid w:val="00476545"/>
    <w:rsid w:val="00477729"/>
    <w:rsid w:val="004777B7"/>
    <w:rsid w:val="00483E9F"/>
    <w:rsid w:val="0048515A"/>
    <w:rsid w:val="00485A2C"/>
    <w:rsid w:val="00487D98"/>
    <w:rsid w:val="004905CF"/>
    <w:rsid w:val="0049621B"/>
    <w:rsid w:val="004A055F"/>
    <w:rsid w:val="004A16D2"/>
    <w:rsid w:val="004A1D19"/>
    <w:rsid w:val="004A269D"/>
    <w:rsid w:val="004A516E"/>
    <w:rsid w:val="004A6BD0"/>
    <w:rsid w:val="004B012C"/>
    <w:rsid w:val="004B2D1F"/>
    <w:rsid w:val="004B3F4B"/>
    <w:rsid w:val="004B5E6F"/>
    <w:rsid w:val="004C1895"/>
    <w:rsid w:val="004C4BDF"/>
    <w:rsid w:val="004C6D40"/>
    <w:rsid w:val="004D0149"/>
    <w:rsid w:val="004D1028"/>
    <w:rsid w:val="004D6033"/>
    <w:rsid w:val="004E55D3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11A82"/>
    <w:rsid w:val="005166F3"/>
    <w:rsid w:val="005203F1"/>
    <w:rsid w:val="00520DF1"/>
    <w:rsid w:val="00521BC3"/>
    <w:rsid w:val="00522DF4"/>
    <w:rsid w:val="005232AF"/>
    <w:rsid w:val="00524481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654E8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2369"/>
    <w:rsid w:val="0059427F"/>
    <w:rsid w:val="00594512"/>
    <w:rsid w:val="005947D5"/>
    <w:rsid w:val="00596220"/>
    <w:rsid w:val="0059798F"/>
    <w:rsid w:val="005A3FA5"/>
    <w:rsid w:val="005A4A15"/>
    <w:rsid w:val="005A698C"/>
    <w:rsid w:val="005A7A95"/>
    <w:rsid w:val="005B0E23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615E6"/>
    <w:rsid w:val="00664BCB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534"/>
    <w:rsid w:val="006B5AE4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25E3"/>
    <w:rsid w:val="0071340B"/>
    <w:rsid w:val="00714114"/>
    <w:rsid w:val="0071578A"/>
    <w:rsid w:val="00717FC5"/>
    <w:rsid w:val="007211B1"/>
    <w:rsid w:val="00724C12"/>
    <w:rsid w:val="00725B8C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7024E"/>
    <w:rsid w:val="00770C54"/>
    <w:rsid w:val="00773345"/>
    <w:rsid w:val="00773EBE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4862"/>
    <w:rsid w:val="007D5265"/>
    <w:rsid w:val="007D56C0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801E8E"/>
    <w:rsid w:val="00802123"/>
    <w:rsid w:val="008052B9"/>
    <w:rsid w:val="0080553C"/>
    <w:rsid w:val="00805B46"/>
    <w:rsid w:val="00805DB4"/>
    <w:rsid w:val="00811A30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8F7"/>
    <w:rsid w:val="00834AD3"/>
    <w:rsid w:val="00834C74"/>
    <w:rsid w:val="00836F4E"/>
    <w:rsid w:val="00837B9A"/>
    <w:rsid w:val="00843795"/>
    <w:rsid w:val="00847F0F"/>
    <w:rsid w:val="00851002"/>
    <w:rsid w:val="00852318"/>
    <w:rsid w:val="00852448"/>
    <w:rsid w:val="0085322E"/>
    <w:rsid w:val="008575EA"/>
    <w:rsid w:val="00861460"/>
    <w:rsid w:val="00863FA8"/>
    <w:rsid w:val="00866233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D02DA"/>
    <w:rsid w:val="008D76BC"/>
    <w:rsid w:val="008E1337"/>
    <w:rsid w:val="008E3F99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30DB"/>
    <w:rsid w:val="00953676"/>
    <w:rsid w:val="009541F3"/>
    <w:rsid w:val="00955FD3"/>
    <w:rsid w:val="00956F30"/>
    <w:rsid w:val="009579D4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94356"/>
    <w:rsid w:val="009A2390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74A4"/>
    <w:rsid w:val="009E08DA"/>
    <w:rsid w:val="009E229C"/>
    <w:rsid w:val="009E2769"/>
    <w:rsid w:val="009E2E91"/>
    <w:rsid w:val="009E670D"/>
    <w:rsid w:val="009E7835"/>
    <w:rsid w:val="009F37F2"/>
    <w:rsid w:val="009F4837"/>
    <w:rsid w:val="00A01B40"/>
    <w:rsid w:val="00A06024"/>
    <w:rsid w:val="00A11B5E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036B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4D81"/>
    <w:rsid w:val="00AD5338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FE9"/>
    <w:rsid w:val="00AF3088"/>
    <w:rsid w:val="00AF46A1"/>
    <w:rsid w:val="00B0047E"/>
    <w:rsid w:val="00B011F7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26D9D"/>
    <w:rsid w:val="00B30026"/>
    <w:rsid w:val="00B30114"/>
    <w:rsid w:val="00B30518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53AB"/>
    <w:rsid w:val="00B65C40"/>
    <w:rsid w:val="00B65F9E"/>
    <w:rsid w:val="00B66B19"/>
    <w:rsid w:val="00B67F74"/>
    <w:rsid w:val="00B71BD1"/>
    <w:rsid w:val="00B73C02"/>
    <w:rsid w:val="00B74130"/>
    <w:rsid w:val="00B80519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A0FD7"/>
    <w:rsid w:val="00BA2BA1"/>
    <w:rsid w:val="00BA3447"/>
    <w:rsid w:val="00BA3562"/>
    <w:rsid w:val="00BA682B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A44"/>
    <w:rsid w:val="00C55727"/>
    <w:rsid w:val="00C566A2"/>
    <w:rsid w:val="00C57A7E"/>
    <w:rsid w:val="00C62238"/>
    <w:rsid w:val="00C62A7E"/>
    <w:rsid w:val="00C63D50"/>
    <w:rsid w:val="00C63DBB"/>
    <w:rsid w:val="00C64A37"/>
    <w:rsid w:val="00C707DB"/>
    <w:rsid w:val="00C707E1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4099"/>
    <w:rsid w:val="00CF4D38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4423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3523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6B58"/>
    <w:rsid w:val="00DF1BD1"/>
    <w:rsid w:val="00DF424A"/>
    <w:rsid w:val="00DF4CC4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17C"/>
    <w:rsid w:val="00E14D13"/>
    <w:rsid w:val="00E17B77"/>
    <w:rsid w:val="00E231AB"/>
    <w:rsid w:val="00E23337"/>
    <w:rsid w:val="00E23FCC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4724"/>
    <w:rsid w:val="00EC66BB"/>
    <w:rsid w:val="00EC7146"/>
    <w:rsid w:val="00ED016B"/>
    <w:rsid w:val="00ED29B3"/>
    <w:rsid w:val="00ED55C0"/>
    <w:rsid w:val="00ED61F4"/>
    <w:rsid w:val="00ED6767"/>
    <w:rsid w:val="00ED682B"/>
    <w:rsid w:val="00EE11B5"/>
    <w:rsid w:val="00EE3845"/>
    <w:rsid w:val="00EE3D14"/>
    <w:rsid w:val="00EE41D5"/>
    <w:rsid w:val="00EE4507"/>
    <w:rsid w:val="00EF0A40"/>
    <w:rsid w:val="00EF0C25"/>
    <w:rsid w:val="00EF2FD9"/>
    <w:rsid w:val="00EF449D"/>
    <w:rsid w:val="00EF588A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C5C"/>
    <w:rsid w:val="00F254D3"/>
    <w:rsid w:val="00F265BC"/>
    <w:rsid w:val="00F26AA0"/>
    <w:rsid w:val="00F26B6D"/>
    <w:rsid w:val="00F27C8F"/>
    <w:rsid w:val="00F32749"/>
    <w:rsid w:val="00F3584E"/>
    <w:rsid w:val="00F37172"/>
    <w:rsid w:val="00F41A54"/>
    <w:rsid w:val="00F4477E"/>
    <w:rsid w:val="00F46269"/>
    <w:rsid w:val="00F5119A"/>
    <w:rsid w:val="00F51B42"/>
    <w:rsid w:val="00F52F81"/>
    <w:rsid w:val="00F5533C"/>
    <w:rsid w:val="00F55B1D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56FD"/>
    <w:rsid w:val="00FC5D13"/>
    <w:rsid w:val="00FD1730"/>
    <w:rsid w:val="00FD2877"/>
    <w:rsid w:val="00FD329D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przemysl-budownictwo-srodki-trwale/budownictwo/publikacja,13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0.png"/><Relationship Id="rId28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budownictwo_mieszkaniowe_w_okresie_styczen-kwiecien_2023.docx.docx</NazwaPliku>
    <Odbiorcy2 xmlns="AD3641B4-23D9-4536-AF9E-7D0EADDEB824" xsi:nil="true"/>
    <Osoba xmlns="AD3641B4-23D9-4536-AF9E-7D0EADDEB824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C4732E23-0718-4E8E-8CB3-C2A3C4AF8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2023-05-17T13:09:00Z</dcterms:created>
  <dcterms:modified xsi:type="dcterms:W3CDTF">2023-05-18T11:25:00Z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LUB-OSB.6360.4.2023.11</vt:lpwstr>
  </property>
  <property fmtid="{D5CDD505-2E9C-101B-9397-08002B2CF9AE}" pid="4" name="UNPPisma">
    <vt:lpwstr>2023-113076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 - kwiecień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2023-05-18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