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DD" w:rsidP="00E4613A" w:rsidRDefault="00B656DD" w14:paraId="23B5CD17" w14:textId="77777777">
      <w:pPr>
        <w:pStyle w:val="tytuinformacji"/>
        <w:spacing w:after="600"/>
        <w:rPr>
          <w:shd w:val="clear" w:color="auto" w:fill="FFFFFF"/>
        </w:rPr>
      </w:pPr>
      <w:r>
        <w:rPr>
          <w:shd w:val="clear" w:color="auto" w:fill="FFFFFF"/>
        </w:rPr>
        <w:t>Obrót nieruchomościami w 20</w:t>
      </w:r>
      <w:r w:rsidR="00624C6A">
        <w:rPr>
          <w:shd w:val="clear" w:color="auto" w:fill="FFFFFF"/>
        </w:rPr>
        <w:t>2</w:t>
      </w:r>
      <w:r w:rsidR="006F317A">
        <w:rPr>
          <w:shd w:val="clear" w:color="auto" w:fill="FFFFFF"/>
        </w:rPr>
        <w:t>2</w:t>
      </w:r>
      <w:r w:rsidRPr="00BF0C5F">
        <w:rPr>
          <w:shd w:val="clear" w:color="auto" w:fill="FFFFFF"/>
        </w:rPr>
        <w:t xml:space="preserve"> r.</w:t>
      </w:r>
    </w:p>
    <w:p w:rsidR="00884A82" w:rsidP="00C942D1" w:rsidRDefault="00C942D1" w14:paraId="1089BF81" w14:textId="650DD532">
      <w:pPr>
        <w:pStyle w:val="LID"/>
        <w:ind w:left="284"/>
        <w:rPr>
          <w:noProof w:val="0"/>
          <w:lang w:eastAsia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editId="0EC38E52" wp14:anchorId="48260CC6">
                <wp:simplePos x="0" y="0"/>
                <wp:positionH relativeFrom="margin">
                  <wp:posOffset>133350</wp:posOffset>
                </wp:positionH>
                <wp:positionV relativeFrom="paragraph">
                  <wp:posOffset>52070</wp:posOffset>
                </wp:positionV>
                <wp:extent cx="2095500" cy="1524000"/>
                <wp:effectExtent l="0" t="0" r="0" b="0"/>
                <wp:wrapSquare wrapText="bothSides"/>
                <wp:docPr id="6" name="Pole tekstowe 2" descr="Wartość wskaźnika 24,3%&#10;Spadek liczby aktów notarialnych dotyczących sprzedaży nieruchomości w porównaniu do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524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35E5" w:rsidR="00C942D1" w:rsidP="00C942D1" w:rsidRDefault="00FC6D3E" w14:paraId="192B8B84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C6D3E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Pr="00AA35E5" w:rsidR="00D01AE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24,3</w:t>
                            </w:r>
                            <w:r w:rsidRPr="00AA35E5" w:rsidR="00C942D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7D605C" w:rsidR="00C942D1" w:rsidP="00AA35E5" w:rsidRDefault="006F317A" w14:paraId="36940F7C" w14:textId="77777777">
                            <w:pPr>
                              <w:pStyle w:val="Opiswskanika"/>
                              <w:spacing w:before="120"/>
                              <w:ind w:right="-75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D01AE9">
                              <w:t xml:space="preserve"> liczby aktów notarialnych dot. sprzedaży nieruchomości </w:t>
                            </w:r>
                            <w:r>
                              <w:t>w porównaniu do 2021</w:t>
                            </w:r>
                            <w:r w:rsidRPr="00D01AE9" w:rsidR="00D01AE9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left:0;text-align:left;margin-left:10.5pt;margin-top:4.1pt;width:165pt;height:120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Wartość wskaźnika 24,3%&#10;Spadek liczby aktów notarialnych dotyczących sprzedaży nieruchomości w porównaniu do 2021 r." o:spid="_x0000_s1026" fillcolor="#001d77" stroked="f" arcsize="10923f" w14:anchorId="48260C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">
                <v:stroke joinstyle="miter"/>
                <v:textbox>
                  <w:txbxContent>
                    <w:p w:rsidRPr="00AA35E5" w:rsidR="00C942D1" w:rsidP="00C942D1" w:rsidRDefault="00FC6D3E" w14:paraId="192B8B84" w14:textId="7777777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C6D3E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2"/>
                      </w:r>
                      <w:r w:rsidRPr="00AA35E5" w:rsidR="00D01AE9">
                        <w:rPr>
                          <w:rStyle w:val="WartowskanikaZnak"/>
                          <w:sz w:val="72"/>
                          <w:szCs w:val="72"/>
                        </w:rPr>
                        <w:t>24,3</w:t>
                      </w:r>
                      <w:r w:rsidRPr="00AA35E5" w:rsidR="00C942D1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Pr="007D605C" w:rsidR="00C942D1" w:rsidP="00AA35E5" w:rsidRDefault="006F317A" w14:paraId="36940F7C" w14:textId="77777777">
                      <w:pPr>
                        <w:pStyle w:val="Opiswskanika"/>
                        <w:spacing w:before="120"/>
                        <w:ind w:right="-75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D01AE9">
                        <w:t xml:space="preserve"> liczby aktów notarialnych dot. sprzedaży nieruchomości </w:t>
                      </w:r>
                      <w:r>
                        <w:t>w porównaniu do 2021</w:t>
                      </w:r>
                      <w:r w:rsidRPr="00D01AE9" w:rsidR="00D01AE9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56DD">
        <w:rPr>
          <w:noProof w:val="0"/>
          <w:lang w:eastAsia="en-US"/>
        </w:rPr>
        <w:t>W 20</w:t>
      </w:r>
      <w:r w:rsidR="00624C6A">
        <w:rPr>
          <w:noProof w:val="0"/>
          <w:lang w:eastAsia="en-US"/>
        </w:rPr>
        <w:t>2</w:t>
      </w:r>
      <w:r w:rsidR="0010505F">
        <w:rPr>
          <w:noProof w:val="0"/>
          <w:lang w:eastAsia="en-US"/>
        </w:rPr>
        <w:t>2</w:t>
      </w:r>
      <w:r w:rsidR="00B656DD">
        <w:rPr>
          <w:noProof w:val="0"/>
          <w:lang w:eastAsia="en-US"/>
        </w:rPr>
        <w:t xml:space="preserve"> r</w:t>
      </w:r>
      <w:r w:rsidR="009676CA">
        <w:rPr>
          <w:noProof w:val="0"/>
          <w:lang w:eastAsia="en-US"/>
        </w:rPr>
        <w:t>.</w:t>
      </w:r>
      <w:r w:rsidR="00B656DD">
        <w:rPr>
          <w:noProof w:val="0"/>
          <w:lang w:eastAsia="en-US"/>
        </w:rPr>
        <w:t xml:space="preserve"> podpisano </w:t>
      </w:r>
      <w:r w:rsidR="006F317A">
        <w:rPr>
          <w:noProof w:val="0"/>
          <w:lang w:eastAsia="en-US"/>
        </w:rPr>
        <w:t>531,2</w:t>
      </w:r>
      <w:r w:rsidR="00B656DD">
        <w:rPr>
          <w:noProof w:val="0"/>
          <w:lang w:eastAsia="en-US"/>
        </w:rPr>
        <w:t xml:space="preserve"> </w:t>
      </w:r>
      <w:r w:rsidRPr="007068CE" w:rsidR="00B656DD">
        <w:rPr>
          <w:noProof w:val="0"/>
          <w:lang w:eastAsia="en-US"/>
        </w:rPr>
        <w:t>tys. aktów notarialnych dotycząc</w:t>
      </w:r>
      <w:r w:rsidR="00B656DD">
        <w:rPr>
          <w:noProof w:val="0"/>
          <w:lang w:eastAsia="en-US"/>
        </w:rPr>
        <w:t>ych</w:t>
      </w:r>
      <w:r w:rsidR="00B656DD">
        <w:t xml:space="preserve"> sprzedaży nieruchomości, o</w:t>
      </w:r>
      <w:r w:rsidR="00AA35E5">
        <w:t> </w:t>
      </w:r>
      <w:r w:rsidR="00763D1B">
        <w:t>24,3</w:t>
      </w:r>
      <w:r w:rsidR="006F317A">
        <w:t>% mniej</w:t>
      </w:r>
      <w:r w:rsidR="00B656DD">
        <w:t xml:space="preserve"> niż</w:t>
      </w:r>
      <w:r w:rsidR="007860B9">
        <w:t xml:space="preserve"> </w:t>
      </w:r>
      <w:r w:rsidR="00884A82">
        <w:t xml:space="preserve">przed </w:t>
      </w:r>
      <w:r w:rsidR="00B656DD">
        <w:t>rok</w:t>
      </w:r>
      <w:r w:rsidR="00884A82">
        <w:t>iem</w:t>
      </w:r>
      <w:r w:rsidRPr="007068CE" w:rsidR="00B656DD">
        <w:t>.</w:t>
      </w:r>
      <w:r w:rsidR="00B656DD">
        <w:t xml:space="preserve"> </w:t>
      </w:r>
      <w:r w:rsidR="00B656DD">
        <w:rPr>
          <w:shd w:val="clear" w:color="auto" w:fill="FFFFFF"/>
        </w:rPr>
        <w:t xml:space="preserve">W porównaniu z </w:t>
      </w:r>
      <w:r w:rsidR="00624C6A">
        <w:rPr>
          <w:shd w:val="clear" w:color="auto" w:fill="FFFFFF"/>
        </w:rPr>
        <w:t>20</w:t>
      </w:r>
      <w:r w:rsidR="006F317A">
        <w:rPr>
          <w:shd w:val="clear" w:color="auto" w:fill="FFFFFF"/>
        </w:rPr>
        <w:t>2</w:t>
      </w:r>
      <w:r w:rsidR="0010505F">
        <w:rPr>
          <w:shd w:val="clear" w:color="auto" w:fill="FFFFFF"/>
        </w:rPr>
        <w:t>1</w:t>
      </w:r>
      <w:r w:rsidR="00860B98">
        <w:rPr>
          <w:shd w:val="clear" w:color="auto" w:fill="FFFFFF"/>
        </w:rPr>
        <w:t xml:space="preserve"> r.</w:t>
      </w:r>
      <w:r w:rsidRPr="007068CE" w:rsidR="00B656DD">
        <w:rPr>
          <w:shd w:val="clear" w:color="auto" w:fill="FFFFFF"/>
        </w:rPr>
        <w:t xml:space="preserve"> </w:t>
      </w:r>
      <w:r w:rsidR="00CA46FF">
        <w:rPr>
          <w:shd w:val="clear" w:color="auto" w:fill="FFFFFF"/>
        </w:rPr>
        <w:t>wzrost</w:t>
      </w:r>
      <w:r w:rsidR="0010505F">
        <w:rPr>
          <w:shd w:val="clear" w:color="auto" w:fill="FFFFFF"/>
        </w:rPr>
        <w:t xml:space="preserve"> </w:t>
      </w:r>
      <w:r w:rsidRPr="00933917" w:rsidR="00B656DD">
        <w:rPr>
          <w:noProof w:val="0"/>
          <w:lang w:eastAsia="en-US"/>
        </w:rPr>
        <w:t>liczby aktów notarialnych</w:t>
      </w:r>
      <w:r w:rsidR="00CA46FF">
        <w:rPr>
          <w:noProof w:val="0"/>
          <w:lang w:eastAsia="en-US"/>
        </w:rPr>
        <w:t xml:space="preserve"> wystąpił </w:t>
      </w:r>
      <w:r w:rsidR="00884A82">
        <w:rPr>
          <w:noProof w:val="0"/>
          <w:lang w:eastAsia="en-US"/>
        </w:rPr>
        <w:t>tylko</w:t>
      </w:r>
      <w:r w:rsidR="00CA46FF">
        <w:rPr>
          <w:noProof w:val="0"/>
          <w:lang w:eastAsia="en-US"/>
        </w:rPr>
        <w:t xml:space="preserve"> w</w:t>
      </w:r>
      <w:r w:rsidR="00884A82">
        <w:rPr>
          <w:noProof w:val="0"/>
          <w:lang w:eastAsia="en-US"/>
        </w:rPr>
        <w:t> </w:t>
      </w:r>
      <w:r w:rsidR="00CA46FF">
        <w:rPr>
          <w:noProof w:val="0"/>
          <w:lang w:eastAsia="en-US"/>
        </w:rPr>
        <w:t>przypadku</w:t>
      </w:r>
      <w:r w:rsidR="0010505F">
        <w:rPr>
          <w:noProof w:val="0"/>
          <w:lang w:eastAsia="en-US"/>
        </w:rPr>
        <w:t xml:space="preserve"> </w:t>
      </w:r>
      <w:r w:rsidRPr="00933917" w:rsidR="00B656DD">
        <w:rPr>
          <w:noProof w:val="0"/>
          <w:lang w:eastAsia="en-US"/>
        </w:rPr>
        <w:t xml:space="preserve">sprzedaży </w:t>
      </w:r>
      <w:r w:rsidR="006F317A">
        <w:rPr>
          <w:noProof w:val="0"/>
          <w:lang w:eastAsia="en-US"/>
        </w:rPr>
        <w:t>nieruchomości na rzecz Skarbu Państwa lub jednostek samorządu terytorialnego</w:t>
      </w:r>
      <w:r w:rsidRPr="00933917" w:rsidR="00B656DD">
        <w:rPr>
          <w:noProof w:val="0"/>
          <w:lang w:eastAsia="en-US"/>
        </w:rPr>
        <w:t xml:space="preserve"> (o </w:t>
      </w:r>
      <w:r w:rsidR="006F317A">
        <w:rPr>
          <w:noProof w:val="0"/>
          <w:lang w:eastAsia="en-US"/>
        </w:rPr>
        <w:t>9,9</w:t>
      </w:r>
      <w:r w:rsidRPr="00933917" w:rsidR="00B656DD">
        <w:rPr>
          <w:noProof w:val="0"/>
          <w:lang w:eastAsia="en-US"/>
        </w:rPr>
        <w:t>%)</w:t>
      </w:r>
      <w:r w:rsidRPr="00933917" w:rsidR="00624C6A">
        <w:rPr>
          <w:noProof w:val="0"/>
          <w:lang w:eastAsia="en-US"/>
        </w:rPr>
        <w:t xml:space="preserve">. </w:t>
      </w:r>
      <w:r w:rsidR="0010505F">
        <w:rPr>
          <w:noProof w:val="0"/>
          <w:lang w:eastAsia="en-US"/>
        </w:rPr>
        <w:t>Najw</w:t>
      </w:r>
      <w:r w:rsidR="006F317A">
        <w:rPr>
          <w:noProof w:val="0"/>
          <w:lang w:eastAsia="en-US"/>
        </w:rPr>
        <w:t>iększy spadek</w:t>
      </w:r>
      <w:r w:rsidRPr="00933917" w:rsidR="00B656DD">
        <w:rPr>
          <w:noProof w:val="0"/>
          <w:lang w:eastAsia="en-US"/>
        </w:rPr>
        <w:t xml:space="preserve"> </w:t>
      </w:r>
      <w:r w:rsidR="007860B9">
        <w:rPr>
          <w:noProof w:val="0"/>
          <w:lang w:eastAsia="en-US"/>
        </w:rPr>
        <w:t xml:space="preserve">natomiast </w:t>
      </w:r>
      <w:r w:rsidRPr="00933917" w:rsidR="00B656DD">
        <w:rPr>
          <w:noProof w:val="0"/>
          <w:lang w:eastAsia="en-US"/>
        </w:rPr>
        <w:t xml:space="preserve">odnotowano w </w:t>
      </w:r>
      <w:r w:rsidRPr="007068CE" w:rsidR="007860B9">
        <w:rPr>
          <w:shd w:val="clear" w:color="auto" w:fill="FFFFFF"/>
        </w:rPr>
        <w:t>przypadku aktów notarialnych dotyczących</w:t>
      </w:r>
      <w:r w:rsidR="007860B9">
        <w:rPr>
          <w:noProof w:val="0"/>
          <w:lang w:eastAsia="en-US"/>
        </w:rPr>
        <w:t xml:space="preserve"> </w:t>
      </w:r>
      <w:r w:rsidR="006F317A">
        <w:rPr>
          <w:noProof w:val="0"/>
          <w:lang w:eastAsia="en-US"/>
        </w:rPr>
        <w:t xml:space="preserve">sprzedaży działek niezabudowanych </w:t>
      </w:r>
      <w:r w:rsidRPr="00933917" w:rsidR="00624C6A">
        <w:rPr>
          <w:noProof w:val="0"/>
          <w:lang w:eastAsia="en-US"/>
        </w:rPr>
        <w:t>(o </w:t>
      </w:r>
      <w:r w:rsidR="006F317A">
        <w:rPr>
          <w:noProof w:val="0"/>
          <w:lang w:eastAsia="en-US"/>
        </w:rPr>
        <w:t>35,2</w:t>
      </w:r>
      <w:r w:rsidRPr="00933917" w:rsidR="00624C6A">
        <w:rPr>
          <w:noProof w:val="0"/>
          <w:lang w:eastAsia="en-US"/>
        </w:rPr>
        <w:t>%)</w:t>
      </w:r>
      <w:r w:rsidR="00CA46FF">
        <w:rPr>
          <w:noProof w:val="0"/>
          <w:lang w:eastAsia="en-US"/>
        </w:rPr>
        <w:t xml:space="preserve">. </w:t>
      </w:r>
    </w:p>
    <w:p w:rsidRPr="00005BF5" w:rsidR="00005BF5" w:rsidP="00884A82" w:rsidRDefault="00005BF5" w14:paraId="0F846AAB" w14:textId="77777777">
      <w:pPr>
        <w:pStyle w:val="LID"/>
        <w:spacing w:before="0" w:after="0"/>
        <w:ind w:left="284"/>
        <w:rPr>
          <w:shd w:val="clear" w:color="auto" w:fill="FFFFFF"/>
        </w:rPr>
      </w:pPr>
    </w:p>
    <w:p w:rsidRPr="00546D08" w:rsidR="00B656DD" w:rsidP="00AA35E5" w:rsidRDefault="00BE6E48" w14:paraId="65FCDB70" w14:textId="022AE494">
      <w:pPr>
        <w:pStyle w:val="Nagwek1"/>
        <w:spacing w:before="360"/>
        <w:rPr>
          <w:rFonts w:ascii="Fira Sans" w:hAnsi="Fira Sans"/>
          <w:b/>
          <w:color w:val="auto"/>
          <w:sz w:val="20"/>
          <w:szCs w:val="20"/>
        </w:rPr>
      </w:pPr>
      <w:r w:rsidRPr="00546D0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editId="1AE450CB" wp14:anchorId="7852C88A">
                <wp:simplePos x="0" y="0"/>
                <wp:positionH relativeFrom="column">
                  <wp:posOffset>5245100</wp:posOffset>
                </wp:positionH>
                <wp:positionV relativeFrom="paragraph">
                  <wp:posOffset>229235</wp:posOffset>
                </wp:positionV>
                <wp:extent cx="1819275" cy="1714500"/>
                <wp:effectExtent l="0" t="0" r="0" b="0"/>
                <wp:wrapTight wrapText="bothSides">
                  <wp:wrapPolygon edited="0">
                    <wp:start x="679" y="0"/>
                    <wp:lineTo x="679" y="21360"/>
                    <wp:lineTo x="20808" y="21360"/>
                    <wp:lineTo x="20808" y="0"/>
                    <wp:lineTo x="679" y="0"/>
                  </wp:wrapPolygon>
                </wp:wrapTight>
                <wp:docPr id="28" name="Pole tekstowe 28" descr="W 2022 r.  w porównaniu z rokiem poprzednim odnotowano wzrost liczby aktów notarialnych tylko w przypadku sprzedaży nieruchomości na rzecz Skarbu Państwa lub jednostek samorządu terytorialnego (o 9,9%)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4DD8" w:rsidR="00B656DD" w:rsidP="00B656DD" w:rsidRDefault="009F1C47" w14:paraId="79439E84" w14:textId="20CDC0C1">
                            <w:pPr>
                              <w:pStyle w:val="tekstzboku"/>
                            </w:pPr>
                            <w:r>
                              <w:t>W 202</w:t>
                            </w:r>
                            <w:r w:rsidR="00D1473C">
                              <w:t>2</w:t>
                            </w:r>
                            <w:r>
                              <w:t xml:space="preserve"> r. </w:t>
                            </w:r>
                            <w:r w:rsidR="00884A82">
                              <w:t xml:space="preserve">w porównaniu </w:t>
                            </w:r>
                            <w:r w:rsidR="00884A82">
                              <w:br/>
                              <w:t>z rokiem poprzednim</w:t>
                            </w:r>
                            <w:r w:rsidRPr="00437162" w:rsidR="00884A82">
                              <w:t xml:space="preserve"> </w:t>
                            </w:r>
                            <w:r w:rsidRPr="00437162" w:rsidR="00AF3B89">
                              <w:t>odnotowano</w:t>
                            </w:r>
                            <w:r w:rsidR="00AF3B89">
                              <w:t xml:space="preserve"> wzrost </w:t>
                            </w:r>
                            <w:r w:rsidRPr="00437162" w:rsidR="00B656DD">
                              <w:t xml:space="preserve">liczby aktów </w:t>
                            </w:r>
                            <w:r w:rsidR="00A775BE">
                              <w:br/>
                            </w:r>
                            <w:r w:rsidRPr="00437162" w:rsidR="00B656DD">
                              <w:t xml:space="preserve">notarialnych </w:t>
                            </w:r>
                            <w:r w:rsidR="00AF3B89">
                              <w:t xml:space="preserve">tylko </w:t>
                            </w:r>
                            <w:r w:rsidR="00B656DD">
                              <w:t>w przypadku</w:t>
                            </w:r>
                            <w:r w:rsidRPr="00437162" w:rsidR="00B656DD">
                              <w:t xml:space="preserve"> </w:t>
                            </w:r>
                            <w:r w:rsidRPr="00AF3B89" w:rsidR="00AF3B89">
                              <w:t xml:space="preserve">sprzedaży nieruchomości na rzecz Skarbu Państwa lub jednostek samorządu terytorialnego </w:t>
                            </w:r>
                            <w:r w:rsidR="00B656DD">
                              <w:t xml:space="preserve">(o </w:t>
                            </w:r>
                            <w:r w:rsidR="00AF3B89">
                              <w:t>9,9</w:t>
                            </w:r>
                            <w:r w:rsidRPr="00437162" w:rsidR="00B656DD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7852C88A">
                <v:stroke joinstyle="miter"/>
                <v:path gradientshapeok="t" o:connecttype="rect"/>
              </v:shapetype>
              <v:shape id="Pole tekstowe 28" style="position:absolute;margin-left:413pt;margin-top:18.05pt;width:143.25pt;height:135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W 2022 r.  w porównaniu z rokiem poprzednim odnotowano wzrost liczby aktów notarialnych tylko w przypadku sprzedaży nieruchomości na rzecz Skarbu Państwa lub jednostek samorządu terytorialnego (o 9,9%) &#10;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">
                <v:textbox>
                  <w:txbxContent>
                    <w:p w:rsidRPr="00074DD8" w:rsidR="00B656DD" w:rsidP="00B656DD" w:rsidRDefault="009F1C47" w14:paraId="79439E84" w14:textId="20CDC0C1">
                      <w:pPr>
                        <w:pStyle w:val="tekstzboku"/>
                      </w:pPr>
                      <w:r>
                        <w:t>W 202</w:t>
                      </w:r>
                      <w:r w:rsidR="00D1473C">
                        <w:t>2</w:t>
                      </w:r>
                      <w:r>
                        <w:t xml:space="preserve"> r. </w:t>
                      </w:r>
                      <w:r w:rsidR="00884A82">
                        <w:t xml:space="preserve">w porównaniu </w:t>
                      </w:r>
                      <w:r w:rsidR="00884A82">
                        <w:br/>
                        <w:t>z rokiem poprzednim</w:t>
                      </w:r>
                      <w:r w:rsidRPr="00437162" w:rsidR="00884A82">
                        <w:t xml:space="preserve"> </w:t>
                      </w:r>
                      <w:r w:rsidRPr="00437162" w:rsidR="00AF3B89">
                        <w:t>odnotowano</w:t>
                      </w:r>
                      <w:r w:rsidR="00AF3B89">
                        <w:t xml:space="preserve"> wzrost </w:t>
                      </w:r>
                      <w:r w:rsidRPr="00437162" w:rsidR="00B656DD">
                        <w:t xml:space="preserve">liczby aktów </w:t>
                      </w:r>
                      <w:r w:rsidR="00A775BE">
                        <w:br/>
                      </w:r>
                      <w:r w:rsidRPr="00437162" w:rsidR="00B656DD">
                        <w:t xml:space="preserve">notarialnych </w:t>
                      </w:r>
                      <w:r w:rsidR="00AF3B89">
                        <w:t xml:space="preserve">tylko </w:t>
                      </w:r>
                      <w:r w:rsidR="00B656DD">
                        <w:t>w przypadku</w:t>
                      </w:r>
                      <w:r w:rsidRPr="00437162" w:rsidR="00B656DD">
                        <w:t xml:space="preserve"> </w:t>
                      </w:r>
                      <w:r w:rsidRPr="00AF3B89" w:rsidR="00AF3B89">
                        <w:t xml:space="preserve">sprzedaży nieruchomości na rzecz Skarbu Państwa lub jednostek samorządu terytorialnego </w:t>
                      </w:r>
                      <w:r w:rsidR="00B656DD">
                        <w:t xml:space="preserve">(o </w:t>
                      </w:r>
                      <w:r w:rsidR="00AF3B89">
                        <w:t>9,9</w:t>
                      </w:r>
                      <w:r w:rsidRPr="00437162" w:rsidR="00B656DD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46D08" w:rsidR="00B656DD">
        <w:rPr>
          <w:rFonts w:ascii="Fira Sans" w:hAnsi="Fira Sans"/>
          <w:b/>
          <w:color w:val="auto"/>
          <w:sz w:val="20"/>
          <w:szCs w:val="20"/>
        </w:rPr>
        <w:t>Tablica 1. Akty notarialne dot</w:t>
      </w:r>
      <w:r w:rsidR="00180FF7">
        <w:rPr>
          <w:rFonts w:ascii="Fira Sans" w:hAnsi="Fira Sans"/>
          <w:b/>
          <w:color w:val="auto"/>
          <w:sz w:val="20"/>
          <w:szCs w:val="20"/>
        </w:rPr>
        <w:t>yczące</w:t>
      </w:r>
      <w:r w:rsidRPr="00546D08" w:rsidR="00B656DD">
        <w:rPr>
          <w:rFonts w:ascii="Fira Sans" w:hAnsi="Fira Sans"/>
          <w:b/>
          <w:color w:val="auto"/>
          <w:sz w:val="20"/>
          <w:szCs w:val="20"/>
        </w:rPr>
        <w:t xml:space="preserve"> sprzedaży nieruchomości zawarte w 20</w:t>
      </w:r>
      <w:r w:rsidRPr="00546D08" w:rsidR="00624C6A">
        <w:rPr>
          <w:rFonts w:ascii="Fira Sans" w:hAnsi="Fira Sans"/>
          <w:b/>
          <w:color w:val="auto"/>
          <w:sz w:val="20"/>
          <w:szCs w:val="20"/>
        </w:rPr>
        <w:t>2</w:t>
      </w:r>
      <w:r w:rsidR="006F317A">
        <w:rPr>
          <w:rFonts w:ascii="Fira Sans" w:hAnsi="Fira Sans"/>
          <w:b/>
          <w:color w:val="auto"/>
          <w:sz w:val="20"/>
          <w:szCs w:val="20"/>
        </w:rPr>
        <w:t>2</w:t>
      </w:r>
      <w:r w:rsidRPr="00546D08" w:rsidR="00B656DD">
        <w:rPr>
          <w:rFonts w:ascii="Fira Sans" w:hAnsi="Fira Sans"/>
          <w:b/>
          <w:color w:val="auto"/>
          <w:sz w:val="20"/>
          <w:szCs w:val="20"/>
        </w:rPr>
        <w:t xml:space="preserve"> r.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single" w:color="000A81" w:sz="4" w:space="0"/>
          <w:left w:val="none" w:color="auto" w:sz="0" w:space="0"/>
          <w:bottom w:val="single" w:color="000A81" w:sz="4" w:space="0"/>
          <w:right w:val="none" w:color="auto" w:sz="0" w:space="0"/>
          <w:insideH w:val="single" w:color="000A81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ela 1 zawierająca liczbę aktów notarialnych dot. sprzedaży nieruchomości zawartych w 2022 r. wraz z porównaniem do roku 2021."/>
      </w:tblPr>
      <w:tblGrid>
        <w:gridCol w:w="5388"/>
        <w:gridCol w:w="1392"/>
        <w:gridCol w:w="1287"/>
      </w:tblGrid>
      <w:tr w:rsidRPr="00907E1E" w:rsidR="00B656DD" w:rsidTr="00763D1B" w14:paraId="7A50DE63" w14:textId="77777777">
        <w:trPr>
          <w:trHeight w:val="510"/>
        </w:trPr>
        <w:tc>
          <w:tcPr>
            <w:tcW w:w="3339" w:type="pct"/>
            <w:vAlign w:val="center"/>
          </w:tcPr>
          <w:p w:rsidRPr="00763D1B" w:rsidR="00B656DD" w:rsidP="003B55F1" w:rsidRDefault="00C942D1" w14:paraId="307B562B" w14:textId="77777777">
            <w:pPr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Wyszczególnienie</w:t>
            </w:r>
          </w:p>
        </w:tc>
        <w:tc>
          <w:tcPr>
            <w:tcW w:w="863" w:type="pct"/>
            <w:vAlign w:val="center"/>
          </w:tcPr>
          <w:p w:rsidRPr="00763D1B" w:rsidR="00B656DD" w:rsidP="003B55F1" w:rsidRDefault="00B656DD" w14:paraId="06A57A7A" w14:textId="77777777">
            <w:pPr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</w:t>
            </w:r>
            <w:r w:rsidRPr="00763D1B" w:rsidR="00624C6A">
              <w:rPr>
                <w:szCs w:val="19"/>
              </w:rPr>
              <w:t>2</w:t>
            </w:r>
            <w:r w:rsidR="006F317A">
              <w:rPr>
                <w:szCs w:val="19"/>
              </w:rPr>
              <w:t>2</w:t>
            </w:r>
          </w:p>
        </w:tc>
        <w:tc>
          <w:tcPr>
            <w:tcW w:w="798" w:type="pct"/>
            <w:vAlign w:val="center"/>
          </w:tcPr>
          <w:p w:rsidRPr="00763D1B" w:rsidR="00B656DD" w:rsidP="003B55F1" w:rsidRDefault="00624C6A" w14:paraId="15585F68" w14:textId="77777777">
            <w:pPr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</w:t>
            </w:r>
            <w:r w:rsidR="006F317A">
              <w:rPr>
                <w:szCs w:val="19"/>
              </w:rPr>
              <w:t>21</w:t>
            </w:r>
            <w:r w:rsidRPr="00763D1B" w:rsidR="00B656DD">
              <w:rPr>
                <w:szCs w:val="19"/>
              </w:rPr>
              <w:t>=100</w:t>
            </w:r>
          </w:p>
        </w:tc>
      </w:tr>
      <w:tr w:rsidRPr="00624C6A" w:rsidR="00C942D1" w:rsidTr="00763D1B" w14:paraId="1BC53608" w14:textId="77777777">
        <w:trPr>
          <w:trHeight w:val="510"/>
        </w:trPr>
        <w:tc>
          <w:tcPr>
            <w:tcW w:w="3339" w:type="pct"/>
            <w:vAlign w:val="center"/>
          </w:tcPr>
          <w:p w:rsidRPr="00763D1B" w:rsidR="00C942D1" w:rsidP="003B55F1" w:rsidRDefault="00763D1B" w14:paraId="0B70725B" w14:textId="7777777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63D1B">
              <w:rPr>
                <w:rFonts w:ascii="Fira Sans" w:hAnsi="Fira Sans"/>
                <w:color w:val="000000" w:themeColor="text1"/>
                <w:sz w:val="19"/>
                <w:szCs w:val="19"/>
              </w:rPr>
              <w:t>Ogółem</w:t>
            </w:r>
          </w:p>
        </w:tc>
        <w:tc>
          <w:tcPr>
            <w:tcW w:w="863" w:type="pct"/>
          </w:tcPr>
          <w:p w:rsidRPr="00763D1B" w:rsidR="00C942D1" w:rsidP="003B55F1" w:rsidRDefault="00D1473C" w14:paraId="73DFC03B" w14:textId="0C0A2285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531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168</w:t>
            </w:r>
          </w:p>
        </w:tc>
        <w:tc>
          <w:tcPr>
            <w:tcW w:w="798" w:type="pct"/>
          </w:tcPr>
          <w:p w:rsidRPr="00763D1B" w:rsidR="00C942D1" w:rsidP="003B55F1" w:rsidRDefault="00D1473C" w14:paraId="69DE99F5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75,7</w:t>
            </w:r>
          </w:p>
        </w:tc>
      </w:tr>
      <w:tr w:rsidRPr="00624C6A" w:rsidR="00C942D1" w:rsidTr="00763D1B" w14:paraId="1D3AB39E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77B68534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lokali</w:t>
            </w:r>
          </w:p>
        </w:tc>
        <w:tc>
          <w:tcPr>
            <w:tcW w:w="863" w:type="pct"/>
          </w:tcPr>
          <w:p w:rsidRPr="00763D1B" w:rsidR="00C942D1" w:rsidP="003B55F1" w:rsidRDefault="00D1473C" w14:paraId="302113DA" w14:textId="7BDAF3B2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208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089</w:t>
            </w:r>
          </w:p>
        </w:tc>
        <w:tc>
          <w:tcPr>
            <w:tcW w:w="798" w:type="pct"/>
          </w:tcPr>
          <w:p w:rsidRPr="00763D1B" w:rsidR="00C942D1" w:rsidP="003B55F1" w:rsidRDefault="00D1473C" w14:paraId="000364B2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80,9</w:t>
            </w:r>
          </w:p>
        </w:tc>
      </w:tr>
      <w:tr w:rsidRPr="00624C6A" w:rsidR="00C942D1" w:rsidTr="00763D1B" w14:paraId="5D999923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70097BA7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działek niezabudowanych</w:t>
            </w:r>
          </w:p>
        </w:tc>
        <w:tc>
          <w:tcPr>
            <w:tcW w:w="863" w:type="pct"/>
          </w:tcPr>
          <w:p w:rsidRPr="00763D1B" w:rsidR="00C942D1" w:rsidP="003B55F1" w:rsidRDefault="00D1473C" w14:paraId="36D9B9BB" w14:textId="19C3FA63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121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949</w:t>
            </w:r>
          </w:p>
        </w:tc>
        <w:tc>
          <w:tcPr>
            <w:tcW w:w="798" w:type="pct"/>
          </w:tcPr>
          <w:p w:rsidRPr="00763D1B" w:rsidR="00C942D1" w:rsidP="003B55F1" w:rsidRDefault="00D1473C" w14:paraId="59B70722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64,8</w:t>
            </w:r>
          </w:p>
        </w:tc>
      </w:tr>
      <w:tr w:rsidRPr="00624C6A" w:rsidR="00C942D1" w:rsidTr="00763D1B" w14:paraId="4AFC0756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6894C23B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nieruchomości rolnych</w:t>
            </w:r>
          </w:p>
        </w:tc>
        <w:tc>
          <w:tcPr>
            <w:tcW w:w="863" w:type="pct"/>
          </w:tcPr>
          <w:p w:rsidRPr="00763D1B" w:rsidR="00C942D1" w:rsidP="003B55F1" w:rsidRDefault="00D1473C" w14:paraId="2DEC4E91" w14:textId="0E697239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63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318</w:t>
            </w:r>
          </w:p>
        </w:tc>
        <w:tc>
          <w:tcPr>
            <w:tcW w:w="798" w:type="pct"/>
          </w:tcPr>
          <w:p w:rsidRPr="00763D1B" w:rsidR="00C942D1" w:rsidP="003B55F1" w:rsidRDefault="00D1473C" w14:paraId="5D8ED130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82,6</w:t>
            </w:r>
          </w:p>
        </w:tc>
      </w:tr>
      <w:tr w:rsidRPr="00624C6A" w:rsidR="00C942D1" w:rsidTr="00763D1B" w14:paraId="4197AAE8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41B25378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działek zabudowanych budynkiem mieszkalnym</w:t>
            </w:r>
          </w:p>
        </w:tc>
        <w:tc>
          <w:tcPr>
            <w:tcW w:w="863" w:type="pct"/>
          </w:tcPr>
          <w:p w:rsidRPr="00763D1B" w:rsidR="00C942D1" w:rsidP="003B55F1" w:rsidRDefault="00D1473C" w14:paraId="71390BA4" w14:textId="7E4FA86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53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584</w:t>
            </w:r>
          </w:p>
        </w:tc>
        <w:tc>
          <w:tcPr>
            <w:tcW w:w="798" w:type="pct"/>
          </w:tcPr>
          <w:p w:rsidRPr="00763D1B" w:rsidR="00C942D1" w:rsidP="003B55F1" w:rsidRDefault="00D1473C" w14:paraId="348085BE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73,3</w:t>
            </w:r>
          </w:p>
        </w:tc>
      </w:tr>
      <w:tr w:rsidRPr="00624C6A" w:rsidR="00C942D1" w:rsidTr="00763D1B" w14:paraId="4140F5AE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72845ACC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spółdzielczego własnościowego prawa do lokalu</w:t>
            </w:r>
          </w:p>
        </w:tc>
        <w:tc>
          <w:tcPr>
            <w:tcW w:w="863" w:type="pct"/>
          </w:tcPr>
          <w:p w:rsidRPr="00763D1B" w:rsidR="00C942D1" w:rsidP="003B55F1" w:rsidRDefault="00D1473C" w14:paraId="5A9C401D" w14:textId="50FC845B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39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896</w:t>
            </w:r>
          </w:p>
        </w:tc>
        <w:tc>
          <w:tcPr>
            <w:tcW w:w="798" w:type="pct"/>
          </w:tcPr>
          <w:p w:rsidRPr="00763D1B" w:rsidR="00C942D1" w:rsidP="003B55F1" w:rsidRDefault="00D1473C" w14:paraId="37548A0D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77,5</w:t>
            </w:r>
          </w:p>
        </w:tc>
      </w:tr>
      <w:tr w:rsidRPr="00624C6A" w:rsidR="00C942D1" w:rsidTr="00763D1B" w14:paraId="1602EE51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741DEFB2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nieruchomości innych</w:t>
            </w:r>
          </w:p>
        </w:tc>
        <w:tc>
          <w:tcPr>
            <w:tcW w:w="863" w:type="pct"/>
          </w:tcPr>
          <w:p w:rsidRPr="00763D1B" w:rsidR="00C942D1" w:rsidP="003B55F1" w:rsidRDefault="00D1473C" w14:paraId="3B81778D" w14:textId="026E8A8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20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438</w:t>
            </w:r>
          </w:p>
        </w:tc>
        <w:tc>
          <w:tcPr>
            <w:tcW w:w="798" w:type="pct"/>
          </w:tcPr>
          <w:p w:rsidRPr="00763D1B" w:rsidR="00C942D1" w:rsidP="003B55F1" w:rsidRDefault="00D1473C" w14:paraId="70D427AC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77,3</w:t>
            </w:r>
          </w:p>
        </w:tc>
      </w:tr>
      <w:tr w:rsidRPr="00624C6A" w:rsidR="00C942D1" w:rsidTr="00763D1B" w14:paraId="324C3430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097D6495" w14:textId="77777777">
            <w:pPr>
              <w:ind w:left="176" w:hanging="176"/>
              <w:rPr>
                <w:szCs w:val="19"/>
              </w:rPr>
            </w:pPr>
            <w:r w:rsidRPr="00763D1B">
              <w:rPr>
                <w:szCs w:val="19"/>
              </w:rPr>
              <w:t>Sprzedaż działek zabudowanych budynkiem o innym przeznaczeniu</w:t>
            </w:r>
          </w:p>
        </w:tc>
        <w:tc>
          <w:tcPr>
            <w:tcW w:w="863" w:type="pct"/>
          </w:tcPr>
          <w:p w:rsidRPr="00763D1B" w:rsidR="00C942D1" w:rsidP="003B55F1" w:rsidRDefault="00D1473C" w14:paraId="2A8862B9" w14:textId="65C50CFF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15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356</w:t>
            </w:r>
          </w:p>
        </w:tc>
        <w:tc>
          <w:tcPr>
            <w:tcW w:w="798" w:type="pct"/>
          </w:tcPr>
          <w:p w:rsidRPr="00763D1B" w:rsidR="00C942D1" w:rsidP="003B55F1" w:rsidRDefault="00D1473C" w14:paraId="4D402EB2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81,0</w:t>
            </w:r>
          </w:p>
        </w:tc>
      </w:tr>
      <w:tr w:rsidRPr="00624C6A" w:rsidR="00C942D1" w:rsidTr="00763D1B" w14:paraId="65CC3921" w14:textId="77777777">
        <w:trPr>
          <w:trHeight w:val="510"/>
        </w:trPr>
        <w:tc>
          <w:tcPr>
            <w:tcW w:w="3339" w:type="pct"/>
          </w:tcPr>
          <w:p w:rsidRPr="00763D1B" w:rsidR="00C942D1" w:rsidP="003B55F1" w:rsidRDefault="00C942D1" w14:paraId="307AE0E4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prawa użytkowania wieczystego</w:t>
            </w:r>
          </w:p>
        </w:tc>
        <w:tc>
          <w:tcPr>
            <w:tcW w:w="863" w:type="pct"/>
          </w:tcPr>
          <w:p w:rsidRPr="00763D1B" w:rsidR="00C942D1" w:rsidP="003B55F1" w:rsidRDefault="00D1473C" w14:paraId="7512614B" w14:textId="5390761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5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144</w:t>
            </w:r>
          </w:p>
        </w:tc>
        <w:tc>
          <w:tcPr>
            <w:tcW w:w="798" w:type="pct"/>
          </w:tcPr>
          <w:p w:rsidRPr="00763D1B" w:rsidR="00C942D1" w:rsidP="003B55F1" w:rsidRDefault="00D1473C" w14:paraId="5D2B6B9C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84,3</w:t>
            </w:r>
          </w:p>
        </w:tc>
      </w:tr>
      <w:tr w:rsidRPr="00624C6A" w:rsidR="00C942D1" w:rsidTr="00941485" w14:paraId="013BDD5E" w14:textId="77777777">
        <w:trPr>
          <w:trHeight w:val="510"/>
        </w:trPr>
        <w:tc>
          <w:tcPr>
            <w:tcW w:w="3339" w:type="pct"/>
            <w:tcBorders>
              <w:bottom w:val="single" w:color="000A81" w:sz="4" w:space="0"/>
            </w:tcBorders>
          </w:tcPr>
          <w:p w:rsidRPr="00763D1B" w:rsidR="00C942D1" w:rsidP="003B55F1" w:rsidRDefault="00C942D1" w14:paraId="66B891AF" w14:textId="77777777">
            <w:pPr>
              <w:rPr>
                <w:szCs w:val="19"/>
              </w:rPr>
            </w:pPr>
            <w:r w:rsidRPr="00763D1B">
              <w:rPr>
                <w:szCs w:val="19"/>
              </w:rPr>
              <w:t>Sprzedaż nieruchomości na rzecz Skarbu Państwa lub JST</w:t>
            </w:r>
          </w:p>
        </w:tc>
        <w:tc>
          <w:tcPr>
            <w:tcW w:w="863" w:type="pct"/>
            <w:tcBorders>
              <w:bottom w:val="single" w:color="000A81" w:sz="4" w:space="0"/>
            </w:tcBorders>
          </w:tcPr>
          <w:p w:rsidRPr="00763D1B" w:rsidR="00C942D1" w:rsidP="003B55F1" w:rsidRDefault="00D1473C" w14:paraId="51B9D997" w14:textId="680E5C70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</w:t>
            </w:r>
            <w:r w:rsidR="00356C70">
              <w:rPr>
                <w:szCs w:val="19"/>
              </w:rPr>
              <w:t> </w:t>
            </w:r>
            <w:r>
              <w:rPr>
                <w:szCs w:val="19"/>
              </w:rPr>
              <w:t>245</w:t>
            </w:r>
          </w:p>
        </w:tc>
        <w:tc>
          <w:tcPr>
            <w:tcW w:w="798" w:type="pct"/>
            <w:tcBorders>
              <w:bottom w:val="single" w:color="000A81" w:sz="4" w:space="0"/>
            </w:tcBorders>
          </w:tcPr>
          <w:p w:rsidRPr="00763D1B" w:rsidR="00C942D1" w:rsidP="003B55F1" w:rsidRDefault="00D1473C" w14:paraId="61DD48B9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109,9</w:t>
            </w:r>
          </w:p>
        </w:tc>
      </w:tr>
      <w:tr w:rsidRPr="00624C6A" w:rsidR="00C942D1" w:rsidTr="00941485" w14:paraId="0F58B287" w14:textId="77777777">
        <w:trPr>
          <w:trHeight w:val="510"/>
        </w:trPr>
        <w:tc>
          <w:tcPr>
            <w:tcW w:w="3339" w:type="pct"/>
            <w:tcBorders>
              <w:bottom w:val="nil"/>
            </w:tcBorders>
          </w:tcPr>
          <w:p w:rsidRPr="00763D1B" w:rsidR="00C942D1" w:rsidP="003B55F1" w:rsidRDefault="00C942D1" w14:paraId="70A811CC" w14:textId="77777777">
            <w:pPr>
              <w:ind w:left="176" w:hanging="176"/>
              <w:rPr>
                <w:szCs w:val="19"/>
              </w:rPr>
            </w:pPr>
            <w:r w:rsidRPr="00763D1B">
              <w:rPr>
                <w:szCs w:val="19"/>
              </w:rPr>
              <w:t>Oddanie przez Skarb Państwa lub jednostki samorządu terytorialnego w użytkowanie wieczyste wraz ze sprzedażą budynku</w:t>
            </w:r>
          </w:p>
        </w:tc>
        <w:tc>
          <w:tcPr>
            <w:tcW w:w="863" w:type="pct"/>
            <w:tcBorders>
              <w:bottom w:val="nil"/>
            </w:tcBorders>
          </w:tcPr>
          <w:p w:rsidRPr="00763D1B" w:rsidR="00C942D1" w:rsidP="003B55F1" w:rsidRDefault="00D1473C" w14:paraId="7ABFB738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149</w:t>
            </w:r>
          </w:p>
        </w:tc>
        <w:tc>
          <w:tcPr>
            <w:tcW w:w="798" w:type="pct"/>
            <w:tcBorders>
              <w:bottom w:val="nil"/>
            </w:tcBorders>
          </w:tcPr>
          <w:p w:rsidRPr="00763D1B" w:rsidR="00C942D1" w:rsidP="003B55F1" w:rsidRDefault="00D1473C" w14:paraId="27E4CB51" w14:textId="77777777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71,3</w:t>
            </w:r>
          </w:p>
        </w:tc>
      </w:tr>
    </w:tbl>
    <w:p w:rsidRPr="00B656DD" w:rsidR="00FC51AE" w:rsidP="00FC51AE" w:rsidRDefault="00B656DD" w14:paraId="58C59F30" w14:textId="77777777">
      <w:pPr>
        <w:pStyle w:val="LID"/>
        <w:rPr>
          <w:b w:val="0"/>
        </w:rPr>
      </w:pPr>
      <w:r w:rsidRPr="00B656DD">
        <w:rPr>
          <w:b w:val="0"/>
          <w:sz w:val="16"/>
          <w:shd w:val="clear" w:color="auto" w:fill="FFFFFF"/>
        </w:rPr>
        <w:t>Źródło: dane Ministerstwa Sprawiedliwości</w:t>
      </w:r>
    </w:p>
    <w:p w:rsidR="004E6AB7" w:rsidP="00822E10" w:rsidRDefault="004E6AB7" w14:paraId="0858003F" w14:textId="77777777">
      <w:pPr>
        <w:pStyle w:val="LID"/>
      </w:pPr>
      <w:r>
        <w:br w:type="page"/>
      </w:r>
    </w:p>
    <w:p w:rsidRPr="00B813D6" w:rsidR="00584789" w:rsidP="00584789" w:rsidRDefault="00584789" w14:paraId="330E361F" w14:textId="1843594E">
      <w:pPr>
        <w:pStyle w:val="LID"/>
      </w:pPr>
      <w:r w:rsidRPr="00FD2D95">
        <w:rPr>
          <w:b w:val="0"/>
        </w:rPr>
        <w:lastRenderedPageBreak/>
        <w:t>Według danych pozyskanych z Rejestru Cen Nieruchomości (RCN) w 20</w:t>
      </w:r>
      <w:r w:rsidR="004E6AB7">
        <w:rPr>
          <w:b w:val="0"/>
        </w:rPr>
        <w:t>2</w:t>
      </w:r>
      <w:r w:rsidR="00AF3B89">
        <w:rPr>
          <w:b w:val="0"/>
        </w:rPr>
        <w:t>2</w:t>
      </w:r>
      <w:r w:rsidRPr="00FD2D95">
        <w:rPr>
          <w:b w:val="0"/>
        </w:rPr>
        <w:t xml:space="preserve"> r. </w:t>
      </w:r>
      <w:r w:rsidRPr="000577AB">
        <w:rPr>
          <w:b w:val="0"/>
        </w:rPr>
        <w:t xml:space="preserve">zawarto </w:t>
      </w:r>
      <w:r w:rsidR="009B16D2">
        <w:rPr>
          <w:b w:val="0"/>
        </w:rPr>
        <w:t xml:space="preserve">490 </w:t>
      </w:r>
      <w:r w:rsidRPr="000577AB">
        <w:rPr>
          <w:b w:val="0"/>
        </w:rPr>
        <w:t>tys. transakcji kupna</w:t>
      </w:r>
      <w:r w:rsidR="00356C70">
        <w:rPr>
          <w:b w:val="0"/>
        </w:rPr>
        <w:t>-</w:t>
      </w:r>
      <w:r w:rsidRPr="000577AB">
        <w:rPr>
          <w:b w:val="0"/>
        </w:rPr>
        <w:t>sprzedaży nie</w:t>
      </w:r>
      <w:r w:rsidR="0086036A">
        <w:rPr>
          <w:b w:val="0"/>
        </w:rPr>
        <w:t>r</w:t>
      </w:r>
      <w:r w:rsidRPr="000577AB">
        <w:rPr>
          <w:b w:val="0"/>
        </w:rPr>
        <w:t xml:space="preserve">uchomości </w:t>
      </w:r>
      <w:r w:rsidR="00AF0F7A">
        <w:rPr>
          <w:b w:val="0"/>
        </w:rPr>
        <w:t>o łącznej wartości</w:t>
      </w:r>
      <w:r w:rsidRPr="000577AB">
        <w:rPr>
          <w:b w:val="0"/>
        </w:rPr>
        <w:t xml:space="preserve"> </w:t>
      </w:r>
      <w:r w:rsidR="009B16D2">
        <w:rPr>
          <w:b w:val="0"/>
        </w:rPr>
        <w:t xml:space="preserve">ponad </w:t>
      </w:r>
      <w:r w:rsidR="00874689">
        <w:rPr>
          <w:b w:val="0"/>
        </w:rPr>
        <w:t>175</w:t>
      </w:r>
      <w:r w:rsidR="00AF0F7A">
        <w:rPr>
          <w:b w:val="0"/>
        </w:rPr>
        <w:t> </w:t>
      </w:r>
      <w:r w:rsidRPr="000577AB">
        <w:rPr>
          <w:b w:val="0"/>
        </w:rPr>
        <w:t xml:space="preserve">mld zł. </w:t>
      </w:r>
    </w:p>
    <w:p w:rsidR="003B55F1" w:rsidP="00E26CBD" w:rsidRDefault="00356C70" w14:paraId="433F16CF" w14:textId="200A602B">
      <w:pPr>
        <w:pStyle w:val="LID"/>
        <w:spacing w:before="360"/>
        <w:rPr>
          <w:sz w:val="16"/>
          <w:szCs w:val="18"/>
          <w:vertAlign w:val="superscript"/>
        </w:rPr>
      </w:pPr>
      <w:r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editId="4B88BCAC" wp14:anchorId="08EEC859">
                <wp:simplePos x="0" y="0"/>
                <wp:positionH relativeFrom="column">
                  <wp:posOffset>5355590</wp:posOffset>
                </wp:positionH>
                <wp:positionV relativeFrom="paragraph">
                  <wp:posOffset>50800</wp:posOffset>
                </wp:positionV>
                <wp:extent cx="1627505" cy="1402080"/>
                <wp:effectExtent l="0" t="0" r="0" b="0"/>
                <wp:wrapTight wrapText="bothSides">
                  <wp:wrapPolygon edited="0">
                    <wp:start x="758" y="0"/>
                    <wp:lineTo x="758" y="21130"/>
                    <wp:lineTo x="20732" y="21130"/>
                    <wp:lineTo x="20732" y="0"/>
                    <wp:lineTo x="758" y="0"/>
                  </wp:wrapPolygon>
                </wp:wrapTight>
                <wp:docPr id="19" name="Pole tekstowe 19" descr="W 2022 r. największy udział zarówno w liczbie, jak i w wartości transakcji kupna/sprzedaży nieruchomości dotyczył sprzedaży nieruchomości lokalowych (odpowiednio 47,4% i 50,2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1AE" w:rsidP="00FC51AE" w:rsidRDefault="00FC51AE" w14:paraId="54326B44" w14:textId="1204F48D">
                            <w:pPr>
                              <w:pStyle w:val="tekstzboku"/>
                            </w:pPr>
                            <w:r w:rsidRPr="007C475F">
                              <w:t>W 20</w:t>
                            </w:r>
                            <w:r w:rsidR="004E6AB7">
                              <w:t>2</w:t>
                            </w:r>
                            <w:r w:rsidR="008E29EE">
                              <w:t>2</w:t>
                            </w:r>
                            <w:r w:rsidRPr="007C475F">
                              <w:t xml:space="preserve"> r</w:t>
                            </w:r>
                            <w:r w:rsidR="009676CA">
                              <w:t>.</w:t>
                            </w:r>
                            <w:r w:rsidRPr="007C475F">
                              <w:t xml:space="preserve"> </w:t>
                            </w:r>
                            <w:r w:rsidRPr="007C475F" w:rsidR="00860B98">
                              <w:t>naj</w:t>
                            </w:r>
                            <w:r w:rsidR="0046113F">
                              <w:t>większy</w:t>
                            </w:r>
                            <w:r w:rsidR="00860B98">
                              <w:t xml:space="preserve"> udział</w:t>
                            </w:r>
                            <w:r w:rsidR="00A71C78">
                              <w:t xml:space="preserve"> zarówno</w:t>
                            </w:r>
                            <w:r w:rsidR="00860B98">
                              <w:t xml:space="preserve"> w liczbie</w:t>
                            </w:r>
                            <w:r w:rsidR="00375B98">
                              <w:t>, jak i</w:t>
                            </w:r>
                            <w:r w:rsidR="00356C70">
                              <w:t> </w:t>
                            </w:r>
                            <w:r w:rsidR="00AF4493">
                              <w:t>w </w:t>
                            </w:r>
                            <w:r w:rsidR="00375B98">
                              <w:t>wartości</w:t>
                            </w:r>
                            <w:r w:rsidR="00860B98">
                              <w:t xml:space="preserve"> </w:t>
                            </w:r>
                            <w:r w:rsidRPr="007C475F">
                              <w:t>transakcji kupna</w:t>
                            </w:r>
                            <w:r w:rsidR="00356C70">
                              <w:t>-</w:t>
                            </w:r>
                            <w:r w:rsidRPr="007C475F">
                              <w:t xml:space="preserve">sprzedaży </w:t>
                            </w:r>
                            <w:r w:rsidR="00AF4493">
                              <w:br/>
                            </w:r>
                            <w:r w:rsidRPr="007C475F">
                              <w:t xml:space="preserve">nieruchomości dotyczył sprzedaży nieruchomości </w:t>
                            </w:r>
                            <w:r w:rsidRPr="007C475F" w:rsidR="007D1F9C">
                              <w:t xml:space="preserve">lokalowych </w:t>
                            </w:r>
                            <w:r w:rsidR="007D1F9C">
                              <w:t>(odpowiednio 47,4</w:t>
                            </w:r>
                            <w:r w:rsidRPr="00B4095C" w:rsidR="007D1F9C">
                              <w:t>%</w:t>
                            </w:r>
                            <w:r w:rsidR="007D1F9C">
                              <w:t xml:space="preserve"> i 50,2%</w:t>
                            </w:r>
                            <w:r w:rsidRPr="00B4095C" w:rsidR="007D1F9C">
                              <w:t>)</w:t>
                            </w:r>
                          </w:p>
                          <w:p w:rsidRPr="00074DD8" w:rsidR="00FC51AE" w:rsidP="00FC51AE" w:rsidRDefault="00FC51AE" w14:paraId="2D49E56C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9" style="position:absolute;margin-left:421.7pt;margin-top:4pt;width:128.15pt;height:110.4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W 2022 r. największy udział zarówno w liczbie, jak i w wartości transakcji kupna/sprzedaży nieruchomości dotyczył sprzedaży nieruchomości lokalowych (odpowiednio 47,4% i 50,2%)&#10;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" w14:anchorId="08EEC859">
                <v:textbox>
                  <w:txbxContent>
                    <w:p w:rsidR="00FC51AE" w:rsidP="00FC51AE" w:rsidRDefault="00FC51AE" w14:paraId="54326B44" w14:textId="1204F48D">
                      <w:pPr>
                        <w:pStyle w:val="tekstzboku"/>
                      </w:pPr>
                      <w:r w:rsidRPr="007C475F">
                        <w:t>W 20</w:t>
                      </w:r>
                      <w:r w:rsidR="004E6AB7">
                        <w:t>2</w:t>
                      </w:r>
                      <w:r w:rsidR="008E29EE">
                        <w:t>2</w:t>
                      </w:r>
                      <w:r w:rsidRPr="007C475F">
                        <w:t xml:space="preserve"> r</w:t>
                      </w:r>
                      <w:r w:rsidR="009676CA">
                        <w:t>.</w:t>
                      </w:r>
                      <w:r w:rsidRPr="007C475F">
                        <w:t xml:space="preserve"> </w:t>
                      </w:r>
                      <w:r w:rsidRPr="007C475F" w:rsidR="00860B98">
                        <w:t>naj</w:t>
                      </w:r>
                      <w:r w:rsidR="0046113F">
                        <w:t>większy</w:t>
                      </w:r>
                      <w:r w:rsidR="00860B98">
                        <w:t xml:space="preserve"> udział</w:t>
                      </w:r>
                      <w:r w:rsidR="00A71C78">
                        <w:t xml:space="preserve"> zarówno</w:t>
                      </w:r>
                      <w:r w:rsidR="00860B98">
                        <w:t xml:space="preserve"> w liczbie</w:t>
                      </w:r>
                      <w:r w:rsidR="00375B98">
                        <w:t>, jak i</w:t>
                      </w:r>
                      <w:r w:rsidR="00356C70">
                        <w:t> </w:t>
                      </w:r>
                      <w:r w:rsidR="00AF4493">
                        <w:t>w </w:t>
                      </w:r>
                      <w:r w:rsidR="00375B98">
                        <w:t>wartości</w:t>
                      </w:r>
                      <w:r w:rsidR="00860B98">
                        <w:t xml:space="preserve"> </w:t>
                      </w:r>
                      <w:r w:rsidRPr="007C475F">
                        <w:t>transakcji kupna</w:t>
                      </w:r>
                      <w:r w:rsidR="00356C70">
                        <w:t>-</w:t>
                      </w:r>
                      <w:r w:rsidRPr="007C475F">
                        <w:t xml:space="preserve">sprzedaży </w:t>
                      </w:r>
                      <w:r w:rsidR="00AF4493">
                        <w:br/>
                      </w:r>
                      <w:r w:rsidRPr="007C475F">
                        <w:t xml:space="preserve">nieruchomości dotyczył sprzedaży nieruchomości </w:t>
                      </w:r>
                      <w:r w:rsidRPr="007C475F" w:rsidR="007D1F9C">
                        <w:t xml:space="preserve">lokalowych </w:t>
                      </w:r>
                      <w:r w:rsidR="007D1F9C">
                        <w:t>(odpowiednio 47,4</w:t>
                      </w:r>
                      <w:r w:rsidRPr="00B4095C" w:rsidR="007D1F9C">
                        <w:t>%</w:t>
                      </w:r>
                      <w:r w:rsidR="007D1F9C">
                        <w:t xml:space="preserve"> i 50,2%</w:t>
                      </w:r>
                      <w:r w:rsidRPr="00B4095C" w:rsidR="007D1F9C">
                        <w:t>)</w:t>
                      </w:r>
                    </w:p>
                    <w:p w:rsidRPr="00074DD8" w:rsidR="00FC51AE" w:rsidP="00FC51AE" w:rsidRDefault="00FC51AE" w14:paraId="2D49E56C" w14:textId="77777777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A7E22" w:rsidR="00FC51AE">
        <w:t>Tablica 2. Wielkość obrotu nieruchomośc</w:t>
      </w:r>
      <w:bookmarkStart w:name="_GoBack" w:id="0"/>
      <w:bookmarkEnd w:id="0"/>
      <w:r w:rsidRPr="00FA7E22" w:rsidR="00FC51AE">
        <w:t>iami (w</w:t>
      </w:r>
      <w:r w:rsidR="00180FF7">
        <w:t>edług</w:t>
      </w:r>
      <w:r w:rsidRPr="00FA7E22" w:rsidR="00FC51AE">
        <w:t xml:space="preserve"> stanu RCN w dniu </w:t>
      </w:r>
      <w:r w:rsidR="00CA46FF">
        <w:t>19 maja</w:t>
      </w:r>
      <w:r w:rsidRPr="00FA7E22" w:rsidR="00FC51AE">
        <w:t xml:space="preserve"> 20</w:t>
      </w:r>
      <w:r w:rsidRPr="00FA7E22" w:rsidR="00891A93">
        <w:t>2</w:t>
      </w:r>
      <w:r w:rsidR="008E29EE">
        <w:t>3</w:t>
      </w:r>
      <w:r w:rsidRPr="00FA7E22" w:rsidR="00891A93">
        <w:t xml:space="preserve"> r.</w:t>
      </w:r>
      <w:r w:rsidRPr="00FA7E22" w:rsidR="00FC51AE">
        <w:t>)</w:t>
      </w:r>
    </w:p>
    <w:tbl>
      <w:tblPr>
        <w:tblStyle w:val="Siatkatabelijasna2"/>
        <w:tblpPr w:leftFromText="141" w:rightFromText="141" w:vertAnchor="text" w:horzAnchor="margin" w:tblpYSpec="top"/>
        <w:tblW w:w="8080" w:type="dxa"/>
        <w:tblBorders>
          <w:top w:val="single" w:color="001D81" w:sz="4" w:space="0"/>
          <w:left w:val="none" w:color="auto" w:sz="0" w:space="0"/>
          <w:bottom w:val="single" w:color="001D81" w:sz="4" w:space="0"/>
          <w:right w:val="none" w:color="auto" w:sz="0" w:space="0"/>
          <w:insideH w:val="single" w:color="001D81" w:sz="4" w:space="0"/>
          <w:insideV w:val="single" w:color="212492" w:sz="4" w:space="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zawierająca  wielkość obrotu nieruchomościami w roku 2022 (wg stanu Rejestru Cen Nieruchomości w dniu 25 kwietnia 2023 r.) wraz z porównaniem do roku 2021."/>
      </w:tblPr>
      <w:tblGrid>
        <w:gridCol w:w="2920"/>
        <w:gridCol w:w="908"/>
        <w:gridCol w:w="850"/>
        <w:gridCol w:w="851"/>
        <w:gridCol w:w="850"/>
        <w:gridCol w:w="851"/>
        <w:gridCol w:w="850"/>
      </w:tblGrid>
      <w:tr w:rsidRPr="00C1142A" w:rsidR="00E26CBD" w:rsidTr="00874689" w14:paraId="5F09DBED" w14:textId="77777777">
        <w:trPr>
          <w:trHeight w:val="57"/>
        </w:trPr>
        <w:tc>
          <w:tcPr>
            <w:tcW w:w="2920" w:type="dxa"/>
            <w:vMerge w:val="restart"/>
            <w:vAlign w:val="center"/>
          </w:tcPr>
          <w:p w:rsidRPr="00763D1B" w:rsidR="00E26CBD" w:rsidP="00E26CBD" w:rsidRDefault="00E26CBD" w14:paraId="665ACAFA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szCs w:val="19"/>
              </w:rPr>
              <w:t>Wyszczególnienie</w:t>
            </w:r>
          </w:p>
        </w:tc>
        <w:tc>
          <w:tcPr>
            <w:tcW w:w="2609" w:type="dxa"/>
            <w:gridSpan w:val="3"/>
            <w:vAlign w:val="center"/>
          </w:tcPr>
          <w:p w:rsidRPr="00763D1B" w:rsidR="00E26CBD" w:rsidP="00E26CBD" w:rsidRDefault="00E26CBD" w14:paraId="4429D979" w14:textId="77777777">
            <w:pPr>
              <w:jc w:val="center"/>
              <w:rPr>
                <w:rFonts w:eastAsia="Times New Roman" w:cs="Calibri"/>
                <w:color w:val="000000"/>
                <w:szCs w:val="19"/>
                <w:vertAlign w:val="superscript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Liczba transakcji</w:t>
            </w:r>
          </w:p>
        </w:tc>
        <w:tc>
          <w:tcPr>
            <w:tcW w:w="2551" w:type="dxa"/>
            <w:gridSpan w:val="3"/>
            <w:vAlign w:val="center"/>
          </w:tcPr>
          <w:p w:rsidRPr="00763D1B" w:rsidR="00E26CBD" w:rsidP="00E26CBD" w:rsidRDefault="00E26CBD" w14:paraId="1488CC14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Wartość transakcji</w:t>
            </w:r>
          </w:p>
        </w:tc>
      </w:tr>
      <w:tr w:rsidRPr="00C1142A" w:rsidR="00E26CBD" w:rsidTr="00874689" w14:paraId="5ABF93DB" w14:textId="77777777">
        <w:trPr>
          <w:trHeight w:val="57"/>
        </w:trPr>
        <w:tc>
          <w:tcPr>
            <w:tcW w:w="2920" w:type="dxa"/>
            <w:vMerge/>
            <w:vAlign w:val="center"/>
          </w:tcPr>
          <w:p w:rsidRPr="00763D1B" w:rsidR="00E26CBD" w:rsidP="00E26CBD" w:rsidRDefault="00E26CBD" w14:paraId="184709F0" w14:textId="777777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08" w:type="dxa"/>
            <w:vAlign w:val="center"/>
          </w:tcPr>
          <w:p w:rsidRPr="00C1142A" w:rsidR="00E26CBD" w:rsidP="008E29EE" w:rsidRDefault="00E26CBD" w14:paraId="7854F2CF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</w:t>
            </w:r>
            <w:r w:rsidR="008E29EE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Pr="00C1142A" w:rsidR="00E26CBD" w:rsidP="008E29EE" w:rsidRDefault="00E26CBD" w14:paraId="6DF3D8FF" w14:textId="77777777">
            <w:pPr>
              <w:ind w:left="-1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</w:t>
            </w:r>
            <w:r w:rsidR="008E29EE">
              <w:rPr>
                <w:szCs w:val="19"/>
                <w:shd w:val="clear" w:color="auto" w:fill="FFFFFF"/>
                <w:lang w:val="en-GB"/>
              </w:rPr>
              <w:t>22</w:t>
            </w:r>
          </w:p>
        </w:tc>
        <w:tc>
          <w:tcPr>
            <w:tcW w:w="850" w:type="dxa"/>
            <w:vAlign w:val="center"/>
          </w:tcPr>
          <w:p w:rsidRPr="00C1142A" w:rsidR="00E26CBD" w:rsidP="00E26CBD" w:rsidRDefault="00E26CBD" w14:paraId="3ED89AC2" w14:textId="77777777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</w:t>
            </w:r>
            <w:r w:rsidR="008E29EE">
              <w:rPr>
                <w:szCs w:val="19"/>
                <w:shd w:val="clear" w:color="auto" w:fill="FFFFFF"/>
                <w:lang w:val="en-GB"/>
              </w:rPr>
              <w:t>021</w:t>
            </w:r>
          </w:p>
        </w:tc>
        <w:tc>
          <w:tcPr>
            <w:tcW w:w="1701" w:type="dxa"/>
            <w:gridSpan w:val="2"/>
            <w:vAlign w:val="center"/>
          </w:tcPr>
          <w:p w:rsidRPr="00C1142A" w:rsidR="00E26CBD" w:rsidP="00E26CBD" w:rsidRDefault="008E29EE" w14:paraId="16B5E284" w14:textId="77777777">
            <w:pPr>
              <w:ind w:left="-108"/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2022</w:t>
            </w:r>
          </w:p>
        </w:tc>
      </w:tr>
      <w:tr w:rsidRPr="00C1142A" w:rsidR="00E26CBD" w:rsidTr="00874689" w14:paraId="21D5392E" w14:textId="77777777">
        <w:trPr>
          <w:trHeight w:val="57"/>
        </w:trPr>
        <w:tc>
          <w:tcPr>
            <w:tcW w:w="2920" w:type="dxa"/>
            <w:vMerge/>
            <w:vAlign w:val="center"/>
          </w:tcPr>
          <w:p w:rsidRPr="00763D1B" w:rsidR="00E26CBD" w:rsidP="00E26CBD" w:rsidRDefault="00E26CBD" w14:paraId="0298115A" w14:textId="777777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758" w:type="dxa"/>
            <w:gridSpan w:val="2"/>
            <w:vAlign w:val="center"/>
          </w:tcPr>
          <w:p w:rsidRPr="00E26CBD" w:rsidR="00E26CBD" w:rsidP="00E26CBD" w:rsidRDefault="00E26CBD" w14:paraId="1EDE668A" w14:textId="1D751049">
            <w:pPr>
              <w:jc w:val="center"/>
              <w:rPr>
                <w:szCs w:val="19"/>
                <w:shd w:val="clear" w:color="auto" w:fill="FFFFFF"/>
              </w:rPr>
            </w:pPr>
            <w:r w:rsidRPr="00E26CBD">
              <w:rPr>
                <w:szCs w:val="19"/>
                <w:shd w:val="clear" w:color="auto" w:fill="FFFFFF"/>
              </w:rPr>
              <w:t>szt.</w:t>
            </w:r>
          </w:p>
        </w:tc>
        <w:tc>
          <w:tcPr>
            <w:tcW w:w="851" w:type="dxa"/>
            <w:vAlign w:val="center"/>
          </w:tcPr>
          <w:p w:rsidRPr="00C1142A" w:rsidR="00E26CBD" w:rsidP="005A172A" w:rsidRDefault="00E26CBD" w14:paraId="5510827E" w14:textId="77777777">
            <w:pPr>
              <w:ind w:left="-108" w:right="-10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</w:t>
            </w:r>
            <w:r w:rsidR="00AF3B89">
              <w:rPr>
                <w:szCs w:val="19"/>
                <w:shd w:val="clear" w:color="auto" w:fill="FFFFFF"/>
                <w:lang w:val="en-GB"/>
              </w:rPr>
              <w:t>1</w:t>
            </w:r>
            <w:r w:rsidRPr="00C1142A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  <w:tc>
          <w:tcPr>
            <w:tcW w:w="1701" w:type="dxa"/>
            <w:gridSpan w:val="2"/>
            <w:vAlign w:val="center"/>
          </w:tcPr>
          <w:p w:rsidRPr="00C1142A" w:rsidR="00E26CBD" w:rsidP="00E26CBD" w:rsidRDefault="00E26CBD" w14:paraId="756AFBC1" w14:textId="2EFE7EDC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mln zł</w:t>
            </w:r>
          </w:p>
        </w:tc>
        <w:tc>
          <w:tcPr>
            <w:tcW w:w="850" w:type="dxa"/>
            <w:vAlign w:val="center"/>
          </w:tcPr>
          <w:p w:rsidRPr="00C1142A" w:rsidR="00E26CBD" w:rsidP="00874689" w:rsidRDefault="00E26CBD" w14:paraId="24490F1B" w14:textId="77777777">
            <w:pPr>
              <w:ind w:left="-108" w:right="-98"/>
              <w:jc w:val="center"/>
              <w:rPr>
                <w:szCs w:val="19"/>
                <w:shd w:val="clear" w:color="auto" w:fill="FFFFFF"/>
              </w:rPr>
            </w:pPr>
            <w:r w:rsidRPr="00C1142A">
              <w:rPr>
                <w:szCs w:val="19"/>
                <w:shd w:val="clear" w:color="auto" w:fill="FFFFFF"/>
              </w:rPr>
              <w:t>202</w:t>
            </w:r>
            <w:r w:rsidR="00AF3B89">
              <w:rPr>
                <w:szCs w:val="19"/>
                <w:shd w:val="clear" w:color="auto" w:fill="FFFFFF"/>
              </w:rPr>
              <w:t>1</w:t>
            </w:r>
            <w:r w:rsidRPr="00C1142A">
              <w:rPr>
                <w:szCs w:val="19"/>
                <w:shd w:val="clear" w:color="auto" w:fill="FFFFFF"/>
              </w:rPr>
              <w:t>=100</w:t>
            </w:r>
          </w:p>
        </w:tc>
      </w:tr>
      <w:tr w:rsidRPr="009E71CF" w:rsidR="007D1F9C" w:rsidTr="00874689" w14:paraId="2B53719B" w14:textId="77777777">
        <w:trPr>
          <w:trHeight w:val="57"/>
        </w:trPr>
        <w:tc>
          <w:tcPr>
            <w:tcW w:w="2920" w:type="dxa"/>
            <w:vAlign w:val="center"/>
          </w:tcPr>
          <w:p w:rsidRPr="007D1F9C" w:rsidR="007D1F9C" w:rsidP="007D1F9C" w:rsidRDefault="007D1F9C" w14:paraId="0BFF604C" w14:textId="74559C8E">
            <w:pPr>
              <w:jc w:val="both"/>
              <w:rPr>
                <w:rFonts w:eastAsia="Times New Roman" w:cs="Calibri"/>
                <w:bCs/>
                <w:color w:val="000000"/>
                <w:sz w:val="18"/>
                <w:szCs w:val="19"/>
                <w:lang w:eastAsia="pl-PL"/>
              </w:rPr>
            </w:pPr>
            <w:r w:rsidRPr="00546D08">
              <w:rPr>
                <w:rFonts w:eastAsia="Times New Roman" w:cs="Calibri"/>
                <w:bCs/>
                <w:color w:val="000000"/>
                <w:szCs w:val="19"/>
                <w:lang w:eastAsia="pl-PL"/>
              </w:rPr>
              <w:t>Ogółem</w:t>
            </w:r>
            <w:r w:rsidRPr="007D1F9C">
              <w:rPr>
                <w:rFonts w:eastAsia="Times New Roman" w:cs="Calibri"/>
                <w:bCs/>
                <w:color w:val="000000"/>
                <w:sz w:val="18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08" w:type="dxa"/>
          </w:tcPr>
          <w:p w:rsidRPr="009E71CF" w:rsidR="007D1F9C" w:rsidP="007D1F9C" w:rsidRDefault="007D1F9C" w14:paraId="5F1DFB21" w14:textId="792B2521">
            <w:pPr>
              <w:ind w:left="-51" w:right="-7"/>
              <w:jc w:val="right"/>
            </w:pPr>
            <w:r>
              <w:t>614</w:t>
            </w:r>
            <w:r w:rsidR="00AF0F7A">
              <w:t> </w:t>
            </w:r>
            <w:r>
              <w:t>178</w:t>
            </w:r>
          </w:p>
        </w:tc>
        <w:tc>
          <w:tcPr>
            <w:tcW w:w="850" w:type="dxa"/>
          </w:tcPr>
          <w:p w:rsidRPr="00EE238C" w:rsidR="007D1F9C" w:rsidP="00822E10" w:rsidRDefault="007D1F9C" w14:paraId="1C3811AF" w14:textId="30E75572">
            <w:pPr>
              <w:ind w:right="-20"/>
              <w:jc w:val="right"/>
            </w:pPr>
            <w:r w:rsidRPr="00EE238C">
              <w:t>489</w:t>
            </w:r>
            <w:r w:rsidR="00AF0F7A">
              <w:t> </w:t>
            </w:r>
            <w:r w:rsidRPr="00EE238C">
              <w:t>971</w:t>
            </w:r>
          </w:p>
        </w:tc>
        <w:tc>
          <w:tcPr>
            <w:tcW w:w="851" w:type="dxa"/>
          </w:tcPr>
          <w:p w:rsidRPr="00EE238C" w:rsidR="007D1F9C" w:rsidP="007D1F9C" w:rsidRDefault="007D1F9C" w14:paraId="2E0B213F" w14:textId="77777777">
            <w:pPr>
              <w:jc w:val="right"/>
            </w:pPr>
            <w:r w:rsidRPr="00EE238C">
              <w:t>79,8</w:t>
            </w:r>
          </w:p>
        </w:tc>
        <w:tc>
          <w:tcPr>
            <w:tcW w:w="850" w:type="dxa"/>
          </w:tcPr>
          <w:p w:rsidRPr="00EE238C" w:rsidR="007D1F9C" w:rsidP="007D1F9C" w:rsidRDefault="007D1F9C" w14:paraId="7C0729FA" w14:textId="35C5C2B1">
            <w:pPr>
              <w:jc w:val="right"/>
            </w:pPr>
            <w:r w:rsidRPr="00EE238C">
              <w:t>198</w:t>
            </w:r>
            <w:r w:rsidR="00AF0F7A">
              <w:t> </w:t>
            </w:r>
            <w:r w:rsidRPr="00EE238C">
              <w:t>052</w:t>
            </w:r>
          </w:p>
        </w:tc>
        <w:tc>
          <w:tcPr>
            <w:tcW w:w="851" w:type="dxa"/>
          </w:tcPr>
          <w:p w:rsidRPr="00EE238C" w:rsidR="007D1F9C" w:rsidP="007D1F9C" w:rsidRDefault="007D1F9C" w14:paraId="39E24F96" w14:textId="7ECAD6B1">
            <w:pPr>
              <w:jc w:val="right"/>
            </w:pPr>
            <w:r w:rsidRPr="00EE238C">
              <w:t>175</w:t>
            </w:r>
            <w:r w:rsidR="00AF0F7A">
              <w:t> </w:t>
            </w:r>
            <w:r w:rsidRPr="00EE238C">
              <w:t>163</w:t>
            </w:r>
          </w:p>
        </w:tc>
        <w:tc>
          <w:tcPr>
            <w:tcW w:w="850" w:type="dxa"/>
          </w:tcPr>
          <w:p w:rsidRPr="00EE238C" w:rsidR="007D1F9C" w:rsidP="007D1F9C" w:rsidRDefault="007D1F9C" w14:paraId="3A13F965" w14:textId="77777777">
            <w:pPr>
              <w:jc w:val="right"/>
            </w:pPr>
            <w:r w:rsidRPr="00EE238C">
              <w:t>88,4</w:t>
            </w:r>
          </w:p>
        </w:tc>
      </w:tr>
      <w:tr w:rsidRPr="009E71CF" w:rsidR="007D1F9C" w:rsidTr="00874689" w14:paraId="1DF4D0C1" w14:textId="77777777">
        <w:trPr>
          <w:trHeight w:val="57"/>
        </w:trPr>
        <w:tc>
          <w:tcPr>
            <w:tcW w:w="2920" w:type="dxa"/>
            <w:vAlign w:val="center"/>
          </w:tcPr>
          <w:p w:rsidRPr="00763D1B" w:rsidR="007D1F9C" w:rsidP="007D1F9C" w:rsidRDefault="007D1F9C" w14:paraId="3B3A1FF3" w14:textId="77777777">
            <w:pPr>
              <w:ind w:right="-68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Nieruchomości lokalowe </w:t>
            </w:r>
          </w:p>
        </w:tc>
        <w:tc>
          <w:tcPr>
            <w:tcW w:w="908" w:type="dxa"/>
          </w:tcPr>
          <w:p w:rsidRPr="009E71CF" w:rsidR="007D1F9C" w:rsidP="00822E10" w:rsidRDefault="007D1F9C" w14:paraId="3FE8828C" w14:textId="4A5B602B">
            <w:pPr>
              <w:ind w:left="-51" w:right="-7"/>
              <w:jc w:val="right"/>
            </w:pPr>
            <w:r>
              <w:t>269</w:t>
            </w:r>
            <w:r w:rsidR="00AF0F7A">
              <w:t> </w:t>
            </w:r>
            <w:r>
              <w:t>892</w:t>
            </w:r>
          </w:p>
        </w:tc>
        <w:tc>
          <w:tcPr>
            <w:tcW w:w="850" w:type="dxa"/>
          </w:tcPr>
          <w:p w:rsidRPr="00EE238C" w:rsidR="007D1F9C" w:rsidP="00822E10" w:rsidRDefault="007D1F9C" w14:paraId="55E50375" w14:textId="474E2F1D">
            <w:pPr>
              <w:ind w:right="-20"/>
              <w:jc w:val="right"/>
            </w:pPr>
            <w:r w:rsidRPr="00EE238C">
              <w:t>232</w:t>
            </w:r>
            <w:r w:rsidR="00AF0F7A">
              <w:t> </w:t>
            </w:r>
            <w:r w:rsidRPr="00EE238C">
              <w:t>086</w:t>
            </w:r>
          </w:p>
        </w:tc>
        <w:tc>
          <w:tcPr>
            <w:tcW w:w="851" w:type="dxa"/>
          </w:tcPr>
          <w:p w:rsidRPr="00EE238C" w:rsidR="007D1F9C" w:rsidP="007D1F9C" w:rsidRDefault="007D1F9C" w14:paraId="4DC28E19" w14:textId="77777777">
            <w:pPr>
              <w:jc w:val="right"/>
            </w:pPr>
            <w:r w:rsidRPr="00EE238C">
              <w:t>86,0</w:t>
            </w:r>
          </w:p>
        </w:tc>
        <w:tc>
          <w:tcPr>
            <w:tcW w:w="850" w:type="dxa"/>
          </w:tcPr>
          <w:p w:rsidRPr="00EE238C" w:rsidR="007D1F9C" w:rsidP="007D1F9C" w:rsidRDefault="007D1F9C" w14:paraId="3BD232D1" w14:textId="1D7252A4">
            <w:pPr>
              <w:jc w:val="right"/>
            </w:pPr>
            <w:r w:rsidRPr="00EE238C">
              <w:t>93</w:t>
            </w:r>
            <w:r w:rsidR="00AF0F7A">
              <w:t> </w:t>
            </w:r>
            <w:r w:rsidRPr="00EE238C">
              <w:t>329</w:t>
            </w:r>
          </w:p>
        </w:tc>
        <w:tc>
          <w:tcPr>
            <w:tcW w:w="851" w:type="dxa"/>
          </w:tcPr>
          <w:p w:rsidRPr="00EE238C" w:rsidR="007D1F9C" w:rsidP="007D1F9C" w:rsidRDefault="007D1F9C" w14:paraId="09F45EAF" w14:textId="45D90EA8">
            <w:pPr>
              <w:jc w:val="right"/>
            </w:pPr>
            <w:r w:rsidRPr="00EE238C">
              <w:t>87</w:t>
            </w:r>
            <w:r w:rsidR="00AF0F7A">
              <w:t> </w:t>
            </w:r>
            <w:r w:rsidRPr="00EE238C">
              <w:t>993</w:t>
            </w:r>
          </w:p>
        </w:tc>
        <w:tc>
          <w:tcPr>
            <w:tcW w:w="850" w:type="dxa"/>
          </w:tcPr>
          <w:p w:rsidRPr="00EE238C" w:rsidR="007D1F9C" w:rsidP="007D1F9C" w:rsidRDefault="007D1F9C" w14:paraId="7EE1227B" w14:textId="77777777">
            <w:pPr>
              <w:jc w:val="right"/>
            </w:pPr>
            <w:r w:rsidRPr="00EE238C">
              <w:t>94,3</w:t>
            </w:r>
          </w:p>
        </w:tc>
      </w:tr>
      <w:tr w:rsidRPr="009E71CF" w:rsidR="007D1F9C" w:rsidTr="00874689" w14:paraId="2081E3F6" w14:textId="77777777">
        <w:trPr>
          <w:trHeight w:val="57"/>
        </w:trPr>
        <w:tc>
          <w:tcPr>
            <w:tcW w:w="2920" w:type="dxa"/>
            <w:tcBorders>
              <w:bottom w:val="single" w:color="001D81" w:sz="4" w:space="0"/>
            </w:tcBorders>
            <w:vAlign w:val="center"/>
          </w:tcPr>
          <w:p w:rsidRPr="00763D1B" w:rsidR="007D1F9C" w:rsidP="007D1F9C" w:rsidRDefault="007D1F9C" w14:paraId="53F9508E" w14:textId="33141BE6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Nieruchomości zabudowane</w:t>
            </w:r>
            <w:r w:rsidRPr="00763D1B">
              <w:rPr>
                <w:rFonts w:eastAsia="Times New Roman" w:cs="Calibri"/>
                <w:color w:val="000000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08" w:type="dxa"/>
            <w:tcBorders>
              <w:bottom w:val="single" w:color="001D81" w:sz="4" w:space="0"/>
            </w:tcBorders>
          </w:tcPr>
          <w:p w:rsidRPr="009E71CF" w:rsidR="007D1F9C" w:rsidP="00822E10" w:rsidRDefault="007D1F9C" w14:paraId="1E944CA0" w14:textId="15BD7A63">
            <w:pPr>
              <w:ind w:left="-51" w:right="-7"/>
              <w:jc w:val="right"/>
            </w:pPr>
            <w:r>
              <w:t>95</w:t>
            </w:r>
            <w:r w:rsidR="00AF0F7A">
              <w:t> </w:t>
            </w:r>
            <w:r>
              <w:t>124</w:t>
            </w:r>
          </w:p>
        </w:tc>
        <w:tc>
          <w:tcPr>
            <w:tcW w:w="850" w:type="dxa"/>
            <w:tcBorders>
              <w:bottom w:val="single" w:color="001D81" w:sz="4" w:space="0"/>
            </w:tcBorders>
          </w:tcPr>
          <w:p w:rsidRPr="00EE238C" w:rsidR="007D1F9C" w:rsidP="00822E10" w:rsidRDefault="007D1F9C" w14:paraId="3A4C6553" w14:textId="0892A9F7">
            <w:pPr>
              <w:ind w:right="-20"/>
              <w:jc w:val="right"/>
            </w:pPr>
            <w:r w:rsidRPr="00EE238C">
              <w:t>80</w:t>
            </w:r>
            <w:r w:rsidR="00AF0F7A">
              <w:t> </w:t>
            </w:r>
            <w:r w:rsidRPr="00EE238C">
              <w:t>088</w:t>
            </w:r>
          </w:p>
        </w:tc>
        <w:tc>
          <w:tcPr>
            <w:tcW w:w="851" w:type="dxa"/>
            <w:tcBorders>
              <w:bottom w:val="single" w:color="001D81" w:sz="4" w:space="0"/>
            </w:tcBorders>
          </w:tcPr>
          <w:p w:rsidRPr="00EE238C" w:rsidR="007D1F9C" w:rsidP="007D1F9C" w:rsidRDefault="007D1F9C" w14:paraId="1FD7FAC5" w14:textId="77777777">
            <w:pPr>
              <w:jc w:val="right"/>
            </w:pPr>
            <w:r w:rsidRPr="00EE238C">
              <w:t>84,2</w:t>
            </w:r>
          </w:p>
        </w:tc>
        <w:tc>
          <w:tcPr>
            <w:tcW w:w="850" w:type="dxa"/>
            <w:tcBorders>
              <w:bottom w:val="single" w:color="001D81" w:sz="4" w:space="0"/>
            </w:tcBorders>
          </w:tcPr>
          <w:p w:rsidRPr="00EE238C" w:rsidR="007D1F9C" w:rsidP="007D1F9C" w:rsidRDefault="007D1F9C" w14:paraId="3BBC1455" w14:textId="7D8F0DAB">
            <w:pPr>
              <w:jc w:val="right"/>
            </w:pPr>
            <w:r w:rsidRPr="00EE238C">
              <w:t>50</w:t>
            </w:r>
            <w:r w:rsidR="00AF0F7A">
              <w:t> </w:t>
            </w:r>
            <w:r w:rsidRPr="00EE238C">
              <w:t>604</w:t>
            </w:r>
          </w:p>
        </w:tc>
        <w:tc>
          <w:tcPr>
            <w:tcW w:w="851" w:type="dxa"/>
            <w:tcBorders>
              <w:bottom w:val="single" w:color="001D81" w:sz="4" w:space="0"/>
            </w:tcBorders>
          </w:tcPr>
          <w:p w:rsidRPr="00EE238C" w:rsidR="007D1F9C" w:rsidP="007D1F9C" w:rsidRDefault="007D1F9C" w14:paraId="3964E6A2" w14:textId="740C4803">
            <w:pPr>
              <w:jc w:val="right"/>
            </w:pPr>
            <w:r w:rsidRPr="00EE238C">
              <w:t>43</w:t>
            </w:r>
            <w:r w:rsidR="00AF0F7A">
              <w:t> </w:t>
            </w:r>
            <w:r w:rsidRPr="00EE238C">
              <w:t>082</w:t>
            </w:r>
          </w:p>
        </w:tc>
        <w:tc>
          <w:tcPr>
            <w:tcW w:w="850" w:type="dxa"/>
            <w:tcBorders>
              <w:bottom w:val="single" w:color="001D81" w:sz="4" w:space="0"/>
            </w:tcBorders>
          </w:tcPr>
          <w:p w:rsidRPr="00EE238C" w:rsidR="007D1F9C" w:rsidP="007D1F9C" w:rsidRDefault="007D1F9C" w14:paraId="6EF0A1F3" w14:textId="77777777">
            <w:pPr>
              <w:jc w:val="right"/>
            </w:pPr>
            <w:r w:rsidRPr="00EE238C">
              <w:t>85,1</w:t>
            </w:r>
          </w:p>
        </w:tc>
      </w:tr>
      <w:tr w:rsidR="007D1F9C" w:rsidTr="00874689" w14:paraId="4F085A2C" w14:textId="77777777">
        <w:trPr>
          <w:trHeight w:val="57"/>
        </w:trPr>
        <w:tc>
          <w:tcPr>
            <w:tcW w:w="2920" w:type="dxa"/>
            <w:tcBorders>
              <w:bottom w:val="nil"/>
            </w:tcBorders>
            <w:vAlign w:val="center"/>
          </w:tcPr>
          <w:p w:rsidRPr="00763D1B" w:rsidR="007D1F9C" w:rsidP="007D1F9C" w:rsidRDefault="007D1F9C" w14:paraId="3213116F" w14:textId="77777777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Nieruchomości niezabudowane</w:t>
            </w:r>
          </w:p>
        </w:tc>
        <w:tc>
          <w:tcPr>
            <w:tcW w:w="908" w:type="dxa"/>
            <w:tcBorders>
              <w:bottom w:val="nil"/>
            </w:tcBorders>
          </w:tcPr>
          <w:p w:rsidRPr="009E71CF" w:rsidR="007D1F9C" w:rsidP="00822E10" w:rsidRDefault="007D1F9C" w14:paraId="2090AA97" w14:textId="53DC695F">
            <w:pPr>
              <w:ind w:left="-51" w:right="-7"/>
              <w:jc w:val="right"/>
            </w:pPr>
            <w:r>
              <w:t>249</w:t>
            </w:r>
            <w:r w:rsidR="00AF0F7A">
              <w:t> </w:t>
            </w:r>
            <w:r>
              <w:t>162</w:t>
            </w:r>
          </w:p>
        </w:tc>
        <w:tc>
          <w:tcPr>
            <w:tcW w:w="850" w:type="dxa"/>
            <w:tcBorders>
              <w:bottom w:val="nil"/>
            </w:tcBorders>
          </w:tcPr>
          <w:p w:rsidRPr="00EE238C" w:rsidR="007D1F9C" w:rsidP="00822E10" w:rsidRDefault="007D1F9C" w14:paraId="68ED1F78" w14:textId="655DB41C">
            <w:pPr>
              <w:ind w:right="-20"/>
              <w:jc w:val="right"/>
            </w:pPr>
            <w:r w:rsidRPr="00EE238C">
              <w:t>177</w:t>
            </w:r>
            <w:r w:rsidR="00AF0F7A">
              <w:t> </w:t>
            </w:r>
            <w:r w:rsidRPr="00EE238C">
              <w:t>797</w:t>
            </w:r>
          </w:p>
        </w:tc>
        <w:tc>
          <w:tcPr>
            <w:tcW w:w="851" w:type="dxa"/>
            <w:tcBorders>
              <w:bottom w:val="nil"/>
            </w:tcBorders>
          </w:tcPr>
          <w:p w:rsidRPr="00EE238C" w:rsidR="007D1F9C" w:rsidP="007D1F9C" w:rsidRDefault="007D1F9C" w14:paraId="6BDD3CC5" w14:textId="77777777">
            <w:pPr>
              <w:jc w:val="right"/>
            </w:pPr>
            <w:r w:rsidRPr="00EE238C">
              <w:t>71,4</w:t>
            </w:r>
          </w:p>
        </w:tc>
        <w:tc>
          <w:tcPr>
            <w:tcW w:w="850" w:type="dxa"/>
            <w:tcBorders>
              <w:bottom w:val="nil"/>
            </w:tcBorders>
          </w:tcPr>
          <w:p w:rsidRPr="00EE238C" w:rsidR="007D1F9C" w:rsidP="007D1F9C" w:rsidRDefault="007D1F9C" w14:paraId="21714D46" w14:textId="56D38BA9">
            <w:pPr>
              <w:jc w:val="right"/>
            </w:pPr>
            <w:r w:rsidRPr="00EE238C">
              <w:t>54</w:t>
            </w:r>
            <w:r w:rsidR="00AF0F7A">
              <w:t> </w:t>
            </w:r>
            <w:r w:rsidRPr="00EE238C">
              <w:t>119</w:t>
            </w:r>
          </w:p>
        </w:tc>
        <w:tc>
          <w:tcPr>
            <w:tcW w:w="851" w:type="dxa"/>
            <w:tcBorders>
              <w:bottom w:val="nil"/>
            </w:tcBorders>
          </w:tcPr>
          <w:p w:rsidRPr="00EE238C" w:rsidR="007D1F9C" w:rsidP="007D1F9C" w:rsidRDefault="007D1F9C" w14:paraId="12AE4C13" w14:textId="0CA1A50B">
            <w:pPr>
              <w:jc w:val="right"/>
            </w:pPr>
            <w:r w:rsidRPr="00EE238C">
              <w:t>44</w:t>
            </w:r>
            <w:r w:rsidR="00AF0F7A">
              <w:t> </w:t>
            </w:r>
            <w:r w:rsidRPr="00EE238C">
              <w:t>088</w:t>
            </w:r>
          </w:p>
        </w:tc>
        <w:tc>
          <w:tcPr>
            <w:tcW w:w="850" w:type="dxa"/>
            <w:tcBorders>
              <w:bottom w:val="nil"/>
            </w:tcBorders>
          </w:tcPr>
          <w:p w:rsidR="007D1F9C" w:rsidP="007D1F9C" w:rsidRDefault="007D1F9C" w14:paraId="43A93FFB" w14:textId="77777777">
            <w:pPr>
              <w:jc w:val="right"/>
            </w:pPr>
            <w:r w:rsidRPr="00EE238C">
              <w:t>81,5</w:t>
            </w:r>
          </w:p>
        </w:tc>
      </w:tr>
    </w:tbl>
    <w:p w:rsidRPr="00B813D6" w:rsidR="004A0769" w:rsidP="00CD4BCD" w:rsidRDefault="004A0769" w14:paraId="0E782999" w14:textId="77777777">
      <w:pPr>
        <w:pStyle w:val="Tekstprzypisudolnego"/>
        <w:ind w:right="-13"/>
        <w:rPr>
          <w:sz w:val="16"/>
          <w:szCs w:val="18"/>
        </w:rPr>
      </w:pPr>
      <w:r w:rsidRPr="00177074">
        <w:rPr>
          <w:sz w:val="16"/>
          <w:szCs w:val="18"/>
          <w:vertAlign w:val="superscript"/>
        </w:rPr>
        <w:t xml:space="preserve">1  </w:t>
      </w:r>
      <w:r>
        <w:rPr>
          <w:sz w:val="16"/>
          <w:szCs w:val="18"/>
        </w:rPr>
        <w:t xml:space="preserve">Dane </w:t>
      </w:r>
      <w:r w:rsidR="007D1F9C">
        <w:rPr>
          <w:sz w:val="16"/>
          <w:szCs w:val="18"/>
        </w:rPr>
        <w:t>wstępne dla 27 powiatów.</w:t>
      </w:r>
      <w:r w:rsidRPr="004A0769">
        <w:rPr>
          <w:sz w:val="16"/>
          <w:szCs w:val="18"/>
        </w:rPr>
        <w:t xml:space="preserve"> </w:t>
      </w:r>
    </w:p>
    <w:p w:rsidR="004A0769" w:rsidP="004A0769" w:rsidRDefault="004A0769" w14:paraId="32E07D5E" w14:textId="77777777">
      <w:pPr>
        <w:pStyle w:val="Tekstprzypisudolnego"/>
        <w:rPr>
          <w:sz w:val="16"/>
          <w:szCs w:val="18"/>
        </w:rPr>
      </w:pPr>
      <w:r>
        <w:rPr>
          <w:sz w:val="16"/>
          <w:szCs w:val="18"/>
          <w:vertAlign w:val="superscript"/>
        </w:rPr>
        <w:t>2</w:t>
      </w:r>
      <w:r>
        <w:rPr>
          <w:sz w:val="16"/>
          <w:szCs w:val="18"/>
        </w:rPr>
        <w:t xml:space="preserve"> </w:t>
      </w:r>
      <w:r w:rsidRPr="00B86DF8">
        <w:rPr>
          <w:sz w:val="16"/>
          <w:szCs w:val="18"/>
        </w:rPr>
        <w:t>Obejmuje nieruchomości zabudowane budynkami mieszkalnymi, zabudowane nieruchomości rolne, nieruchomości zabudowane budynkami pełniącymi inne funkcje niż zagrodowa i mieszkaniowa oraz nieruchomości budynkowe</w:t>
      </w:r>
      <w:r>
        <w:rPr>
          <w:sz w:val="16"/>
          <w:szCs w:val="18"/>
        </w:rPr>
        <w:t>.</w:t>
      </w:r>
    </w:p>
    <w:p w:rsidR="00FC51AE" w:rsidP="00446B4F" w:rsidRDefault="00584789" w14:paraId="69364E1F" w14:textId="45CD4C42">
      <w:pPr>
        <w:spacing w:before="240"/>
        <w:rPr>
          <w:szCs w:val="19"/>
        </w:rPr>
      </w:pPr>
      <w:r>
        <w:rPr>
          <w:szCs w:val="19"/>
        </w:rPr>
        <w:t>Największy udział w</w:t>
      </w:r>
      <w:r w:rsidRPr="007C475F" w:rsidR="00FC51AE">
        <w:rPr>
          <w:szCs w:val="19"/>
        </w:rPr>
        <w:t xml:space="preserve"> ogólnej liczbie transakcji kupna</w:t>
      </w:r>
      <w:r w:rsidR="00356C70">
        <w:rPr>
          <w:szCs w:val="19"/>
        </w:rPr>
        <w:t>-</w:t>
      </w:r>
      <w:r w:rsidRPr="007C475F" w:rsidR="00FC51AE">
        <w:rPr>
          <w:szCs w:val="19"/>
        </w:rPr>
        <w:t xml:space="preserve">sprzedaży nieruchomości </w:t>
      </w:r>
      <w:r>
        <w:rPr>
          <w:szCs w:val="19"/>
        </w:rPr>
        <w:t xml:space="preserve">stanowiły lokale </w:t>
      </w:r>
      <w:r w:rsidRPr="00CD4BCD">
        <w:rPr>
          <w:szCs w:val="19"/>
        </w:rPr>
        <w:t>(</w:t>
      </w:r>
      <w:r w:rsidRPr="00CD4BCD" w:rsidR="00FC51AE">
        <w:rPr>
          <w:szCs w:val="19"/>
        </w:rPr>
        <w:t>w województw</w:t>
      </w:r>
      <w:r w:rsidRPr="00CD4BCD" w:rsidR="005D4FBE">
        <w:rPr>
          <w:szCs w:val="19"/>
        </w:rPr>
        <w:t>ach:</w:t>
      </w:r>
      <w:r w:rsidR="005C3317">
        <w:rPr>
          <w:szCs w:val="19"/>
        </w:rPr>
        <w:t xml:space="preserve"> </w:t>
      </w:r>
      <w:r w:rsidRPr="00CD4BCD" w:rsidR="00EA2F45">
        <w:rPr>
          <w:szCs w:val="19"/>
        </w:rPr>
        <w:t>dolnośląskim</w:t>
      </w:r>
      <w:r w:rsidR="00EA2F45">
        <w:rPr>
          <w:szCs w:val="19"/>
        </w:rPr>
        <w:t>,</w:t>
      </w:r>
      <w:r w:rsidRPr="00CD4BCD" w:rsidR="00EA2F45">
        <w:rPr>
          <w:szCs w:val="19"/>
        </w:rPr>
        <w:t xml:space="preserve"> </w:t>
      </w:r>
      <w:r w:rsidRPr="00CD4BCD" w:rsidR="005C3317">
        <w:rPr>
          <w:szCs w:val="19"/>
        </w:rPr>
        <w:t xml:space="preserve">pomorskim, </w:t>
      </w:r>
      <w:r w:rsidR="00EA2F45">
        <w:rPr>
          <w:szCs w:val="19"/>
        </w:rPr>
        <w:t xml:space="preserve">wielkopolskim </w:t>
      </w:r>
      <w:r w:rsidR="005C3317">
        <w:rPr>
          <w:szCs w:val="19"/>
        </w:rPr>
        <w:t>i</w:t>
      </w:r>
      <w:r w:rsidRPr="00CD4BCD" w:rsidR="00CD4BCD">
        <w:rPr>
          <w:szCs w:val="19"/>
        </w:rPr>
        <w:t xml:space="preserve"> </w:t>
      </w:r>
      <w:r w:rsidRPr="00CD4BCD" w:rsidR="00FC51AE">
        <w:rPr>
          <w:szCs w:val="19"/>
        </w:rPr>
        <w:t>mazowieckim</w:t>
      </w:r>
      <w:r w:rsidRPr="00CD4BCD">
        <w:rPr>
          <w:szCs w:val="19"/>
        </w:rPr>
        <w:t xml:space="preserve">) oraz </w:t>
      </w:r>
      <w:r w:rsidRPr="00CD4BCD" w:rsidR="00FC51AE">
        <w:rPr>
          <w:szCs w:val="19"/>
        </w:rPr>
        <w:t>nieruchomości</w:t>
      </w:r>
      <w:r w:rsidRPr="00CD4BCD">
        <w:rPr>
          <w:szCs w:val="19"/>
        </w:rPr>
        <w:t xml:space="preserve"> niezabudowane (w </w:t>
      </w:r>
      <w:r w:rsidRPr="00CD4BCD" w:rsidR="00FC51AE">
        <w:rPr>
          <w:szCs w:val="19"/>
        </w:rPr>
        <w:t>województw</w:t>
      </w:r>
      <w:r w:rsidRPr="00CD4BCD" w:rsidR="005D4FBE">
        <w:rPr>
          <w:szCs w:val="19"/>
        </w:rPr>
        <w:t>ach:</w:t>
      </w:r>
      <w:r w:rsidRPr="00CD4BCD" w:rsidR="00FC51AE">
        <w:rPr>
          <w:szCs w:val="19"/>
        </w:rPr>
        <w:t xml:space="preserve"> podkarpackim</w:t>
      </w:r>
      <w:r w:rsidR="00964F91">
        <w:rPr>
          <w:szCs w:val="19"/>
        </w:rPr>
        <w:t xml:space="preserve"> i </w:t>
      </w:r>
      <w:r w:rsidRPr="00CD4BCD" w:rsidR="00964F91">
        <w:rPr>
          <w:szCs w:val="19"/>
        </w:rPr>
        <w:t>świętokrzyskim</w:t>
      </w:r>
      <w:r w:rsidRPr="00CD4BCD">
        <w:rPr>
          <w:szCs w:val="19"/>
        </w:rPr>
        <w:t>)</w:t>
      </w:r>
      <w:r w:rsidRPr="00CD4BCD" w:rsidR="00FC51AE">
        <w:rPr>
          <w:szCs w:val="19"/>
        </w:rPr>
        <w:t>.</w:t>
      </w:r>
    </w:p>
    <w:p w:rsidRPr="006B0714" w:rsidR="00B813D6" w:rsidP="00FC51AE" w:rsidRDefault="00B813D6" w14:paraId="635FE655" w14:textId="77777777">
      <w:pPr>
        <w:rPr>
          <w:szCs w:val="19"/>
        </w:rPr>
      </w:pPr>
    </w:p>
    <w:p w:rsidRPr="00B813D6" w:rsidR="00FC51AE" w:rsidP="00B813D6" w:rsidRDefault="00FC51AE" w14:paraId="71143A5F" w14:textId="1415421D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B813D6">
        <w:rPr>
          <w:b/>
          <w:szCs w:val="19"/>
        </w:rPr>
        <w:t>Wykres 1.</w:t>
      </w:r>
      <w:r w:rsidRPr="00B813D6">
        <w:rPr>
          <w:b/>
          <w:szCs w:val="19"/>
          <w:shd w:val="clear" w:color="auto" w:fill="FFFFFF"/>
        </w:rPr>
        <w:t xml:space="preserve"> Struktura liczby transakcji kupna</w:t>
      </w:r>
      <w:r w:rsidR="00356C70">
        <w:rPr>
          <w:b/>
          <w:szCs w:val="19"/>
          <w:shd w:val="clear" w:color="auto" w:fill="FFFFFF"/>
        </w:rPr>
        <w:t>-</w:t>
      </w:r>
      <w:r w:rsidRPr="00B813D6">
        <w:rPr>
          <w:b/>
          <w:szCs w:val="19"/>
          <w:shd w:val="clear" w:color="auto" w:fill="FFFFFF"/>
        </w:rPr>
        <w:t>sprzedaży nieruchomości wg rodzaju w 20</w:t>
      </w:r>
      <w:r w:rsidRPr="00B813D6" w:rsidR="004E6AB7">
        <w:rPr>
          <w:b/>
          <w:szCs w:val="19"/>
          <w:shd w:val="clear" w:color="auto" w:fill="FFFFFF"/>
        </w:rPr>
        <w:t>2</w:t>
      </w:r>
      <w:r w:rsidR="00F7145A">
        <w:rPr>
          <w:b/>
          <w:szCs w:val="19"/>
          <w:shd w:val="clear" w:color="auto" w:fill="FFFFFF"/>
        </w:rPr>
        <w:t>2</w:t>
      </w:r>
      <w:r w:rsidRPr="00B813D6">
        <w:rPr>
          <w:b/>
          <w:szCs w:val="19"/>
          <w:shd w:val="clear" w:color="auto" w:fill="FFFFFF"/>
        </w:rPr>
        <w:t xml:space="preserve"> r</w:t>
      </w:r>
      <w:r w:rsidRPr="00B813D6" w:rsidR="009676CA">
        <w:rPr>
          <w:b/>
          <w:szCs w:val="19"/>
          <w:shd w:val="clear" w:color="auto" w:fill="FFFFFF"/>
        </w:rPr>
        <w:t>.</w:t>
      </w:r>
    </w:p>
    <w:p w:rsidR="00891A93" w:rsidP="0044250C" w:rsidRDefault="00EA2F45" w14:paraId="30103324" w14:textId="77777777">
      <w:pPr>
        <w:spacing w:before="0" w:after="160" w:line="259" w:lineRule="auto"/>
        <w:jc w:val="both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57BAF11E" wp14:editId="39C0F58C">
            <wp:extent cx="5040000" cy="3591450"/>
            <wp:effectExtent l="0" t="0" r="8255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Pr="00FA7E22" w:rsidR="00FC51AE" w:rsidP="00FC51AE" w:rsidRDefault="00FC51AE" w14:paraId="7886C3D1" w14:textId="77777777">
      <w:pPr>
        <w:spacing w:before="240"/>
        <w:rPr>
          <w:b/>
          <w:spacing w:val="-2"/>
          <w:szCs w:val="19"/>
          <w:shd w:val="clear" w:color="auto" w:fill="FFFFFF"/>
        </w:rPr>
      </w:pPr>
      <w:r w:rsidRPr="00FA7E22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editId="30260816" wp14:anchorId="0FAC8B11">
                <wp:simplePos x="0" y="0"/>
                <wp:positionH relativeFrom="column">
                  <wp:posOffset>5286375</wp:posOffset>
                </wp:positionH>
                <wp:positionV relativeFrom="paragraph">
                  <wp:posOffset>0</wp:posOffset>
                </wp:positionV>
                <wp:extent cx="1725295" cy="1167765"/>
                <wp:effectExtent l="0" t="0" r="0" b="0"/>
                <wp:wrapTight wrapText="bothSides">
                  <wp:wrapPolygon edited="0">
                    <wp:start x="715" y="0"/>
                    <wp:lineTo x="715" y="21142"/>
                    <wp:lineTo x="20749" y="21142"/>
                    <wp:lineTo x="20749" y="0"/>
                    <wp:lineTo x="715" y="0"/>
                  </wp:wrapPolygon>
                </wp:wrapTight>
                <wp:docPr id="17" name="Pole tekstowe 17" descr="Ceny lokali mieszkalnych w 2022 r. w stosunku do roku poprzedniego wzrosły o 11,8% (w tym zarówno na rynku pierwotnym, jak i wtórnym)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4DD8" w:rsidR="00FC51AE" w:rsidP="00FC51AE" w:rsidRDefault="00FC51AE" w14:paraId="3ADCCA06" w14:textId="0E961EBE">
                            <w:pPr>
                              <w:pStyle w:val="tekstzboku"/>
                            </w:pPr>
                            <w:r w:rsidRPr="00907E1E">
                              <w:t xml:space="preserve">Ceny lokali mieszkalnych </w:t>
                            </w:r>
                            <w:r>
                              <w:br/>
                              <w:t>w 20</w:t>
                            </w:r>
                            <w:r w:rsidR="00C35C37">
                              <w:t>2</w:t>
                            </w:r>
                            <w:r w:rsidR="000D527F">
                              <w:t>2</w:t>
                            </w:r>
                            <w:r>
                              <w:t xml:space="preserve"> </w:t>
                            </w:r>
                            <w:r w:rsidR="009676CA">
                              <w:t>r.</w:t>
                            </w:r>
                            <w:r w:rsidRPr="00907E1E" w:rsidR="009676CA">
                              <w:t xml:space="preserve"> </w:t>
                            </w:r>
                            <w:r w:rsidRPr="00907E1E">
                              <w:t xml:space="preserve">w stosunku do </w:t>
                            </w:r>
                            <w:r>
                              <w:br/>
                            </w:r>
                            <w:r w:rsidR="00891A93">
                              <w:t xml:space="preserve">roku </w:t>
                            </w:r>
                            <w:r w:rsidRPr="00907E1E">
                              <w:t xml:space="preserve">poprzedniego wzrosły </w:t>
                            </w:r>
                            <w:r>
                              <w:br/>
                              <w:t xml:space="preserve">o </w:t>
                            </w:r>
                            <w:r w:rsidR="000D527F">
                              <w:t>11,8</w:t>
                            </w:r>
                            <w:r w:rsidRPr="00907E1E">
                              <w:t xml:space="preserve">% </w:t>
                            </w:r>
                            <w:r>
                              <w:t>(</w:t>
                            </w:r>
                            <w:r w:rsidR="00674C69">
                              <w:t xml:space="preserve">w tym </w:t>
                            </w:r>
                            <w:r w:rsidR="000D527F">
                              <w:t>zarówno</w:t>
                            </w:r>
                            <w:r>
                              <w:t xml:space="preserve"> na rynku pierwotnym</w:t>
                            </w:r>
                            <w:r w:rsidR="00180FF7">
                              <w:t>,</w:t>
                            </w:r>
                            <w:r>
                              <w:t xml:space="preserve"> </w:t>
                            </w:r>
                            <w:r w:rsidR="000D527F">
                              <w:t>jak i</w:t>
                            </w:r>
                            <w:r w:rsidR="00674C69">
                              <w:t> </w:t>
                            </w:r>
                            <w:r>
                              <w:t>wtórnym</w:t>
                            </w:r>
                            <w:r w:rsidR="000D527F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FAC8B11">
                <v:stroke joinstyle="miter"/>
                <v:path gradientshapeok="t" o:connecttype="rect"/>
              </v:shapetype>
              <v:shape id="Pole tekstowe 17" style="position:absolute;margin-left:416.25pt;margin-top:0;width:135.85pt;height:91.9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Ceny lokali mieszkalnych w 2022 r. w stosunku do roku poprzedniego wzrosły o 11,8% (w tym zarówno na rynku pierwotnym, jak i wtórnym) &#10;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">
                <v:textbox>
                  <w:txbxContent>
                    <w:p w:rsidRPr="00074DD8" w:rsidR="00FC51AE" w:rsidP="00FC51AE" w:rsidRDefault="00FC51AE" w14:paraId="3ADCCA06" w14:textId="0E961EBE">
                      <w:pPr>
                        <w:pStyle w:val="tekstzboku"/>
                      </w:pPr>
                      <w:r w:rsidRPr="00907E1E">
                        <w:t xml:space="preserve">Ceny lokali mieszkalnych </w:t>
                      </w:r>
                      <w:r>
                        <w:br/>
                        <w:t>w 20</w:t>
                      </w:r>
                      <w:r w:rsidR="00C35C37">
                        <w:t>2</w:t>
                      </w:r>
                      <w:r w:rsidR="000D527F">
                        <w:t>2</w:t>
                      </w:r>
                      <w:r>
                        <w:t xml:space="preserve"> </w:t>
                      </w:r>
                      <w:r w:rsidR="009676CA">
                        <w:t>r.</w:t>
                      </w:r>
                      <w:r w:rsidRPr="00907E1E" w:rsidR="009676CA">
                        <w:t xml:space="preserve"> </w:t>
                      </w:r>
                      <w:r w:rsidRPr="00907E1E">
                        <w:t xml:space="preserve">w stosunku do </w:t>
                      </w:r>
                      <w:r>
                        <w:br/>
                      </w:r>
                      <w:r w:rsidR="00891A93">
                        <w:t xml:space="preserve">roku </w:t>
                      </w:r>
                      <w:r w:rsidRPr="00907E1E">
                        <w:t xml:space="preserve">poprzedniego wzrosły </w:t>
                      </w:r>
                      <w:r>
                        <w:br/>
                        <w:t xml:space="preserve">o </w:t>
                      </w:r>
                      <w:r w:rsidR="000D527F">
                        <w:t>11,8</w:t>
                      </w:r>
                      <w:r w:rsidRPr="00907E1E">
                        <w:t xml:space="preserve">% </w:t>
                      </w:r>
                      <w:r>
                        <w:t>(</w:t>
                      </w:r>
                      <w:r w:rsidR="00674C69">
                        <w:t xml:space="preserve">w tym </w:t>
                      </w:r>
                      <w:r w:rsidR="000D527F">
                        <w:t>zarówno</w:t>
                      </w:r>
                      <w:r>
                        <w:t xml:space="preserve"> na rynku pierwotnym</w:t>
                      </w:r>
                      <w:r w:rsidR="00180FF7">
                        <w:t>,</w:t>
                      </w:r>
                      <w:r>
                        <w:t xml:space="preserve"> </w:t>
                      </w:r>
                      <w:r w:rsidR="000D527F">
                        <w:t>jak i</w:t>
                      </w:r>
                      <w:r w:rsidR="00674C69">
                        <w:t> </w:t>
                      </w:r>
                      <w:r>
                        <w:t>wtórnym</w:t>
                      </w:r>
                      <w:r w:rsidR="000D527F"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A7E22">
        <w:rPr>
          <w:b/>
          <w:spacing w:val="-2"/>
          <w:szCs w:val="19"/>
          <w:shd w:val="clear" w:color="auto" w:fill="FFFFFF"/>
        </w:rPr>
        <w:t xml:space="preserve">Tablica 3. Wskaźniki cen lokali mieszkalnych w </w:t>
      </w:r>
      <w:r w:rsidRPr="00FA7E22" w:rsidR="0004372E">
        <w:rPr>
          <w:b/>
          <w:spacing w:val="-2"/>
          <w:szCs w:val="19"/>
          <w:shd w:val="clear" w:color="auto" w:fill="FFFFFF"/>
        </w:rPr>
        <w:t>202</w:t>
      </w:r>
      <w:r w:rsidR="00EA2F45">
        <w:rPr>
          <w:b/>
          <w:spacing w:val="-2"/>
          <w:szCs w:val="19"/>
          <w:shd w:val="clear" w:color="auto" w:fill="FFFFFF"/>
        </w:rPr>
        <w:t>2</w:t>
      </w:r>
      <w:r w:rsidRPr="00FA7E22" w:rsidR="0044250C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763" w:type="dxa"/>
        <w:tblBorders>
          <w:top w:val="single" w:color="001D81" w:sz="4" w:space="0"/>
          <w:left w:val="none" w:color="auto" w:sz="0" w:space="0"/>
          <w:bottom w:val="single" w:color="001D81" w:sz="4" w:space="0"/>
          <w:right w:val="none" w:color="auto" w:sz="0" w:space="0"/>
          <w:insideH w:val="single" w:color="001D81" w:sz="4" w:space="0"/>
          <w:insideV w:val="single" w:color="001D81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3 zawierająca wskaźniki cen lokali mieszkalnych w 2022 r. w podziale na rynek: ogółem, pierwotny i wtórny w porównaniu do roku 2021 i 2015. "/>
      </w:tblPr>
      <w:tblGrid>
        <w:gridCol w:w="3331"/>
        <w:gridCol w:w="2306"/>
        <w:gridCol w:w="2126"/>
      </w:tblGrid>
      <w:tr w:rsidRPr="00BA474D" w:rsidR="00FC51AE" w:rsidTr="0049257D" w14:paraId="43CCAB41" w14:textId="77777777">
        <w:trPr>
          <w:trHeight w:val="113"/>
        </w:trPr>
        <w:tc>
          <w:tcPr>
            <w:tcW w:w="3331" w:type="dxa"/>
            <w:vMerge w:val="restart"/>
            <w:vAlign w:val="center"/>
          </w:tcPr>
          <w:p w:rsidRPr="0004372E" w:rsidR="00FC51AE" w:rsidP="00FA7E22" w:rsidRDefault="0004372E" w14:paraId="65131DAA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r w:rsidRPr="0004372E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432" w:type="dxa"/>
            <w:gridSpan w:val="2"/>
            <w:vAlign w:val="center"/>
          </w:tcPr>
          <w:p w:rsidRPr="0004372E" w:rsidR="00FC51AE" w:rsidP="00EA2F45" w:rsidRDefault="0004372E" w14:paraId="2965DC99" w14:textId="77777777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04372E">
              <w:rPr>
                <w:rFonts w:eastAsiaTheme="majorEastAsia" w:cstheme="majorBidi"/>
                <w:color w:val="000000" w:themeColor="text1"/>
                <w:szCs w:val="19"/>
              </w:rPr>
              <w:t>202</w:t>
            </w:r>
            <w:r w:rsidR="00EA2F45"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</w:p>
        </w:tc>
      </w:tr>
      <w:tr w:rsidRPr="001A0E04" w:rsidR="00FC51AE" w:rsidTr="0049257D" w14:paraId="47A78AA6" w14:textId="77777777">
        <w:trPr>
          <w:trHeight w:val="113"/>
        </w:trPr>
        <w:tc>
          <w:tcPr>
            <w:tcW w:w="3331" w:type="dxa"/>
            <w:vMerge/>
            <w:vAlign w:val="center"/>
          </w:tcPr>
          <w:p w:rsidRPr="0004372E" w:rsidR="00FC51AE" w:rsidP="00FA7E22" w:rsidRDefault="00FC51AE" w14:paraId="1DD2B601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306" w:type="dxa"/>
            <w:vAlign w:val="center"/>
          </w:tcPr>
          <w:p w:rsidRPr="0004372E" w:rsidR="00FC51AE" w:rsidP="00FA7E22" w:rsidRDefault="0004372E" w14:paraId="379D1297" w14:textId="77777777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2021</w:t>
            </w:r>
            <w:r w:rsidRPr="0004372E" w:rsidR="00FC51AE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126" w:type="dxa"/>
            <w:vAlign w:val="center"/>
          </w:tcPr>
          <w:p w:rsidRPr="0004372E" w:rsidR="00FC51AE" w:rsidP="00FA7E22" w:rsidRDefault="00FC51AE" w14:paraId="1FDEF69C" w14:textId="77777777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2015=100</w:t>
            </w:r>
          </w:p>
        </w:tc>
      </w:tr>
      <w:tr w:rsidRPr="00437A70" w:rsidR="0015020E" w:rsidTr="0049257D" w14:paraId="5E28EEFF" w14:textId="77777777">
        <w:trPr>
          <w:trHeight w:val="113"/>
        </w:trPr>
        <w:tc>
          <w:tcPr>
            <w:tcW w:w="3331" w:type="dxa"/>
            <w:vAlign w:val="center"/>
          </w:tcPr>
          <w:p w:rsidRPr="0004372E" w:rsidR="0015020E" w:rsidP="0015020E" w:rsidRDefault="0015020E" w14:paraId="017EE331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2306" w:type="dxa"/>
            <w:shd w:val="clear" w:color="auto" w:fill="auto"/>
          </w:tcPr>
          <w:p w:rsidRPr="008D54D8" w:rsidR="0015020E" w:rsidP="006A68CE" w:rsidRDefault="001C4B0F" w14:paraId="7BDE7CF4" w14:textId="77777777">
            <w:pPr>
              <w:jc w:val="right"/>
            </w:pPr>
            <w:r>
              <w:t>111,8</w:t>
            </w:r>
          </w:p>
        </w:tc>
        <w:tc>
          <w:tcPr>
            <w:tcW w:w="2126" w:type="dxa"/>
            <w:shd w:val="clear" w:color="auto" w:fill="auto"/>
          </w:tcPr>
          <w:p w:rsidRPr="008D54D8" w:rsidR="0015020E" w:rsidP="006A68CE" w:rsidRDefault="001C4B0F" w14:paraId="216C98A6" w14:textId="77777777">
            <w:pPr>
              <w:jc w:val="right"/>
            </w:pPr>
            <w:r>
              <w:t>165,2</w:t>
            </w:r>
          </w:p>
        </w:tc>
      </w:tr>
      <w:tr w:rsidRPr="00437A70" w:rsidR="0015020E" w:rsidTr="00FC2731" w14:paraId="31EB8C69" w14:textId="77777777">
        <w:trPr>
          <w:trHeight w:val="113"/>
        </w:trPr>
        <w:tc>
          <w:tcPr>
            <w:tcW w:w="3331" w:type="dxa"/>
            <w:tcBorders>
              <w:bottom w:val="single" w:color="001D81" w:sz="4" w:space="0"/>
            </w:tcBorders>
            <w:vAlign w:val="center"/>
          </w:tcPr>
          <w:p w:rsidRPr="0004372E" w:rsidR="0015020E" w:rsidP="0015020E" w:rsidRDefault="0015020E" w14:paraId="63658C8B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04372E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2306" w:type="dxa"/>
            <w:tcBorders>
              <w:bottom w:val="single" w:color="001D81" w:sz="4" w:space="0"/>
            </w:tcBorders>
            <w:shd w:val="clear" w:color="auto" w:fill="auto"/>
          </w:tcPr>
          <w:p w:rsidRPr="008D54D8" w:rsidR="0015020E" w:rsidP="006A68CE" w:rsidRDefault="001C4B0F" w14:paraId="49CD9D84" w14:textId="77777777">
            <w:pPr>
              <w:jc w:val="right"/>
            </w:pPr>
            <w:r>
              <w:t>111,8</w:t>
            </w:r>
          </w:p>
        </w:tc>
        <w:tc>
          <w:tcPr>
            <w:tcW w:w="2126" w:type="dxa"/>
            <w:tcBorders>
              <w:bottom w:val="single" w:color="001D81" w:sz="4" w:space="0"/>
            </w:tcBorders>
            <w:shd w:val="clear" w:color="auto" w:fill="auto"/>
          </w:tcPr>
          <w:p w:rsidRPr="008D54D8" w:rsidR="0015020E" w:rsidP="006A68CE" w:rsidRDefault="001C4B0F" w14:paraId="7020B5CE" w14:textId="77777777">
            <w:pPr>
              <w:jc w:val="right"/>
            </w:pPr>
            <w:r>
              <w:t>152,1</w:t>
            </w:r>
          </w:p>
        </w:tc>
      </w:tr>
      <w:tr w:rsidRPr="00437A70" w:rsidR="0015020E" w:rsidTr="00FC2731" w14:paraId="6005E263" w14:textId="77777777">
        <w:trPr>
          <w:trHeight w:val="113"/>
        </w:trPr>
        <w:tc>
          <w:tcPr>
            <w:tcW w:w="3331" w:type="dxa"/>
            <w:tcBorders>
              <w:bottom w:val="nil"/>
            </w:tcBorders>
            <w:vAlign w:val="center"/>
          </w:tcPr>
          <w:p w:rsidRPr="0004372E" w:rsidR="0015020E" w:rsidP="0015020E" w:rsidRDefault="0015020E" w14:paraId="34765344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2306" w:type="dxa"/>
            <w:tcBorders>
              <w:bottom w:val="nil"/>
            </w:tcBorders>
            <w:shd w:val="clear" w:color="auto" w:fill="auto"/>
          </w:tcPr>
          <w:p w:rsidRPr="008D54D8" w:rsidR="0015020E" w:rsidP="006A68CE" w:rsidRDefault="001C4B0F" w14:paraId="3A65173E" w14:textId="77777777">
            <w:pPr>
              <w:jc w:val="right"/>
            </w:pPr>
            <w:r>
              <w:t>111,8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Pr="008D54D8" w:rsidR="0015020E" w:rsidP="006A68CE" w:rsidRDefault="001C4B0F" w14:paraId="5339808F" w14:textId="77777777">
            <w:pPr>
              <w:jc w:val="right"/>
            </w:pPr>
            <w:r>
              <w:t>176,7</w:t>
            </w:r>
          </w:p>
        </w:tc>
      </w:tr>
    </w:tbl>
    <w:p w:rsidRPr="00FA7E22" w:rsidR="00FC51AE" w:rsidP="00FA7E22" w:rsidRDefault="00FC51AE" w14:paraId="5CCAD424" w14:textId="77777777">
      <w:pPr>
        <w:spacing w:before="240"/>
        <w:rPr>
          <w:b/>
          <w:szCs w:val="19"/>
        </w:rPr>
      </w:pPr>
      <w:r w:rsidRPr="00FA7E22">
        <w:rPr>
          <w:b/>
          <w:szCs w:val="19"/>
        </w:rPr>
        <w:t xml:space="preserve">Wykres 2. </w:t>
      </w:r>
      <w:r w:rsidRPr="00FA7E22" w:rsidR="0044250C">
        <w:rPr>
          <w:b/>
          <w:szCs w:val="19"/>
        </w:rPr>
        <w:t>Zmiany c</w:t>
      </w:r>
      <w:r w:rsidRPr="00FA7E22">
        <w:rPr>
          <w:b/>
          <w:szCs w:val="19"/>
        </w:rPr>
        <w:t>en lokali mieszkalnych w stosunku do roku</w:t>
      </w:r>
      <w:r w:rsidRPr="00FA7E22" w:rsidR="0044250C">
        <w:rPr>
          <w:b/>
          <w:szCs w:val="19"/>
        </w:rPr>
        <w:t xml:space="preserve"> poprzedniego</w:t>
      </w:r>
    </w:p>
    <w:p w:rsidR="006A68CE" w:rsidP="00FC51AE" w:rsidRDefault="006A68CE" w14:paraId="6C3963A9" w14:textId="77777777">
      <w:pPr>
        <w:rPr>
          <w:noProof/>
          <w:lang w:eastAsia="pl-PL"/>
        </w:rPr>
      </w:pPr>
    </w:p>
    <w:p w:rsidR="00C35C37" w:rsidP="00FC51AE" w:rsidRDefault="00C35C37" w14:paraId="70B12A86" w14:textId="77777777">
      <w:pPr>
        <w:rPr>
          <w:noProof/>
          <w:lang w:eastAsia="pl-PL"/>
        </w:rPr>
      </w:pPr>
    </w:p>
    <w:p w:rsidR="00C35C37" w:rsidP="00FC51AE" w:rsidRDefault="00C35C37" w14:paraId="57B958AE" w14:textId="77777777">
      <w:pPr>
        <w:rPr>
          <w:noProof/>
          <w:lang w:eastAsia="pl-PL"/>
        </w:rPr>
      </w:pPr>
    </w:p>
    <w:p w:rsidR="00C35C37" w:rsidP="00FC51AE" w:rsidRDefault="00C35C37" w14:paraId="7C8BEABE" w14:textId="77777777">
      <w:pPr>
        <w:rPr>
          <w:b/>
          <w:sz w:val="18"/>
        </w:rPr>
      </w:pPr>
    </w:p>
    <w:p w:rsidR="0044250C" w:rsidP="00FC51AE" w:rsidRDefault="0044250C" w14:paraId="1EB96B91" w14:textId="77777777">
      <w:pPr>
        <w:rPr>
          <w:b/>
          <w:sz w:val="18"/>
        </w:rPr>
      </w:pPr>
    </w:p>
    <w:p w:rsidR="0044250C" w:rsidP="00FC51AE" w:rsidRDefault="0044250C" w14:paraId="4A606CEC" w14:textId="77777777">
      <w:pPr>
        <w:rPr>
          <w:b/>
          <w:sz w:val="18"/>
        </w:rPr>
      </w:pPr>
    </w:p>
    <w:p w:rsidR="0044250C" w:rsidP="00FC51AE" w:rsidRDefault="0044250C" w14:paraId="703F6C01" w14:textId="77777777">
      <w:pPr>
        <w:rPr>
          <w:b/>
          <w:sz w:val="18"/>
        </w:rPr>
      </w:pPr>
    </w:p>
    <w:p w:rsidR="0044250C" w:rsidP="00FC51AE" w:rsidRDefault="0044250C" w14:paraId="4C1F4D23" w14:textId="77777777">
      <w:pPr>
        <w:rPr>
          <w:b/>
          <w:sz w:val="18"/>
        </w:rPr>
      </w:pPr>
    </w:p>
    <w:p w:rsidR="0044250C" w:rsidP="00FC51AE" w:rsidRDefault="0044250C" w14:paraId="67DF0B68" w14:textId="77777777">
      <w:pPr>
        <w:rPr>
          <w:b/>
          <w:sz w:val="18"/>
        </w:rPr>
      </w:pPr>
    </w:p>
    <w:p w:rsidR="0044250C" w:rsidP="00FC51AE" w:rsidRDefault="0044250C" w14:paraId="72C590DC" w14:textId="77777777">
      <w:pPr>
        <w:rPr>
          <w:b/>
          <w:sz w:val="18"/>
        </w:rPr>
      </w:pPr>
    </w:p>
    <w:p w:rsidR="0044250C" w:rsidP="00FC51AE" w:rsidRDefault="0044250C" w14:paraId="20534055" w14:textId="77777777">
      <w:pPr>
        <w:rPr>
          <w:b/>
          <w:sz w:val="18"/>
        </w:rPr>
      </w:pPr>
    </w:p>
    <w:p w:rsidRPr="0049257D" w:rsidR="0044250C" w:rsidP="00FC51AE" w:rsidRDefault="0044250C" w14:paraId="34D7D2D3" w14:textId="77777777">
      <w:pPr>
        <w:rPr>
          <w:b/>
          <w:szCs w:val="19"/>
        </w:rPr>
      </w:pPr>
    </w:p>
    <w:p w:rsidR="00EA2F45" w:rsidP="00FA7E22" w:rsidRDefault="00EA2F45" w14:paraId="56BFA93D" w14:textId="77777777">
      <w:pPr>
        <w:rPr>
          <w:b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353180CD" wp14:anchorId="1B696417">
            <wp:simplePos x="0" y="0"/>
            <wp:positionH relativeFrom="column">
              <wp:posOffset>3976</wp:posOffset>
            </wp:positionH>
            <wp:positionV relativeFrom="paragraph">
              <wp:posOffset>-2712830</wp:posOffset>
            </wp:positionV>
            <wp:extent cx="5122545" cy="2829560"/>
            <wp:effectExtent l="0" t="0" r="1905" b="8890"/>
            <wp:wrapNone/>
            <wp:docPr id="11" name="Wykres 11" descr="Wykres 2. zaiwerający zZmiany cen lokali mieszkalnych w w latach 2011-2022 w stosunku do roku poprzedniego 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A7E22" w:rsidR="00FC51AE" w:rsidP="00FA7E22" w:rsidRDefault="00EA2F45" w14:paraId="11CC7908" w14:textId="77777777">
      <w:pPr>
        <w:rPr>
          <w:b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editId="3F1EEDF2" wp14:anchorId="47270606">
            <wp:simplePos x="0" y="0"/>
            <wp:positionH relativeFrom="column">
              <wp:posOffset>3976</wp:posOffset>
            </wp:positionH>
            <wp:positionV relativeFrom="paragraph">
              <wp:posOffset>205297</wp:posOffset>
            </wp:positionV>
            <wp:extent cx="5122545" cy="3132649"/>
            <wp:effectExtent l="0" t="0" r="1905" b="0"/>
            <wp:wrapNone/>
            <wp:docPr id="14" name="Wykres 14" descr="Wykres 3. zawierający zmiany cen lokali mieszkalnych w latach 2010-2022 w stosunku do 2015 r.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E22" w:rsidR="00FC51AE">
        <w:rPr>
          <w:b/>
          <w:szCs w:val="19"/>
        </w:rPr>
        <w:t xml:space="preserve">Wykres 3. </w:t>
      </w:r>
      <w:r w:rsidRPr="00FA7E22" w:rsidR="00044459">
        <w:rPr>
          <w:b/>
          <w:szCs w:val="19"/>
        </w:rPr>
        <w:t>Zmiany c</w:t>
      </w:r>
      <w:r w:rsidRPr="00FA7E22" w:rsidR="00FC51AE">
        <w:rPr>
          <w:b/>
          <w:szCs w:val="19"/>
        </w:rPr>
        <w:t>en lokali mieszkalnych w stosunku do 2015 r.</w:t>
      </w:r>
    </w:p>
    <w:p w:rsidR="00044459" w:rsidP="00FC51AE" w:rsidRDefault="00044459" w14:paraId="6C4BE2A6" w14:textId="77777777">
      <w:pPr>
        <w:rPr>
          <w:b/>
          <w:sz w:val="18"/>
        </w:rPr>
      </w:pPr>
    </w:p>
    <w:p w:rsidR="00044459" w:rsidP="00FC51AE" w:rsidRDefault="00044459" w14:paraId="3642E3BB" w14:textId="77777777">
      <w:pPr>
        <w:rPr>
          <w:b/>
          <w:sz w:val="18"/>
        </w:rPr>
      </w:pPr>
    </w:p>
    <w:p w:rsidR="00044459" w:rsidP="00FC51AE" w:rsidRDefault="00044459" w14:paraId="3F27464A" w14:textId="77777777">
      <w:pPr>
        <w:rPr>
          <w:b/>
          <w:sz w:val="18"/>
        </w:rPr>
      </w:pPr>
    </w:p>
    <w:p w:rsidR="00044459" w:rsidP="00FC51AE" w:rsidRDefault="00044459" w14:paraId="60C0580D" w14:textId="77777777">
      <w:pPr>
        <w:rPr>
          <w:b/>
          <w:sz w:val="18"/>
        </w:rPr>
      </w:pPr>
    </w:p>
    <w:p w:rsidR="00044459" w:rsidP="00FC51AE" w:rsidRDefault="00044459" w14:paraId="4DFEDC63" w14:textId="77777777">
      <w:pPr>
        <w:rPr>
          <w:b/>
          <w:sz w:val="18"/>
        </w:rPr>
      </w:pPr>
    </w:p>
    <w:p w:rsidR="00044459" w:rsidP="00FC51AE" w:rsidRDefault="00044459" w14:paraId="4559B0DC" w14:textId="77777777">
      <w:pPr>
        <w:rPr>
          <w:b/>
          <w:sz w:val="18"/>
        </w:rPr>
      </w:pPr>
    </w:p>
    <w:p w:rsidR="00044459" w:rsidP="00FC51AE" w:rsidRDefault="00044459" w14:paraId="1CE2BB2B" w14:textId="77777777">
      <w:pPr>
        <w:rPr>
          <w:b/>
          <w:sz w:val="18"/>
        </w:rPr>
      </w:pPr>
    </w:p>
    <w:p w:rsidR="00044459" w:rsidP="00FC51AE" w:rsidRDefault="00044459" w14:paraId="413332E5" w14:textId="77777777">
      <w:pPr>
        <w:rPr>
          <w:b/>
          <w:sz w:val="18"/>
        </w:rPr>
      </w:pPr>
    </w:p>
    <w:p w:rsidR="00044459" w:rsidP="00FC51AE" w:rsidRDefault="00044459" w14:paraId="64343F99" w14:textId="77777777">
      <w:pPr>
        <w:rPr>
          <w:b/>
          <w:sz w:val="18"/>
        </w:rPr>
      </w:pPr>
    </w:p>
    <w:p w:rsidR="00044459" w:rsidP="00FC51AE" w:rsidRDefault="00044459" w14:paraId="4378CA91" w14:textId="77777777">
      <w:pPr>
        <w:rPr>
          <w:b/>
          <w:sz w:val="18"/>
        </w:rPr>
      </w:pPr>
    </w:p>
    <w:p w:rsidR="00044459" w:rsidP="00FC51AE" w:rsidRDefault="00044459" w14:paraId="0BFFEB6E" w14:textId="77777777">
      <w:pPr>
        <w:rPr>
          <w:b/>
          <w:sz w:val="18"/>
        </w:rPr>
      </w:pPr>
    </w:p>
    <w:p w:rsidR="00A639D0" w:rsidP="00E76D26" w:rsidRDefault="00A639D0" w14:paraId="73F78AC3" w14:textId="77777777"/>
    <w:p w:rsidR="00EA2F45" w:rsidP="00E76D26" w:rsidRDefault="00EA2F45" w14:paraId="7A9356B1" w14:textId="77777777"/>
    <w:p w:rsidR="00EA2F45" w:rsidP="00E76D26" w:rsidRDefault="00EA2F45" w14:paraId="0171CE3F" w14:textId="77777777"/>
    <w:p w:rsidR="002021D2" w:rsidP="00E76D26" w:rsidRDefault="002021D2" w14:paraId="060209CD" w14:textId="77777777">
      <w:pPr>
        <w:rPr>
          <w:b/>
          <w:sz w:val="18"/>
          <w:szCs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Pr="00001C5B" w:rsidR="0059548E" w:rsidP="0035791A" w:rsidRDefault="0059548E" w14:paraId="173EB8D2" w14:textId="77777777">
      <w:pPr>
        <w:ind w:right="129"/>
        <w:rPr>
          <w:sz w:val="18"/>
        </w:rPr>
        <w:sectPr w:rsidRPr="00001C5B" w:rsidR="0059548E" w:rsidSect="0011628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6A68CE" w:rsidTr="00585B16" w14:paraId="0DE7DF12" w14:textId="77777777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Pr="004A1D19" w:rsidR="006A68CE" w:rsidP="00585B16" w:rsidRDefault="006A68CE" w14:paraId="5C4509DE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6A68CE" w:rsidP="00585B16" w:rsidRDefault="006A68CE" w14:paraId="5F985F59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Pr="00DE2400" w:rsidR="006A68CE" w:rsidP="00585B16" w:rsidRDefault="006A68CE" w14:paraId="738EB33E" w14:textId="77777777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:rsidR="006A68CE" w:rsidP="00585B16" w:rsidRDefault="006A68CE" w14:paraId="447F5087" w14:textId="77777777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</w:t>
            </w:r>
            <w:r w:rsidR="00356C70">
              <w:rPr>
                <w:rFonts w:cs="Arial"/>
                <w:color w:val="000000" w:themeColor="text1"/>
                <w:sz w:val="20"/>
                <w:lang w:val="fi-FI"/>
              </w:rPr>
              <w:t>.</w:t>
            </w: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Pr="004A1D19" w:rsidR="006A68CE" w:rsidP="00585B16" w:rsidRDefault="006A68CE" w14:paraId="63412062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6A68CE" w:rsidP="00585B16" w:rsidRDefault="006A68CE" w14:paraId="54844B8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6A68CE" w:rsidP="00585B16" w:rsidRDefault="006A68CE" w14:paraId="72528AE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356C70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6A68CE" w:rsidP="00585B16" w:rsidRDefault="006A68CE" w14:paraId="63A6B7D9" w14:textId="77777777">
            <w:pPr>
              <w:rPr>
                <w:sz w:val="18"/>
              </w:rPr>
            </w:pPr>
          </w:p>
        </w:tc>
      </w:tr>
      <w:tr w:rsidR="006A68CE" w:rsidTr="00585B16" w14:paraId="7C859A80" w14:textId="77777777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C91687" w:rsidR="006A68CE" w:rsidP="00585B16" w:rsidRDefault="006A68CE" w14:paraId="136563D9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6A68CE" w:rsidP="00585B16" w:rsidRDefault="006A68CE" w14:paraId="33B4390D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356C70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92372C" w:rsidR="006A68CE" w:rsidP="00585B16" w:rsidRDefault="006A68CE" w14:paraId="23FD6A90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7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8CE" w:rsidP="00585B16" w:rsidRDefault="006A68CE" w14:paraId="4BEDCAB0" w14:textId="77777777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6960" behindDoc="0" locked="0" layoutInCell="1" allowOverlap="1" wp14:editId="7B4BB5E8" wp14:anchorId="209B27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6" name="Obraz 1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6A68CE" w:rsidTr="00585B16" w14:paraId="27734AEA" w14:textId="77777777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68CE" w:rsidP="00585B16" w:rsidRDefault="006A68CE" w14:paraId="2C85152A" w14:textId="77777777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8CE" w:rsidP="00585B16" w:rsidRDefault="006A68CE" w14:paraId="0889BF0F" w14:textId="77777777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7984" behindDoc="0" locked="0" layoutInCell="1" allowOverlap="1" wp14:editId="4ED7CC7C" wp14:anchorId="228E797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6A68CE" w:rsidTr="00585B16" w14:paraId="4014036C" w14:textId="77777777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68CE" w:rsidP="00585B16" w:rsidRDefault="006A68CE" w14:paraId="0D0DA9C9" w14:textId="77777777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6A68CE" w:rsidP="00585B16" w:rsidRDefault="006A68CE" w14:paraId="60372F07" w14:textId="77777777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0F070079" wp14:anchorId="47CC989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3D5F42" w:rsidR="006A68CE" w:rsidTr="00585B16" w14:paraId="0F1DA5B0" w14:textId="77777777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6A68CE" w:rsidP="00585B16" w:rsidRDefault="006A68CE" w14:paraId="5AD424F1" w14:textId="77777777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Pr="003D5F42" w:rsidR="006A68CE" w:rsidP="00585B16" w:rsidRDefault="006A68CE" w14:paraId="179A222C" w14:textId="77777777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editId="02539F25" wp14:anchorId="1AA9E2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Pr="003D5F42" w:rsidR="006A68CE" w:rsidTr="00585B16" w14:paraId="3D2C9783" w14:textId="77777777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6A68CE" w:rsidP="00585B16" w:rsidRDefault="006A68CE" w14:paraId="7F6A1126" w14:textId="77777777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Pr="003D5F42" w:rsidR="006A68CE" w:rsidP="00585B16" w:rsidRDefault="006A68CE" w14:paraId="2320D232" w14:textId="77777777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561B1109" wp14:anchorId="5D0CFB8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Pr="003D5F42" w:rsidR="006A68CE" w:rsidTr="00585B16" w14:paraId="2BB4514F" w14:textId="77777777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6A68CE" w:rsidP="00585B16" w:rsidRDefault="006A68CE" w14:paraId="72BD6423" w14:textId="77777777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Pr="003D5F42" w:rsidR="006A68CE" w:rsidP="00585B16" w:rsidRDefault="006A68CE" w14:paraId="66B793F7" w14:textId="77777777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54BAB440" wp14:anchorId="67697B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9" name="Obraz 29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68CE" w:rsidTr="00F2381E" w14:paraId="7AAE7EEB" w14:textId="77777777">
        <w:trPr>
          <w:trHeight w:val="7317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CE" w:rsidP="00585B16" w:rsidRDefault="006A68CE" w14:paraId="3FA010BA" w14:textId="77777777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23104" behindDoc="0" locked="0" layoutInCell="1" allowOverlap="1" wp14:editId="731946C3" wp14:anchorId="19A1E6A0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202565</wp:posOffset>
                      </wp:positionV>
                      <wp:extent cx="6559550" cy="4362450"/>
                      <wp:effectExtent l="0" t="0" r="12700" b="19050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436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8CE" w:rsidP="006A68CE" w:rsidRDefault="006A68CE" w14:paraId="68F4A0E2" w14:textId="7777777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Pr="00EE456A" w:rsidR="006A68CE" w:rsidP="006A68CE" w:rsidRDefault="006A68CE" w14:paraId="0BCCDED6" w14:textId="77777777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:rsidRPr="00174B78" w:rsidR="006A68CE" w:rsidP="006A68CE" w:rsidRDefault="006A68CE" w14:paraId="4D8D7E53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B73D10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:rsidRPr="00174B78" w:rsidR="006A68CE" w:rsidP="006A68CE" w:rsidRDefault="006A68CE" w14:paraId="4834140A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B73D10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"https://stat.gov.pl/sygnalne/komunikaty-i-obwieszczenia/lista-komunikatow-i-obwieszczen/komunikat-w-sprawie-ceny-1m2-powierzchni-uzytkowej-budynku-mieszkalnego-za-pierwszy-kwartal-2023-r-,265,38.html" \o "Link do Komunikatu w sprawie ceny 1 m2 powierzchni użytkowej budynku mieszkalnego za I kwartał 2022 r."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:rsidRPr="00F163E2" w:rsidR="006A68CE" w:rsidP="006A68CE" w:rsidRDefault="006A68CE" w14:paraId="10F18DF7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B73D10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</w:t>
                                  </w:r>
                                  <w:r w:rsidR="00B73D10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1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:rsidRPr="00EE456A" w:rsidR="006A68CE" w:rsidP="006A68CE" w:rsidRDefault="006A68CE" w14:paraId="1DDFF767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:rsidRPr="002940EF" w:rsidR="006A68CE" w:rsidP="006A68CE" w:rsidRDefault="006A68CE" w14:paraId="3422E683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:rsidRPr="00174B78" w:rsidR="006A68CE" w:rsidP="006A68CE" w:rsidRDefault="006A68CE" w14:paraId="39F1FCFE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:rsidRPr="00174B78" w:rsidR="006A68CE" w:rsidP="006A68CE" w:rsidRDefault="006A68CE" w14:paraId="1383681B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:rsidR="006A68CE" w:rsidP="006A68CE" w:rsidRDefault="006A68CE" w14:paraId="333D8064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:rsidR="006A68CE" w:rsidP="006A68CE" w:rsidRDefault="006A68CE" w14:paraId="59735917" w14:textId="77777777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:rsidRPr="00174B78" w:rsidR="006A68CE" w:rsidP="006A68CE" w:rsidRDefault="006A68CE" w14:paraId="392D9C40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:rsidRPr="00174B78" w:rsidR="006A68CE" w:rsidP="006A68CE" w:rsidRDefault="006A68CE" w14:paraId="25D01560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:rsidRPr="00174B78" w:rsidR="006A68CE" w:rsidP="006A68CE" w:rsidRDefault="006A68CE" w14:paraId="3AD0BA59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w:tooltip="Link do pojęcia: Lokal" w:history="1" r:id="rId24">
                                    <w:r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:rsidR="006A68CE" w:rsidP="006A68CE" w:rsidRDefault="0086036A" w14:paraId="7489C431" w14:textId="77777777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hyperlink w:tooltip="Link do pojęcia: Wskaźniki cen lokali mieszkalnych" w:history="1" r:id="rId25">
                                    <w:r w:rsidRPr="00174B78" w:rsidR="006A68CE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  <w:p w:rsidRPr="00723E94" w:rsidR="00446B4F" w:rsidP="00F2381E" w:rsidRDefault="0086036A" w14:paraId="6438802A" w14:textId="77777777">
                                  <w:pPr>
                                    <w:spacing w:after="480"/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w:tooltip="Link do pojęcia: Transakcja kupna/sprzedaży nieruchomości" w:history="1" r:id="rId26">
                                    <w:r w:rsidRPr="00446B4F" w:rsidR="00446B4F">
                                      <w:rPr>
                                        <w:rStyle w:val="Hipercze"/>
                                        <w:rFonts w:cs="Arial"/>
                                      </w:rPr>
                                      <w:t>Transakcja kupna/sprzedaży nieruchomości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-.15pt;margin-top:15.95pt;width:516.5pt;height:343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" w14:anchorId="19A1E6A0">
                      <v:textbox>
                        <w:txbxContent>
                          <w:p w:rsidR="006A68CE" w:rsidP="006A68CE" w:rsidRDefault="006A68CE" w14:paraId="68F4A0E2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EE456A" w:rsidR="006A68CE" w:rsidP="006A68CE" w:rsidRDefault="006A68CE" w14:paraId="0BCCDED6" w14:textId="77777777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174B78" w:rsidR="006A68CE" w:rsidP="006A68CE" w:rsidRDefault="006A68CE" w14:paraId="4D8D7E53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B73D10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:rsidRPr="00174B78" w:rsidR="006A68CE" w:rsidP="006A68CE" w:rsidRDefault="006A68CE" w14:paraId="4834140A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B73D10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"https://stat.gov.pl/sygnalne/komunikaty-i-obwieszczenia/lista-komunikatow-i-obwieszczen/komunikat-w-sprawie-ceny-1m2-powierzchni-uzytkowej-budynku-mieszkalnego-za-pierwszy-kwartal-2023-r-,265,38.html" \o "Link do Komunikatu w sprawie ceny 1 m2 powierzchni użytkowej budynku mieszkalnego za I kwartał 2022 r."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:rsidRPr="00F163E2" w:rsidR="006A68CE" w:rsidP="006A68CE" w:rsidRDefault="006A68CE" w14:paraId="10F18DF7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B73D10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</w:t>
                            </w:r>
                            <w:r w:rsidR="00B73D10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1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:rsidRPr="00EE456A" w:rsidR="006A68CE" w:rsidP="006A68CE" w:rsidRDefault="006A68CE" w14:paraId="1DDFF76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:rsidRPr="002940EF" w:rsidR="006A68CE" w:rsidP="006A68CE" w:rsidRDefault="006A68CE" w14:paraId="3422E683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174B78" w:rsidR="006A68CE" w:rsidP="006A68CE" w:rsidRDefault="006A68CE" w14:paraId="39F1FCFE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Baza Wiedzy (DBW) Ceny</w:t>
                            </w:r>
                          </w:p>
                          <w:p w:rsidRPr="00174B78" w:rsidR="006A68CE" w:rsidP="006A68CE" w:rsidRDefault="006A68CE" w14:paraId="1383681B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Rynek nieruchomości</w:t>
                            </w:r>
                          </w:p>
                          <w:p w:rsidR="006A68CE" w:rsidP="006A68CE" w:rsidRDefault="006A68CE" w14:paraId="333D8064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6A68CE" w:rsidP="006A68CE" w:rsidRDefault="006A68CE" w14:paraId="5973591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174B78" w:rsidR="006A68CE" w:rsidP="006A68CE" w:rsidRDefault="006A68CE" w14:paraId="392D9C40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</w:t>
                            </w:r>
                          </w:p>
                          <w:p w:rsidRPr="00174B78" w:rsidR="006A68CE" w:rsidP="006A68CE" w:rsidRDefault="006A68CE" w14:paraId="25D01560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Nieruchomości (RCN)</w:t>
                            </w:r>
                          </w:p>
                          <w:p w:rsidRPr="00174B78" w:rsidR="006A68CE" w:rsidP="006A68CE" w:rsidRDefault="006A68CE" w14:paraId="3AD0BA59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w:tooltip="Link do pojęcia: Lokal" w:history="1" r:id="rId27">
                              <w:r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:rsidR="006A68CE" w:rsidP="006A68CE" w:rsidRDefault="00180FF7" w14:paraId="7489C431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tooltip="Link do pojęcia: Wskaźniki cen lokali mieszkalnych" w:history="1" r:id="rId28">
                              <w:r w:rsidRPr="00174B78" w:rsidR="006A68C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  <w:p w:rsidRPr="00723E94" w:rsidR="00446B4F" w:rsidP="00F2381E" w:rsidRDefault="00180FF7" w14:paraId="6438802A" w14:textId="77777777">
                            <w:pPr>
                              <w:spacing w:after="48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w:tooltip="Link do pojęcia: Transakcja kupna/sprzedaży nieruchomości" w:history="1" r:id="rId29">
                              <w:r w:rsidRPr="00446B4F" w:rsidR="00446B4F">
                                <w:rPr>
                                  <w:rStyle w:val="Hipercze"/>
                                  <w:rFonts w:cs="Arial"/>
                                </w:rPr>
                                <w:t>Transakcja kupna/sprzedaży nieruchomości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Pr="00001C5B" w:rsidR="00D261A2" w:rsidP="006A68CE" w:rsidRDefault="00D261A2" w14:paraId="1347E4ED" w14:textId="77777777">
      <w:pPr>
        <w:rPr>
          <w:sz w:val="18"/>
        </w:rPr>
      </w:pPr>
    </w:p>
    <w:sectPr w:rsidRPr="00001C5B" w:rsidR="00D261A2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91FB4" w14:textId="77777777" w:rsidR="006B326F" w:rsidRDefault="006B326F" w:rsidP="000662E2">
      <w:pPr>
        <w:spacing w:after="0" w:line="240" w:lineRule="auto"/>
      </w:pPr>
      <w:r>
        <w:separator/>
      </w:r>
    </w:p>
  </w:endnote>
  <w:endnote w:type="continuationSeparator" w:id="0">
    <w:p w14:paraId="67A4B28A" w14:textId="77777777" w:rsidR="006B326F" w:rsidRDefault="006B32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CFB6BBF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0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633714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0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D955936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603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06BDC" w14:textId="77777777" w:rsidR="006B326F" w:rsidRDefault="006B326F" w:rsidP="000662E2">
      <w:pPr>
        <w:spacing w:after="0" w:line="240" w:lineRule="auto"/>
      </w:pPr>
      <w:r>
        <w:separator/>
      </w:r>
    </w:p>
  </w:footnote>
  <w:footnote w:type="continuationSeparator" w:id="0">
    <w:p w14:paraId="739E684A" w14:textId="77777777" w:rsidR="006B326F" w:rsidRDefault="006B326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92FE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66E879" wp14:editId="54F12ED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751C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49C05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39DEA7E" wp14:editId="1C39CEC6">
              <wp:simplePos x="0" y="0"/>
              <wp:positionH relativeFrom="column">
                <wp:posOffset>5219700</wp:posOffset>
              </wp:positionH>
              <wp:positionV relativeFrom="paragraph">
                <wp:posOffset>791210</wp:posOffset>
              </wp:positionV>
              <wp:extent cx="1431290" cy="336550"/>
              <wp:effectExtent l="0" t="0" r="0" b="6350"/>
              <wp:wrapNone/>
              <wp:docPr id="4" name="Pole tekstowe 2" descr="Data publikacji: 31.07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8A979" w14:textId="77777777" w:rsidR="00FB16F3" w:rsidRPr="00C97596" w:rsidRDefault="0010505F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B4363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C4844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B16F3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8C7D2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: 31.07.2023" style="position:absolute;margin-left:411pt;margin-top:62.3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" filled="f" stroked="f">
              <v:textbox>
                <w:txbxContent>
                  <w:p w:rsidR="00FB16F3" w:rsidRPr="00C97596" w:rsidRDefault="0010505F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B4363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C4844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B16F3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70BE4417" wp14:editId="4E470F1B">
          <wp:extent cx="1219200" cy="677383"/>
          <wp:effectExtent l="0" t="0" r="0" b="889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1B5641" wp14:editId="0EC8AE1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B7DA1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00D3F6B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nH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yOIX11UuKiI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DdONnH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3CC78B5" wp14:editId="163FA05B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626715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F78C6A" wp14:editId="30D291A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Informacje sygnal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FFECA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C942D1">
                            <w:rPr>
                              <w:rFonts w:ascii="Fira Sans SemiBold" w:hAnsi="Fira Sans SemiBold"/>
                              <w:color w:val="001D77"/>
                            </w:rPr>
                            <w:t>a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842BA9" id="_x0000_s1033" type="#_x0000_t202" alt="Informacje sygnalne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C942D1">
                      <w:rPr>
                        <w:rFonts w:ascii="Fira Sans SemiBold" w:hAnsi="Fira Sans SemiBold"/>
                        <w:color w:val="001D77"/>
                      </w:rPr>
                      <w:t>a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DFC53" w14:textId="77777777" w:rsidR="00F22BD7" w:rsidRDefault="00F22BD7">
    <w:pPr>
      <w:pStyle w:val="Nagwek"/>
    </w:pPr>
  </w:p>
  <w:p w14:paraId="6D75D0D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15pt;height:122.15pt;visibility:visible;mso-wrap-style:square" o:bullet="t">
        <v:imagedata r:id="rId1" o:title=""/>
      </v:shape>
    </w:pict>
  </w:numPicBullet>
  <w:numPicBullet w:numPicBulletId="1">
    <w:pict>
      <v:shape id="_x0000_i1029" type="#_x0000_t75" style="width:122.15pt;height:122.1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5BF5"/>
    <w:rsid w:val="0000709F"/>
    <w:rsid w:val="000108B8"/>
    <w:rsid w:val="00015039"/>
    <w:rsid w:val="000152F5"/>
    <w:rsid w:val="0002593D"/>
    <w:rsid w:val="000303A9"/>
    <w:rsid w:val="00032582"/>
    <w:rsid w:val="00033383"/>
    <w:rsid w:val="000359A8"/>
    <w:rsid w:val="000361EC"/>
    <w:rsid w:val="00043692"/>
    <w:rsid w:val="0004372E"/>
    <w:rsid w:val="00044459"/>
    <w:rsid w:val="0004582E"/>
    <w:rsid w:val="000470AA"/>
    <w:rsid w:val="00053CA1"/>
    <w:rsid w:val="000577AB"/>
    <w:rsid w:val="00057CA1"/>
    <w:rsid w:val="00057DB8"/>
    <w:rsid w:val="000631B8"/>
    <w:rsid w:val="000648F2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527F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0505F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47E6A"/>
    <w:rsid w:val="0015020E"/>
    <w:rsid w:val="0015664B"/>
    <w:rsid w:val="00162325"/>
    <w:rsid w:val="00171C8A"/>
    <w:rsid w:val="00177074"/>
    <w:rsid w:val="00177518"/>
    <w:rsid w:val="00180FF7"/>
    <w:rsid w:val="001829BB"/>
    <w:rsid w:val="0018393E"/>
    <w:rsid w:val="001951DA"/>
    <w:rsid w:val="001A297A"/>
    <w:rsid w:val="001A3839"/>
    <w:rsid w:val="001B12D0"/>
    <w:rsid w:val="001B6BCF"/>
    <w:rsid w:val="001C3269"/>
    <w:rsid w:val="001C4B0F"/>
    <w:rsid w:val="001C6A8D"/>
    <w:rsid w:val="001D1DB4"/>
    <w:rsid w:val="001E05F2"/>
    <w:rsid w:val="001E1388"/>
    <w:rsid w:val="001E4EDE"/>
    <w:rsid w:val="001F043B"/>
    <w:rsid w:val="001F32F0"/>
    <w:rsid w:val="001F4522"/>
    <w:rsid w:val="001F4FD0"/>
    <w:rsid w:val="002021D2"/>
    <w:rsid w:val="00204445"/>
    <w:rsid w:val="00211688"/>
    <w:rsid w:val="00213227"/>
    <w:rsid w:val="0021361D"/>
    <w:rsid w:val="002240B0"/>
    <w:rsid w:val="00233ED1"/>
    <w:rsid w:val="00241DC5"/>
    <w:rsid w:val="00241FAA"/>
    <w:rsid w:val="0025161B"/>
    <w:rsid w:val="002535A3"/>
    <w:rsid w:val="0025568B"/>
    <w:rsid w:val="002574F1"/>
    <w:rsid w:val="002574F9"/>
    <w:rsid w:val="00262B61"/>
    <w:rsid w:val="00266F56"/>
    <w:rsid w:val="00276811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0922"/>
    <w:rsid w:val="002F5A84"/>
    <w:rsid w:val="002F5DCE"/>
    <w:rsid w:val="002F77C8"/>
    <w:rsid w:val="0030228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6C70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75B98"/>
    <w:rsid w:val="003843DB"/>
    <w:rsid w:val="00393761"/>
    <w:rsid w:val="003971EE"/>
    <w:rsid w:val="00397D18"/>
    <w:rsid w:val="003A04BD"/>
    <w:rsid w:val="003A1B36"/>
    <w:rsid w:val="003B1454"/>
    <w:rsid w:val="003B18B6"/>
    <w:rsid w:val="003B46F7"/>
    <w:rsid w:val="003B55F1"/>
    <w:rsid w:val="003B56C8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3071"/>
    <w:rsid w:val="0042446D"/>
    <w:rsid w:val="00427BF8"/>
    <w:rsid w:val="004313A1"/>
    <w:rsid w:val="00431C02"/>
    <w:rsid w:val="00431FFC"/>
    <w:rsid w:val="00437162"/>
    <w:rsid w:val="00437395"/>
    <w:rsid w:val="00437A70"/>
    <w:rsid w:val="0044250C"/>
    <w:rsid w:val="00445047"/>
    <w:rsid w:val="00446B4F"/>
    <w:rsid w:val="0046113F"/>
    <w:rsid w:val="00462BE1"/>
    <w:rsid w:val="00463E39"/>
    <w:rsid w:val="004657FC"/>
    <w:rsid w:val="00471400"/>
    <w:rsid w:val="004733F6"/>
    <w:rsid w:val="00474E69"/>
    <w:rsid w:val="00480C23"/>
    <w:rsid w:val="004922E6"/>
    <w:rsid w:val="0049257D"/>
    <w:rsid w:val="0049621B"/>
    <w:rsid w:val="004A0769"/>
    <w:rsid w:val="004A2309"/>
    <w:rsid w:val="004A3D09"/>
    <w:rsid w:val="004A5625"/>
    <w:rsid w:val="004C03B9"/>
    <w:rsid w:val="004C1895"/>
    <w:rsid w:val="004C4F6A"/>
    <w:rsid w:val="004C6A44"/>
    <w:rsid w:val="004C6D40"/>
    <w:rsid w:val="004D435D"/>
    <w:rsid w:val="004D4E8A"/>
    <w:rsid w:val="004E0406"/>
    <w:rsid w:val="004E0A1B"/>
    <w:rsid w:val="004E6AB7"/>
    <w:rsid w:val="004F0C3C"/>
    <w:rsid w:val="004F1692"/>
    <w:rsid w:val="004F407F"/>
    <w:rsid w:val="004F5944"/>
    <w:rsid w:val="004F63FC"/>
    <w:rsid w:val="004F7947"/>
    <w:rsid w:val="0050168A"/>
    <w:rsid w:val="00505A92"/>
    <w:rsid w:val="00516876"/>
    <w:rsid w:val="0051704F"/>
    <w:rsid w:val="005203F1"/>
    <w:rsid w:val="00521BC3"/>
    <w:rsid w:val="00522E01"/>
    <w:rsid w:val="00525655"/>
    <w:rsid w:val="00531FB4"/>
    <w:rsid w:val="005326DA"/>
    <w:rsid w:val="00533632"/>
    <w:rsid w:val="00537A87"/>
    <w:rsid w:val="00540250"/>
    <w:rsid w:val="00541E6E"/>
    <w:rsid w:val="0054251F"/>
    <w:rsid w:val="00544C28"/>
    <w:rsid w:val="00546D08"/>
    <w:rsid w:val="0055059C"/>
    <w:rsid w:val="005520D8"/>
    <w:rsid w:val="005537CD"/>
    <w:rsid w:val="00556CF1"/>
    <w:rsid w:val="00562CA5"/>
    <w:rsid w:val="00563A09"/>
    <w:rsid w:val="005649A4"/>
    <w:rsid w:val="00573E8B"/>
    <w:rsid w:val="00574B3E"/>
    <w:rsid w:val="00575628"/>
    <w:rsid w:val="005762A7"/>
    <w:rsid w:val="005767A1"/>
    <w:rsid w:val="00577E69"/>
    <w:rsid w:val="00584789"/>
    <w:rsid w:val="005916D7"/>
    <w:rsid w:val="0059548E"/>
    <w:rsid w:val="005A172A"/>
    <w:rsid w:val="005A45AB"/>
    <w:rsid w:val="005A4B04"/>
    <w:rsid w:val="005A698C"/>
    <w:rsid w:val="005A7651"/>
    <w:rsid w:val="005B370F"/>
    <w:rsid w:val="005B4788"/>
    <w:rsid w:val="005C0760"/>
    <w:rsid w:val="005C3317"/>
    <w:rsid w:val="005D03A6"/>
    <w:rsid w:val="005D4FBE"/>
    <w:rsid w:val="005E0799"/>
    <w:rsid w:val="005E2468"/>
    <w:rsid w:val="005E3B8D"/>
    <w:rsid w:val="005F5A80"/>
    <w:rsid w:val="005F65FB"/>
    <w:rsid w:val="005F746D"/>
    <w:rsid w:val="0060175C"/>
    <w:rsid w:val="006044FF"/>
    <w:rsid w:val="00607CC5"/>
    <w:rsid w:val="00611B9A"/>
    <w:rsid w:val="0061228C"/>
    <w:rsid w:val="0061700A"/>
    <w:rsid w:val="006214C4"/>
    <w:rsid w:val="00624C6A"/>
    <w:rsid w:val="006254B7"/>
    <w:rsid w:val="00633014"/>
    <w:rsid w:val="0063437B"/>
    <w:rsid w:val="00634382"/>
    <w:rsid w:val="0064699F"/>
    <w:rsid w:val="00652B3E"/>
    <w:rsid w:val="00652F27"/>
    <w:rsid w:val="00653B61"/>
    <w:rsid w:val="00662CA4"/>
    <w:rsid w:val="00663083"/>
    <w:rsid w:val="00666E74"/>
    <w:rsid w:val="006673CA"/>
    <w:rsid w:val="00672450"/>
    <w:rsid w:val="00673C26"/>
    <w:rsid w:val="00674C69"/>
    <w:rsid w:val="006755C8"/>
    <w:rsid w:val="006812AF"/>
    <w:rsid w:val="0068327D"/>
    <w:rsid w:val="00687D91"/>
    <w:rsid w:val="00694AF0"/>
    <w:rsid w:val="006A014C"/>
    <w:rsid w:val="006A2B3A"/>
    <w:rsid w:val="006A2E32"/>
    <w:rsid w:val="006A4686"/>
    <w:rsid w:val="006A68CE"/>
    <w:rsid w:val="006B0714"/>
    <w:rsid w:val="006B0E9E"/>
    <w:rsid w:val="006B20B0"/>
    <w:rsid w:val="006B220B"/>
    <w:rsid w:val="006B326F"/>
    <w:rsid w:val="006B5AE4"/>
    <w:rsid w:val="006C24D2"/>
    <w:rsid w:val="006D1507"/>
    <w:rsid w:val="006D245B"/>
    <w:rsid w:val="006D2B55"/>
    <w:rsid w:val="006D4054"/>
    <w:rsid w:val="006E01B6"/>
    <w:rsid w:val="006E02EC"/>
    <w:rsid w:val="006E095C"/>
    <w:rsid w:val="006E6B15"/>
    <w:rsid w:val="006F2F4D"/>
    <w:rsid w:val="006F317A"/>
    <w:rsid w:val="006F46FF"/>
    <w:rsid w:val="006F47D9"/>
    <w:rsid w:val="006F57E5"/>
    <w:rsid w:val="0070110C"/>
    <w:rsid w:val="00705D93"/>
    <w:rsid w:val="007068CE"/>
    <w:rsid w:val="00706967"/>
    <w:rsid w:val="007077A0"/>
    <w:rsid w:val="00712005"/>
    <w:rsid w:val="00713D6B"/>
    <w:rsid w:val="007211B1"/>
    <w:rsid w:val="00721227"/>
    <w:rsid w:val="0072213E"/>
    <w:rsid w:val="00723E94"/>
    <w:rsid w:val="007306DB"/>
    <w:rsid w:val="0073274E"/>
    <w:rsid w:val="007343FA"/>
    <w:rsid w:val="007347BF"/>
    <w:rsid w:val="0074184B"/>
    <w:rsid w:val="00741F37"/>
    <w:rsid w:val="00743605"/>
    <w:rsid w:val="00746187"/>
    <w:rsid w:val="00746E58"/>
    <w:rsid w:val="00747143"/>
    <w:rsid w:val="00755AF9"/>
    <w:rsid w:val="0076254F"/>
    <w:rsid w:val="00763D1B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0B9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1F9C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6B15"/>
    <w:rsid w:val="0081720D"/>
    <w:rsid w:val="0082084A"/>
    <w:rsid w:val="0082214F"/>
    <w:rsid w:val="00822E10"/>
    <w:rsid w:val="00825DC2"/>
    <w:rsid w:val="00832823"/>
    <w:rsid w:val="00834AD3"/>
    <w:rsid w:val="00836A8E"/>
    <w:rsid w:val="00841A4C"/>
    <w:rsid w:val="00841D7A"/>
    <w:rsid w:val="00843795"/>
    <w:rsid w:val="008464A2"/>
    <w:rsid w:val="008468D8"/>
    <w:rsid w:val="00847F0F"/>
    <w:rsid w:val="00852448"/>
    <w:rsid w:val="00854874"/>
    <w:rsid w:val="00855753"/>
    <w:rsid w:val="0086036A"/>
    <w:rsid w:val="00860B98"/>
    <w:rsid w:val="0087115A"/>
    <w:rsid w:val="00874689"/>
    <w:rsid w:val="0088088D"/>
    <w:rsid w:val="0088258A"/>
    <w:rsid w:val="0088490C"/>
    <w:rsid w:val="00884A82"/>
    <w:rsid w:val="00885566"/>
    <w:rsid w:val="00886332"/>
    <w:rsid w:val="008916D9"/>
    <w:rsid w:val="00891A93"/>
    <w:rsid w:val="008A080B"/>
    <w:rsid w:val="008A26D9"/>
    <w:rsid w:val="008A6DEF"/>
    <w:rsid w:val="008B15C2"/>
    <w:rsid w:val="008B5D9F"/>
    <w:rsid w:val="008B63C3"/>
    <w:rsid w:val="008B6C72"/>
    <w:rsid w:val="008C0C29"/>
    <w:rsid w:val="008C3AD3"/>
    <w:rsid w:val="008D058D"/>
    <w:rsid w:val="008D0769"/>
    <w:rsid w:val="008D1A46"/>
    <w:rsid w:val="008E29EE"/>
    <w:rsid w:val="008F3638"/>
    <w:rsid w:val="008F4441"/>
    <w:rsid w:val="008F6F31"/>
    <w:rsid w:val="008F74DF"/>
    <w:rsid w:val="00903059"/>
    <w:rsid w:val="0090392A"/>
    <w:rsid w:val="00907E1E"/>
    <w:rsid w:val="009127BA"/>
    <w:rsid w:val="00914BE5"/>
    <w:rsid w:val="00921153"/>
    <w:rsid w:val="009227A6"/>
    <w:rsid w:val="00923C49"/>
    <w:rsid w:val="00925DF7"/>
    <w:rsid w:val="00933917"/>
    <w:rsid w:val="00933EC1"/>
    <w:rsid w:val="00936E45"/>
    <w:rsid w:val="00941485"/>
    <w:rsid w:val="009530DB"/>
    <w:rsid w:val="00953676"/>
    <w:rsid w:val="00964F91"/>
    <w:rsid w:val="0096551C"/>
    <w:rsid w:val="009676CA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6D2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1C47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636"/>
    <w:rsid w:val="00A42BEF"/>
    <w:rsid w:val="00A47D80"/>
    <w:rsid w:val="00A512FC"/>
    <w:rsid w:val="00A5235A"/>
    <w:rsid w:val="00A53132"/>
    <w:rsid w:val="00A55A03"/>
    <w:rsid w:val="00A563F2"/>
    <w:rsid w:val="00A566E8"/>
    <w:rsid w:val="00A56866"/>
    <w:rsid w:val="00A6355F"/>
    <w:rsid w:val="00A639D0"/>
    <w:rsid w:val="00A665AD"/>
    <w:rsid w:val="00A66CBC"/>
    <w:rsid w:val="00A71C78"/>
    <w:rsid w:val="00A7751E"/>
    <w:rsid w:val="00A775BE"/>
    <w:rsid w:val="00A810F9"/>
    <w:rsid w:val="00A86ECC"/>
    <w:rsid w:val="00A86FCC"/>
    <w:rsid w:val="00AA35E5"/>
    <w:rsid w:val="00AA4336"/>
    <w:rsid w:val="00AA6B32"/>
    <w:rsid w:val="00AA710D"/>
    <w:rsid w:val="00AB1D28"/>
    <w:rsid w:val="00AB2FF4"/>
    <w:rsid w:val="00AB6D25"/>
    <w:rsid w:val="00AC33D3"/>
    <w:rsid w:val="00AD13BB"/>
    <w:rsid w:val="00AD25B8"/>
    <w:rsid w:val="00AD3EDF"/>
    <w:rsid w:val="00AD70D1"/>
    <w:rsid w:val="00AE2D4B"/>
    <w:rsid w:val="00AE3070"/>
    <w:rsid w:val="00AE4F99"/>
    <w:rsid w:val="00AF0F7A"/>
    <w:rsid w:val="00AF2A58"/>
    <w:rsid w:val="00AF3B89"/>
    <w:rsid w:val="00AF4493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2F77"/>
    <w:rsid w:val="00B4363A"/>
    <w:rsid w:val="00B47A49"/>
    <w:rsid w:val="00B51CB3"/>
    <w:rsid w:val="00B523E7"/>
    <w:rsid w:val="00B653AB"/>
    <w:rsid w:val="00B656DD"/>
    <w:rsid w:val="00B65F9E"/>
    <w:rsid w:val="00B66B19"/>
    <w:rsid w:val="00B73097"/>
    <w:rsid w:val="00B73D10"/>
    <w:rsid w:val="00B76A98"/>
    <w:rsid w:val="00B7755D"/>
    <w:rsid w:val="00B813D6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70E"/>
    <w:rsid w:val="00BC3CBA"/>
    <w:rsid w:val="00BC4844"/>
    <w:rsid w:val="00BC7A84"/>
    <w:rsid w:val="00BD4E33"/>
    <w:rsid w:val="00BD5E55"/>
    <w:rsid w:val="00BE6E48"/>
    <w:rsid w:val="00BF0C5F"/>
    <w:rsid w:val="00BF5920"/>
    <w:rsid w:val="00C02346"/>
    <w:rsid w:val="00C030DE"/>
    <w:rsid w:val="00C073C5"/>
    <w:rsid w:val="00C135F6"/>
    <w:rsid w:val="00C1695A"/>
    <w:rsid w:val="00C22105"/>
    <w:rsid w:val="00C244B6"/>
    <w:rsid w:val="00C25A0A"/>
    <w:rsid w:val="00C277EB"/>
    <w:rsid w:val="00C3032C"/>
    <w:rsid w:val="00C33B6A"/>
    <w:rsid w:val="00C356C0"/>
    <w:rsid w:val="00C35C37"/>
    <w:rsid w:val="00C366D2"/>
    <w:rsid w:val="00C3702F"/>
    <w:rsid w:val="00C44EB3"/>
    <w:rsid w:val="00C4500A"/>
    <w:rsid w:val="00C454D0"/>
    <w:rsid w:val="00C45AAB"/>
    <w:rsid w:val="00C47C55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2D1"/>
    <w:rsid w:val="00C945FE"/>
    <w:rsid w:val="00C96FAA"/>
    <w:rsid w:val="00C97A04"/>
    <w:rsid w:val="00CA107B"/>
    <w:rsid w:val="00CA1832"/>
    <w:rsid w:val="00CA46FF"/>
    <w:rsid w:val="00CA484D"/>
    <w:rsid w:val="00CA4FB6"/>
    <w:rsid w:val="00CA7351"/>
    <w:rsid w:val="00CC20A6"/>
    <w:rsid w:val="00CC739E"/>
    <w:rsid w:val="00CC7C9C"/>
    <w:rsid w:val="00CD1D82"/>
    <w:rsid w:val="00CD4BCD"/>
    <w:rsid w:val="00CD5410"/>
    <w:rsid w:val="00CD58B7"/>
    <w:rsid w:val="00CD75A6"/>
    <w:rsid w:val="00CE0575"/>
    <w:rsid w:val="00CE4556"/>
    <w:rsid w:val="00CE5833"/>
    <w:rsid w:val="00CF3D9C"/>
    <w:rsid w:val="00CF4099"/>
    <w:rsid w:val="00D00796"/>
    <w:rsid w:val="00D01AE9"/>
    <w:rsid w:val="00D04E46"/>
    <w:rsid w:val="00D1473C"/>
    <w:rsid w:val="00D17E99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4742E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26CBD"/>
    <w:rsid w:val="00E32061"/>
    <w:rsid w:val="00E33AFB"/>
    <w:rsid w:val="00E34475"/>
    <w:rsid w:val="00E42FF9"/>
    <w:rsid w:val="00E43A8F"/>
    <w:rsid w:val="00E4613A"/>
    <w:rsid w:val="00E465DD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4F6F"/>
    <w:rsid w:val="00E866C0"/>
    <w:rsid w:val="00E9407E"/>
    <w:rsid w:val="00E940FD"/>
    <w:rsid w:val="00E945B7"/>
    <w:rsid w:val="00E970BA"/>
    <w:rsid w:val="00EA11F2"/>
    <w:rsid w:val="00EA2F45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4CB9"/>
    <w:rsid w:val="00F037A4"/>
    <w:rsid w:val="00F111EF"/>
    <w:rsid w:val="00F11DE6"/>
    <w:rsid w:val="00F140E4"/>
    <w:rsid w:val="00F22BD7"/>
    <w:rsid w:val="00F2381E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145A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A7E22"/>
    <w:rsid w:val="00FB16F3"/>
    <w:rsid w:val="00FB42D4"/>
    <w:rsid w:val="00FB5906"/>
    <w:rsid w:val="00FB762F"/>
    <w:rsid w:val="00FC2731"/>
    <w:rsid w:val="00FC2AED"/>
    <w:rsid w:val="00FC370E"/>
    <w:rsid w:val="00FC3B75"/>
    <w:rsid w:val="00FC4E4F"/>
    <w:rsid w:val="00FC5121"/>
    <w:rsid w:val="00FC51AE"/>
    <w:rsid w:val="00FC6D3E"/>
    <w:rsid w:val="00FD22C1"/>
    <w:rsid w:val="00FD2D95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6A03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6C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6CA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942D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942D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942D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942D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942D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942D1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stat.gov.pl/metainformacje/slownik-pojec/pojecia-stosowane-w-statystyce-publicznej/387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metainformacje/slownik-pojec/pojecia-stosowane-w-statystyce-publicznej/4103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metainformacje/slownik-pojec/pojecia-stosowane-w-statystyce-publicznej/387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://stat.gov.pl/metainformacje/slownik-pojec/pojecia-stosowane-w-statystyce-publicznej/1984,pojecie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W8_Nieruchomo&#347;ci\9_Informacje_sygnalne\Obr&#243;t_nieruchomo&#347;ciami\2022\Dane_do_info_syg_obr&#243;t_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Obr&#243;t_nieruchomo&#347;ciami\2022\Dane_do_info_syg_obr&#243;t_2022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Vmfgus09\hu\W8_Nieruchomo&#347;ci\9_Informacje_sygnalne\Obr&#243;t_nieruchomo&#347;ciami\2022\Dane_do_info_syg_obr&#243;t_202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nieruchomości lokalowe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wykres_1!$H$3:$H$19</c:f>
              <c:numCache>
                <c:formatCode>0.0</c:formatCode>
                <c:ptCount val="17"/>
                <c:pt idx="0">
                  <c:v>47.4</c:v>
                </c:pt>
                <c:pt idx="1">
                  <c:v>63.4</c:v>
                </c:pt>
                <c:pt idx="2">
                  <c:v>42.8</c:v>
                </c:pt>
                <c:pt idx="3">
                  <c:v>34.1</c:v>
                </c:pt>
                <c:pt idx="4">
                  <c:v>44.5</c:v>
                </c:pt>
                <c:pt idx="5">
                  <c:v>42.6</c:v>
                </c:pt>
                <c:pt idx="6">
                  <c:v>45.3</c:v>
                </c:pt>
                <c:pt idx="7">
                  <c:v>52.5</c:v>
                </c:pt>
                <c:pt idx="8">
                  <c:v>46.2</c:v>
                </c:pt>
                <c:pt idx="9">
                  <c:v>29</c:v>
                </c:pt>
                <c:pt idx="10">
                  <c:v>40.700000000000003</c:v>
                </c:pt>
                <c:pt idx="11">
                  <c:v>59.5</c:v>
                </c:pt>
                <c:pt idx="12">
                  <c:v>42.6</c:v>
                </c:pt>
                <c:pt idx="13">
                  <c:v>26.6</c:v>
                </c:pt>
                <c:pt idx="14">
                  <c:v>44.6</c:v>
                </c:pt>
                <c:pt idx="15">
                  <c:v>54.6</c:v>
                </c:pt>
                <c:pt idx="16">
                  <c:v>39.9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B5-49ED-BDE7-F6983865B5B4}"/>
            </c:ext>
          </c:extLst>
        </c:ser>
        <c:ser>
          <c:idx val="1"/>
          <c:order val="1"/>
          <c:tx>
            <c:strRef>
              <c:f>wykres_1!$C$2</c:f>
              <c:strCache>
                <c:ptCount val="1"/>
                <c:pt idx="0">
                  <c:v>nieruchomości zabudowane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wykres_1!$I$3:$I$19</c:f>
              <c:numCache>
                <c:formatCode>0.0</c:formatCode>
                <c:ptCount val="17"/>
                <c:pt idx="0">
                  <c:v>16.3</c:v>
                </c:pt>
                <c:pt idx="1">
                  <c:v>13.4</c:v>
                </c:pt>
                <c:pt idx="2">
                  <c:v>18.2</c:v>
                </c:pt>
                <c:pt idx="3">
                  <c:v>25.8</c:v>
                </c:pt>
                <c:pt idx="4">
                  <c:v>17.5</c:v>
                </c:pt>
                <c:pt idx="5">
                  <c:v>17</c:v>
                </c:pt>
                <c:pt idx="6">
                  <c:v>13.7</c:v>
                </c:pt>
                <c:pt idx="7">
                  <c:v>18.7</c:v>
                </c:pt>
                <c:pt idx="8">
                  <c:v>18.7</c:v>
                </c:pt>
                <c:pt idx="9">
                  <c:v>16.2</c:v>
                </c:pt>
                <c:pt idx="10">
                  <c:v>15.5</c:v>
                </c:pt>
                <c:pt idx="11">
                  <c:v>10.8</c:v>
                </c:pt>
                <c:pt idx="12">
                  <c:v>21</c:v>
                </c:pt>
                <c:pt idx="13">
                  <c:v>19.100000000000001</c:v>
                </c:pt>
                <c:pt idx="14">
                  <c:v>13.2</c:v>
                </c:pt>
                <c:pt idx="15">
                  <c:v>14</c:v>
                </c:pt>
                <c:pt idx="16">
                  <c:v>16.100000000000001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B5-49ED-BDE7-F6983865B5B4}"/>
            </c:ext>
          </c:extLst>
        </c:ser>
        <c:ser>
          <c:idx val="2"/>
          <c:order val="2"/>
          <c:tx>
            <c:strRef>
              <c:f>wykres_1!$D$2</c:f>
              <c:strCache>
                <c:ptCount val="1"/>
                <c:pt idx="0">
                  <c:v>nieruchomości niezabudowane</c:v>
                </c:pt>
              </c:strCache>
            </c:strRef>
          </c:tx>
          <c:spPr>
            <a:solidFill>
              <a:srgbClr val="AAA9A9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AAA9A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EB5-49ED-BDE7-F6983865B5B4}"/>
              </c:ext>
            </c:extLst>
          </c:dPt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wykres_1!$J$3:$J$19</c:f>
              <c:numCache>
                <c:formatCode>0.0</c:formatCode>
                <c:ptCount val="17"/>
                <c:pt idx="0">
                  <c:v>36.299999999999997</c:v>
                </c:pt>
                <c:pt idx="1">
                  <c:v>23.2</c:v>
                </c:pt>
                <c:pt idx="2">
                  <c:v>39</c:v>
                </c:pt>
                <c:pt idx="3">
                  <c:v>40.1</c:v>
                </c:pt>
                <c:pt idx="4">
                  <c:v>38</c:v>
                </c:pt>
                <c:pt idx="5">
                  <c:v>40.4</c:v>
                </c:pt>
                <c:pt idx="6">
                  <c:v>41</c:v>
                </c:pt>
                <c:pt idx="7">
                  <c:v>28.8</c:v>
                </c:pt>
                <c:pt idx="8">
                  <c:v>35.1</c:v>
                </c:pt>
                <c:pt idx="9">
                  <c:v>54.8</c:v>
                </c:pt>
                <c:pt idx="10">
                  <c:v>43.8</c:v>
                </c:pt>
                <c:pt idx="11">
                  <c:v>29.7</c:v>
                </c:pt>
                <c:pt idx="12">
                  <c:v>36.4</c:v>
                </c:pt>
                <c:pt idx="13">
                  <c:v>54.3</c:v>
                </c:pt>
                <c:pt idx="14">
                  <c:v>42.2</c:v>
                </c:pt>
                <c:pt idx="15">
                  <c:v>31.4</c:v>
                </c:pt>
                <c:pt idx="16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EB5-49ED-BDE7-F6983865B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861643328"/>
        <c:axId val="-861640608"/>
      </c:barChart>
      <c:catAx>
        <c:axId val="-86164332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61640608"/>
        <c:crosses val="autoZero"/>
        <c:auto val="1"/>
        <c:lblAlgn val="ctr"/>
        <c:lblOffset val="100"/>
        <c:noMultiLvlLbl val="0"/>
      </c:catAx>
      <c:valAx>
        <c:axId val="-86164060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164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/>
            </a:pPr>
            <a:r>
              <a:rPr lang="pl-PL" sz="9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3052105935623796E-3"/>
          <c:y val="3.065847693634346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5327878616111955E-2"/>
          <c:y val="9.0651558073654395E-2"/>
          <c:w val="0.94841234047621981"/>
          <c:h val="0.74847761593540185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wykres_2!$B$7:$M$7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wykres_2!$B$8:$M$8</c:f>
              <c:numCache>
                <c:formatCode>General</c:formatCode>
                <c:ptCount val="12"/>
                <c:pt idx="0">
                  <c:v>9.9999999999994302E-2</c:v>
                </c:pt>
                <c:pt idx="1">
                  <c:v>-3.5</c:v>
                </c:pt>
                <c:pt idx="2">
                  <c:v>-4.3</c:v>
                </c:pt>
                <c:pt idx="3">
                  <c:v>1</c:v>
                </c:pt>
                <c:pt idx="4">
                  <c:v>1.5</c:v>
                </c:pt>
                <c:pt idx="5">
                  <c:v>1.8</c:v>
                </c:pt>
                <c:pt idx="6">
                  <c:v>3.8</c:v>
                </c:pt>
                <c:pt idx="7">
                  <c:v>6.5</c:v>
                </c:pt>
                <c:pt idx="8">
                  <c:v>8.6999999999999993</c:v>
                </c:pt>
                <c:pt idx="9" formatCode="0.0">
                  <c:v>10.5</c:v>
                </c:pt>
                <c:pt idx="10" formatCode="0.0">
                  <c:v>9.1999999999999993</c:v>
                </c:pt>
                <c:pt idx="11" formatCode="0.0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D2B-4F94-829F-CDEE5A5C96B6}"/>
            </c:ext>
          </c:extLst>
        </c:ser>
        <c:ser>
          <c:idx val="1"/>
          <c:order val="1"/>
          <c:tx>
            <c:strRef>
              <c:f>wykres_2!$A$9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wykres_2!$B$7:$M$7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wykres_2!$B$9:$M$9</c:f>
              <c:numCache>
                <c:formatCode>General</c:formatCode>
                <c:ptCount val="12"/>
                <c:pt idx="0">
                  <c:v>1.0999999999999901</c:v>
                </c:pt>
                <c:pt idx="1">
                  <c:v>-0.5</c:v>
                </c:pt>
                <c:pt idx="2">
                  <c:v>-4.9000000000000101</c:v>
                </c:pt>
                <c:pt idx="3">
                  <c:v>0.5</c:v>
                </c:pt>
                <c:pt idx="4">
                  <c:v>2.5999999999999899</c:v>
                </c:pt>
                <c:pt idx="5">
                  <c:v>1.0999999999999901</c:v>
                </c:pt>
                <c:pt idx="6">
                  <c:v>3.2</c:v>
                </c:pt>
                <c:pt idx="7">
                  <c:v>5.5</c:v>
                </c:pt>
                <c:pt idx="8">
                  <c:v>6.7</c:v>
                </c:pt>
                <c:pt idx="9">
                  <c:v>6.2</c:v>
                </c:pt>
                <c:pt idx="10">
                  <c:v>9.0999999999999908</c:v>
                </c:pt>
                <c:pt idx="11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D2B-4F94-829F-CDEE5A5C96B6}"/>
            </c:ext>
          </c:extLst>
        </c:ser>
        <c:ser>
          <c:idx val="2"/>
          <c:order val="2"/>
          <c:tx>
            <c:strRef>
              <c:f>wykres_2!$A$10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numRef>
              <c:f>wykres_2!$B$7:$M$7</c:f>
              <c:numCache>
                <c:formatCode>General</c:formatCode>
                <c:ptCount val="12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</c:numCache>
            </c:numRef>
          </c:cat>
          <c:val>
            <c:numRef>
              <c:f>wykres_2!$B$10:$M$10</c:f>
              <c:numCache>
                <c:formatCode>General</c:formatCode>
                <c:ptCount val="12"/>
                <c:pt idx="0">
                  <c:v>-0.40000000000000602</c:v>
                </c:pt>
                <c:pt idx="1">
                  <c:v>-5.0999999999999899</c:v>
                </c:pt>
                <c:pt idx="2">
                  <c:v>-3.7</c:v>
                </c:pt>
                <c:pt idx="3">
                  <c:v>1.3</c:v>
                </c:pt>
                <c:pt idx="4">
                  <c:v>0.70000000000000295</c:v>
                </c:pt>
                <c:pt idx="5">
                  <c:v>2.5999999999999899</c:v>
                </c:pt>
                <c:pt idx="6">
                  <c:v>4.5</c:v>
                </c:pt>
                <c:pt idx="7">
                  <c:v>7.5999999999999899</c:v>
                </c:pt>
                <c:pt idx="8">
                  <c:v>10.4</c:v>
                </c:pt>
                <c:pt idx="9">
                  <c:v>13.8</c:v>
                </c:pt>
                <c:pt idx="10">
                  <c:v>9.3000000000000007</c:v>
                </c:pt>
                <c:pt idx="11">
                  <c:v>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D2B-4F94-829F-CDEE5A5C9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861646592"/>
        <c:axId val="-861640064"/>
      </c:lineChart>
      <c:catAx>
        <c:axId val="-86164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1640064"/>
        <c:crosses val="autoZero"/>
        <c:auto val="0"/>
        <c:lblAlgn val="ctr"/>
        <c:lblOffset val="100"/>
        <c:noMultiLvlLbl val="0"/>
      </c:catAx>
      <c:valAx>
        <c:axId val="-861640064"/>
        <c:scaling>
          <c:orientation val="minMax"/>
          <c:max val="14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164659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467840692468295"/>
          <c:y val="0.92508093131087521"/>
          <c:w val="0.66055993651593103"/>
          <c:h val="7.4919068689124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/>
            </a:pPr>
            <a:r>
              <a:rPr lang="pl-PL" sz="9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2.1508839844257095E-3"/>
          <c:y val="1.133136788876456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1916420021965342E-2"/>
          <c:y val="8.4370042785747668E-2"/>
          <c:w val="0.95051856815770364"/>
          <c:h val="0.75475899759105469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wykres_3!$B$7:$N$7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wykres_3!$B$8:$N$8</c:f>
              <c:numCache>
                <c:formatCode>0.0</c:formatCode>
                <c:ptCount val="13"/>
                <c:pt idx="0">
                  <c:v>5.6</c:v>
                </c:pt>
                <c:pt idx="1">
                  <c:v>5.7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</c:v>
                </c:pt>
                <c:pt idx="7">
                  <c:v>5.8</c:v>
                </c:pt>
                <c:pt idx="8">
                  <c:v>12.7</c:v>
                </c:pt>
                <c:pt idx="9">
                  <c:v>22.5</c:v>
                </c:pt>
                <c:pt idx="10">
                  <c:v>35.4</c:v>
                </c:pt>
                <c:pt idx="11">
                  <c:v>47.8</c:v>
                </c:pt>
                <c:pt idx="12">
                  <c:v>65.2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A37-455C-AC81-1DB9BA8433F0}"/>
            </c:ext>
          </c:extLst>
        </c:ser>
        <c:ser>
          <c:idx val="1"/>
          <c:order val="1"/>
          <c:tx>
            <c:strRef>
              <c:f>wykres_3!$A$9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wykres_3!$B$7:$N$7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wykres_3!$B$9:$N$9</c:f>
              <c:numCache>
                <c:formatCode>0.0</c:formatCode>
                <c:ptCount val="13"/>
                <c:pt idx="0">
                  <c:v>1.3</c:v>
                </c:pt>
                <c:pt idx="1">
                  <c:v>2.4</c:v>
                </c:pt>
                <c:pt idx="2">
                  <c:v>1.9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1.1000000000000001</c:v>
                </c:pt>
                <c:pt idx="7">
                  <c:v>4.3</c:v>
                </c:pt>
                <c:pt idx="8">
                  <c:v>10</c:v>
                </c:pt>
                <c:pt idx="9">
                  <c:v>17.399999999999999</c:v>
                </c:pt>
                <c:pt idx="10">
                  <c:v>24.7</c:v>
                </c:pt>
                <c:pt idx="11">
                  <c:v>36</c:v>
                </c:pt>
                <c:pt idx="12">
                  <c:v>52.1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A37-455C-AC81-1DB9BA8433F0}"/>
            </c:ext>
          </c:extLst>
        </c:ser>
        <c:ser>
          <c:idx val="2"/>
          <c:order val="2"/>
          <c:tx>
            <c:strRef>
              <c:f>wykres_3!$A$10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numRef>
              <c:f>wykres_3!$B$7:$N$7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wykres_3!$B$10:$N$10</c:f>
              <c:numCache>
                <c:formatCode>0.0</c:formatCode>
                <c:ptCount val="13"/>
                <c:pt idx="0">
                  <c:v>7.7</c:v>
                </c:pt>
                <c:pt idx="1">
                  <c:v>7.3</c:v>
                </c:pt>
                <c:pt idx="2">
                  <c:v>1.9</c:v>
                </c:pt>
                <c:pt idx="3">
                  <c:v>-1.9</c:v>
                </c:pt>
                <c:pt idx="4">
                  <c:v>-0.7</c:v>
                </c:pt>
                <c:pt idx="5">
                  <c:v>0</c:v>
                </c:pt>
                <c:pt idx="6">
                  <c:v>2.5</c:v>
                </c:pt>
                <c:pt idx="7">
                  <c:v>7.1</c:v>
                </c:pt>
                <c:pt idx="8">
                  <c:v>15.2</c:v>
                </c:pt>
                <c:pt idx="9">
                  <c:v>27.2</c:v>
                </c:pt>
                <c:pt idx="10">
                  <c:v>44.7</c:v>
                </c:pt>
                <c:pt idx="11">
                  <c:v>58.1</c:v>
                </c:pt>
                <c:pt idx="12">
                  <c:v>76.7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A37-455C-AC81-1DB9BA8433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861642784"/>
        <c:axId val="-861642240"/>
      </c:lineChart>
      <c:catAx>
        <c:axId val="-86164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1642240"/>
        <c:crosses val="autoZero"/>
        <c:auto val="0"/>
        <c:lblAlgn val="ctr"/>
        <c:lblOffset val="100"/>
        <c:noMultiLvlLbl val="0"/>
      </c:catAx>
      <c:valAx>
        <c:axId val="-861642240"/>
        <c:scaling>
          <c:orientation val="minMax"/>
          <c:max val="80"/>
          <c:min val="-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164278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19917052949266"/>
          <c:y val="0.92827095680544491"/>
          <c:w val="0.66055993651593103"/>
          <c:h val="6.76747151994202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Obrót_nieruchomości_w_2022_roku_informacja_sygnalna_v2.docx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1F38-AE20-42A3-836B-778DF9745ED5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33B5ED9E-46A5-4FC0-84F5-B288AE2EC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ModifiedBy>Kaczor Małgorzata</cp:lastModifiedBy>
  <cp:revision>3</cp:revision>
  <cp:lastPrinted>2023-07-28T07:04:00Z</cp:lastPrinted>
  <dcterms:created xsi:type="dcterms:W3CDTF">2023-07-31T11:24:00Z</dcterms:created>
  <dcterms:modified xsi:type="dcterms:W3CDTF">2023-07-31T11:38:00Z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GUS-HU05.6362.3.2023.2</vt:lpwstr>
  </property>
  <property fmtid="{D5CDD505-2E9C-101B-9397-08002B2CF9AE}" pid="4" name="UNPPisma">
    <vt:lpwstr>2023-169567</vt:lpwstr>
  </property>
  <property fmtid="{D5CDD505-2E9C-101B-9397-08002B2CF9AE}" pid="5" name="ZnakSprawy">
    <vt:lpwstr>GUS-HU05.6362.3.2023</vt:lpwstr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"Obrót nieruchomościami w 2022 r." - Rewizja danych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2023-07-31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