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2B5A9" w14:textId="78A90BE0" w:rsidR="00223EFE" w:rsidRPr="0009456F" w:rsidRDefault="00223EFE" w:rsidP="00223EFE">
      <w:pPr>
        <w:pStyle w:val="Bezodstpw"/>
        <w:spacing w:before="120"/>
        <w:rPr>
          <w:rFonts w:ascii="Fira Sans SemiBold" w:hAnsi="Fira Sans SemiBold" w:cs="Arial"/>
          <w:spacing w:val="-20"/>
          <w:sz w:val="40"/>
          <w:szCs w:val="40"/>
        </w:rPr>
      </w:pPr>
      <w:r w:rsidRPr="0009456F">
        <w:rPr>
          <w:rFonts w:ascii="Fira Sans SemiBold" w:hAnsi="Fira Sans SemiBold" w:cs="Arial"/>
          <w:spacing w:val="-20"/>
          <w:sz w:val="40"/>
          <w:szCs w:val="40"/>
        </w:rPr>
        <w:t>Wydatki na ochronę zdrowia</w:t>
      </w:r>
      <w:r w:rsidR="0009456F">
        <w:rPr>
          <w:rFonts w:ascii="Fira Sans SemiBold" w:hAnsi="Fira Sans SemiBold" w:cs="Arial"/>
          <w:spacing w:val="-20"/>
          <w:sz w:val="40"/>
          <w:szCs w:val="40"/>
        </w:rPr>
        <w:t xml:space="preserve"> </w:t>
      </w:r>
      <w:r w:rsidRPr="0009456F">
        <w:rPr>
          <w:rFonts w:ascii="Fira Sans SemiBold" w:hAnsi="Fira Sans SemiBold" w:cs="Arial"/>
          <w:spacing w:val="-20"/>
          <w:sz w:val="40"/>
          <w:szCs w:val="40"/>
        </w:rPr>
        <w:t xml:space="preserve">w latach </w:t>
      </w:r>
      <w:bookmarkStart w:id="0" w:name="_Hlk79057145"/>
      <w:r w:rsidRPr="0009456F">
        <w:rPr>
          <w:rFonts w:ascii="Fira Sans SemiBold" w:hAnsi="Fira Sans SemiBold" w:cs="Arial"/>
          <w:spacing w:val="-20"/>
          <w:sz w:val="40"/>
          <w:szCs w:val="40"/>
        </w:rPr>
        <w:t>2020</w:t>
      </w:r>
      <w:r w:rsidR="00943EC8" w:rsidRPr="0009456F">
        <w:rPr>
          <w:rFonts w:ascii="Fira Sans SemiBold" w:hAnsi="Fira Sans SemiBold" w:cs="Arial"/>
          <w:spacing w:val="-20"/>
          <w:sz w:val="40"/>
          <w:szCs w:val="40"/>
        </w:rPr>
        <w:t>–</w:t>
      </w:r>
      <w:r w:rsidRPr="0009456F">
        <w:rPr>
          <w:rFonts w:ascii="Fira Sans SemiBold" w:hAnsi="Fira Sans SemiBold" w:cs="Arial"/>
          <w:spacing w:val="-20"/>
          <w:sz w:val="40"/>
          <w:szCs w:val="40"/>
        </w:rPr>
        <w:t>202</w:t>
      </w:r>
      <w:bookmarkEnd w:id="0"/>
      <w:r w:rsidRPr="0009456F">
        <w:rPr>
          <w:rFonts w:ascii="Fira Sans SemiBold" w:hAnsi="Fira Sans SemiBold" w:cs="Arial"/>
          <w:spacing w:val="-20"/>
          <w:sz w:val="40"/>
          <w:szCs w:val="40"/>
        </w:rPr>
        <w:t>2</w:t>
      </w:r>
    </w:p>
    <w:p w14:paraId="66008B5C" w14:textId="454320CD" w:rsidR="00393761" w:rsidRDefault="00223EFE" w:rsidP="000F1313">
      <w:pPr>
        <w:autoSpaceDE w:val="0"/>
        <w:autoSpaceDN w:val="0"/>
        <w:adjustRightInd w:val="0"/>
        <w:spacing w:before="360"/>
        <w:rPr>
          <w:rFonts w:eastAsia="Times New Roman" w:cs="Times New Roman"/>
          <w:b/>
          <w:noProof/>
          <w:szCs w:val="19"/>
          <w:lang w:eastAsia="pl-PL"/>
        </w:rPr>
      </w:pPr>
      <w:r w:rsidRPr="00223EFE">
        <w:rPr>
          <w:rFonts w:eastAsia="Times New Roman" w:cs="Times New Roman"/>
          <w:b/>
          <w:noProof/>
          <w:szCs w:val="19"/>
          <w:lang w:eastAsia="pl-PL"/>
        </w:rPr>
        <w:t>Informacja o wydatkach ponoszonych na och</w:t>
      </w:r>
      <w:r w:rsidR="00A90DD5">
        <w:rPr>
          <w:rFonts w:eastAsia="Times New Roman" w:cs="Times New Roman"/>
          <w:b/>
          <w:noProof/>
          <w:szCs w:val="19"/>
          <w:lang w:eastAsia="pl-PL"/>
        </w:rPr>
        <w:t xml:space="preserve">ronę zdrowia </w:t>
      </w:r>
      <w:r w:rsidRPr="00223EFE">
        <w:rPr>
          <w:rFonts w:eastAsia="Times New Roman" w:cs="Times New Roman"/>
          <w:b/>
          <w:noProof/>
          <w:szCs w:val="19"/>
          <w:lang w:eastAsia="pl-PL"/>
        </w:rPr>
        <w:t xml:space="preserve">zawiera dane pochodzące </w:t>
      </w:r>
      <w:r w:rsidR="004F6DD0">
        <w:rPr>
          <w:rFonts w:eastAsia="Times New Roman" w:cs="Times New Roman"/>
          <w:b/>
          <w:noProof/>
          <w:szCs w:val="19"/>
          <w:lang w:eastAsia="pl-PL"/>
        </w:rPr>
        <w:br/>
      </w:r>
      <w:r w:rsidRPr="00223EFE">
        <w:rPr>
          <w:rFonts w:eastAsia="Times New Roman" w:cs="Times New Roman"/>
          <w:b/>
          <w:noProof/>
          <w:szCs w:val="19"/>
          <w:lang w:eastAsia="pl-PL"/>
        </w:rPr>
        <w:t>z dwóch źródeł, a mianowicie wyniki Narodowego Rachunku Zdrowia</w:t>
      </w:r>
      <w:r w:rsidR="00A7005B">
        <w:rPr>
          <w:rFonts w:eastAsia="Times New Roman" w:cs="Times New Roman"/>
          <w:b/>
          <w:noProof/>
          <w:szCs w:val="19"/>
          <w:lang w:eastAsia="pl-PL"/>
        </w:rPr>
        <w:t xml:space="preserve"> (NRZ)</w:t>
      </w:r>
      <w:r w:rsidRPr="00223EFE">
        <w:rPr>
          <w:rFonts w:eastAsia="Times New Roman" w:cs="Times New Roman"/>
          <w:b/>
          <w:noProof/>
          <w:szCs w:val="19"/>
          <w:lang w:eastAsia="pl-PL"/>
        </w:rPr>
        <w:t>, opracowywane przez Główny Urząd Statystyczny oraz nakłady na ochronę zdrowia, opracowywane przez Ministerstwo Zdrowia. Ze względu na różnice metodologiczne dane te różnią się między sobą. Podstawowa różnica</w:t>
      </w:r>
      <w:r w:rsidRPr="00223EFE">
        <w:rPr>
          <w:rFonts w:eastAsia="Times New Roman" w:cs="Times New Roman"/>
          <w:b/>
          <w:noProof/>
          <w:szCs w:val="19"/>
          <w:vertAlign w:val="superscript"/>
          <w:lang w:eastAsia="pl-PL"/>
        </w:rPr>
        <w:footnoteReference w:id="1"/>
      </w:r>
      <w:r w:rsidRPr="00223EFE">
        <w:rPr>
          <w:rFonts w:eastAsia="Times New Roman" w:cs="Times New Roman"/>
          <w:b/>
          <w:noProof/>
          <w:szCs w:val="19"/>
          <w:lang w:eastAsia="pl-PL"/>
        </w:rPr>
        <w:t xml:space="preserve"> polega na tym, że Narodowy Rachunek Zdrowia obejmuje bieżące wydatki na zdrowie, zarówno publiczne, jak i prywatne, natomiast nakłady na ochronę zdrowia, zgodnie z przepisami ustawy</w:t>
      </w:r>
      <w:r w:rsidRPr="00223EFE">
        <w:rPr>
          <w:rFonts w:eastAsia="Times New Roman" w:cs="Times New Roman"/>
          <w:b/>
          <w:noProof/>
          <w:szCs w:val="19"/>
          <w:vertAlign w:val="superscript"/>
          <w:lang w:eastAsia="pl-PL"/>
        </w:rPr>
        <w:footnoteReference w:id="2"/>
      </w:r>
      <w:r w:rsidRPr="00223EFE">
        <w:rPr>
          <w:rFonts w:eastAsia="Times New Roman" w:cs="Times New Roman"/>
          <w:b/>
          <w:noProof/>
          <w:szCs w:val="19"/>
          <w:lang w:eastAsia="pl-PL"/>
        </w:rPr>
        <w:t>, odnoszą się wyłącznie do środków publicznych i nie ograniczają się</w:t>
      </w:r>
      <w:r w:rsidR="00A7005B">
        <w:rPr>
          <w:rFonts w:eastAsia="Times New Roman" w:cs="Times New Roman"/>
          <w:b/>
          <w:noProof/>
          <w:szCs w:val="19"/>
          <w:lang w:eastAsia="pl-PL"/>
        </w:rPr>
        <w:t xml:space="preserve"> jedynie do wydatków bieżących oraz </w:t>
      </w:r>
      <w:r w:rsidRPr="00223EFE">
        <w:rPr>
          <w:rFonts w:eastAsia="Times New Roman" w:cs="Times New Roman"/>
          <w:b/>
          <w:noProof/>
          <w:szCs w:val="19"/>
          <w:lang w:eastAsia="pl-PL"/>
        </w:rPr>
        <w:t xml:space="preserve">nie </w:t>
      </w:r>
      <w:r w:rsidR="00A7005B">
        <w:rPr>
          <w:rFonts w:eastAsia="Times New Roman" w:cs="Times New Roman"/>
          <w:b/>
          <w:noProof/>
          <w:szCs w:val="19"/>
          <w:lang w:eastAsia="pl-PL"/>
        </w:rPr>
        <w:t>obejmują wydatków samorządowych</w:t>
      </w:r>
      <w:r w:rsidRPr="00223EFE">
        <w:rPr>
          <w:rFonts w:eastAsia="Times New Roman" w:cs="Times New Roman"/>
          <w:b/>
          <w:noProof/>
          <w:szCs w:val="19"/>
          <w:lang w:eastAsia="pl-PL"/>
        </w:rPr>
        <w:t>. Opracowywane informacje są także inaczej wykorzystywane: wyniki Narodowego Rachunku Zdrowia służą porównaniom międzynarodowym i umożliwiają opisanie systemu ochrony zdrowia z perspektywy całości poniesionych bieżących wydatków przez różne podmioty, natomiast informacja opracowywana przez Ministerstwo Zdrowia służy monitorowaniu oraz ocenie finansowania ochrony zdrowia ze środków publicznych.</w:t>
      </w:r>
    </w:p>
    <w:p w14:paraId="4685038D" w14:textId="77777777" w:rsidR="00385C91" w:rsidRDefault="00385C91" w:rsidP="00385C91">
      <w:pPr>
        <w:pStyle w:val="Bezodstpw"/>
        <w:spacing w:before="120"/>
        <w:rPr>
          <w:rFonts w:ascii="Fira Sans Extra Condensed SemiB" w:hAnsi="Fira Sans Extra Condensed SemiB" w:cs="Arial"/>
          <w:sz w:val="40"/>
          <w:szCs w:val="40"/>
        </w:rPr>
      </w:pPr>
    </w:p>
    <w:p w14:paraId="63F249D4" w14:textId="70B19929" w:rsidR="00385C91" w:rsidRPr="0009456F" w:rsidRDefault="00A7005B" w:rsidP="00385C91">
      <w:pPr>
        <w:pStyle w:val="Bezodstpw"/>
        <w:spacing w:before="120"/>
        <w:rPr>
          <w:rFonts w:ascii="Fira Sans SemiBold" w:hAnsi="Fira Sans SemiBold" w:cs="Arial"/>
          <w:spacing w:val="-20"/>
          <w:sz w:val="40"/>
          <w:szCs w:val="40"/>
        </w:rPr>
      </w:pPr>
      <w:r>
        <w:rPr>
          <w:rFonts w:ascii="Fira Sans SemiBold" w:hAnsi="Fira Sans SemiBold" w:cs="Arial"/>
          <w:spacing w:val="-20"/>
          <w:sz w:val="40"/>
          <w:szCs w:val="40"/>
        </w:rPr>
        <w:t xml:space="preserve">Narodowy Rachunek Zdrowia </w:t>
      </w:r>
    </w:p>
    <w:p w14:paraId="6658E535" w14:textId="41C7CE2A" w:rsidR="00385C91" w:rsidRPr="00140A26" w:rsidRDefault="00385C91" w:rsidP="000F1313">
      <w:pPr>
        <w:autoSpaceDE w:val="0"/>
        <w:autoSpaceDN w:val="0"/>
        <w:adjustRightInd w:val="0"/>
        <w:spacing w:before="360"/>
        <w:rPr>
          <w:rFonts w:eastAsia="Times New Roman" w:cs="Times New Roman"/>
          <w:b/>
          <w:noProof/>
          <w:szCs w:val="19"/>
          <w:lang w:eastAsia="pl-PL"/>
        </w:rPr>
      </w:pPr>
    </w:p>
    <w:p w14:paraId="666C5FAC" w14:textId="47F16651" w:rsidR="006D7409" w:rsidRDefault="007F02A5" w:rsidP="006D7409">
      <w:pPr>
        <w:pStyle w:val="Lead"/>
        <w:rPr>
          <w:lang w:val="en-GB"/>
        </w:rPr>
      </w:pPr>
      <w:r w:rsidRPr="00587CEE">
        <w:rPr>
          <w:color w:val="001D77"/>
        </w:rPr>
        <mc:AlternateContent>
          <mc:Choice Requires="wps">
            <w:drawing>
              <wp:anchor distT="45720" distB="45720" distL="114300" distR="114300" simplePos="0" relativeHeight="251738112" behindDoc="0" locked="0" layoutInCell="1" allowOverlap="1" wp14:anchorId="2FC13F97" wp14:editId="02B71F71">
                <wp:simplePos x="0" y="0"/>
                <wp:positionH relativeFrom="margin">
                  <wp:align>left</wp:align>
                </wp:positionH>
                <wp:positionV relativeFrom="paragraph">
                  <wp:posOffset>103324</wp:posOffset>
                </wp:positionV>
                <wp:extent cx="2230755" cy="1295400"/>
                <wp:effectExtent l="0" t="0" r="0" b="0"/>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1295400"/>
                        </a:xfrm>
                        <a:prstGeom prst="roundRect">
                          <a:avLst/>
                        </a:prstGeom>
                        <a:solidFill>
                          <a:srgbClr val="001D77"/>
                        </a:solidFill>
                        <a:ln w="9525">
                          <a:noFill/>
                          <a:miter lim="800000"/>
                          <a:headEnd/>
                          <a:tailEnd/>
                        </a:ln>
                      </wps:spPr>
                      <wps:txbx>
                        <w:txbxContent>
                          <w:p w14:paraId="56D1096E" w14:textId="070535CE" w:rsidR="00A7005B" w:rsidRPr="009B2A4A" w:rsidRDefault="00A7005B"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Pr>
                                <w:rStyle w:val="WartowskanikaZnak"/>
                                <w:sz w:val="72"/>
                                <w:szCs w:val="72"/>
                                <w:lang w:val="en-GB"/>
                              </w:rPr>
                              <w:t>21,3%</w:t>
                            </w:r>
                          </w:p>
                          <w:p w14:paraId="6A0EB005" w14:textId="77777777" w:rsidR="00A7005B" w:rsidRPr="00385C91" w:rsidRDefault="00A7005B" w:rsidP="00385C91">
                            <w:pPr>
                              <w:spacing w:before="0" w:after="0" w:line="240" w:lineRule="auto"/>
                              <w:rPr>
                                <w:rFonts w:eastAsia="Times New Roman" w:cs="Times New Roman"/>
                                <w:sz w:val="20"/>
                                <w:szCs w:val="20"/>
                              </w:rPr>
                            </w:pPr>
                            <w:r w:rsidRPr="00385C91">
                              <w:rPr>
                                <w:rFonts w:eastAsia="Times New Roman" w:cs="Times New Roman"/>
                                <w:sz w:val="20"/>
                                <w:szCs w:val="20"/>
                              </w:rPr>
                              <w:t xml:space="preserve">Szacunkowy wzrost bieżących wydatków na ochronę zdrowia </w:t>
                            </w:r>
                          </w:p>
                          <w:p w14:paraId="5083B1AB" w14:textId="77777777" w:rsidR="00A7005B" w:rsidRPr="00385C91" w:rsidRDefault="00A7005B" w:rsidP="00385C91">
                            <w:pPr>
                              <w:spacing w:before="0" w:after="0" w:line="240" w:lineRule="auto"/>
                              <w:rPr>
                                <w:rFonts w:eastAsia="Times New Roman" w:cs="Times New Roman"/>
                                <w:color w:val="FFFFFF" w:themeColor="background1"/>
                                <w:sz w:val="20"/>
                                <w:szCs w:val="20"/>
                              </w:rPr>
                            </w:pPr>
                            <w:r w:rsidRPr="00385C91">
                              <w:rPr>
                                <w:rFonts w:eastAsia="Times New Roman" w:cs="Times New Roman"/>
                                <w:sz w:val="20"/>
                                <w:szCs w:val="20"/>
                              </w:rPr>
                              <w:t>w 2022 r. względem 2021 r.</w:t>
                            </w:r>
                          </w:p>
                          <w:p w14:paraId="63B3F253" w14:textId="7D12D70D" w:rsidR="00A7005B" w:rsidRPr="007D605C" w:rsidRDefault="00A7005B"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Pole tekstowe 2" style="position:absolute;margin-left:0;margin-top:8.15pt;width:175.65pt;height:102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Opis wskaźnika" o:spid="_x0000_s1026" fillcolor="#001d77" stroked="f" arcsize="10923f" w14:anchorId="2FC13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">
                <v:stroke joinstyle="miter"/>
                <v:textbox>
                  <w:txbxContent>
                    <w:p w:rsidRPr="009B2A4A" w:rsidR="00A7005B" w:rsidP="00F65A5A" w:rsidRDefault="00A7005B" w14:paraId="56D1096E" w14:textId="070535CE">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Pr>
                          <w:rStyle w:val="WartowskanikaZnak"/>
                          <w:sz w:val="72"/>
                          <w:szCs w:val="72"/>
                          <w:lang w:val="en-GB"/>
                        </w:rPr>
                        <w:t>21,3%</w:t>
                      </w:r>
                    </w:p>
                    <w:p w:rsidRPr="00385C91" w:rsidR="00A7005B" w:rsidP="00385C91" w:rsidRDefault="00A7005B" w14:paraId="6A0EB005" w14:textId="77777777">
                      <w:pPr>
                        <w:spacing w:before="0" w:after="0" w:line="240" w:lineRule="auto"/>
                        <w:rPr>
                          <w:rFonts w:eastAsia="Times New Roman" w:cs="Times New Roman"/>
                          <w:sz w:val="20"/>
                          <w:szCs w:val="20"/>
                        </w:rPr>
                      </w:pPr>
                      <w:r w:rsidRPr="00385C91">
                        <w:rPr>
                          <w:rFonts w:eastAsia="Times New Roman" w:cs="Times New Roman"/>
                          <w:sz w:val="20"/>
                          <w:szCs w:val="20"/>
                        </w:rPr>
                        <w:t xml:space="preserve">Szacunkowy wzrost bieżących wydatków na ochronę zdrowia </w:t>
                      </w:r>
                    </w:p>
                    <w:p w:rsidRPr="00385C91" w:rsidR="00A7005B" w:rsidP="00385C91" w:rsidRDefault="00A7005B" w14:paraId="5083B1AB" w14:textId="77777777">
                      <w:pPr>
                        <w:spacing w:before="0" w:after="0" w:line="240" w:lineRule="auto"/>
                        <w:rPr>
                          <w:rFonts w:eastAsia="Times New Roman" w:cs="Times New Roman"/>
                          <w:color w:val="FFFFFF" w:themeColor="background1"/>
                          <w:sz w:val="20"/>
                          <w:szCs w:val="20"/>
                        </w:rPr>
                      </w:pPr>
                      <w:r w:rsidRPr="00385C91">
                        <w:rPr>
                          <w:rFonts w:eastAsia="Times New Roman" w:cs="Times New Roman"/>
                          <w:sz w:val="20"/>
                          <w:szCs w:val="20"/>
                        </w:rPr>
                        <w:t>w 2022 r. względem 2021 r.</w:t>
                      </w:r>
                    </w:p>
                    <w:p w:rsidRPr="007D605C" w:rsidR="00A7005B" w:rsidP="00F049AB" w:rsidRDefault="00A7005B" w14:paraId="63B3F253" w14:textId="7D12D70D">
                      <w:pPr>
                        <w:pStyle w:val="Opiswskanika"/>
                        <w:rPr>
                          <w:sz w:val="18"/>
                          <w:szCs w:val="20"/>
                        </w:rPr>
                      </w:pPr>
                    </w:p>
                  </w:txbxContent>
                </v:textbox>
                <w10:wrap type="square" anchorx="margin"/>
              </v:roundrect>
            </w:pict>
          </mc:Fallback>
        </mc:AlternateContent>
      </w:r>
      <w:r w:rsidR="00385C91" w:rsidRPr="00385C91">
        <w:rPr>
          <w:rFonts w:eastAsia="Times New Roman" w:cs="Times New Roman"/>
        </w:rPr>
        <w:t xml:space="preserve">Według </w:t>
      </w:r>
      <w:r w:rsidR="00F61E6A">
        <w:rPr>
          <w:rFonts w:eastAsia="Times New Roman" w:cs="Times New Roman"/>
        </w:rPr>
        <w:t>wstępnych szacunków</w:t>
      </w:r>
      <w:r w:rsidR="00385C91" w:rsidRPr="00385C91">
        <w:rPr>
          <w:rFonts w:eastAsia="Times New Roman" w:cs="Times New Roman"/>
          <w:vertAlign w:val="superscript"/>
        </w:rPr>
        <w:footnoteReference w:id="3"/>
      </w:r>
      <w:r w:rsidR="00385C91" w:rsidRPr="00385C91">
        <w:rPr>
          <w:rFonts w:eastAsia="Times New Roman" w:cs="Times New Roman"/>
        </w:rPr>
        <w:t xml:space="preserve"> wydatki bi</w:t>
      </w:r>
      <w:r w:rsidR="00A90DD5">
        <w:rPr>
          <w:rFonts w:eastAsia="Times New Roman" w:cs="Times New Roman"/>
        </w:rPr>
        <w:t>eżące na ochronę zdrowia w 2022</w:t>
      </w:r>
      <w:r w:rsidR="00A90DD5" w:rsidRPr="00D30F7D">
        <w:rPr>
          <w:sz w:val="16"/>
          <w:szCs w:val="16"/>
        </w:rPr>
        <w:t> </w:t>
      </w:r>
      <w:r w:rsidR="00385C91" w:rsidRPr="00385C91">
        <w:rPr>
          <w:rFonts w:eastAsia="Times New Roman" w:cs="Times New Roman"/>
        </w:rPr>
        <w:t xml:space="preserve">r. wyniosły </w:t>
      </w:r>
      <w:r w:rsidR="006D562B">
        <w:rPr>
          <w:noProof w:val="0"/>
          <w:szCs w:val="22"/>
          <w:lang w:eastAsia="en-US"/>
        </w:rPr>
        <w:t>205,6</w:t>
      </w:r>
      <w:r w:rsidR="00A90DD5" w:rsidRPr="00D30F7D">
        <w:rPr>
          <w:sz w:val="16"/>
          <w:szCs w:val="16"/>
        </w:rPr>
        <w:t> </w:t>
      </w:r>
      <w:r w:rsidR="00385C91" w:rsidRPr="00385C91">
        <w:rPr>
          <w:noProof w:val="0"/>
          <w:szCs w:val="22"/>
          <w:lang w:eastAsia="en-US"/>
        </w:rPr>
        <w:t>mld</w:t>
      </w:r>
      <w:r w:rsidR="00A90DD5" w:rsidRPr="00D30F7D">
        <w:rPr>
          <w:sz w:val="16"/>
          <w:szCs w:val="16"/>
        </w:rPr>
        <w:t> </w:t>
      </w:r>
      <w:r w:rsidR="00385C91" w:rsidRPr="00385C91">
        <w:rPr>
          <w:rFonts w:eastAsia="Times New Roman" w:cs="Times New Roman"/>
        </w:rPr>
        <w:t xml:space="preserve">zł (stanowiły </w:t>
      </w:r>
      <w:r w:rsidR="006D562B" w:rsidRPr="006D562B">
        <w:rPr>
          <w:rFonts w:eastAsia="Times New Roman" w:cs="Times New Roman"/>
        </w:rPr>
        <w:t>6,7</w:t>
      </w:r>
      <w:r w:rsidR="00385C91" w:rsidRPr="00385C91">
        <w:rPr>
          <w:rFonts w:eastAsia="Times New Roman" w:cs="Times New Roman"/>
        </w:rPr>
        <w:t>% PK</w:t>
      </w:r>
      <w:r w:rsidR="00A90DD5">
        <w:rPr>
          <w:rFonts w:eastAsia="Times New Roman" w:cs="Times New Roman"/>
        </w:rPr>
        <w:t xml:space="preserve">B) i były wyższe niż w 2021 r. </w:t>
      </w:r>
      <w:r w:rsidR="00385C91" w:rsidRPr="00385C91">
        <w:rPr>
          <w:rFonts w:eastAsia="Times New Roman" w:cs="Times New Roman"/>
        </w:rPr>
        <w:t xml:space="preserve">o około </w:t>
      </w:r>
      <w:r w:rsidR="006D562B">
        <w:rPr>
          <w:noProof w:val="0"/>
          <w:szCs w:val="22"/>
          <w:lang w:eastAsia="en-US"/>
        </w:rPr>
        <w:t>36,1</w:t>
      </w:r>
      <w:r w:rsidR="00A90DD5" w:rsidRPr="00D30F7D">
        <w:rPr>
          <w:sz w:val="16"/>
          <w:szCs w:val="16"/>
        </w:rPr>
        <w:t> </w:t>
      </w:r>
      <w:r w:rsidR="00385C91" w:rsidRPr="00385C91">
        <w:rPr>
          <w:noProof w:val="0"/>
          <w:szCs w:val="22"/>
          <w:lang w:eastAsia="en-US"/>
        </w:rPr>
        <w:t>mld</w:t>
      </w:r>
      <w:r w:rsidR="00A90DD5" w:rsidRPr="00D30F7D">
        <w:rPr>
          <w:sz w:val="16"/>
          <w:szCs w:val="16"/>
        </w:rPr>
        <w:t> </w:t>
      </w:r>
      <w:r w:rsidR="00A90DD5">
        <w:rPr>
          <w:noProof w:val="0"/>
          <w:szCs w:val="22"/>
          <w:lang w:eastAsia="en-US"/>
        </w:rPr>
        <w:t xml:space="preserve">zł </w:t>
      </w:r>
      <w:r w:rsidR="00A90DD5">
        <w:rPr>
          <w:rFonts w:eastAsia="Times New Roman" w:cs="Times New Roman"/>
        </w:rPr>
        <w:t xml:space="preserve">(w odniesieniu do danych </w:t>
      </w:r>
      <w:r w:rsidR="00385C91" w:rsidRPr="00385C91">
        <w:rPr>
          <w:rFonts w:eastAsia="Times New Roman" w:cs="Times New Roman"/>
        </w:rPr>
        <w:t>wstępnych</w:t>
      </w:r>
      <w:r w:rsidR="00385C91" w:rsidRPr="00385C91">
        <w:rPr>
          <w:rFonts w:eastAsia="Times New Roman" w:cs="Times New Roman"/>
          <w:vertAlign w:val="superscript"/>
        </w:rPr>
        <w:footnoteReference w:id="4"/>
      </w:r>
      <w:r w:rsidR="00385C91" w:rsidRPr="00385C91">
        <w:rPr>
          <w:rFonts w:eastAsia="Times New Roman" w:cs="Times New Roman"/>
        </w:rPr>
        <w:t xml:space="preserve"> za 20</w:t>
      </w:r>
      <w:r w:rsidR="00A90DD5">
        <w:rPr>
          <w:rFonts w:eastAsia="Times New Roman" w:cs="Times New Roman"/>
        </w:rPr>
        <w:t>21</w:t>
      </w:r>
      <w:r w:rsidR="00A90DD5" w:rsidRPr="00D30F7D">
        <w:rPr>
          <w:sz w:val="16"/>
          <w:szCs w:val="16"/>
        </w:rPr>
        <w:t> </w:t>
      </w:r>
      <w:r w:rsidR="00A90DD5">
        <w:rPr>
          <w:rFonts w:eastAsia="Times New Roman" w:cs="Times New Roman"/>
        </w:rPr>
        <w:t xml:space="preserve">r., które wyniosły </w:t>
      </w:r>
      <w:r w:rsidR="006D562B">
        <w:rPr>
          <w:rFonts w:eastAsia="Times New Roman" w:cs="Times New Roman"/>
        </w:rPr>
        <w:t>169,4</w:t>
      </w:r>
      <w:r w:rsidR="00A90DD5" w:rsidRPr="00D30F7D">
        <w:rPr>
          <w:sz w:val="16"/>
          <w:szCs w:val="16"/>
        </w:rPr>
        <w:t> </w:t>
      </w:r>
      <w:r w:rsidR="00A90DD5">
        <w:rPr>
          <w:rFonts w:eastAsia="Times New Roman" w:cs="Times New Roman"/>
        </w:rPr>
        <w:t>mld</w:t>
      </w:r>
      <w:r w:rsidR="00A90DD5" w:rsidRPr="00D30F7D">
        <w:rPr>
          <w:sz w:val="16"/>
          <w:szCs w:val="16"/>
        </w:rPr>
        <w:t> </w:t>
      </w:r>
      <w:r w:rsidR="00385C91" w:rsidRPr="00385C91">
        <w:rPr>
          <w:rFonts w:eastAsia="Times New Roman" w:cs="Times New Roman"/>
        </w:rPr>
        <w:t xml:space="preserve">zł). Wzrost </w:t>
      </w:r>
      <w:r w:rsidR="00A90DD5">
        <w:rPr>
          <w:rFonts w:eastAsia="Times New Roman" w:cs="Times New Roman"/>
        </w:rPr>
        <w:t xml:space="preserve">wydatków zaobserwowano zarówno </w:t>
      </w:r>
      <w:r w:rsidR="00385C91" w:rsidRPr="00385C91">
        <w:rPr>
          <w:rFonts w:eastAsia="Times New Roman" w:cs="Times New Roman"/>
        </w:rPr>
        <w:t>w przyp</w:t>
      </w:r>
      <w:r w:rsidR="00A90DD5">
        <w:rPr>
          <w:rFonts w:eastAsia="Times New Roman" w:cs="Times New Roman"/>
        </w:rPr>
        <w:t xml:space="preserve">adku wydatków publicznych, </w:t>
      </w:r>
      <w:r w:rsidR="006D562B">
        <w:rPr>
          <w:rFonts w:eastAsia="Times New Roman" w:cs="Times New Roman"/>
        </w:rPr>
        <w:br/>
      </w:r>
      <w:r w:rsidR="00A90DD5">
        <w:rPr>
          <w:rFonts w:eastAsia="Times New Roman" w:cs="Times New Roman"/>
        </w:rPr>
        <w:t xml:space="preserve">jak </w:t>
      </w:r>
      <w:r w:rsidR="00385C91" w:rsidRPr="00385C91">
        <w:rPr>
          <w:rFonts w:eastAsia="Times New Roman" w:cs="Times New Roman"/>
        </w:rPr>
        <w:t>i wydatków prywatnych</w:t>
      </w:r>
      <w:r w:rsidR="006D7409" w:rsidRPr="009B2A4A">
        <w:rPr>
          <w:lang w:val="en-GB"/>
        </w:rPr>
        <w:t>.</w:t>
      </w:r>
    </w:p>
    <w:p w14:paraId="615541C2" w14:textId="4850C2A2" w:rsidR="00062438" w:rsidRPr="00B15CEB" w:rsidRDefault="000647A9" w:rsidP="00B15CEB">
      <w:pPr>
        <w:spacing w:line="288" w:lineRule="auto"/>
        <w:ind w:right="96"/>
        <w:rPr>
          <w:rFonts w:cs="Arial"/>
          <w:szCs w:val="19"/>
        </w:rPr>
      </w:pPr>
      <w:r w:rsidRPr="00823593">
        <w:rPr>
          <w:b/>
          <w:noProof/>
          <w:spacing w:val="-2"/>
          <w:szCs w:val="19"/>
          <w:lang w:eastAsia="pl-PL"/>
        </w:rPr>
        <w:lastRenderedPageBreak/>
        <mc:AlternateContent>
          <mc:Choice Requires="wps">
            <w:drawing>
              <wp:anchor distT="45720" distB="45720" distL="114300" distR="114300" simplePos="0" relativeHeight="251674624" behindDoc="1" locked="0" layoutInCell="1" allowOverlap="1" wp14:anchorId="6367A9BC" wp14:editId="1A65E56D">
                <wp:simplePos x="0" y="0"/>
                <wp:positionH relativeFrom="column">
                  <wp:posOffset>5262245</wp:posOffset>
                </wp:positionH>
                <wp:positionV relativeFrom="paragraph">
                  <wp:posOffset>264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E7F74BA" w14:textId="421393A7" w:rsidR="00A7005B" w:rsidRPr="00062438" w:rsidRDefault="00A7005B" w:rsidP="00062438">
                            <w:pPr>
                              <w:spacing w:before="0" w:after="0"/>
                              <w:rPr>
                                <w:rFonts w:eastAsia="Times New Roman" w:cs="Times New Roman"/>
                                <w:bCs/>
                                <w:color w:val="001D77"/>
                                <w:sz w:val="18"/>
                                <w:szCs w:val="18"/>
                                <w:lang w:eastAsia="pl-PL"/>
                              </w:rPr>
                            </w:pPr>
                            <w:r w:rsidRPr="00062438">
                              <w:rPr>
                                <w:rFonts w:eastAsia="Times New Roman" w:cs="Times New Roman"/>
                                <w:bCs/>
                                <w:color w:val="001D77"/>
                                <w:sz w:val="18"/>
                                <w:szCs w:val="18"/>
                                <w:lang w:eastAsia="pl-PL"/>
                              </w:rPr>
                              <w:t xml:space="preserve">W 2022 r. </w:t>
                            </w:r>
                            <w:r>
                              <w:rPr>
                                <w:rFonts w:eastAsia="Times New Roman" w:cs="Times New Roman"/>
                                <w:bCs/>
                                <w:color w:val="001D77"/>
                                <w:sz w:val="18"/>
                                <w:szCs w:val="18"/>
                                <w:lang w:eastAsia="pl-PL"/>
                              </w:rPr>
                              <w:t>wydatki bieżące</w:t>
                            </w:r>
                            <w:r w:rsidRPr="00062438">
                              <w:rPr>
                                <w:rFonts w:eastAsia="Times New Roman" w:cs="Times New Roman"/>
                                <w:bCs/>
                                <w:color w:val="001D77"/>
                                <w:sz w:val="18"/>
                                <w:szCs w:val="18"/>
                                <w:lang w:eastAsia="pl-PL"/>
                              </w:rPr>
                              <w:t xml:space="preserve"> na ochronę zdrowia </w:t>
                            </w:r>
                            <w:r>
                              <w:rPr>
                                <w:rFonts w:eastAsia="Times New Roman" w:cs="Times New Roman"/>
                                <w:bCs/>
                                <w:color w:val="001D77"/>
                                <w:sz w:val="18"/>
                                <w:szCs w:val="18"/>
                                <w:lang w:eastAsia="pl-PL"/>
                              </w:rPr>
                              <w:t xml:space="preserve">według wstępnych szacunków </w:t>
                            </w:r>
                            <w:r w:rsidRPr="00062438">
                              <w:rPr>
                                <w:rFonts w:eastAsia="Times New Roman" w:cs="Times New Roman"/>
                                <w:bCs/>
                                <w:color w:val="001D77"/>
                                <w:sz w:val="18"/>
                                <w:szCs w:val="18"/>
                                <w:lang w:eastAsia="pl-PL"/>
                              </w:rPr>
                              <w:t xml:space="preserve">stanowiły </w:t>
                            </w:r>
                            <w:r>
                              <w:rPr>
                                <w:rFonts w:eastAsia="Times New Roman" w:cs="Times New Roman"/>
                                <w:bCs/>
                                <w:color w:val="001D77"/>
                                <w:sz w:val="18"/>
                                <w:szCs w:val="18"/>
                                <w:lang w:eastAsia="pl-PL"/>
                              </w:rPr>
                              <w:t>6,7</w:t>
                            </w:r>
                            <w:r w:rsidRPr="00062438">
                              <w:rPr>
                                <w:rFonts w:eastAsia="Times New Roman" w:cs="Times New Roman"/>
                                <w:bCs/>
                                <w:color w:val="001D77"/>
                                <w:sz w:val="18"/>
                                <w:szCs w:val="18"/>
                                <w:lang w:eastAsia="pl-PL"/>
                              </w:rPr>
                              <w:t>% PKB</w:t>
                            </w:r>
                          </w:p>
                          <w:p w14:paraId="66113316" w14:textId="26FE8D4C" w:rsidR="00A7005B" w:rsidRPr="009B2A4A" w:rsidRDefault="00A7005B" w:rsidP="00553507">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367A9BC">
                <v:stroke joinstyle="miter"/>
                <v:path gradientshapeok="t" o:connecttype="rect"/>
              </v:shapetype>
              <v:shape id="_x0000_s1027" style="position:absolute;margin-left:414.35pt;margin-top:0;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">
                <v:textbox>
                  <w:txbxContent>
                    <w:p w:rsidRPr="00062438" w:rsidR="00A7005B" w:rsidP="00062438" w:rsidRDefault="00A7005B" w14:paraId="0E7F74BA" w14:textId="421393A7">
                      <w:pPr>
                        <w:spacing w:before="0" w:after="0"/>
                        <w:rPr>
                          <w:rFonts w:eastAsia="Times New Roman" w:cs="Times New Roman"/>
                          <w:bCs/>
                          <w:color w:val="001D77"/>
                          <w:sz w:val="18"/>
                          <w:szCs w:val="18"/>
                          <w:lang w:eastAsia="pl-PL"/>
                        </w:rPr>
                      </w:pPr>
                      <w:r w:rsidRPr="00062438">
                        <w:rPr>
                          <w:rFonts w:eastAsia="Times New Roman" w:cs="Times New Roman"/>
                          <w:bCs/>
                          <w:color w:val="001D77"/>
                          <w:sz w:val="18"/>
                          <w:szCs w:val="18"/>
                          <w:lang w:eastAsia="pl-PL"/>
                        </w:rPr>
                        <w:t xml:space="preserve">W 2022 r. </w:t>
                      </w:r>
                      <w:r>
                        <w:rPr>
                          <w:rFonts w:eastAsia="Times New Roman" w:cs="Times New Roman"/>
                          <w:bCs/>
                          <w:color w:val="001D77"/>
                          <w:sz w:val="18"/>
                          <w:szCs w:val="18"/>
                          <w:lang w:eastAsia="pl-PL"/>
                        </w:rPr>
                        <w:t>wydatki bieżące</w:t>
                      </w:r>
                      <w:r w:rsidRPr="00062438">
                        <w:rPr>
                          <w:rFonts w:eastAsia="Times New Roman" w:cs="Times New Roman"/>
                          <w:bCs/>
                          <w:color w:val="001D77"/>
                          <w:sz w:val="18"/>
                          <w:szCs w:val="18"/>
                          <w:lang w:eastAsia="pl-PL"/>
                        </w:rPr>
                        <w:t xml:space="preserve"> na ochronę zdrowia </w:t>
                      </w:r>
                      <w:r>
                        <w:rPr>
                          <w:rFonts w:eastAsia="Times New Roman" w:cs="Times New Roman"/>
                          <w:bCs/>
                          <w:color w:val="001D77"/>
                          <w:sz w:val="18"/>
                          <w:szCs w:val="18"/>
                          <w:lang w:eastAsia="pl-PL"/>
                        </w:rPr>
                        <w:t xml:space="preserve">według wstępnych szacunków </w:t>
                      </w:r>
                      <w:r w:rsidRPr="00062438">
                        <w:rPr>
                          <w:rFonts w:eastAsia="Times New Roman" w:cs="Times New Roman"/>
                          <w:bCs/>
                          <w:color w:val="001D77"/>
                          <w:sz w:val="18"/>
                          <w:szCs w:val="18"/>
                          <w:lang w:eastAsia="pl-PL"/>
                        </w:rPr>
                        <w:t xml:space="preserve">stanowiły </w:t>
                      </w:r>
                      <w:r>
                        <w:rPr>
                          <w:rFonts w:eastAsia="Times New Roman" w:cs="Times New Roman"/>
                          <w:bCs/>
                          <w:color w:val="001D77"/>
                          <w:sz w:val="18"/>
                          <w:szCs w:val="18"/>
                          <w:lang w:eastAsia="pl-PL"/>
                        </w:rPr>
                        <w:t>6,7</w:t>
                      </w:r>
                      <w:r w:rsidRPr="00062438">
                        <w:rPr>
                          <w:rFonts w:eastAsia="Times New Roman" w:cs="Times New Roman"/>
                          <w:bCs/>
                          <w:color w:val="001D77"/>
                          <w:sz w:val="18"/>
                          <w:szCs w:val="18"/>
                          <w:lang w:eastAsia="pl-PL"/>
                        </w:rPr>
                        <w:t>% PKB</w:t>
                      </w:r>
                    </w:p>
                    <w:p w:rsidRPr="009B2A4A" w:rsidR="00A7005B" w:rsidP="00553507" w:rsidRDefault="00A7005B" w14:paraId="66113316" w14:textId="26FE8D4C">
                      <w:pPr>
                        <w:pStyle w:val="tekstzboku"/>
                        <w:spacing w:before="0"/>
                        <w:rPr>
                          <w:bCs w:val="0"/>
                          <w:lang w:val="en-GB"/>
                        </w:rPr>
                      </w:pPr>
                    </w:p>
                  </w:txbxContent>
                </v:textbox>
                <w10:wrap type="tight"/>
              </v:shape>
            </w:pict>
          </mc:Fallback>
        </mc:AlternateContent>
      </w:r>
      <w:r w:rsidR="00062438" w:rsidRPr="00062438">
        <w:rPr>
          <w:b/>
          <w:lang w:eastAsia="pl-PL"/>
        </w:rPr>
        <w:t>W 2022 r. bieżące wydatki na ochronę zdrowia</w:t>
      </w:r>
      <w:r w:rsidR="00062438" w:rsidRPr="00062438">
        <w:rPr>
          <w:lang w:eastAsia="pl-PL"/>
        </w:rPr>
        <w:t xml:space="preserve"> wyniosły wg </w:t>
      </w:r>
      <w:r w:rsidR="00062438" w:rsidRPr="00062438">
        <w:rPr>
          <w:b/>
          <w:lang w:eastAsia="pl-PL"/>
        </w:rPr>
        <w:t>wstępnych szacunków</w:t>
      </w:r>
      <w:r w:rsidR="00062438" w:rsidRPr="00062438">
        <w:rPr>
          <w:lang w:eastAsia="pl-PL"/>
        </w:rPr>
        <w:t xml:space="preserve"> </w:t>
      </w:r>
      <w:r w:rsidR="007C0B1C">
        <w:rPr>
          <w:lang w:eastAsia="pl-PL"/>
        </w:rPr>
        <w:t>205</w:t>
      </w:r>
      <w:r w:rsidR="002352C4">
        <w:rPr>
          <w:lang w:eastAsia="pl-PL"/>
        </w:rPr>
        <w:t>,6</w:t>
      </w:r>
      <w:r w:rsidR="00887F0B">
        <w:rPr>
          <w:lang w:eastAsia="pl-PL"/>
        </w:rPr>
        <w:t> </w:t>
      </w:r>
      <w:r w:rsidR="002352C4">
        <w:rPr>
          <w:lang w:eastAsia="pl-PL"/>
        </w:rPr>
        <w:t>mld</w:t>
      </w:r>
      <w:r w:rsidR="00062438" w:rsidRPr="00062438">
        <w:rPr>
          <w:lang w:eastAsia="pl-PL"/>
        </w:rPr>
        <w:t xml:space="preserve"> zł i były wyższe niż w roku 2021 o </w:t>
      </w:r>
      <w:r w:rsidR="007C0B1C">
        <w:rPr>
          <w:lang w:eastAsia="pl-PL"/>
        </w:rPr>
        <w:t>36</w:t>
      </w:r>
      <w:r w:rsidR="002352C4">
        <w:rPr>
          <w:lang w:eastAsia="pl-PL"/>
        </w:rPr>
        <w:t>,1 mld</w:t>
      </w:r>
      <w:r w:rsidR="00062438" w:rsidRPr="00062438">
        <w:rPr>
          <w:lang w:eastAsia="pl-PL"/>
        </w:rPr>
        <w:t xml:space="preserve"> zł, tj. o </w:t>
      </w:r>
      <w:r w:rsidR="007C0B1C">
        <w:rPr>
          <w:lang w:eastAsia="pl-PL"/>
        </w:rPr>
        <w:t>21,3</w:t>
      </w:r>
      <w:r w:rsidR="00062438" w:rsidRPr="00062438">
        <w:rPr>
          <w:lang w:eastAsia="pl-PL"/>
        </w:rPr>
        <w:t xml:space="preserve">% w stosunku do kwoty </w:t>
      </w:r>
      <w:r w:rsidR="00F61E6A">
        <w:rPr>
          <w:lang w:eastAsia="pl-PL"/>
        </w:rPr>
        <w:t xml:space="preserve">odpowiednich </w:t>
      </w:r>
      <w:r w:rsidR="00062438" w:rsidRPr="00062438">
        <w:rPr>
          <w:lang w:eastAsia="pl-PL"/>
        </w:rPr>
        <w:t>wydatków z 2021 r. wg danych wstępnych. Bieżące wydatki</w:t>
      </w:r>
      <w:r w:rsidR="00887F0B">
        <w:rPr>
          <w:lang w:eastAsia="pl-PL"/>
        </w:rPr>
        <w:t xml:space="preserve"> na ochronę zdrowia (publiczne </w:t>
      </w:r>
      <w:r w:rsidR="005B0BBF">
        <w:rPr>
          <w:lang w:eastAsia="pl-PL"/>
        </w:rPr>
        <w:br/>
      </w:r>
      <w:r w:rsidR="00062438" w:rsidRPr="00062438">
        <w:rPr>
          <w:lang w:eastAsia="pl-PL"/>
        </w:rPr>
        <w:t xml:space="preserve">i prywatne) wg wstępnych szacunków NRZ stanowiły w 2022 r. </w:t>
      </w:r>
      <w:r w:rsidR="007C0B1C">
        <w:rPr>
          <w:lang w:eastAsia="pl-PL"/>
        </w:rPr>
        <w:t>6,7</w:t>
      </w:r>
      <w:r w:rsidR="00062438" w:rsidRPr="00062438">
        <w:rPr>
          <w:lang w:eastAsia="pl-PL"/>
        </w:rPr>
        <w:t>% PKB.</w:t>
      </w:r>
    </w:p>
    <w:p w14:paraId="1EC88A24" w14:textId="74610C9F" w:rsidR="00062438" w:rsidRPr="00062438" w:rsidRDefault="00062438" w:rsidP="00E9214F">
      <w:pPr>
        <w:spacing w:line="288" w:lineRule="auto"/>
        <w:ind w:right="96"/>
        <w:rPr>
          <w:rFonts w:cs="Segoe UI"/>
          <w:color w:val="000000"/>
          <w:szCs w:val="19"/>
        </w:rPr>
      </w:pPr>
      <w:r w:rsidRPr="00062438">
        <w:rPr>
          <w:lang w:eastAsia="pl-PL"/>
        </w:rPr>
        <w:t>Wzrost wydatków bieżących zaobserwowano zarówno wśród wydatków publicznych, jak i prywatnych. Publiczne wydatki bieżące na ochronę zdrowia wyniosły w 2022 r. –</w:t>
      </w:r>
      <w:r w:rsidR="00A90DD5">
        <w:rPr>
          <w:lang w:eastAsia="pl-PL"/>
        </w:rPr>
        <w:t xml:space="preserve"> </w:t>
      </w:r>
      <w:r w:rsidR="00960ED2">
        <w:rPr>
          <w:lang w:eastAsia="pl-PL"/>
        </w:rPr>
        <w:t>154,0</w:t>
      </w:r>
      <w:r w:rsidRPr="00062438">
        <w:rPr>
          <w:lang w:eastAsia="pl-PL"/>
        </w:rPr>
        <w:t xml:space="preserve"> mld zł i były o </w:t>
      </w:r>
      <w:r w:rsidR="00960ED2">
        <w:rPr>
          <w:lang w:eastAsia="pl-PL"/>
        </w:rPr>
        <w:t>31,2</w:t>
      </w:r>
      <w:r w:rsidRPr="00062438">
        <w:rPr>
          <w:lang w:eastAsia="pl-PL"/>
        </w:rPr>
        <w:t xml:space="preserve"> mld</w:t>
      </w:r>
      <w:r w:rsidRPr="00062438">
        <w:rPr>
          <w:color w:val="FF0000"/>
          <w:lang w:eastAsia="pl-PL"/>
        </w:rPr>
        <w:t xml:space="preserve"> </w:t>
      </w:r>
      <w:r w:rsidRPr="00062438">
        <w:rPr>
          <w:lang w:eastAsia="pl-PL"/>
        </w:rPr>
        <w:t xml:space="preserve">zł wyższe niż w 2021 r., a ich udział w PKB wyniósł </w:t>
      </w:r>
      <w:r w:rsidR="00960ED2">
        <w:rPr>
          <w:lang w:eastAsia="pl-PL"/>
        </w:rPr>
        <w:t>5,0</w:t>
      </w:r>
      <w:r w:rsidR="00A7005B">
        <w:rPr>
          <w:lang w:eastAsia="pl-PL"/>
        </w:rPr>
        <w:t>%. B</w:t>
      </w:r>
      <w:r w:rsidRPr="00062438">
        <w:rPr>
          <w:lang w:eastAsia="pl-PL"/>
        </w:rPr>
        <w:t xml:space="preserve">ieżące wydatki prywatne zwiększyły się o </w:t>
      </w:r>
      <w:r w:rsidR="00F61E6A">
        <w:rPr>
          <w:lang w:eastAsia="pl-PL"/>
        </w:rPr>
        <w:t xml:space="preserve">5,0 </w:t>
      </w:r>
      <w:r w:rsidRPr="00062438">
        <w:rPr>
          <w:lang w:eastAsia="pl-PL"/>
        </w:rPr>
        <w:t xml:space="preserve">mld zł i wyniosły w 2022 r. </w:t>
      </w:r>
      <w:r w:rsidR="00F61E6A">
        <w:rPr>
          <w:lang w:eastAsia="pl-PL"/>
        </w:rPr>
        <w:t>51</w:t>
      </w:r>
      <w:r w:rsidR="00960ED2">
        <w:rPr>
          <w:lang w:eastAsia="pl-PL"/>
        </w:rPr>
        <w:t>,6</w:t>
      </w:r>
      <w:r w:rsidRPr="00062438">
        <w:rPr>
          <w:lang w:eastAsia="pl-PL"/>
        </w:rPr>
        <w:t xml:space="preserve"> mld zł. </w:t>
      </w:r>
      <w:r w:rsidRPr="00062438">
        <w:rPr>
          <w:rFonts w:cs="Segoe UI"/>
          <w:color w:val="000000"/>
          <w:szCs w:val="19"/>
        </w:rPr>
        <w:t xml:space="preserve">Na wzrost </w:t>
      </w:r>
      <w:r w:rsidR="00A7005B">
        <w:rPr>
          <w:rFonts w:cs="Segoe UI"/>
          <w:color w:val="000000"/>
          <w:szCs w:val="19"/>
        </w:rPr>
        <w:t xml:space="preserve">prywatnych </w:t>
      </w:r>
      <w:r w:rsidRPr="00062438">
        <w:rPr>
          <w:rFonts w:cs="Segoe UI"/>
          <w:color w:val="000000"/>
          <w:szCs w:val="19"/>
        </w:rPr>
        <w:t xml:space="preserve">wydatków bieżących na ochronę zdrowia wpływ miało m.in. zwiększenie bezpośrednich wydatków gospodarstw domowych, które wyniosły </w:t>
      </w:r>
      <w:r w:rsidR="00960ED2">
        <w:rPr>
          <w:rFonts w:cs="Segoe UI"/>
          <w:color w:val="000000"/>
          <w:szCs w:val="19"/>
        </w:rPr>
        <w:t>37,0</w:t>
      </w:r>
      <w:r w:rsidRPr="00062438">
        <w:rPr>
          <w:rFonts w:cs="Segoe UI"/>
          <w:color w:val="000000"/>
          <w:szCs w:val="19"/>
        </w:rPr>
        <w:t xml:space="preserve"> mld zł, tj. o </w:t>
      </w:r>
      <w:r w:rsidR="00960ED2">
        <w:rPr>
          <w:rFonts w:cs="Segoe UI"/>
          <w:color w:val="000000"/>
          <w:szCs w:val="19"/>
        </w:rPr>
        <w:t>3,3</w:t>
      </w:r>
      <w:r w:rsidRPr="00062438">
        <w:rPr>
          <w:rFonts w:cs="Segoe UI"/>
          <w:color w:val="000000"/>
          <w:szCs w:val="19"/>
        </w:rPr>
        <w:t xml:space="preserve"> mld (</w:t>
      </w:r>
      <w:r w:rsidR="00960ED2">
        <w:rPr>
          <w:rFonts w:cs="Segoe UI"/>
          <w:color w:val="000000"/>
          <w:szCs w:val="19"/>
        </w:rPr>
        <w:t>9,9</w:t>
      </w:r>
      <w:r w:rsidRPr="00062438">
        <w:rPr>
          <w:rFonts w:cs="Segoe UI"/>
          <w:color w:val="000000"/>
          <w:szCs w:val="19"/>
        </w:rPr>
        <w:t xml:space="preserve">%) więcej niż </w:t>
      </w:r>
      <w:r w:rsidR="00D92D32">
        <w:rPr>
          <w:rFonts w:cs="Segoe UI"/>
          <w:color w:val="000000"/>
          <w:szCs w:val="19"/>
        </w:rPr>
        <w:br/>
      </w:r>
      <w:r w:rsidRPr="00062438">
        <w:rPr>
          <w:rFonts w:cs="Segoe UI"/>
          <w:color w:val="000000"/>
          <w:szCs w:val="19"/>
        </w:rPr>
        <w:t>w roku 2021.</w:t>
      </w:r>
    </w:p>
    <w:p w14:paraId="0E6858AE" w14:textId="77777777" w:rsidR="00062438" w:rsidRPr="00062438" w:rsidRDefault="00062438" w:rsidP="00E9214F">
      <w:pPr>
        <w:spacing w:line="288" w:lineRule="auto"/>
        <w:rPr>
          <w:lang w:eastAsia="pl-PL"/>
        </w:rPr>
      </w:pPr>
    </w:p>
    <w:p w14:paraId="541EB745" w14:textId="77777777" w:rsidR="00062438" w:rsidRPr="00062438" w:rsidRDefault="00062438" w:rsidP="00E9214F">
      <w:pPr>
        <w:spacing w:line="288" w:lineRule="auto"/>
        <w:ind w:right="96"/>
        <w:rPr>
          <w:rFonts w:cs="Arial"/>
          <w:b/>
          <w:color w:val="000000" w:themeColor="text1"/>
          <w:sz w:val="20"/>
          <w:szCs w:val="20"/>
        </w:rPr>
      </w:pPr>
      <w:r w:rsidRPr="00062438">
        <w:rPr>
          <w:rFonts w:cs="Arial"/>
          <w:b/>
          <w:sz w:val="20"/>
          <w:szCs w:val="20"/>
        </w:rPr>
        <w:t>Tablica 1. Wydatki bieżące na ochronę zdrowia i ich udział w PKB</w:t>
      </w:r>
      <w:r w:rsidRPr="00062438">
        <w:rPr>
          <w:rFonts w:cs="Arial"/>
          <w:b/>
          <w:color w:val="000000" w:themeColor="text1"/>
          <w:sz w:val="20"/>
          <w:szCs w:val="20"/>
        </w:rPr>
        <w:t xml:space="preserve"> </w:t>
      </w:r>
    </w:p>
    <w:tbl>
      <w:tblPr>
        <w:tblStyle w:val="Tabela-Siatka1"/>
        <w:tblpPr w:vertAnchor="text" w:tblpY="1"/>
        <w:tblOverlap w:val="never"/>
        <w:tblW w:w="0" w:type="auto"/>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Pr>
      <w:tblGrid>
        <w:gridCol w:w="1021"/>
        <w:gridCol w:w="2268"/>
        <w:gridCol w:w="1021"/>
        <w:gridCol w:w="567"/>
        <w:gridCol w:w="1021"/>
        <w:gridCol w:w="567"/>
        <w:gridCol w:w="1021"/>
        <w:gridCol w:w="567"/>
      </w:tblGrid>
      <w:tr w:rsidR="00062438" w:rsidRPr="00062438" w14:paraId="1DEFDE35" w14:textId="77777777" w:rsidTr="00224BA0">
        <w:tc>
          <w:tcPr>
            <w:tcW w:w="3289" w:type="dxa"/>
            <w:gridSpan w:val="2"/>
            <w:vMerge w:val="restart"/>
            <w:tcBorders>
              <w:top w:val="nil"/>
            </w:tcBorders>
            <w:vAlign w:val="center"/>
          </w:tcPr>
          <w:p w14:paraId="3969A46A" w14:textId="77777777" w:rsidR="00062438" w:rsidRPr="00062438" w:rsidRDefault="00062438" w:rsidP="00062438">
            <w:pPr>
              <w:spacing w:before="40" w:after="40"/>
              <w:jc w:val="center"/>
              <w:rPr>
                <w:sz w:val="16"/>
                <w:szCs w:val="16"/>
              </w:rPr>
            </w:pPr>
            <w:r w:rsidRPr="00062438">
              <w:rPr>
                <w:sz w:val="16"/>
                <w:szCs w:val="16"/>
              </w:rPr>
              <w:t>WYSZCZEGÓLNIENIE</w:t>
            </w:r>
          </w:p>
        </w:tc>
        <w:tc>
          <w:tcPr>
            <w:tcW w:w="1588" w:type="dxa"/>
            <w:gridSpan w:val="2"/>
            <w:tcBorders>
              <w:top w:val="nil"/>
            </w:tcBorders>
            <w:vAlign w:val="center"/>
          </w:tcPr>
          <w:p w14:paraId="24D541E3" w14:textId="77777777" w:rsidR="00062438" w:rsidRPr="00062438" w:rsidRDefault="00062438" w:rsidP="00062438">
            <w:pPr>
              <w:spacing w:before="40" w:after="40"/>
              <w:jc w:val="center"/>
              <w:rPr>
                <w:sz w:val="16"/>
                <w:szCs w:val="16"/>
              </w:rPr>
            </w:pPr>
            <w:r w:rsidRPr="00062438">
              <w:rPr>
                <w:sz w:val="16"/>
                <w:szCs w:val="16"/>
              </w:rPr>
              <w:t>2020</w:t>
            </w:r>
          </w:p>
        </w:tc>
        <w:tc>
          <w:tcPr>
            <w:tcW w:w="1588" w:type="dxa"/>
            <w:gridSpan w:val="2"/>
            <w:tcBorders>
              <w:top w:val="nil"/>
            </w:tcBorders>
            <w:vAlign w:val="center"/>
          </w:tcPr>
          <w:p w14:paraId="244D70F7" w14:textId="77777777" w:rsidR="00062438" w:rsidRPr="00062438" w:rsidRDefault="00062438" w:rsidP="00062438">
            <w:pPr>
              <w:spacing w:before="40" w:after="40"/>
              <w:jc w:val="center"/>
              <w:rPr>
                <w:sz w:val="16"/>
                <w:szCs w:val="16"/>
              </w:rPr>
            </w:pPr>
            <w:r w:rsidRPr="00062438">
              <w:rPr>
                <w:sz w:val="16"/>
                <w:szCs w:val="16"/>
              </w:rPr>
              <w:t>2021</w:t>
            </w:r>
          </w:p>
        </w:tc>
        <w:tc>
          <w:tcPr>
            <w:tcW w:w="1588" w:type="dxa"/>
            <w:gridSpan w:val="2"/>
            <w:tcBorders>
              <w:top w:val="nil"/>
            </w:tcBorders>
            <w:vAlign w:val="center"/>
          </w:tcPr>
          <w:p w14:paraId="4A2E1943" w14:textId="77777777" w:rsidR="00062438" w:rsidRDefault="00062438" w:rsidP="00062438">
            <w:pPr>
              <w:spacing w:before="40" w:after="40"/>
              <w:jc w:val="center"/>
              <w:rPr>
                <w:sz w:val="16"/>
                <w:szCs w:val="16"/>
              </w:rPr>
            </w:pPr>
            <w:r w:rsidRPr="00062438">
              <w:rPr>
                <w:sz w:val="16"/>
                <w:szCs w:val="16"/>
              </w:rPr>
              <w:t>2022</w:t>
            </w:r>
          </w:p>
          <w:p w14:paraId="49F382DB" w14:textId="4893FA39" w:rsidR="00A7005B" w:rsidRPr="00062438" w:rsidRDefault="00E8407C" w:rsidP="00062438">
            <w:pPr>
              <w:spacing w:before="40" w:after="40"/>
              <w:jc w:val="center"/>
              <w:rPr>
                <w:sz w:val="16"/>
                <w:szCs w:val="16"/>
              </w:rPr>
            </w:pPr>
            <w:r>
              <w:rPr>
                <w:sz w:val="16"/>
                <w:szCs w:val="16"/>
              </w:rPr>
              <w:t>(szacunek wstępny</w:t>
            </w:r>
            <w:r w:rsidR="00A7005B">
              <w:rPr>
                <w:sz w:val="16"/>
                <w:szCs w:val="16"/>
              </w:rPr>
              <w:t>)</w:t>
            </w:r>
          </w:p>
        </w:tc>
      </w:tr>
      <w:tr w:rsidR="00062438" w:rsidRPr="00062438" w14:paraId="2669FCED" w14:textId="77777777" w:rsidTr="00224BA0">
        <w:tc>
          <w:tcPr>
            <w:tcW w:w="3289" w:type="dxa"/>
            <w:gridSpan w:val="2"/>
            <w:vMerge/>
            <w:tcBorders>
              <w:bottom w:val="single" w:sz="12" w:space="0" w:color="001D77"/>
            </w:tcBorders>
            <w:vAlign w:val="center"/>
          </w:tcPr>
          <w:p w14:paraId="162C5825" w14:textId="77777777" w:rsidR="00062438" w:rsidRPr="00062438" w:rsidRDefault="00062438" w:rsidP="00062438">
            <w:pPr>
              <w:spacing w:before="40" w:after="40"/>
              <w:jc w:val="center"/>
              <w:rPr>
                <w:sz w:val="16"/>
                <w:szCs w:val="16"/>
              </w:rPr>
            </w:pPr>
          </w:p>
        </w:tc>
        <w:tc>
          <w:tcPr>
            <w:tcW w:w="1021" w:type="dxa"/>
            <w:tcBorders>
              <w:bottom w:val="single" w:sz="12" w:space="0" w:color="001D77"/>
            </w:tcBorders>
            <w:vAlign w:val="center"/>
          </w:tcPr>
          <w:p w14:paraId="3E3E4275" w14:textId="77777777" w:rsidR="00062438" w:rsidRPr="00062438" w:rsidRDefault="00062438" w:rsidP="00062438">
            <w:pPr>
              <w:spacing w:before="40" w:after="40"/>
              <w:jc w:val="center"/>
              <w:rPr>
                <w:sz w:val="16"/>
                <w:szCs w:val="16"/>
              </w:rPr>
            </w:pPr>
            <w:r w:rsidRPr="00062438">
              <w:rPr>
                <w:sz w:val="16"/>
                <w:szCs w:val="16"/>
              </w:rPr>
              <w:t>mln zł</w:t>
            </w:r>
          </w:p>
        </w:tc>
        <w:tc>
          <w:tcPr>
            <w:tcW w:w="567" w:type="dxa"/>
            <w:tcBorders>
              <w:bottom w:val="single" w:sz="12" w:space="0" w:color="001D77"/>
            </w:tcBorders>
            <w:vAlign w:val="center"/>
          </w:tcPr>
          <w:p w14:paraId="75885320" w14:textId="77777777" w:rsidR="00062438" w:rsidRPr="00062438" w:rsidRDefault="00062438" w:rsidP="00062438">
            <w:pPr>
              <w:spacing w:before="40" w:after="40"/>
              <w:jc w:val="center"/>
              <w:rPr>
                <w:sz w:val="16"/>
                <w:szCs w:val="16"/>
              </w:rPr>
            </w:pPr>
            <w:r w:rsidRPr="00062438">
              <w:rPr>
                <w:sz w:val="16"/>
                <w:szCs w:val="16"/>
              </w:rPr>
              <w:t>%</w:t>
            </w:r>
            <w:r w:rsidRPr="00062438">
              <w:rPr>
                <w:sz w:val="16"/>
                <w:szCs w:val="16"/>
              </w:rPr>
              <w:br/>
              <w:t>PKB</w:t>
            </w:r>
          </w:p>
        </w:tc>
        <w:tc>
          <w:tcPr>
            <w:tcW w:w="1021" w:type="dxa"/>
            <w:tcBorders>
              <w:bottom w:val="single" w:sz="12" w:space="0" w:color="001D77"/>
            </w:tcBorders>
            <w:vAlign w:val="center"/>
          </w:tcPr>
          <w:p w14:paraId="09E9DD8D" w14:textId="77777777" w:rsidR="00062438" w:rsidRPr="00062438" w:rsidRDefault="00062438" w:rsidP="00062438">
            <w:pPr>
              <w:spacing w:before="40" w:after="40"/>
              <w:jc w:val="center"/>
              <w:rPr>
                <w:sz w:val="16"/>
                <w:szCs w:val="16"/>
              </w:rPr>
            </w:pPr>
            <w:r w:rsidRPr="00062438">
              <w:rPr>
                <w:sz w:val="16"/>
                <w:szCs w:val="16"/>
              </w:rPr>
              <w:t>mln zł</w:t>
            </w:r>
          </w:p>
        </w:tc>
        <w:tc>
          <w:tcPr>
            <w:tcW w:w="567" w:type="dxa"/>
            <w:tcBorders>
              <w:bottom w:val="single" w:sz="12" w:space="0" w:color="001D77"/>
            </w:tcBorders>
            <w:vAlign w:val="center"/>
          </w:tcPr>
          <w:p w14:paraId="6BE5257D" w14:textId="77777777" w:rsidR="00062438" w:rsidRPr="00062438" w:rsidRDefault="00062438" w:rsidP="00062438">
            <w:pPr>
              <w:spacing w:before="40" w:after="40"/>
              <w:jc w:val="center"/>
              <w:rPr>
                <w:sz w:val="16"/>
                <w:szCs w:val="16"/>
              </w:rPr>
            </w:pPr>
            <w:r w:rsidRPr="00062438">
              <w:rPr>
                <w:sz w:val="16"/>
                <w:szCs w:val="16"/>
              </w:rPr>
              <w:t>%</w:t>
            </w:r>
            <w:r w:rsidRPr="00062438">
              <w:rPr>
                <w:sz w:val="16"/>
                <w:szCs w:val="16"/>
              </w:rPr>
              <w:br/>
              <w:t>PKB</w:t>
            </w:r>
          </w:p>
        </w:tc>
        <w:tc>
          <w:tcPr>
            <w:tcW w:w="1021" w:type="dxa"/>
            <w:tcBorders>
              <w:bottom w:val="single" w:sz="12" w:space="0" w:color="001D77"/>
            </w:tcBorders>
            <w:vAlign w:val="center"/>
          </w:tcPr>
          <w:p w14:paraId="50DC2040" w14:textId="77777777" w:rsidR="00062438" w:rsidRPr="00062438" w:rsidRDefault="00062438" w:rsidP="00062438">
            <w:pPr>
              <w:spacing w:before="40" w:after="40"/>
              <w:jc w:val="center"/>
              <w:rPr>
                <w:sz w:val="16"/>
                <w:szCs w:val="16"/>
              </w:rPr>
            </w:pPr>
            <w:r w:rsidRPr="00062438">
              <w:rPr>
                <w:sz w:val="16"/>
                <w:szCs w:val="16"/>
              </w:rPr>
              <w:t>mln zł</w:t>
            </w:r>
          </w:p>
        </w:tc>
        <w:tc>
          <w:tcPr>
            <w:tcW w:w="567" w:type="dxa"/>
            <w:tcBorders>
              <w:bottom w:val="single" w:sz="12" w:space="0" w:color="001D77"/>
            </w:tcBorders>
            <w:vAlign w:val="center"/>
          </w:tcPr>
          <w:p w14:paraId="27CE0A33" w14:textId="77777777" w:rsidR="00062438" w:rsidRPr="00062438" w:rsidRDefault="00062438" w:rsidP="00062438">
            <w:pPr>
              <w:spacing w:before="40" w:after="40"/>
              <w:jc w:val="center"/>
              <w:rPr>
                <w:sz w:val="16"/>
                <w:szCs w:val="16"/>
              </w:rPr>
            </w:pPr>
            <w:r w:rsidRPr="00062438">
              <w:rPr>
                <w:sz w:val="16"/>
                <w:szCs w:val="16"/>
              </w:rPr>
              <w:t>%</w:t>
            </w:r>
            <w:r w:rsidRPr="00062438">
              <w:rPr>
                <w:sz w:val="16"/>
                <w:szCs w:val="16"/>
              </w:rPr>
              <w:br/>
              <w:t>PKB</w:t>
            </w:r>
          </w:p>
        </w:tc>
      </w:tr>
      <w:tr w:rsidR="00062438" w:rsidRPr="00062438" w14:paraId="496C6E68" w14:textId="77777777" w:rsidTr="00224BA0">
        <w:tc>
          <w:tcPr>
            <w:tcW w:w="1021" w:type="dxa"/>
            <w:tcBorders>
              <w:top w:val="single" w:sz="12" w:space="0" w:color="001D77"/>
            </w:tcBorders>
            <w:vAlign w:val="center"/>
          </w:tcPr>
          <w:p w14:paraId="4B18E4FE" w14:textId="77777777" w:rsidR="00062438" w:rsidRPr="00062438" w:rsidRDefault="00062438" w:rsidP="00062438">
            <w:pPr>
              <w:ind w:left="57"/>
              <w:rPr>
                <w:sz w:val="16"/>
                <w:szCs w:val="16"/>
              </w:rPr>
            </w:pPr>
          </w:p>
        </w:tc>
        <w:tc>
          <w:tcPr>
            <w:tcW w:w="2268" w:type="dxa"/>
            <w:tcBorders>
              <w:top w:val="single" w:sz="12" w:space="0" w:color="001D77"/>
            </w:tcBorders>
            <w:vAlign w:val="center"/>
          </w:tcPr>
          <w:p w14:paraId="1515B666" w14:textId="77777777" w:rsidR="00062438" w:rsidRPr="00062438" w:rsidRDefault="00062438" w:rsidP="00062438">
            <w:pPr>
              <w:ind w:left="57"/>
              <w:rPr>
                <w:sz w:val="16"/>
                <w:szCs w:val="16"/>
              </w:rPr>
            </w:pPr>
            <w:r w:rsidRPr="00062438">
              <w:rPr>
                <w:sz w:val="16"/>
                <w:szCs w:val="16"/>
              </w:rPr>
              <w:t xml:space="preserve">Produkt krajowy </w:t>
            </w:r>
            <w:r w:rsidRPr="00062438">
              <w:rPr>
                <w:color w:val="000000" w:themeColor="text1"/>
                <w:sz w:val="16"/>
                <w:szCs w:val="16"/>
              </w:rPr>
              <w:t>brutto</w:t>
            </w:r>
            <w:r w:rsidRPr="00062438">
              <w:rPr>
                <w:color w:val="000000" w:themeColor="text1"/>
                <w:sz w:val="16"/>
                <w:szCs w:val="16"/>
                <w:vertAlign w:val="superscript"/>
              </w:rPr>
              <w:t>a</w:t>
            </w:r>
          </w:p>
        </w:tc>
        <w:tc>
          <w:tcPr>
            <w:tcW w:w="1021" w:type="dxa"/>
            <w:tcBorders>
              <w:top w:val="single" w:sz="12" w:space="0" w:color="001D77"/>
            </w:tcBorders>
            <w:vAlign w:val="center"/>
          </w:tcPr>
          <w:p w14:paraId="7D031D86" w14:textId="77777777" w:rsidR="00062438" w:rsidRPr="00062438" w:rsidRDefault="00062438" w:rsidP="00062438">
            <w:pPr>
              <w:spacing w:before="40" w:after="40"/>
              <w:ind w:right="57"/>
              <w:jc w:val="right"/>
              <w:rPr>
                <w:sz w:val="16"/>
                <w:szCs w:val="16"/>
              </w:rPr>
            </w:pPr>
            <w:r w:rsidRPr="00062438">
              <w:rPr>
                <w:sz w:val="16"/>
                <w:szCs w:val="16"/>
              </w:rPr>
              <w:t>2 337 672</w:t>
            </w:r>
          </w:p>
        </w:tc>
        <w:tc>
          <w:tcPr>
            <w:tcW w:w="567" w:type="dxa"/>
            <w:tcBorders>
              <w:top w:val="single" w:sz="12" w:space="0" w:color="001D77"/>
            </w:tcBorders>
            <w:vAlign w:val="center"/>
          </w:tcPr>
          <w:p w14:paraId="7B909FE7" w14:textId="77777777" w:rsidR="00062438" w:rsidRPr="00062438" w:rsidRDefault="00062438" w:rsidP="00062438">
            <w:pPr>
              <w:spacing w:before="40" w:after="40"/>
              <w:ind w:right="57"/>
              <w:jc w:val="right"/>
              <w:rPr>
                <w:sz w:val="16"/>
                <w:szCs w:val="16"/>
              </w:rPr>
            </w:pPr>
            <w:r w:rsidRPr="00062438">
              <w:rPr>
                <w:sz w:val="16"/>
                <w:szCs w:val="16"/>
              </w:rPr>
              <w:t>100</w:t>
            </w:r>
          </w:p>
        </w:tc>
        <w:tc>
          <w:tcPr>
            <w:tcW w:w="1021" w:type="dxa"/>
            <w:tcBorders>
              <w:top w:val="single" w:sz="12" w:space="0" w:color="001D77"/>
            </w:tcBorders>
            <w:vAlign w:val="center"/>
          </w:tcPr>
          <w:p w14:paraId="7653556E" w14:textId="77777777" w:rsidR="00062438" w:rsidRPr="00062438" w:rsidRDefault="00062438" w:rsidP="00062438">
            <w:pPr>
              <w:spacing w:before="40" w:after="40"/>
              <w:ind w:right="57"/>
              <w:jc w:val="right"/>
              <w:rPr>
                <w:sz w:val="16"/>
                <w:szCs w:val="16"/>
              </w:rPr>
            </w:pPr>
            <w:r w:rsidRPr="00062438">
              <w:rPr>
                <w:sz w:val="16"/>
                <w:szCs w:val="16"/>
              </w:rPr>
              <w:t>2 631 302</w:t>
            </w:r>
          </w:p>
        </w:tc>
        <w:tc>
          <w:tcPr>
            <w:tcW w:w="567" w:type="dxa"/>
            <w:tcBorders>
              <w:top w:val="single" w:sz="12" w:space="0" w:color="001D77"/>
            </w:tcBorders>
            <w:vAlign w:val="center"/>
          </w:tcPr>
          <w:p w14:paraId="7601482E" w14:textId="77777777" w:rsidR="00062438" w:rsidRPr="00062438" w:rsidRDefault="00062438" w:rsidP="00062438">
            <w:pPr>
              <w:spacing w:before="40" w:after="40"/>
              <w:ind w:right="57"/>
              <w:jc w:val="right"/>
              <w:rPr>
                <w:sz w:val="16"/>
                <w:szCs w:val="16"/>
              </w:rPr>
            </w:pPr>
            <w:r w:rsidRPr="00062438">
              <w:rPr>
                <w:sz w:val="16"/>
                <w:szCs w:val="16"/>
              </w:rPr>
              <w:t>100</w:t>
            </w:r>
          </w:p>
        </w:tc>
        <w:tc>
          <w:tcPr>
            <w:tcW w:w="1021" w:type="dxa"/>
            <w:tcBorders>
              <w:top w:val="single" w:sz="12" w:space="0" w:color="001D77"/>
            </w:tcBorders>
            <w:vAlign w:val="center"/>
          </w:tcPr>
          <w:p w14:paraId="2A3B0A38" w14:textId="77777777" w:rsidR="00062438" w:rsidRPr="00062438" w:rsidRDefault="00062438" w:rsidP="00062438">
            <w:pPr>
              <w:spacing w:before="40" w:after="40"/>
              <w:ind w:right="57"/>
              <w:jc w:val="right"/>
              <w:rPr>
                <w:sz w:val="16"/>
                <w:szCs w:val="16"/>
              </w:rPr>
            </w:pPr>
            <w:r w:rsidRPr="00062438">
              <w:rPr>
                <w:sz w:val="16"/>
                <w:szCs w:val="16"/>
              </w:rPr>
              <w:t>3 078 325</w:t>
            </w:r>
          </w:p>
        </w:tc>
        <w:tc>
          <w:tcPr>
            <w:tcW w:w="567" w:type="dxa"/>
            <w:tcBorders>
              <w:top w:val="single" w:sz="12" w:space="0" w:color="001D77"/>
            </w:tcBorders>
            <w:vAlign w:val="center"/>
          </w:tcPr>
          <w:p w14:paraId="3603C369" w14:textId="77777777" w:rsidR="00062438" w:rsidRPr="00062438" w:rsidRDefault="00062438" w:rsidP="00062438">
            <w:pPr>
              <w:spacing w:before="40" w:after="40"/>
              <w:ind w:right="57"/>
              <w:jc w:val="right"/>
              <w:rPr>
                <w:sz w:val="16"/>
                <w:szCs w:val="16"/>
              </w:rPr>
            </w:pPr>
            <w:r w:rsidRPr="00062438">
              <w:rPr>
                <w:sz w:val="16"/>
                <w:szCs w:val="16"/>
              </w:rPr>
              <w:t>100</w:t>
            </w:r>
          </w:p>
        </w:tc>
      </w:tr>
      <w:tr w:rsidR="00062438" w:rsidRPr="00062438" w14:paraId="73AA06A7" w14:textId="77777777" w:rsidTr="00224BA0">
        <w:tc>
          <w:tcPr>
            <w:tcW w:w="8053" w:type="dxa"/>
            <w:gridSpan w:val="8"/>
            <w:tcBorders>
              <w:top w:val="single" w:sz="12" w:space="0" w:color="001D77"/>
            </w:tcBorders>
            <w:vAlign w:val="center"/>
          </w:tcPr>
          <w:p w14:paraId="5FD46EC3" w14:textId="77777777" w:rsidR="00062438" w:rsidRPr="00062438" w:rsidRDefault="00062438" w:rsidP="00062438">
            <w:pPr>
              <w:spacing w:before="40" w:after="40"/>
              <w:ind w:right="57"/>
              <w:jc w:val="center"/>
              <w:rPr>
                <w:sz w:val="16"/>
                <w:szCs w:val="16"/>
                <w:vertAlign w:val="superscript"/>
              </w:rPr>
            </w:pPr>
            <w:r w:rsidRPr="00062438">
              <w:rPr>
                <w:sz w:val="16"/>
                <w:szCs w:val="16"/>
              </w:rPr>
              <w:t>Metodologia SHA 2011</w:t>
            </w:r>
            <w:r w:rsidRPr="00062438">
              <w:rPr>
                <w:sz w:val="16"/>
                <w:szCs w:val="16"/>
                <w:vertAlign w:val="superscript"/>
              </w:rPr>
              <w:t>b</w:t>
            </w:r>
          </w:p>
        </w:tc>
      </w:tr>
      <w:tr w:rsidR="00062438" w:rsidRPr="00062438" w14:paraId="578C23F1" w14:textId="77777777" w:rsidTr="00224BA0">
        <w:tc>
          <w:tcPr>
            <w:tcW w:w="1021" w:type="dxa"/>
          </w:tcPr>
          <w:p w14:paraId="5CCE3060" w14:textId="77777777" w:rsidR="00062438" w:rsidRPr="00062438" w:rsidRDefault="00062438" w:rsidP="00062438">
            <w:pPr>
              <w:spacing w:before="40" w:after="40"/>
              <w:rPr>
                <w:b/>
                <w:bCs/>
                <w:sz w:val="16"/>
                <w:szCs w:val="16"/>
              </w:rPr>
            </w:pPr>
            <w:r w:rsidRPr="00062438">
              <w:rPr>
                <w:b/>
                <w:bCs/>
                <w:sz w:val="16"/>
                <w:szCs w:val="16"/>
              </w:rPr>
              <w:t>HF.1+HF.2+</w:t>
            </w:r>
            <w:r w:rsidRPr="00062438">
              <w:rPr>
                <w:b/>
                <w:bCs/>
                <w:sz w:val="16"/>
                <w:szCs w:val="16"/>
              </w:rPr>
              <w:br/>
              <w:t>HF.3</w:t>
            </w:r>
          </w:p>
        </w:tc>
        <w:tc>
          <w:tcPr>
            <w:tcW w:w="2268" w:type="dxa"/>
            <w:vAlign w:val="center"/>
          </w:tcPr>
          <w:p w14:paraId="6D22A884" w14:textId="77777777" w:rsidR="00062438" w:rsidRPr="00062438" w:rsidRDefault="00062438" w:rsidP="00062438">
            <w:pPr>
              <w:spacing w:before="40" w:after="40"/>
              <w:ind w:left="57" w:right="57"/>
              <w:rPr>
                <w:b/>
                <w:bCs/>
                <w:sz w:val="16"/>
                <w:szCs w:val="16"/>
              </w:rPr>
            </w:pPr>
            <w:r w:rsidRPr="00062438">
              <w:rPr>
                <w:b/>
                <w:bCs/>
                <w:sz w:val="16"/>
                <w:szCs w:val="16"/>
              </w:rPr>
              <w:t>Wydatki bieżące na ochronę zdrowia ogółem</w:t>
            </w:r>
            <w:r w:rsidRPr="00062438">
              <w:rPr>
                <w:bCs/>
                <w:sz w:val="16"/>
                <w:szCs w:val="16"/>
                <w:vertAlign w:val="superscript"/>
              </w:rPr>
              <w:t>c</w:t>
            </w:r>
          </w:p>
        </w:tc>
        <w:tc>
          <w:tcPr>
            <w:tcW w:w="1021" w:type="dxa"/>
            <w:vAlign w:val="bottom"/>
          </w:tcPr>
          <w:p w14:paraId="65A7C165" w14:textId="77777777" w:rsidR="00062438" w:rsidRPr="00062438" w:rsidRDefault="00062438" w:rsidP="00062438">
            <w:pPr>
              <w:spacing w:before="40" w:after="40"/>
              <w:ind w:right="57"/>
              <w:jc w:val="right"/>
              <w:rPr>
                <w:b/>
                <w:bCs/>
                <w:sz w:val="16"/>
                <w:szCs w:val="16"/>
              </w:rPr>
            </w:pPr>
            <w:r w:rsidRPr="00062438">
              <w:rPr>
                <w:b/>
                <w:bCs/>
                <w:sz w:val="16"/>
                <w:szCs w:val="16"/>
              </w:rPr>
              <w:t>151 873,5</w:t>
            </w:r>
          </w:p>
        </w:tc>
        <w:tc>
          <w:tcPr>
            <w:tcW w:w="567" w:type="dxa"/>
            <w:vAlign w:val="bottom"/>
          </w:tcPr>
          <w:p w14:paraId="6FB319D4" w14:textId="77777777" w:rsidR="00062438" w:rsidRPr="00062438" w:rsidRDefault="00062438" w:rsidP="00062438">
            <w:pPr>
              <w:spacing w:before="40" w:after="40"/>
              <w:ind w:right="57"/>
              <w:jc w:val="right"/>
              <w:rPr>
                <w:b/>
                <w:bCs/>
                <w:sz w:val="16"/>
                <w:szCs w:val="16"/>
              </w:rPr>
            </w:pPr>
            <w:r w:rsidRPr="00062438">
              <w:rPr>
                <w:b/>
                <w:bCs/>
                <w:sz w:val="16"/>
                <w:szCs w:val="16"/>
              </w:rPr>
              <w:t>6,5</w:t>
            </w:r>
          </w:p>
        </w:tc>
        <w:tc>
          <w:tcPr>
            <w:tcW w:w="1021" w:type="dxa"/>
            <w:vAlign w:val="bottom"/>
          </w:tcPr>
          <w:p w14:paraId="44F2C790" w14:textId="77777777" w:rsidR="00062438" w:rsidRPr="00062438" w:rsidRDefault="00062438" w:rsidP="00062438">
            <w:pPr>
              <w:spacing w:before="40" w:after="40"/>
              <w:ind w:right="57"/>
              <w:jc w:val="right"/>
              <w:rPr>
                <w:b/>
                <w:bCs/>
                <w:sz w:val="16"/>
                <w:szCs w:val="16"/>
              </w:rPr>
            </w:pPr>
            <w:r w:rsidRPr="00062438">
              <w:rPr>
                <w:b/>
                <w:bCs/>
                <w:sz w:val="16"/>
                <w:szCs w:val="16"/>
              </w:rPr>
              <w:t>169 418,4</w:t>
            </w:r>
            <w:r w:rsidRPr="00062438">
              <w:rPr>
                <w:b/>
                <w:sz w:val="16"/>
                <w:szCs w:val="16"/>
                <w:vertAlign w:val="superscript"/>
              </w:rPr>
              <w:t>d</w:t>
            </w:r>
          </w:p>
        </w:tc>
        <w:tc>
          <w:tcPr>
            <w:tcW w:w="567" w:type="dxa"/>
            <w:vAlign w:val="bottom"/>
          </w:tcPr>
          <w:p w14:paraId="30DEA85E" w14:textId="77777777" w:rsidR="00062438" w:rsidRPr="00062438" w:rsidRDefault="00062438" w:rsidP="00062438">
            <w:pPr>
              <w:spacing w:before="40" w:after="40"/>
              <w:ind w:right="57"/>
              <w:jc w:val="right"/>
              <w:rPr>
                <w:b/>
                <w:bCs/>
                <w:sz w:val="16"/>
                <w:szCs w:val="16"/>
              </w:rPr>
            </w:pPr>
            <w:r w:rsidRPr="00062438">
              <w:rPr>
                <w:b/>
                <w:bCs/>
                <w:sz w:val="16"/>
                <w:szCs w:val="16"/>
              </w:rPr>
              <w:t>6,4</w:t>
            </w:r>
          </w:p>
        </w:tc>
        <w:tc>
          <w:tcPr>
            <w:tcW w:w="1021" w:type="dxa"/>
            <w:vAlign w:val="bottom"/>
          </w:tcPr>
          <w:p w14:paraId="68EDFBCE" w14:textId="71597430" w:rsidR="00062438" w:rsidRPr="00062438" w:rsidRDefault="009A0EFF" w:rsidP="00062438">
            <w:pPr>
              <w:spacing w:before="40" w:after="40"/>
              <w:ind w:right="57"/>
              <w:jc w:val="right"/>
              <w:rPr>
                <w:b/>
                <w:bCs/>
                <w:sz w:val="16"/>
                <w:szCs w:val="16"/>
              </w:rPr>
            </w:pPr>
            <w:r w:rsidRPr="009A0EFF">
              <w:rPr>
                <w:b/>
                <w:sz w:val="16"/>
                <w:szCs w:val="16"/>
              </w:rPr>
              <w:t>205 559,1</w:t>
            </w:r>
            <w:r w:rsidR="00062438" w:rsidRPr="00062438">
              <w:rPr>
                <w:b/>
                <w:sz w:val="16"/>
                <w:szCs w:val="16"/>
                <w:vertAlign w:val="superscript"/>
              </w:rPr>
              <w:t>e</w:t>
            </w:r>
          </w:p>
        </w:tc>
        <w:tc>
          <w:tcPr>
            <w:tcW w:w="567" w:type="dxa"/>
            <w:vAlign w:val="bottom"/>
          </w:tcPr>
          <w:p w14:paraId="0CE20FFD" w14:textId="0FCB46FF" w:rsidR="00062438" w:rsidRPr="00062438" w:rsidRDefault="009A0EFF" w:rsidP="00062438">
            <w:pPr>
              <w:spacing w:before="40" w:after="40"/>
              <w:ind w:right="57"/>
              <w:jc w:val="right"/>
              <w:rPr>
                <w:b/>
                <w:bCs/>
                <w:sz w:val="16"/>
                <w:szCs w:val="16"/>
              </w:rPr>
            </w:pPr>
            <w:r>
              <w:rPr>
                <w:b/>
                <w:bCs/>
                <w:sz w:val="16"/>
                <w:szCs w:val="16"/>
              </w:rPr>
              <w:t>6,7</w:t>
            </w:r>
          </w:p>
        </w:tc>
      </w:tr>
      <w:tr w:rsidR="00062438" w:rsidRPr="00062438" w14:paraId="2FD59519" w14:textId="77777777" w:rsidTr="00224BA0">
        <w:tc>
          <w:tcPr>
            <w:tcW w:w="1021" w:type="dxa"/>
            <w:tcBorders>
              <w:bottom w:val="single" w:sz="4" w:space="0" w:color="001D77"/>
            </w:tcBorders>
            <w:vAlign w:val="center"/>
          </w:tcPr>
          <w:p w14:paraId="364BB5E2" w14:textId="77777777" w:rsidR="00062438" w:rsidRPr="00062438" w:rsidRDefault="00062438" w:rsidP="00062438">
            <w:pPr>
              <w:spacing w:before="40" w:after="40"/>
              <w:ind w:left="57"/>
              <w:rPr>
                <w:sz w:val="16"/>
                <w:szCs w:val="16"/>
              </w:rPr>
            </w:pPr>
            <w:r w:rsidRPr="00062438">
              <w:rPr>
                <w:sz w:val="16"/>
                <w:szCs w:val="16"/>
              </w:rPr>
              <w:t>HF.1</w:t>
            </w:r>
          </w:p>
        </w:tc>
        <w:tc>
          <w:tcPr>
            <w:tcW w:w="2268" w:type="dxa"/>
            <w:tcBorders>
              <w:bottom w:val="single" w:sz="4" w:space="0" w:color="001D77"/>
            </w:tcBorders>
            <w:vAlign w:val="center"/>
          </w:tcPr>
          <w:p w14:paraId="118D7712" w14:textId="77777777" w:rsidR="00062438" w:rsidRPr="00062438" w:rsidRDefault="00062438" w:rsidP="00062438">
            <w:pPr>
              <w:spacing w:before="40" w:after="40"/>
              <w:ind w:left="57" w:right="57"/>
              <w:jc w:val="both"/>
              <w:rPr>
                <w:sz w:val="16"/>
                <w:szCs w:val="16"/>
              </w:rPr>
            </w:pPr>
            <w:r w:rsidRPr="00062438">
              <w:rPr>
                <w:sz w:val="16"/>
                <w:szCs w:val="16"/>
              </w:rPr>
              <w:t>Wydatki publiczne</w:t>
            </w:r>
          </w:p>
        </w:tc>
        <w:tc>
          <w:tcPr>
            <w:tcW w:w="1021" w:type="dxa"/>
            <w:tcBorders>
              <w:bottom w:val="single" w:sz="4" w:space="0" w:color="001D77"/>
            </w:tcBorders>
          </w:tcPr>
          <w:p w14:paraId="7B1DAA74" w14:textId="77777777" w:rsidR="00062438" w:rsidRPr="00062438" w:rsidRDefault="00062438" w:rsidP="00062438">
            <w:pPr>
              <w:spacing w:before="40" w:after="40"/>
              <w:ind w:right="57"/>
              <w:jc w:val="right"/>
              <w:rPr>
                <w:sz w:val="16"/>
                <w:szCs w:val="16"/>
              </w:rPr>
            </w:pPr>
            <w:r w:rsidRPr="00062438">
              <w:rPr>
                <w:sz w:val="16"/>
                <w:szCs w:val="16"/>
              </w:rPr>
              <w:t>109 752,7</w:t>
            </w:r>
          </w:p>
        </w:tc>
        <w:tc>
          <w:tcPr>
            <w:tcW w:w="567" w:type="dxa"/>
            <w:tcBorders>
              <w:bottom w:val="single" w:sz="4" w:space="0" w:color="001D77"/>
            </w:tcBorders>
          </w:tcPr>
          <w:p w14:paraId="3C2117D5" w14:textId="77777777" w:rsidR="00062438" w:rsidRPr="00062438" w:rsidRDefault="00062438" w:rsidP="00062438">
            <w:pPr>
              <w:spacing w:before="40" w:after="40"/>
              <w:ind w:right="57"/>
              <w:jc w:val="right"/>
              <w:rPr>
                <w:sz w:val="16"/>
                <w:szCs w:val="16"/>
              </w:rPr>
            </w:pPr>
            <w:r w:rsidRPr="00062438">
              <w:rPr>
                <w:sz w:val="16"/>
                <w:szCs w:val="16"/>
              </w:rPr>
              <w:t>4,7</w:t>
            </w:r>
          </w:p>
        </w:tc>
        <w:tc>
          <w:tcPr>
            <w:tcW w:w="1021" w:type="dxa"/>
            <w:tcBorders>
              <w:bottom w:val="single" w:sz="4" w:space="0" w:color="001D77"/>
            </w:tcBorders>
          </w:tcPr>
          <w:p w14:paraId="5C9C0B3D" w14:textId="77777777" w:rsidR="00062438" w:rsidRPr="00062438" w:rsidRDefault="00062438" w:rsidP="00062438">
            <w:pPr>
              <w:spacing w:before="40" w:after="40"/>
              <w:ind w:right="57"/>
              <w:jc w:val="right"/>
              <w:rPr>
                <w:sz w:val="16"/>
                <w:szCs w:val="16"/>
              </w:rPr>
            </w:pPr>
            <w:r w:rsidRPr="00062438">
              <w:rPr>
                <w:sz w:val="16"/>
                <w:szCs w:val="16"/>
              </w:rPr>
              <w:t>122 767,2</w:t>
            </w:r>
          </w:p>
        </w:tc>
        <w:tc>
          <w:tcPr>
            <w:tcW w:w="567" w:type="dxa"/>
            <w:tcBorders>
              <w:bottom w:val="single" w:sz="4" w:space="0" w:color="001D77"/>
            </w:tcBorders>
          </w:tcPr>
          <w:p w14:paraId="6967FA3A" w14:textId="77777777" w:rsidR="00062438" w:rsidRPr="00062438" w:rsidRDefault="00062438" w:rsidP="00062438">
            <w:pPr>
              <w:spacing w:before="40" w:after="40"/>
              <w:ind w:right="57"/>
              <w:jc w:val="right"/>
              <w:rPr>
                <w:sz w:val="16"/>
                <w:szCs w:val="16"/>
              </w:rPr>
            </w:pPr>
            <w:r w:rsidRPr="00062438">
              <w:rPr>
                <w:sz w:val="16"/>
                <w:szCs w:val="16"/>
              </w:rPr>
              <w:t>4,7</w:t>
            </w:r>
          </w:p>
        </w:tc>
        <w:tc>
          <w:tcPr>
            <w:tcW w:w="1021" w:type="dxa"/>
            <w:tcBorders>
              <w:bottom w:val="single" w:sz="4" w:space="0" w:color="001D77"/>
            </w:tcBorders>
          </w:tcPr>
          <w:p w14:paraId="54F75F75" w14:textId="40520898" w:rsidR="00062438" w:rsidRPr="00062438" w:rsidRDefault="009A0EFF" w:rsidP="00062438">
            <w:pPr>
              <w:spacing w:before="40" w:after="40"/>
              <w:ind w:right="57"/>
              <w:jc w:val="right"/>
              <w:rPr>
                <w:sz w:val="16"/>
                <w:szCs w:val="16"/>
              </w:rPr>
            </w:pPr>
            <w:r>
              <w:rPr>
                <w:sz w:val="16"/>
                <w:szCs w:val="16"/>
              </w:rPr>
              <w:t>153 955,9</w:t>
            </w:r>
          </w:p>
        </w:tc>
        <w:tc>
          <w:tcPr>
            <w:tcW w:w="567" w:type="dxa"/>
            <w:tcBorders>
              <w:bottom w:val="single" w:sz="4" w:space="0" w:color="001D77"/>
            </w:tcBorders>
          </w:tcPr>
          <w:p w14:paraId="3115E3EC" w14:textId="26208158" w:rsidR="00062438" w:rsidRPr="00062438" w:rsidRDefault="009A0EFF" w:rsidP="00062438">
            <w:pPr>
              <w:spacing w:before="40" w:after="40"/>
              <w:ind w:right="57"/>
              <w:jc w:val="right"/>
              <w:rPr>
                <w:sz w:val="16"/>
                <w:szCs w:val="16"/>
              </w:rPr>
            </w:pPr>
            <w:r>
              <w:rPr>
                <w:sz w:val="16"/>
                <w:szCs w:val="16"/>
              </w:rPr>
              <w:t>5,0</w:t>
            </w:r>
          </w:p>
        </w:tc>
      </w:tr>
      <w:tr w:rsidR="00062438" w:rsidRPr="00062438" w14:paraId="72C148D0" w14:textId="77777777" w:rsidTr="00224BA0">
        <w:tc>
          <w:tcPr>
            <w:tcW w:w="1021" w:type="dxa"/>
            <w:tcBorders>
              <w:right w:val="nil"/>
            </w:tcBorders>
          </w:tcPr>
          <w:p w14:paraId="2FC5BB0C" w14:textId="77777777" w:rsidR="00062438" w:rsidRPr="00062438" w:rsidRDefault="00062438" w:rsidP="00062438">
            <w:pPr>
              <w:spacing w:before="40" w:after="40"/>
              <w:ind w:left="57"/>
              <w:rPr>
                <w:sz w:val="16"/>
                <w:szCs w:val="16"/>
              </w:rPr>
            </w:pPr>
          </w:p>
        </w:tc>
        <w:tc>
          <w:tcPr>
            <w:tcW w:w="2268" w:type="dxa"/>
            <w:tcBorders>
              <w:left w:val="nil"/>
              <w:right w:val="nil"/>
            </w:tcBorders>
          </w:tcPr>
          <w:p w14:paraId="4FA58277" w14:textId="77777777" w:rsidR="00062438" w:rsidRPr="00062438" w:rsidRDefault="00062438" w:rsidP="00062438">
            <w:pPr>
              <w:spacing w:before="40" w:after="40"/>
              <w:ind w:left="397" w:right="57"/>
              <w:jc w:val="both"/>
              <w:rPr>
                <w:sz w:val="16"/>
                <w:szCs w:val="16"/>
              </w:rPr>
            </w:pPr>
            <w:r w:rsidRPr="00062438">
              <w:rPr>
                <w:sz w:val="16"/>
                <w:szCs w:val="16"/>
              </w:rPr>
              <w:t>w tym:</w:t>
            </w:r>
          </w:p>
        </w:tc>
        <w:tc>
          <w:tcPr>
            <w:tcW w:w="1021" w:type="dxa"/>
            <w:tcBorders>
              <w:left w:val="nil"/>
              <w:right w:val="nil"/>
            </w:tcBorders>
          </w:tcPr>
          <w:p w14:paraId="1B8AF788" w14:textId="77777777" w:rsidR="00062438" w:rsidRPr="00062438" w:rsidRDefault="00062438" w:rsidP="00062438">
            <w:pPr>
              <w:spacing w:before="40" w:after="40"/>
              <w:ind w:right="57"/>
              <w:jc w:val="right"/>
              <w:rPr>
                <w:sz w:val="16"/>
                <w:szCs w:val="16"/>
              </w:rPr>
            </w:pPr>
          </w:p>
        </w:tc>
        <w:tc>
          <w:tcPr>
            <w:tcW w:w="567" w:type="dxa"/>
            <w:tcBorders>
              <w:left w:val="nil"/>
              <w:right w:val="nil"/>
            </w:tcBorders>
          </w:tcPr>
          <w:p w14:paraId="3D46F040" w14:textId="77777777" w:rsidR="00062438" w:rsidRPr="00062438" w:rsidRDefault="00062438" w:rsidP="00062438">
            <w:pPr>
              <w:spacing w:before="40" w:after="40"/>
              <w:ind w:right="57"/>
              <w:jc w:val="right"/>
              <w:rPr>
                <w:sz w:val="16"/>
                <w:szCs w:val="16"/>
              </w:rPr>
            </w:pPr>
          </w:p>
        </w:tc>
        <w:tc>
          <w:tcPr>
            <w:tcW w:w="1021" w:type="dxa"/>
            <w:tcBorders>
              <w:left w:val="nil"/>
              <w:right w:val="nil"/>
            </w:tcBorders>
          </w:tcPr>
          <w:p w14:paraId="657BAAE7" w14:textId="77777777" w:rsidR="00062438" w:rsidRPr="00062438" w:rsidRDefault="00062438" w:rsidP="00062438">
            <w:pPr>
              <w:spacing w:before="40" w:after="40"/>
              <w:ind w:right="57"/>
              <w:jc w:val="right"/>
              <w:rPr>
                <w:sz w:val="16"/>
                <w:szCs w:val="16"/>
              </w:rPr>
            </w:pPr>
          </w:p>
        </w:tc>
        <w:tc>
          <w:tcPr>
            <w:tcW w:w="567" w:type="dxa"/>
            <w:tcBorders>
              <w:left w:val="nil"/>
              <w:right w:val="nil"/>
            </w:tcBorders>
          </w:tcPr>
          <w:p w14:paraId="54585016" w14:textId="77777777" w:rsidR="00062438" w:rsidRPr="00062438" w:rsidRDefault="00062438" w:rsidP="00062438">
            <w:pPr>
              <w:spacing w:before="40" w:after="40"/>
              <w:ind w:right="57"/>
              <w:jc w:val="right"/>
              <w:rPr>
                <w:sz w:val="16"/>
                <w:szCs w:val="16"/>
              </w:rPr>
            </w:pPr>
          </w:p>
        </w:tc>
        <w:tc>
          <w:tcPr>
            <w:tcW w:w="1021" w:type="dxa"/>
            <w:tcBorders>
              <w:left w:val="nil"/>
              <w:right w:val="nil"/>
            </w:tcBorders>
          </w:tcPr>
          <w:p w14:paraId="5B05329C" w14:textId="77777777" w:rsidR="00062438" w:rsidRPr="00062438" w:rsidRDefault="00062438" w:rsidP="00062438">
            <w:pPr>
              <w:spacing w:before="40" w:after="40"/>
              <w:ind w:right="57"/>
              <w:jc w:val="right"/>
              <w:rPr>
                <w:sz w:val="16"/>
                <w:szCs w:val="16"/>
              </w:rPr>
            </w:pPr>
          </w:p>
        </w:tc>
        <w:tc>
          <w:tcPr>
            <w:tcW w:w="567" w:type="dxa"/>
            <w:tcBorders>
              <w:left w:val="nil"/>
            </w:tcBorders>
          </w:tcPr>
          <w:p w14:paraId="7173639C" w14:textId="796CA1E9" w:rsidR="00062438" w:rsidRPr="00062438" w:rsidRDefault="009A0EFF" w:rsidP="00062438">
            <w:pPr>
              <w:spacing w:before="40" w:after="40"/>
              <w:ind w:right="57"/>
              <w:jc w:val="right"/>
              <w:rPr>
                <w:sz w:val="16"/>
                <w:szCs w:val="16"/>
              </w:rPr>
            </w:pPr>
            <w:r>
              <w:rPr>
                <w:sz w:val="16"/>
                <w:szCs w:val="16"/>
              </w:rPr>
              <w:t xml:space="preserve"> </w:t>
            </w:r>
          </w:p>
        </w:tc>
      </w:tr>
      <w:tr w:rsidR="00062438" w:rsidRPr="00062438" w14:paraId="609DEA2A" w14:textId="77777777" w:rsidTr="00224BA0">
        <w:tc>
          <w:tcPr>
            <w:tcW w:w="1021" w:type="dxa"/>
          </w:tcPr>
          <w:p w14:paraId="7C133830" w14:textId="77777777" w:rsidR="00062438" w:rsidRPr="00062438" w:rsidRDefault="00062438" w:rsidP="00062438">
            <w:pPr>
              <w:spacing w:before="40" w:after="40"/>
              <w:ind w:left="227"/>
              <w:rPr>
                <w:sz w:val="16"/>
                <w:szCs w:val="16"/>
              </w:rPr>
            </w:pPr>
            <w:r w:rsidRPr="00062438">
              <w:rPr>
                <w:sz w:val="16"/>
                <w:szCs w:val="16"/>
              </w:rPr>
              <w:t>HF.1.1</w:t>
            </w:r>
          </w:p>
        </w:tc>
        <w:tc>
          <w:tcPr>
            <w:tcW w:w="2268" w:type="dxa"/>
            <w:vAlign w:val="center"/>
          </w:tcPr>
          <w:p w14:paraId="085F878C" w14:textId="355D883F" w:rsidR="00062438" w:rsidRPr="00062438" w:rsidRDefault="00141975" w:rsidP="00141975">
            <w:pPr>
              <w:spacing w:before="40" w:after="40"/>
              <w:ind w:left="227" w:right="57"/>
              <w:rPr>
                <w:sz w:val="16"/>
                <w:szCs w:val="16"/>
              </w:rPr>
            </w:pPr>
            <w:r>
              <w:rPr>
                <w:sz w:val="16"/>
                <w:szCs w:val="16"/>
              </w:rPr>
              <w:t xml:space="preserve">państwowe </w:t>
            </w:r>
            <w:r w:rsidR="00866422">
              <w:rPr>
                <w:sz w:val="16"/>
                <w:szCs w:val="16"/>
              </w:rPr>
              <w:t>systemy</w:t>
            </w:r>
            <w:r w:rsidR="00062438" w:rsidRPr="00062438">
              <w:rPr>
                <w:sz w:val="16"/>
                <w:szCs w:val="16"/>
              </w:rPr>
              <w:t xml:space="preserve"> </w:t>
            </w:r>
            <w:r>
              <w:rPr>
                <w:sz w:val="16"/>
                <w:szCs w:val="16"/>
              </w:rPr>
              <w:t>ubezpieczeń</w:t>
            </w:r>
          </w:p>
        </w:tc>
        <w:tc>
          <w:tcPr>
            <w:tcW w:w="1021" w:type="dxa"/>
            <w:vAlign w:val="bottom"/>
          </w:tcPr>
          <w:p w14:paraId="53DFADF2" w14:textId="77777777" w:rsidR="00062438" w:rsidRPr="00062438" w:rsidRDefault="00062438" w:rsidP="00062438">
            <w:pPr>
              <w:spacing w:before="40" w:after="40"/>
              <w:ind w:right="57"/>
              <w:jc w:val="right"/>
              <w:rPr>
                <w:sz w:val="16"/>
                <w:szCs w:val="16"/>
              </w:rPr>
            </w:pPr>
            <w:r w:rsidRPr="00062438">
              <w:rPr>
                <w:sz w:val="16"/>
                <w:szCs w:val="16"/>
              </w:rPr>
              <w:t>14 939,4</w:t>
            </w:r>
          </w:p>
        </w:tc>
        <w:tc>
          <w:tcPr>
            <w:tcW w:w="567" w:type="dxa"/>
            <w:vAlign w:val="bottom"/>
          </w:tcPr>
          <w:p w14:paraId="4720FD92" w14:textId="77777777" w:rsidR="00062438" w:rsidRPr="00062438" w:rsidRDefault="00062438" w:rsidP="00062438">
            <w:pPr>
              <w:spacing w:before="40" w:after="40"/>
              <w:ind w:right="57"/>
              <w:jc w:val="right"/>
              <w:rPr>
                <w:sz w:val="16"/>
                <w:szCs w:val="16"/>
              </w:rPr>
            </w:pPr>
            <w:r w:rsidRPr="00062438">
              <w:rPr>
                <w:sz w:val="16"/>
                <w:szCs w:val="16"/>
              </w:rPr>
              <w:t>0,6</w:t>
            </w:r>
          </w:p>
        </w:tc>
        <w:tc>
          <w:tcPr>
            <w:tcW w:w="1021" w:type="dxa"/>
            <w:vAlign w:val="bottom"/>
          </w:tcPr>
          <w:p w14:paraId="57ACB004" w14:textId="77777777" w:rsidR="00062438" w:rsidRPr="00062438" w:rsidRDefault="00062438" w:rsidP="00062438">
            <w:pPr>
              <w:spacing w:before="40" w:after="40"/>
              <w:ind w:right="57"/>
              <w:jc w:val="right"/>
              <w:rPr>
                <w:sz w:val="16"/>
                <w:szCs w:val="16"/>
              </w:rPr>
            </w:pPr>
            <w:r w:rsidRPr="00062438">
              <w:rPr>
                <w:sz w:val="16"/>
                <w:szCs w:val="16"/>
              </w:rPr>
              <w:t>25 639,3</w:t>
            </w:r>
          </w:p>
        </w:tc>
        <w:tc>
          <w:tcPr>
            <w:tcW w:w="567" w:type="dxa"/>
            <w:vAlign w:val="bottom"/>
          </w:tcPr>
          <w:p w14:paraId="16E96B76" w14:textId="77777777" w:rsidR="00062438" w:rsidRPr="00062438" w:rsidRDefault="00062438" w:rsidP="00062438">
            <w:pPr>
              <w:spacing w:before="40" w:after="40"/>
              <w:ind w:right="57"/>
              <w:jc w:val="right"/>
              <w:rPr>
                <w:sz w:val="16"/>
                <w:szCs w:val="16"/>
              </w:rPr>
            </w:pPr>
            <w:r w:rsidRPr="00062438">
              <w:rPr>
                <w:sz w:val="16"/>
                <w:szCs w:val="16"/>
              </w:rPr>
              <w:t>1,0</w:t>
            </w:r>
          </w:p>
        </w:tc>
        <w:tc>
          <w:tcPr>
            <w:tcW w:w="1021" w:type="dxa"/>
            <w:vAlign w:val="bottom"/>
          </w:tcPr>
          <w:p w14:paraId="13CC57D3" w14:textId="77777777" w:rsidR="00062438" w:rsidRPr="00062438" w:rsidRDefault="00062438" w:rsidP="00062438">
            <w:pPr>
              <w:spacing w:before="40" w:after="40"/>
              <w:ind w:right="113"/>
              <w:jc w:val="right"/>
              <w:rPr>
                <w:sz w:val="16"/>
                <w:szCs w:val="16"/>
              </w:rPr>
            </w:pPr>
            <w:r w:rsidRPr="00062438">
              <w:rPr>
                <w:sz w:val="16"/>
                <w:szCs w:val="16"/>
              </w:rPr>
              <w:t>.</w:t>
            </w:r>
          </w:p>
        </w:tc>
        <w:tc>
          <w:tcPr>
            <w:tcW w:w="567" w:type="dxa"/>
            <w:vAlign w:val="bottom"/>
          </w:tcPr>
          <w:p w14:paraId="2151F7D8" w14:textId="77777777" w:rsidR="00062438" w:rsidRPr="00062438" w:rsidRDefault="00062438" w:rsidP="00062438">
            <w:pPr>
              <w:spacing w:before="40" w:after="40"/>
              <w:ind w:right="113"/>
              <w:jc w:val="right"/>
              <w:rPr>
                <w:sz w:val="16"/>
                <w:szCs w:val="16"/>
              </w:rPr>
            </w:pPr>
            <w:r w:rsidRPr="00062438">
              <w:rPr>
                <w:sz w:val="16"/>
                <w:szCs w:val="16"/>
              </w:rPr>
              <w:t>.</w:t>
            </w:r>
          </w:p>
        </w:tc>
      </w:tr>
      <w:tr w:rsidR="00062438" w:rsidRPr="00062438" w14:paraId="139A9841" w14:textId="77777777" w:rsidTr="00224BA0">
        <w:tc>
          <w:tcPr>
            <w:tcW w:w="1021" w:type="dxa"/>
          </w:tcPr>
          <w:p w14:paraId="252D3F27" w14:textId="77777777" w:rsidR="00062438" w:rsidRPr="00062438" w:rsidRDefault="00062438" w:rsidP="00062438">
            <w:pPr>
              <w:spacing w:before="40" w:after="40"/>
              <w:ind w:left="227"/>
              <w:rPr>
                <w:sz w:val="16"/>
                <w:szCs w:val="16"/>
              </w:rPr>
            </w:pPr>
            <w:r w:rsidRPr="00062438">
              <w:rPr>
                <w:sz w:val="16"/>
                <w:szCs w:val="16"/>
              </w:rPr>
              <w:t>HF.1.2</w:t>
            </w:r>
          </w:p>
        </w:tc>
        <w:tc>
          <w:tcPr>
            <w:tcW w:w="2268" w:type="dxa"/>
            <w:vAlign w:val="center"/>
          </w:tcPr>
          <w:p w14:paraId="53DC723D" w14:textId="6DED3E6E" w:rsidR="00062438" w:rsidRPr="00062438" w:rsidRDefault="00866422" w:rsidP="00062438">
            <w:pPr>
              <w:spacing w:before="40" w:after="40"/>
              <w:ind w:left="227" w:right="57"/>
              <w:rPr>
                <w:sz w:val="16"/>
                <w:szCs w:val="16"/>
              </w:rPr>
            </w:pPr>
            <w:r>
              <w:rPr>
                <w:sz w:val="16"/>
                <w:szCs w:val="16"/>
              </w:rPr>
              <w:t>system</w:t>
            </w:r>
            <w:r w:rsidR="00062438" w:rsidRPr="00062438">
              <w:rPr>
                <w:sz w:val="16"/>
                <w:szCs w:val="16"/>
              </w:rPr>
              <w:t xml:space="preserve">y </w:t>
            </w:r>
            <w:r w:rsidR="00141975">
              <w:rPr>
                <w:sz w:val="16"/>
                <w:szCs w:val="16"/>
              </w:rPr>
              <w:t>ubezpieczeń społecznych i obowiązkowego prywatnego ubezpieczenia zdrowotnego</w:t>
            </w:r>
          </w:p>
        </w:tc>
        <w:tc>
          <w:tcPr>
            <w:tcW w:w="1021" w:type="dxa"/>
            <w:vAlign w:val="bottom"/>
          </w:tcPr>
          <w:p w14:paraId="4B177B68" w14:textId="77777777" w:rsidR="00062438" w:rsidRPr="00062438" w:rsidRDefault="00062438" w:rsidP="00062438">
            <w:pPr>
              <w:spacing w:before="40" w:after="40"/>
              <w:ind w:right="57"/>
              <w:jc w:val="right"/>
              <w:rPr>
                <w:sz w:val="16"/>
                <w:szCs w:val="16"/>
              </w:rPr>
            </w:pPr>
            <w:r w:rsidRPr="00062438">
              <w:rPr>
                <w:sz w:val="16"/>
                <w:szCs w:val="16"/>
              </w:rPr>
              <w:t>94 813,3</w:t>
            </w:r>
          </w:p>
        </w:tc>
        <w:tc>
          <w:tcPr>
            <w:tcW w:w="567" w:type="dxa"/>
            <w:vAlign w:val="bottom"/>
          </w:tcPr>
          <w:p w14:paraId="5EE6182D" w14:textId="77777777" w:rsidR="00062438" w:rsidRPr="00062438" w:rsidRDefault="00062438" w:rsidP="00062438">
            <w:pPr>
              <w:spacing w:before="40" w:after="40"/>
              <w:ind w:right="57"/>
              <w:jc w:val="right"/>
              <w:rPr>
                <w:sz w:val="16"/>
                <w:szCs w:val="16"/>
              </w:rPr>
            </w:pPr>
            <w:r w:rsidRPr="00062438">
              <w:rPr>
                <w:sz w:val="16"/>
                <w:szCs w:val="16"/>
              </w:rPr>
              <w:t>4,1</w:t>
            </w:r>
          </w:p>
        </w:tc>
        <w:tc>
          <w:tcPr>
            <w:tcW w:w="1021" w:type="dxa"/>
            <w:vAlign w:val="bottom"/>
          </w:tcPr>
          <w:p w14:paraId="3C3A568E" w14:textId="77777777" w:rsidR="00062438" w:rsidRPr="00062438" w:rsidRDefault="00062438" w:rsidP="00062438">
            <w:pPr>
              <w:spacing w:before="40" w:after="40"/>
              <w:ind w:right="57"/>
              <w:jc w:val="right"/>
              <w:rPr>
                <w:sz w:val="16"/>
                <w:szCs w:val="16"/>
              </w:rPr>
            </w:pPr>
            <w:r w:rsidRPr="00062438">
              <w:rPr>
                <w:sz w:val="16"/>
                <w:szCs w:val="16"/>
              </w:rPr>
              <w:t>97 127,8</w:t>
            </w:r>
          </w:p>
        </w:tc>
        <w:tc>
          <w:tcPr>
            <w:tcW w:w="567" w:type="dxa"/>
            <w:vAlign w:val="bottom"/>
          </w:tcPr>
          <w:p w14:paraId="2517681E" w14:textId="77777777" w:rsidR="00062438" w:rsidRPr="00062438" w:rsidRDefault="00062438" w:rsidP="00062438">
            <w:pPr>
              <w:spacing w:before="40" w:after="40"/>
              <w:ind w:right="57"/>
              <w:jc w:val="right"/>
              <w:rPr>
                <w:sz w:val="16"/>
                <w:szCs w:val="16"/>
              </w:rPr>
            </w:pPr>
            <w:r w:rsidRPr="00062438">
              <w:rPr>
                <w:sz w:val="16"/>
                <w:szCs w:val="16"/>
              </w:rPr>
              <w:t>3,7</w:t>
            </w:r>
          </w:p>
        </w:tc>
        <w:tc>
          <w:tcPr>
            <w:tcW w:w="1021" w:type="dxa"/>
            <w:vAlign w:val="bottom"/>
          </w:tcPr>
          <w:p w14:paraId="0E021B45" w14:textId="77777777" w:rsidR="00062438" w:rsidRPr="00062438" w:rsidRDefault="00062438" w:rsidP="00062438">
            <w:pPr>
              <w:spacing w:before="40" w:after="40"/>
              <w:ind w:right="113"/>
              <w:jc w:val="right"/>
              <w:rPr>
                <w:sz w:val="16"/>
                <w:szCs w:val="16"/>
              </w:rPr>
            </w:pPr>
            <w:r w:rsidRPr="00062438">
              <w:rPr>
                <w:sz w:val="16"/>
                <w:szCs w:val="16"/>
              </w:rPr>
              <w:t>.</w:t>
            </w:r>
          </w:p>
        </w:tc>
        <w:tc>
          <w:tcPr>
            <w:tcW w:w="567" w:type="dxa"/>
            <w:vAlign w:val="bottom"/>
          </w:tcPr>
          <w:p w14:paraId="01DCEDC7" w14:textId="77777777" w:rsidR="00062438" w:rsidRPr="00062438" w:rsidRDefault="00062438" w:rsidP="00062438">
            <w:pPr>
              <w:spacing w:before="40" w:after="40"/>
              <w:ind w:right="113"/>
              <w:jc w:val="right"/>
              <w:rPr>
                <w:sz w:val="16"/>
                <w:szCs w:val="16"/>
              </w:rPr>
            </w:pPr>
            <w:r w:rsidRPr="00062438">
              <w:rPr>
                <w:sz w:val="16"/>
                <w:szCs w:val="16"/>
              </w:rPr>
              <w:t>.</w:t>
            </w:r>
          </w:p>
        </w:tc>
      </w:tr>
      <w:tr w:rsidR="00062438" w:rsidRPr="00062438" w14:paraId="1799010C" w14:textId="77777777" w:rsidTr="00224BA0">
        <w:tc>
          <w:tcPr>
            <w:tcW w:w="1021" w:type="dxa"/>
            <w:tcBorders>
              <w:bottom w:val="single" w:sz="4" w:space="0" w:color="001D77"/>
            </w:tcBorders>
            <w:vAlign w:val="center"/>
          </w:tcPr>
          <w:p w14:paraId="2CCFA87E" w14:textId="77777777" w:rsidR="00062438" w:rsidRPr="00062438" w:rsidRDefault="00062438" w:rsidP="00062438">
            <w:pPr>
              <w:spacing w:before="40" w:after="40"/>
              <w:ind w:left="57"/>
              <w:rPr>
                <w:sz w:val="16"/>
                <w:szCs w:val="16"/>
              </w:rPr>
            </w:pPr>
            <w:r w:rsidRPr="00062438">
              <w:rPr>
                <w:sz w:val="16"/>
                <w:szCs w:val="16"/>
              </w:rPr>
              <w:t>HF.2+HF.3</w:t>
            </w:r>
          </w:p>
        </w:tc>
        <w:tc>
          <w:tcPr>
            <w:tcW w:w="2268" w:type="dxa"/>
            <w:tcBorders>
              <w:bottom w:val="single" w:sz="4" w:space="0" w:color="001D77"/>
            </w:tcBorders>
            <w:vAlign w:val="center"/>
          </w:tcPr>
          <w:p w14:paraId="357FC111" w14:textId="77777777" w:rsidR="00062438" w:rsidRPr="00062438" w:rsidRDefault="00062438" w:rsidP="00062438">
            <w:pPr>
              <w:spacing w:before="40" w:after="40"/>
              <w:ind w:left="57" w:right="57"/>
              <w:jc w:val="both"/>
              <w:rPr>
                <w:sz w:val="16"/>
                <w:szCs w:val="16"/>
              </w:rPr>
            </w:pPr>
            <w:r w:rsidRPr="00062438">
              <w:rPr>
                <w:sz w:val="16"/>
                <w:szCs w:val="16"/>
              </w:rPr>
              <w:t>Wydatki prywatne</w:t>
            </w:r>
          </w:p>
        </w:tc>
        <w:tc>
          <w:tcPr>
            <w:tcW w:w="1021" w:type="dxa"/>
            <w:tcBorders>
              <w:bottom w:val="single" w:sz="4" w:space="0" w:color="001D77"/>
            </w:tcBorders>
          </w:tcPr>
          <w:p w14:paraId="011E741C" w14:textId="77777777" w:rsidR="00062438" w:rsidRPr="00062438" w:rsidRDefault="00062438" w:rsidP="00062438">
            <w:pPr>
              <w:spacing w:before="40" w:after="40"/>
              <w:ind w:right="57"/>
              <w:jc w:val="right"/>
              <w:rPr>
                <w:sz w:val="16"/>
                <w:szCs w:val="16"/>
              </w:rPr>
            </w:pPr>
            <w:r w:rsidRPr="00062438">
              <w:rPr>
                <w:sz w:val="16"/>
                <w:szCs w:val="16"/>
              </w:rPr>
              <w:t>42 120,8</w:t>
            </w:r>
          </w:p>
        </w:tc>
        <w:tc>
          <w:tcPr>
            <w:tcW w:w="567" w:type="dxa"/>
            <w:tcBorders>
              <w:bottom w:val="single" w:sz="4" w:space="0" w:color="001D77"/>
            </w:tcBorders>
          </w:tcPr>
          <w:p w14:paraId="0858FBDD" w14:textId="77777777" w:rsidR="00062438" w:rsidRPr="00062438" w:rsidRDefault="00062438" w:rsidP="00062438">
            <w:pPr>
              <w:spacing w:before="40" w:after="40"/>
              <w:ind w:right="57"/>
              <w:jc w:val="right"/>
              <w:rPr>
                <w:sz w:val="16"/>
                <w:szCs w:val="16"/>
              </w:rPr>
            </w:pPr>
            <w:r w:rsidRPr="00062438">
              <w:rPr>
                <w:sz w:val="16"/>
                <w:szCs w:val="16"/>
              </w:rPr>
              <w:t>1,8</w:t>
            </w:r>
          </w:p>
        </w:tc>
        <w:tc>
          <w:tcPr>
            <w:tcW w:w="1021" w:type="dxa"/>
            <w:tcBorders>
              <w:bottom w:val="single" w:sz="4" w:space="0" w:color="001D77"/>
            </w:tcBorders>
          </w:tcPr>
          <w:p w14:paraId="58C30EC6" w14:textId="60B24518" w:rsidR="00062438" w:rsidRPr="00062438" w:rsidRDefault="00814CEC" w:rsidP="00062438">
            <w:pPr>
              <w:spacing w:before="40" w:after="40"/>
              <w:ind w:right="57"/>
              <w:jc w:val="right"/>
              <w:rPr>
                <w:sz w:val="16"/>
                <w:szCs w:val="16"/>
              </w:rPr>
            </w:pPr>
            <w:r>
              <w:rPr>
                <w:sz w:val="16"/>
                <w:szCs w:val="16"/>
              </w:rPr>
              <w:t>46 651,3</w:t>
            </w:r>
          </w:p>
        </w:tc>
        <w:tc>
          <w:tcPr>
            <w:tcW w:w="567" w:type="dxa"/>
            <w:tcBorders>
              <w:bottom w:val="single" w:sz="4" w:space="0" w:color="001D77"/>
            </w:tcBorders>
          </w:tcPr>
          <w:p w14:paraId="4E1A9DD4" w14:textId="77777777" w:rsidR="00062438" w:rsidRPr="00062438" w:rsidRDefault="00062438" w:rsidP="00062438">
            <w:pPr>
              <w:spacing w:before="40" w:after="40"/>
              <w:ind w:right="57"/>
              <w:jc w:val="right"/>
              <w:rPr>
                <w:sz w:val="16"/>
                <w:szCs w:val="16"/>
              </w:rPr>
            </w:pPr>
            <w:r w:rsidRPr="00062438">
              <w:rPr>
                <w:sz w:val="16"/>
                <w:szCs w:val="16"/>
              </w:rPr>
              <w:t>1,8</w:t>
            </w:r>
          </w:p>
        </w:tc>
        <w:tc>
          <w:tcPr>
            <w:tcW w:w="1021" w:type="dxa"/>
            <w:tcBorders>
              <w:bottom w:val="single" w:sz="4" w:space="0" w:color="001D77"/>
            </w:tcBorders>
          </w:tcPr>
          <w:p w14:paraId="6E25B2B7" w14:textId="6614B4B1" w:rsidR="00062438" w:rsidRPr="00062438" w:rsidRDefault="009A0EFF" w:rsidP="00062438">
            <w:pPr>
              <w:spacing w:before="40" w:after="40"/>
              <w:ind w:right="57"/>
              <w:jc w:val="right"/>
              <w:rPr>
                <w:sz w:val="16"/>
                <w:szCs w:val="16"/>
              </w:rPr>
            </w:pPr>
            <w:r>
              <w:rPr>
                <w:sz w:val="16"/>
                <w:szCs w:val="16"/>
              </w:rPr>
              <w:t>51 603,2</w:t>
            </w:r>
          </w:p>
        </w:tc>
        <w:tc>
          <w:tcPr>
            <w:tcW w:w="567" w:type="dxa"/>
            <w:tcBorders>
              <w:bottom w:val="single" w:sz="4" w:space="0" w:color="001D77"/>
            </w:tcBorders>
          </w:tcPr>
          <w:p w14:paraId="37461B7B" w14:textId="4364C9C2" w:rsidR="00062438" w:rsidRPr="00062438" w:rsidRDefault="009A0EFF" w:rsidP="00062438">
            <w:pPr>
              <w:spacing w:before="40" w:after="40"/>
              <w:ind w:right="57"/>
              <w:jc w:val="right"/>
              <w:rPr>
                <w:sz w:val="16"/>
                <w:szCs w:val="16"/>
              </w:rPr>
            </w:pPr>
            <w:r>
              <w:rPr>
                <w:sz w:val="16"/>
                <w:szCs w:val="16"/>
              </w:rPr>
              <w:t>1,7</w:t>
            </w:r>
          </w:p>
        </w:tc>
      </w:tr>
      <w:tr w:rsidR="00062438" w:rsidRPr="00062438" w14:paraId="181D62E4" w14:textId="77777777" w:rsidTr="00224BA0">
        <w:tc>
          <w:tcPr>
            <w:tcW w:w="1021" w:type="dxa"/>
            <w:tcBorders>
              <w:bottom w:val="nil"/>
            </w:tcBorders>
          </w:tcPr>
          <w:p w14:paraId="63C9E826" w14:textId="77777777" w:rsidR="00062438" w:rsidRPr="00062438" w:rsidRDefault="00062438" w:rsidP="00062438">
            <w:pPr>
              <w:spacing w:before="40" w:after="40"/>
              <w:ind w:left="227"/>
              <w:rPr>
                <w:sz w:val="16"/>
                <w:szCs w:val="16"/>
              </w:rPr>
            </w:pPr>
            <w:r w:rsidRPr="00062438">
              <w:rPr>
                <w:sz w:val="16"/>
                <w:szCs w:val="16"/>
              </w:rPr>
              <w:t>HF.3</w:t>
            </w:r>
          </w:p>
        </w:tc>
        <w:tc>
          <w:tcPr>
            <w:tcW w:w="2268" w:type="dxa"/>
            <w:tcBorders>
              <w:bottom w:val="nil"/>
            </w:tcBorders>
            <w:vAlign w:val="center"/>
          </w:tcPr>
          <w:p w14:paraId="53DBDBE3" w14:textId="1880DE88" w:rsidR="00062438" w:rsidRPr="00062438" w:rsidRDefault="00141975" w:rsidP="00141975">
            <w:pPr>
              <w:spacing w:before="40" w:after="40"/>
              <w:ind w:left="227" w:right="57"/>
              <w:rPr>
                <w:sz w:val="16"/>
                <w:szCs w:val="16"/>
              </w:rPr>
            </w:pPr>
            <w:r>
              <w:rPr>
                <w:sz w:val="16"/>
                <w:szCs w:val="16"/>
              </w:rPr>
              <w:t>w tym</w:t>
            </w:r>
            <w:r w:rsidRPr="00062438">
              <w:rPr>
                <w:sz w:val="16"/>
                <w:szCs w:val="16"/>
              </w:rPr>
              <w:t xml:space="preserve"> wydatki </w:t>
            </w:r>
            <w:r w:rsidR="00062438" w:rsidRPr="00062438">
              <w:rPr>
                <w:sz w:val="16"/>
                <w:szCs w:val="16"/>
              </w:rPr>
              <w:t>bezpośrednie gospodarstw domowych</w:t>
            </w:r>
          </w:p>
        </w:tc>
        <w:tc>
          <w:tcPr>
            <w:tcW w:w="1021" w:type="dxa"/>
            <w:tcBorders>
              <w:bottom w:val="nil"/>
            </w:tcBorders>
            <w:vAlign w:val="bottom"/>
          </w:tcPr>
          <w:p w14:paraId="348F6463" w14:textId="77777777" w:rsidR="00062438" w:rsidRPr="00062438" w:rsidRDefault="00062438" w:rsidP="00062438">
            <w:pPr>
              <w:spacing w:before="40" w:after="40"/>
              <w:ind w:right="57"/>
              <w:jc w:val="right"/>
              <w:rPr>
                <w:sz w:val="16"/>
                <w:szCs w:val="16"/>
              </w:rPr>
            </w:pPr>
            <w:r w:rsidRPr="00062438">
              <w:rPr>
                <w:sz w:val="16"/>
                <w:szCs w:val="16"/>
              </w:rPr>
              <w:t>29 668,4</w:t>
            </w:r>
          </w:p>
        </w:tc>
        <w:tc>
          <w:tcPr>
            <w:tcW w:w="567" w:type="dxa"/>
            <w:tcBorders>
              <w:bottom w:val="nil"/>
            </w:tcBorders>
            <w:vAlign w:val="bottom"/>
          </w:tcPr>
          <w:p w14:paraId="7C0B0A65" w14:textId="77777777" w:rsidR="00062438" w:rsidRPr="00062438" w:rsidRDefault="00062438" w:rsidP="00062438">
            <w:pPr>
              <w:spacing w:before="40" w:after="40"/>
              <w:ind w:right="57"/>
              <w:jc w:val="right"/>
              <w:rPr>
                <w:sz w:val="16"/>
                <w:szCs w:val="16"/>
              </w:rPr>
            </w:pPr>
            <w:r w:rsidRPr="00062438">
              <w:rPr>
                <w:sz w:val="16"/>
                <w:szCs w:val="16"/>
              </w:rPr>
              <w:t>1,3</w:t>
            </w:r>
          </w:p>
        </w:tc>
        <w:tc>
          <w:tcPr>
            <w:tcW w:w="1021" w:type="dxa"/>
            <w:tcBorders>
              <w:bottom w:val="nil"/>
            </w:tcBorders>
            <w:vAlign w:val="bottom"/>
          </w:tcPr>
          <w:p w14:paraId="4E9ABC20" w14:textId="667F04FD" w:rsidR="00062438" w:rsidRPr="00062438" w:rsidRDefault="00814CEC" w:rsidP="00062438">
            <w:pPr>
              <w:spacing w:before="40" w:after="40"/>
              <w:ind w:right="57"/>
              <w:jc w:val="right"/>
              <w:rPr>
                <w:sz w:val="16"/>
                <w:szCs w:val="16"/>
              </w:rPr>
            </w:pPr>
            <w:r>
              <w:rPr>
                <w:sz w:val="16"/>
                <w:szCs w:val="16"/>
              </w:rPr>
              <w:t>33 625,3</w:t>
            </w:r>
          </w:p>
        </w:tc>
        <w:tc>
          <w:tcPr>
            <w:tcW w:w="567" w:type="dxa"/>
            <w:tcBorders>
              <w:bottom w:val="nil"/>
            </w:tcBorders>
            <w:vAlign w:val="bottom"/>
          </w:tcPr>
          <w:p w14:paraId="21300625" w14:textId="77777777" w:rsidR="00062438" w:rsidRPr="00062438" w:rsidRDefault="00062438" w:rsidP="00062438">
            <w:pPr>
              <w:spacing w:before="40" w:after="40"/>
              <w:ind w:right="57"/>
              <w:jc w:val="right"/>
              <w:rPr>
                <w:sz w:val="16"/>
                <w:szCs w:val="16"/>
              </w:rPr>
            </w:pPr>
            <w:r w:rsidRPr="00062438">
              <w:rPr>
                <w:sz w:val="16"/>
                <w:szCs w:val="16"/>
              </w:rPr>
              <w:t>1,3</w:t>
            </w:r>
          </w:p>
        </w:tc>
        <w:tc>
          <w:tcPr>
            <w:tcW w:w="1021" w:type="dxa"/>
            <w:tcBorders>
              <w:bottom w:val="nil"/>
            </w:tcBorders>
            <w:vAlign w:val="bottom"/>
          </w:tcPr>
          <w:p w14:paraId="4A689035" w14:textId="01E6B6A8" w:rsidR="00062438" w:rsidRPr="00062438" w:rsidRDefault="00D83E67" w:rsidP="00062438">
            <w:pPr>
              <w:spacing w:before="40" w:after="40"/>
              <w:ind w:right="57"/>
              <w:jc w:val="right"/>
              <w:rPr>
                <w:sz w:val="16"/>
                <w:szCs w:val="16"/>
              </w:rPr>
            </w:pPr>
            <w:r>
              <w:rPr>
                <w:sz w:val="16"/>
                <w:szCs w:val="16"/>
              </w:rPr>
              <w:t>36 958,8</w:t>
            </w:r>
          </w:p>
        </w:tc>
        <w:tc>
          <w:tcPr>
            <w:tcW w:w="567" w:type="dxa"/>
            <w:tcBorders>
              <w:bottom w:val="nil"/>
            </w:tcBorders>
            <w:vAlign w:val="bottom"/>
          </w:tcPr>
          <w:p w14:paraId="28712822" w14:textId="0AF9EDF4" w:rsidR="00062438" w:rsidRPr="00062438" w:rsidRDefault="00D83E67" w:rsidP="00062438">
            <w:pPr>
              <w:spacing w:before="40" w:after="40"/>
              <w:ind w:right="57"/>
              <w:jc w:val="right"/>
              <w:rPr>
                <w:sz w:val="16"/>
                <w:szCs w:val="16"/>
              </w:rPr>
            </w:pPr>
            <w:r>
              <w:rPr>
                <w:sz w:val="16"/>
                <w:szCs w:val="16"/>
              </w:rPr>
              <w:t>1,2</w:t>
            </w:r>
          </w:p>
        </w:tc>
      </w:tr>
    </w:tbl>
    <w:p w14:paraId="3A6783B2" w14:textId="612C7D04" w:rsidR="00062438" w:rsidRPr="00062438" w:rsidRDefault="00062438" w:rsidP="00FC068D">
      <w:pPr>
        <w:widowControl w:val="0"/>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a</w:t>
      </w:r>
      <w:r w:rsidRPr="00062438">
        <w:rPr>
          <w:rFonts w:cs="Arial"/>
          <w:color w:val="000000" w:themeColor="text1"/>
          <w:sz w:val="16"/>
          <w:szCs w:val="16"/>
        </w:rPr>
        <w:t xml:space="preserve"> Źródło: dane o PKB dostępne na stronie: </w:t>
      </w:r>
      <w:hyperlink r:id="rId10" w:history="1">
        <w:r w:rsidRPr="00062438">
          <w:rPr>
            <w:rFonts w:cs="Arial"/>
            <w:color w:val="0000FF"/>
            <w:sz w:val="16"/>
            <w:szCs w:val="16"/>
            <w:u w:val="single"/>
          </w:rPr>
          <w:t>https://stat.gov.pl/wskazniki-makroekonomiczne/</w:t>
        </w:r>
      </w:hyperlink>
      <w:r w:rsidR="00A90DD5">
        <w:rPr>
          <w:rFonts w:cs="Arial"/>
          <w:color w:val="000000" w:themeColor="text1"/>
          <w:sz w:val="16"/>
          <w:szCs w:val="16"/>
        </w:rPr>
        <w:t xml:space="preserve"> - aktualizacja </w:t>
      </w:r>
      <w:r w:rsidR="00E0739E">
        <w:rPr>
          <w:rFonts w:cs="Arial"/>
          <w:color w:val="000000" w:themeColor="text1"/>
          <w:sz w:val="16"/>
          <w:szCs w:val="16"/>
        </w:rPr>
        <w:t>20.06</w:t>
      </w:r>
      <w:r w:rsidRPr="00062438">
        <w:rPr>
          <w:rFonts w:cs="Arial"/>
          <w:color w:val="000000" w:themeColor="text1"/>
          <w:sz w:val="16"/>
          <w:szCs w:val="16"/>
        </w:rPr>
        <w:t xml:space="preserve">.2023 r. </w:t>
      </w:r>
    </w:p>
    <w:p w14:paraId="3034065A" w14:textId="77777777" w:rsidR="00062438" w:rsidRPr="00062438" w:rsidRDefault="00062438" w:rsidP="00FC068D">
      <w:pPr>
        <w:widowControl w:val="0"/>
        <w:spacing w:before="100" w:after="100" w:line="240" w:lineRule="auto"/>
        <w:rPr>
          <w:rFonts w:cs="Arial"/>
          <w:color w:val="000000" w:themeColor="text1"/>
          <w:sz w:val="16"/>
          <w:szCs w:val="16"/>
          <w:lang w:val="en-GB"/>
        </w:rPr>
      </w:pPr>
      <w:r w:rsidRPr="00062438">
        <w:rPr>
          <w:rFonts w:cs="Arial"/>
          <w:color w:val="000000" w:themeColor="text1"/>
          <w:sz w:val="16"/>
          <w:szCs w:val="16"/>
          <w:vertAlign w:val="superscript"/>
          <w:lang w:val="en-GB"/>
        </w:rPr>
        <w:t>b</w:t>
      </w:r>
      <w:r w:rsidRPr="00062438">
        <w:rPr>
          <w:sz w:val="16"/>
          <w:szCs w:val="16"/>
          <w:lang w:val="en-GB"/>
        </w:rPr>
        <w:t xml:space="preserve"> SHA 2011 - A System of Health Accounts 2011.</w:t>
      </w:r>
    </w:p>
    <w:p w14:paraId="56E4777F" w14:textId="77777777" w:rsidR="00062438" w:rsidRPr="00062438" w:rsidRDefault="00062438" w:rsidP="00FC068D">
      <w:pPr>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 xml:space="preserve">c </w:t>
      </w:r>
      <w:r w:rsidRPr="00062438">
        <w:rPr>
          <w:rFonts w:cs="Arial"/>
          <w:color w:val="000000" w:themeColor="text1"/>
          <w:sz w:val="16"/>
          <w:szCs w:val="16"/>
        </w:rPr>
        <w:t>Łącznie z wydatkami prywatnymi.</w:t>
      </w:r>
    </w:p>
    <w:p w14:paraId="15C923F2" w14:textId="77777777" w:rsidR="00062438" w:rsidRPr="00062438" w:rsidRDefault="00062438" w:rsidP="00FC068D">
      <w:pPr>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 xml:space="preserve">d </w:t>
      </w:r>
      <w:r w:rsidRPr="00062438">
        <w:rPr>
          <w:rFonts w:cs="Arial"/>
          <w:color w:val="000000" w:themeColor="text1"/>
          <w:sz w:val="16"/>
          <w:szCs w:val="16"/>
        </w:rPr>
        <w:t>Dane wstępne NRZ (komentarz metodyczny).</w:t>
      </w:r>
    </w:p>
    <w:p w14:paraId="6074C877" w14:textId="77777777" w:rsidR="00062438" w:rsidRPr="00062438" w:rsidRDefault="00062438" w:rsidP="00FC068D">
      <w:pPr>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 xml:space="preserve">e </w:t>
      </w:r>
      <w:r w:rsidRPr="00062438">
        <w:rPr>
          <w:rFonts w:cs="Arial"/>
          <w:color w:val="000000" w:themeColor="text1"/>
          <w:sz w:val="16"/>
          <w:szCs w:val="16"/>
        </w:rPr>
        <w:t>Szacunek wstępny NRZ (komentarz metodyczny).</w:t>
      </w:r>
    </w:p>
    <w:p w14:paraId="6F910CFA" w14:textId="77777777" w:rsidR="00B15CEB" w:rsidRDefault="00B15CEB" w:rsidP="00E9214F">
      <w:pPr>
        <w:spacing w:line="288" w:lineRule="auto"/>
        <w:ind w:right="96"/>
        <w:rPr>
          <w:rFonts w:cs="Arial"/>
          <w:szCs w:val="19"/>
        </w:rPr>
      </w:pPr>
    </w:p>
    <w:p w14:paraId="2ABA0250" w14:textId="0493E9F6" w:rsidR="00B15CEB" w:rsidRDefault="00B15CEB" w:rsidP="00E9214F">
      <w:pPr>
        <w:spacing w:line="288" w:lineRule="auto"/>
        <w:ind w:right="96"/>
        <w:rPr>
          <w:rFonts w:cs="Arial"/>
          <w:szCs w:val="19"/>
        </w:rPr>
      </w:pPr>
      <w:r w:rsidRPr="00062438">
        <w:rPr>
          <w:rFonts w:cs="Arial"/>
          <w:szCs w:val="19"/>
        </w:rPr>
        <w:t>Zgodnie ze</w:t>
      </w:r>
      <w:r w:rsidRPr="00062438">
        <w:rPr>
          <w:rFonts w:cs="Arial"/>
          <w:b/>
          <w:szCs w:val="19"/>
        </w:rPr>
        <w:t xml:space="preserve"> wstępnymi wynikami Narodowego Rachunku Zdrowia za 2021 r.,</w:t>
      </w:r>
      <w:r w:rsidRPr="00062438">
        <w:rPr>
          <w:rFonts w:cs="Arial"/>
          <w:szCs w:val="19"/>
        </w:rPr>
        <w:t xml:space="preserve"> wydatki bieżące na ochronę zdrowia wyniosły </w:t>
      </w:r>
      <w:r w:rsidR="00EF2A19">
        <w:rPr>
          <w:rFonts w:cs="Arial"/>
          <w:szCs w:val="19"/>
        </w:rPr>
        <w:t>169,4</w:t>
      </w:r>
      <w:r w:rsidRPr="00062438">
        <w:rPr>
          <w:rFonts w:cs="Arial"/>
          <w:szCs w:val="19"/>
        </w:rPr>
        <w:t xml:space="preserve"> mld zł</w:t>
      </w:r>
      <w:r w:rsidRPr="00062438">
        <w:rPr>
          <w:rFonts w:cs="Arial"/>
          <w:szCs w:val="19"/>
          <w:vertAlign w:val="superscript"/>
        </w:rPr>
        <w:footnoteReference w:id="5"/>
      </w:r>
      <w:r w:rsidRPr="00062438">
        <w:rPr>
          <w:rFonts w:cs="Arial"/>
          <w:szCs w:val="19"/>
        </w:rPr>
        <w:t xml:space="preserve">, co stanowiło </w:t>
      </w:r>
      <w:r w:rsidR="00EF2A19">
        <w:rPr>
          <w:rFonts w:cs="Arial"/>
          <w:szCs w:val="19"/>
        </w:rPr>
        <w:t>6,4</w:t>
      </w:r>
      <w:r w:rsidRPr="00062438">
        <w:rPr>
          <w:rFonts w:cs="Arial"/>
          <w:szCs w:val="19"/>
        </w:rPr>
        <w:t>% PKB</w:t>
      </w:r>
      <w:r w:rsidRPr="00062438">
        <w:rPr>
          <w:vertAlign w:val="superscript"/>
          <w:lang w:eastAsia="pl-PL"/>
        </w:rPr>
        <w:footnoteReference w:id="6"/>
      </w:r>
      <w:r>
        <w:rPr>
          <w:rFonts w:cs="Arial"/>
          <w:szCs w:val="19"/>
        </w:rPr>
        <w:t xml:space="preserve"> (w roku 2020 – 6,5% PKB), </w:t>
      </w:r>
      <w:r w:rsidRPr="00062438">
        <w:rPr>
          <w:rFonts w:cs="Arial"/>
          <w:szCs w:val="19"/>
        </w:rPr>
        <w:t xml:space="preserve">w tym bieżące wydatki publiczne wynosiły </w:t>
      </w:r>
      <w:r w:rsidR="00EF2A19">
        <w:rPr>
          <w:rFonts w:cs="Arial"/>
          <w:szCs w:val="19"/>
        </w:rPr>
        <w:t>122,8</w:t>
      </w:r>
      <w:r w:rsidRPr="00062438">
        <w:rPr>
          <w:rFonts w:cs="Arial"/>
          <w:szCs w:val="19"/>
        </w:rPr>
        <w:t xml:space="preserve"> mld zł za rok 2021, co stanowiło </w:t>
      </w:r>
      <w:r w:rsidR="00EF2A19">
        <w:rPr>
          <w:rFonts w:cs="Arial"/>
          <w:szCs w:val="19"/>
        </w:rPr>
        <w:t>4,7</w:t>
      </w:r>
      <w:r>
        <w:rPr>
          <w:rFonts w:cs="Arial"/>
          <w:szCs w:val="19"/>
        </w:rPr>
        <w:t>% PKB</w:t>
      </w:r>
      <w:r w:rsidR="00B9744D">
        <w:rPr>
          <w:rFonts w:cs="Arial"/>
          <w:szCs w:val="19"/>
        </w:rPr>
        <w:t>,</w:t>
      </w:r>
      <w:r>
        <w:rPr>
          <w:rFonts w:cs="Arial"/>
          <w:szCs w:val="19"/>
        </w:rPr>
        <w:t xml:space="preserve"> </w:t>
      </w:r>
      <w:r w:rsidR="00EF2A19">
        <w:rPr>
          <w:rFonts w:cs="Arial"/>
          <w:szCs w:val="19"/>
        </w:rPr>
        <w:t>podobnie jak w roku 2020</w:t>
      </w:r>
      <w:r w:rsidRPr="00062438">
        <w:rPr>
          <w:rFonts w:cs="Arial"/>
          <w:szCs w:val="19"/>
        </w:rPr>
        <w:t>.</w:t>
      </w:r>
    </w:p>
    <w:p w14:paraId="2E853F57" w14:textId="77777777" w:rsidR="00062438" w:rsidRPr="00062438" w:rsidRDefault="00062438" w:rsidP="00E9214F">
      <w:pPr>
        <w:spacing w:line="288" w:lineRule="auto"/>
        <w:ind w:right="96"/>
        <w:rPr>
          <w:rFonts w:cs="Arial"/>
          <w:szCs w:val="19"/>
        </w:rPr>
      </w:pPr>
    </w:p>
    <w:p w14:paraId="48DBCA31" w14:textId="5CCA3535" w:rsidR="00062438" w:rsidRDefault="00062438" w:rsidP="00E9214F">
      <w:pPr>
        <w:spacing w:line="288" w:lineRule="auto"/>
        <w:ind w:right="96"/>
        <w:rPr>
          <w:rFonts w:ascii="Fira Sans SemiBold" w:eastAsia="Times New Roman" w:hAnsi="Fira Sans SemiBold" w:cs="Times New Roman"/>
          <w:bCs/>
          <w:color w:val="001D77"/>
          <w:szCs w:val="24"/>
          <w:lang w:eastAsia="pl-PL"/>
        </w:rPr>
      </w:pPr>
      <w:r w:rsidRPr="00062438">
        <w:rPr>
          <w:rFonts w:ascii="Fira Sans SemiBold" w:eastAsia="Times New Roman" w:hAnsi="Fira Sans SemiBold" w:cs="Times New Roman"/>
          <w:bCs/>
          <w:noProof/>
          <w:color w:val="001D77"/>
          <w:szCs w:val="24"/>
          <w:lang w:eastAsia="pl-PL"/>
        </w:rPr>
        <mc:AlternateContent>
          <mc:Choice Requires="wps">
            <w:drawing>
              <wp:anchor distT="45720" distB="45720" distL="114300" distR="114300" simplePos="0" relativeHeight="251760640" behindDoc="0" locked="0" layoutInCell="1" allowOverlap="1" wp14:anchorId="2DFD5864" wp14:editId="6B34C2C7">
                <wp:simplePos x="0" y="0"/>
                <wp:positionH relativeFrom="page">
                  <wp:posOffset>5756910</wp:posOffset>
                </wp:positionH>
                <wp:positionV relativeFrom="paragraph">
                  <wp:posOffset>169545</wp:posOffset>
                </wp:positionV>
                <wp:extent cx="1775460" cy="709295"/>
                <wp:effectExtent l="0" t="0" r="0" b="0"/>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709295"/>
                        </a:xfrm>
                        <a:prstGeom prst="rect">
                          <a:avLst/>
                        </a:prstGeom>
                        <a:noFill/>
                        <a:ln w="9525">
                          <a:noFill/>
                          <a:miter lim="800000"/>
                          <a:headEnd/>
                          <a:tailEnd/>
                        </a:ln>
                      </wps:spPr>
                      <wps:txbx>
                        <w:txbxContent>
                          <w:p w14:paraId="3CBB50D0" w14:textId="77777777" w:rsidR="00A7005B" w:rsidRPr="00842635" w:rsidRDefault="00A7005B" w:rsidP="00062438">
                            <w:pPr>
                              <w:pStyle w:val="tekstzboku"/>
                              <w:spacing w:before="0"/>
                            </w:pPr>
                            <w:r>
                              <w:t>Wydatki publiczne na ochronę zdrowia w 2021 r. stanowiły 72,5% wydatków bieżących na ochronę zdrowia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Pole tekstowe 24" style="position:absolute;margin-left:453.3pt;margin-top:13.35pt;width:139.8pt;height:55.85pt;z-index:2517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" w14:anchorId="2DFD5864">
                <v:textbox>
                  <w:txbxContent>
                    <w:p w:rsidRPr="00842635" w:rsidR="00A7005B" w:rsidP="00062438" w:rsidRDefault="00A7005B" w14:paraId="3CBB50D0" w14:textId="77777777">
                      <w:pPr>
                        <w:pStyle w:val="tekstzboku"/>
                        <w:spacing w:before="0"/>
                      </w:pPr>
                      <w:r>
                        <w:t>Wydatki publiczne na ochronę zdrowia w 2021 r. stanowiły 72,5% wydatków bieżących na ochronę zdrowia</w:t>
                      </w:r>
                    </w:p>
                  </w:txbxContent>
                </v:textbox>
                <w10:wrap anchorx="page"/>
              </v:shape>
            </w:pict>
          </mc:Fallback>
        </mc:AlternateContent>
      </w:r>
      <w:r w:rsidRPr="00062438">
        <w:rPr>
          <w:rFonts w:ascii="Fira Sans SemiBold" w:eastAsia="Times New Roman" w:hAnsi="Fira Sans SemiBold" w:cs="Times New Roman"/>
          <w:bCs/>
          <w:color w:val="001D77"/>
          <w:szCs w:val="24"/>
          <w:lang w:eastAsia="pl-PL"/>
        </w:rPr>
        <w:t xml:space="preserve">Struktura wydatków ze względu </w:t>
      </w:r>
      <w:r w:rsidR="00866422">
        <w:rPr>
          <w:rFonts w:ascii="Fira Sans SemiBold" w:eastAsia="Times New Roman" w:hAnsi="Fira Sans SemiBold" w:cs="Times New Roman"/>
          <w:bCs/>
          <w:color w:val="001D77"/>
          <w:szCs w:val="24"/>
          <w:lang w:eastAsia="pl-PL"/>
        </w:rPr>
        <w:t>na system</w:t>
      </w:r>
      <w:r w:rsidRPr="00062438">
        <w:rPr>
          <w:rFonts w:ascii="Fira Sans SemiBold" w:eastAsia="Times New Roman" w:hAnsi="Fira Sans SemiBold" w:cs="Times New Roman"/>
          <w:bCs/>
          <w:color w:val="001D77"/>
          <w:szCs w:val="24"/>
          <w:lang w:eastAsia="pl-PL"/>
        </w:rPr>
        <w:t>y finansowania</w:t>
      </w:r>
    </w:p>
    <w:p w14:paraId="5A726A4A" w14:textId="6B7424CB" w:rsidR="00321B6B" w:rsidRPr="00062438" w:rsidRDefault="00321B6B" w:rsidP="00321B6B">
      <w:pPr>
        <w:spacing w:line="288" w:lineRule="auto"/>
        <w:ind w:right="96"/>
        <w:rPr>
          <w:rFonts w:cs="Arial"/>
          <w:szCs w:val="19"/>
        </w:rPr>
      </w:pPr>
      <w:r w:rsidRPr="00062438">
        <w:rPr>
          <w:rFonts w:cs="Arial"/>
          <w:szCs w:val="19"/>
        </w:rPr>
        <w:t xml:space="preserve">Ze względu na to, że opracowanie wyników NRZ dla 2022 roku jest na etapie wstępnych szacunków, porównanie struktury wydatków podano dla lat 2020–2021. </w:t>
      </w:r>
      <w:r w:rsidRPr="00321B6B">
        <w:rPr>
          <w:rFonts w:cs="Arial"/>
          <w:szCs w:val="19"/>
        </w:rPr>
        <w:t xml:space="preserve">Dla roku 2021 podano </w:t>
      </w:r>
      <w:r>
        <w:rPr>
          <w:rFonts w:cs="Arial"/>
          <w:szCs w:val="19"/>
        </w:rPr>
        <w:br/>
      </w:r>
      <w:r w:rsidRPr="00321B6B">
        <w:rPr>
          <w:rFonts w:cs="Arial"/>
          <w:szCs w:val="19"/>
        </w:rPr>
        <w:t xml:space="preserve">i wykorzystano do porównań dane wstępne, które są </w:t>
      </w:r>
      <w:r>
        <w:rPr>
          <w:rFonts w:cs="Arial"/>
          <w:szCs w:val="19"/>
        </w:rPr>
        <w:t>jeszcze weryfi</w:t>
      </w:r>
      <w:r w:rsidRPr="00321B6B">
        <w:rPr>
          <w:rFonts w:cs="Arial"/>
          <w:szCs w:val="19"/>
        </w:rPr>
        <w:t>kowane.</w:t>
      </w:r>
    </w:p>
    <w:p w14:paraId="32E88E9F" w14:textId="3834546A" w:rsidR="00062438" w:rsidRPr="00062438" w:rsidRDefault="00062438" w:rsidP="00E9214F">
      <w:pPr>
        <w:spacing w:line="288" w:lineRule="auto"/>
        <w:ind w:right="96"/>
        <w:rPr>
          <w:rFonts w:ascii="Fira Sans SemiBold" w:eastAsia="Times New Roman" w:hAnsi="Fira Sans SemiBold" w:cs="Times New Roman"/>
          <w:bCs/>
          <w:color w:val="001D77"/>
          <w:szCs w:val="24"/>
          <w:lang w:eastAsia="pl-PL"/>
        </w:rPr>
      </w:pPr>
      <w:r w:rsidRPr="00062438">
        <w:rPr>
          <w:color w:val="000000" w:themeColor="text1"/>
        </w:rPr>
        <w:t>Struktur</w:t>
      </w:r>
      <w:r w:rsidR="00866422">
        <w:rPr>
          <w:color w:val="000000" w:themeColor="text1"/>
        </w:rPr>
        <w:t>a wydatków ze względu na system</w:t>
      </w:r>
      <w:r w:rsidRPr="00062438">
        <w:rPr>
          <w:color w:val="000000" w:themeColor="text1"/>
        </w:rPr>
        <w:t xml:space="preserve">y finansowania ochrony zdrowia (klasyfikacja ICHA-HF) w Narodowym Rachunku Zdrowia za 2021 r. przedstawiała się następująco: </w:t>
      </w:r>
    </w:p>
    <w:p w14:paraId="1EB434EB" w14:textId="77777777" w:rsidR="00062438" w:rsidRPr="00062438" w:rsidRDefault="00062438" w:rsidP="00E9214F">
      <w:pPr>
        <w:numPr>
          <w:ilvl w:val="0"/>
          <w:numId w:val="11"/>
        </w:numPr>
        <w:spacing w:line="288" w:lineRule="auto"/>
        <w:contextualSpacing/>
        <w:rPr>
          <w:bCs/>
        </w:rPr>
      </w:pPr>
      <w:r w:rsidRPr="00062438">
        <w:t xml:space="preserve">wydatki publiczne stanowiły 72,5% wydatków bieżących na ochronę zdrowia (w roku 2020 – 72,3%) </w:t>
      </w:r>
    </w:p>
    <w:p w14:paraId="025ED5F8" w14:textId="77777777" w:rsidR="00062438" w:rsidRPr="00062438" w:rsidRDefault="00062438" w:rsidP="00E9214F">
      <w:pPr>
        <w:spacing w:line="288" w:lineRule="auto"/>
        <w:ind w:firstLine="708"/>
        <w:rPr>
          <w:bCs/>
        </w:rPr>
      </w:pPr>
      <w:r w:rsidRPr="00062438">
        <w:t xml:space="preserve">w tym: </w:t>
      </w:r>
    </w:p>
    <w:p w14:paraId="0B434039" w14:textId="58A9F276" w:rsidR="00062438" w:rsidRPr="00062438" w:rsidRDefault="001B47A5" w:rsidP="00E9214F">
      <w:pPr>
        <w:numPr>
          <w:ilvl w:val="1"/>
          <w:numId w:val="11"/>
        </w:numPr>
        <w:spacing w:line="288" w:lineRule="auto"/>
        <w:contextualSpacing/>
        <w:rPr>
          <w:bCs/>
        </w:rPr>
      </w:pPr>
      <w:r>
        <w:t xml:space="preserve">państwowe </w:t>
      </w:r>
      <w:r w:rsidR="00866422">
        <w:t>system</w:t>
      </w:r>
      <w:r w:rsidR="00062438" w:rsidRPr="00062438">
        <w:t>y</w:t>
      </w:r>
      <w:r>
        <w:t xml:space="preserve"> ubezpieczeń </w:t>
      </w:r>
      <w:r w:rsidR="00A90DD5">
        <w:t xml:space="preserve">– 15,1% </w:t>
      </w:r>
      <w:r w:rsidR="00062438" w:rsidRPr="00062438">
        <w:t>(w roku 2020 – 9,8%)</w:t>
      </w:r>
    </w:p>
    <w:p w14:paraId="2E0375DF" w14:textId="1B3C8063" w:rsidR="00062438" w:rsidRPr="00062438" w:rsidRDefault="00866422" w:rsidP="00E9214F">
      <w:pPr>
        <w:numPr>
          <w:ilvl w:val="1"/>
          <w:numId w:val="11"/>
        </w:numPr>
        <w:spacing w:line="288" w:lineRule="auto"/>
        <w:contextualSpacing/>
        <w:rPr>
          <w:bCs/>
        </w:rPr>
      </w:pPr>
      <w:r>
        <w:t>system</w:t>
      </w:r>
      <w:r w:rsidR="00062438" w:rsidRPr="00062438">
        <w:t xml:space="preserve">y </w:t>
      </w:r>
      <w:r w:rsidR="001B47A5">
        <w:t>ubezpieczeń społecznych i obowiązkowego prywatnego ubezpieczenia</w:t>
      </w:r>
      <w:r w:rsidR="00062438" w:rsidRPr="00062438">
        <w:t xml:space="preserve"> </w:t>
      </w:r>
      <w:r w:rsidR="001B47A5">
        <w:t xml:space="preserve">zdrowotnego </w:t>
      </w:r>
      <w:r w:rsidR="00062438" w:rsidRPr="00062438">
        <w:t>– 57,3% (w roku 2020 – 62,4%)</w:t>
      </w:r>
    </w:p>
    <w:p w14:paraId="55CDA818" w14:textId="77777777" w:rsidR="00062438" w:rsidRPr="00062438" w:rsidRDefault="00062438" w:rsidP="00E9214F">
      <w:pPr>
        <w:numPr>
          <w:ilvl w:val="0"/>
          <w:numId w:val="11"/>
        </w:numPr>
        <w:spacing w:line="288" w:lineRule="auto"/>
        <w:contextualSpacing/>
        <w:rPr>
          <w:bCs/>
        </w:rPr>
      </w:pPr>
      <w:r w:rsidRPr="00062438">
        <w:t xml:space="preserve">wydatki prywatne stanowiły – 27,5% (w roku 2020 – 27,7%) </w:t>
      </w:r>
    </w:p>
    <w:p w14:paraId="4DB6853C" w14:textId="77777777" w:rsidR="00062438" w:rsidRPr="00062438" w:rsidRDefault="00062438" w:rsidP="00E9214F">
      <w:pPr>
        <w:numPr>
          <w:ilvl w:val="1"/>
          <w:numId w:val="11"/>
        </w:numPr>
        <w:spacing w:line="288" w:lineRule="auto"/>
        <w:contextualSpacing/>
        <w:rPr>
          <w:bCs/>
        </w:rPr>
      </w:pPr>
      <w:r w:rsidRPr="00062438">
        <w:t>w tym bezpośrednie wydatki gospodarstw domowych – 19,8% wszystkich wydatków bieżących na ochronę zdrowia (w roku 2020 – 19,5%).</w:t>
      </w:r>
    </w:p>
    <w:p w14:paraId="6E222F27" w14:textId="77777777" w:rsidR="00062438" w:rsidRPr="00062438" w:rsidRDefault="00062438" w:rsidP="00E9214F">
      <w:pPr>
        <w:spacing w:line="288" w:lineRule="auto"/>
        <w:rPr>
          <w:b/>
        </w:rPr>
      </w:pPr>
    </w:p>
    <w:p w14:paraId="0131C86C" w14:textId="2BBDE37D" w:rsidR="00062438" w:rsidRPr="00062438" w:rsidRDefault="0038248A" w:rsidP="00E9214F">
      <w:pPr>
        <w:spacing w:line="288" w:lineRule="auto"/>
        <w:rPr>
          <w:b/>
        </w:rPr>
      </w:pPr>
      <w:r>
        <w:rPr>
          <w:rFonts w:ascii="Fira Sans SemiBold" w:eastAsia="Times New Roman" w:hAnsi="Fira Sans SemiBold" w:cs="Times New Roman"/>
          <w:bCs/>
          <w:noProof/>
          <w:color w:val="001D77"/>
          <w:sz w:val="14"/>
          <w:szCs w:val="14"/>
          <w:lang w:eastAsia="pl-PL"/>
        </w:rPr>
        <w:drawing>
          <wp:anchor distT="0" distB="0" distL="114300" distR="114300" simplePos="0" relativeHeight="251774976" behindDoc="0" locked="0" layoutInCell="1" allowOverlap="1" wp14:anchorId="3499C9F1" wp14:editId="3B959BC4">
            <wp:simplePos x="0" y="0"/>
            <wp:positionH relativeFrom="column">
              <wp:posOffset>-165471</wp:posOffset>
            </wp:positionH>
            <wp:positionV relativeFrom="paragraph">
              <wp:posOffset>243205</wp:posOffset>
            </wp:positionV>
            <wp:extent cx="5122545" cy="1622425"/>
            <wp:effectExtent l="0" t="0" r="1905" b="0"/>
            <wp:wrapTight wrapText="bothSides">
              <wp:wrapPolygon edited="0">
                <wp:start x="0" y="0"/>
                <wp:lineTo x="0" y="21304"/>
                <wp:lineTo x="21528" y="21304"/>
                <wp:lineTo x="21528" y="0"/>
                <wp:lineTo x="0" y="0"/>
              </wp:wrapPolygon>
            </wp:wrapTight>
            <wp:docPr id="6136499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49938" name="Obraz 613649938"/>
                    <pic:cNvPicPr/>
                  </pic:nvPicPr>
                  <pic:blipFill>
                    <a:blip r:embed="rId11">
                      <a:extLst>
                        <a:ext uri="{28A0092B-C50C-407E-A947-70E740481C1C}">
                          <a14:useLocalDpi xmlns:a14="http://schemas.microsoft.com/office/drawing/2010/main" val="0"/>
                        </a:ext>
                      </a:extLst>
                    </a:blip>
                    <a:stretch>
                      <a:fillRect/>
                    </a:stretch>
                  </pic:blipFill>
                  <pic:spPr>
                    <a:xfrm>
                      <a:off x="0" y="0"/>
                      <a:ext cx="5122545" cy="1622425"/>
                    </a:xfrm>
                    <a:prstGeom prst="rect">
                      <a:avLst/>
                    </a:prstGeom>
                  </pic:spPr>
                </pic:pic>
              </a:graphicData>
            </a:graphic>
          </wp:anchor>
        </w:drawing>
      </w:r>
      <w:r w:rsidR="00062438" w:rsidRPr="00062438">
        <w:rPr>
          <w:b/>
        </w:rPr>
        <w:t>Wykres 1. Bieżące wydatki n</w:t>
      </w:r>
      <w:r w:rsidR="009B7102">
        <w:rPr>
          <w:b/>
        </w:rPr>
        <w:t>a ochronę zdrowia według system</w:t>
      </w:r>
      <w:r w:rsidR="00062438" w:rsidRPr="00062438">
        <w:rPr>
          <w:b/>
        </w:rPr>
        <w:t>ów finansowania w 2021 r.</w:t>
      </w:r>
    </w:p>
    <w:p w14:paraId="2560ABC5" w14:textId="715A2EAF" w:rsidR="00062438" w:rsidRPr="00062438" w:rsidRDefault="00062438" w:rsidP="00E9214F">
      <w:pPr>
        <w:widowControl w:val="0"/>
        <w:spacing w:line="288" w:lineRule="auto"/>
        <w:outlineLvl w:val="0"/>
        <w:rPr>
          <w:rFonts w:ascii="Fira Sans SemiBold" w:eastAsia="Times New Roman" w:hAnsi="Fira Sans SemiBold" w:cs="Times New Roman"/>
          <w:bCs/>
          <w:color w:val="001D77"/>
          <w:sz w:val="14"/>
          <w:szCs w:val="14"/>
          <w:lang w:eastAsia="pl-PL"/>
        </w:rPr>
      </w:pPr>
    </w:p>
    <w:p w14:paraId="08AA6096" w14:textId="77777777" w:rsidR="00062438" w:rsidRPr="00062438" w:rsidRDefault="00062438" w:rsidP="00E9214F">
      <w:pPr>
        <w:spacing w:line="288" w:lineRule="auto"/>
        <w:rPr>
          <w:rFonts w:ascii="Fira Sans SemiBold" w:eastAsia="Times New Roman" w:hAnsi="Fira Sans SemiBold" w:cs="Times New Roman"/>
          <w:bCs/>
          <w:color w:val="001D77"/>
          <w:szCs w:val="24"/>
          <w:lang w:eastAsia="pl-PL"/>
        </w:rPr>
      </w:pPr>
      <w:r w:rsidRPr="00062438">
        <w:rPr>
          <w:bCs/>
          <w:noProof/>
          <w:sz w:val="14"/>
          <w:szCs w:val="14"/>
          <w:lang w:eastAsia="pl-PL"/>
        </w:rPr>
        <mc:AlternateContent>
          <mc:Choice Requires="wps">
            <w:drawing>
              <wp:anchor distT="45720" distB="45720" distL="114300" distR="114300" simplePos="0" relativeHeight="251759616" behindDoc="1" locked="0" layoutInCell="1" allowOverlap="1" wp14:anchorId="2B6DFB5D" wp14:editId="3550E080">
                <wp:simplePos x="0" y="0"/>
                <wp:positionH relativeFrom="page">
                  <wp:posOffset>5727700</wp:posOffset>
                </wp:positionH>
                <wp:positionV relativeFrom="paragraph">
                  <wp:posOffset>194945</wp:posOffset>
                </wp:positionV>
                <wp:extent cx="1832610" cy="972185"/>
                <wp:effectExtent l="0" t="0" r="0" b="0"/>
                <wp:wrapTight wrapText="bothSides">
                  <wp:wrapPolygon edited="0">
                    <wp:start x="674" y="0"/>
                    <wp:lineTo x="674" y="21163"/>
                    <wp:lineTo x="20881" y="21163"/>
                    <wp:lineTo x="20881" y="0"/>
                    <wp:lineTo x="674" y="0"/>
                  </wp:wrapPolygon>
                </wp:wrapTight>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972185"/>
                        </a:xfrm>
                        <a:prstGeom prst="rect">
                          <a:avLst/>
                        </a:prstGeom>
                        <a:noFill/>
                        <a:ln w="9525">
                          <a:noFill/>
                          <a:miter lim="800000"/>
                          <a:headEnd/>
                          <a:tailEnd/>
                        </a:ln>
                      </wps:spPr>
                      <wps:txbx>
                        <w:txbxContent>
                          <w:p w14:paraId="7918037E" w14:textId="77777777" w:rsidR="00A7005B" w:rsidRPr="00176124" w:rsidRDefault="00A7005B" w:rsidP="00062438">
                            <w:pPr>
                              <w:pStyle w:val="tekstzboku"/>
                              <w:spacing w:before="0"/>
                            </w:pPr>
                            <w:r w:rsidRPr="00176124">
                              <w:t>Wydatki na usługi lecznicze stanowiły największy procentowo udział (</w:t>
                            </w:r>
                            <w:r>
                              <w:t>56,1</w:t>
                            </w:r>
                            <w:r w:rsidRPr="00176124">
                              <w:t>%) wydatków bieżących na ochronę zdrowia w 20</w:t>
                            </w:r>
                            <w:r>
                              <w:t>21</w:t>
                            </w:r>
                            <w:r w:rsidRPr="00176124">
                              <w:t xml:space="preserve"> r.</w:t>
                            </w:r>
                          </w:p>
                          <w:p w14:paraId="294AE100" w14:textId="77777777" w:rsidR="00A7005B" w:rsidRPr="00842635" w:rsidRDefault="00A7005B" w:rsidP="00062438">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9" style="position:absolute;margin-left:451pt;margin-top:15.35pt;width:144.3pt;height:76.55pt;z-index:-25155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" w14:anchorId="2B6DFB5D">
                <v:textbox>
                  <w:txbxContent>
                    <w:p w:rsidRPr="00176124" w:rsidR="00A7005B" w:rsidP="00062438" w:rsidRDefault="00A7005B" w14:paraId="7918037E" w14:textId="77777777">
                      <w:pPr>
                        <w:pStyle w:val="tekstzboku"/>
                        <w:spacing w:before="0"/>
                      </w:pPr>
                      <w:r w:rsidRPr="00176124">
                        <w:t>Wydatki na usługi lecznicze stanowiły największy procentowo udział (</w:t>
                      </w:r>
                      <w:r>
                        <w:t>56,1</w:t>
                      </w:r>
                      <w:r w:rsidRPr="00176124">
                        <w:t>%) wydatków bieżących na ochronę zdrowia w 20</w:t>
                      </w:r>
                      <w:r>
                        <w:t>21</w:t>
                      </w:r>
                      <w:r w:rsidRPr="00176124">
                        <w:t xml:space="preserve"> r.</w:t>
                      </w:r>
                    </w:p>
                    <w:p w:rsidRPr="00842635" w:rsidR="00A7005B" w:rsidP="00062438" w:rsidRDefault="00A7005B" w14:paraId="294AE100" w14:textId="77777777">
                      <w:pPr>
                        <w:pStyle w:val="tekstzboku"/>
                        <w:spacing w:before="0"/>
                      </w:pPr>
                    </w:p>
                  </w:txbxContent>
                </v:textbox>
                <w10:wrap type="tight" anchorx="page"/>
              </v:shape>
            </w:pict>
          </mc:Fallback>
        </mc:AlternateContent>
      </w:r>
      <w:r w:rsidRPr="00062438">
        <w:rPr>
          <w:rFonts w:ascii="Fira Sans SemiBold" w:eastAsia="Times New Roman" w:hAnsi="Fira Sans SemiBold" w:cs="Times New Roman"/>
          <w:bCs/>
          <w:color w:val="001D77"/>
          <w:szCs w:val="24"/>
          <w:lang w:eastAsia="pl-PL"/>
        </w:rPr>
        <w:t>Struktura wydatków ze względu na funkcje</w:t>
      </w:r>
    </w:p>
    <w:p w14:paraId="0B4820EE" w14:textId="77777777" w:rsidR="00062438" w:rsidRPr="00062438" w:rsidRDefault="00062438" w:rsidP="00E9214F">
      <w:pPr>
        <w:spacing w:line="288" w:lineRule="auto"/>
        <w:rPr>
          <w:noProof/>
          <w:color w:val="000000" w:themeColor="text1"/>
          <w:szCs w:val="19"/>
          <w:lang w:eastAsia="pl-PL"/>
        </w:rPr>
      </w:pPr>
      <w:r w:rsidRPr="00062438">
        <w:rPr>
          <w:noProof/>
          <w:color w:val="000000" w:themeColor="text1"/>
          <w:szCs w:val="19"/>
          <w:lang w:eastAsia="pl-PL"/>
        </w:rPr>
        <w:t>W obrębie klasyfikacji funkcji ochrony zdrowia (ICHA-HC), strumień wydatków bieżących na ochronę zdrowia w 2021 r. obejmował m.in.:</w:t>
      </w:r>
    </w:p>
    <w:p w14:paraId="6923F40B" w14:textId="77777777" w:rsidR="00062438" w:rsidRPr="00062438" w:rsidRDefault="00062438" w:rsidP="00E9214F">
      <w:pPr>
        <w:numPr>
          <w:ilvl w:val="0"/>
          <w:numId w:val="9"/>
        </w:numPr>
        <w:spacing w:line="288" w:lineRule="auto"/>
        <w:contextualSpacing/>
        <w:rPr>
          <w:noProof/>
          <w:szCs w:val="19"/>
          <w:lang w:eastAsia="pl-PL"/>
        </w:rPr>
      </w:pPr>
      <w:r w:rsidRPr="00062438">
        <w:rPr>
          <w:noProof/>
          <w:color w:val="000000" w:themeColor="text1"/>
          <w:szCs w:val="19"/>
          <w:lang w:eastAsia="pl-PL"/>
        </w:rPr>
        <w:t>usługi lecznicze – 56,1% (w roku 2020 – 58,0%)</w:t>
      </w:r>
    </w:p>
    <w:p w14:paraId="235642EF" w14:textId="77777777" w:rsidR="00062438" w:rsidRPr="00062438" w:rsidRDefault="00062438" w:rsidP="00E9214F">
      <w:pPr>
        <w:spacing w:line="288" w:lineRule="auto"/>
        <w:ind w:left="720"/>
        <w:contextualSpacing/>
        <w:rPr>
          <w:noProof/>
          <w:color w:val="000000" w:themeColor="text1"/>
          <w:szCs w:val="19"/>
          <w:lang w:eastAsia="pl-PL"/>
        </w:rPr>
      </w:pPr>
      <w:r w:rsidRPr="00062438">
        <w:rPr>
          <w:noProof/>
          <w:color w:val="000000" w:themeColor="text1"/>
          <w:szCs w:val="19"/>
          <w:lang w:eastAsia="pl-PL"/>
        </w:rPr>
        <w:t>w tym:</w:t>
      </w:r>
    </w:p>
    <w:p w14:paraId="3F5284BF" w14:textId="77777777" w:rsidR="00062438" w:rsidRPr="00062438" w:rsidRDefault="00062438" w:rsidP="00E9214F">
      <w:pPr>
        <w:numPr>
          <w:ilvl w:val="0"/>
          <w:numId w:val="8"/>
        </w:numPr>
        <w:spacing w:line="288" w:lineRule="auto"/>
        <w:ind w:left="1440"/>
        <w:contextualSpacing/>
        <w:rPr>
          <w:noProof/>
          <w:szCs w:val="19"/>
          <w:lang w:eastAsia="pl-PL"/>
        </w:rPr>
      </w:pPr>
      <w:r w:rsidRPr="00062438">
        <w:rPr>
          <w:noProof/>
          <w:color w:val="000000" w:themeColor="text1"/>
          <w:szCs w:val="19"/>
          <w:lang w:eastAsia="pl-PL"/>
        </w:rPr>
        <w:t>leczenie szpitalne – 30,2% (w roku 2020 – 30,9%)</w:t>
      </w:r>
    </w:p>
    <w:p w14:paraId="5BBB5685" w14:textId="77777777" w:rsidR="00062438" w:rsidRPr="00062438" w:rsidRDefault="00062438" w:rsidP="00E9214F">
      <w:pPr>
        <w:numPr>
          <w:ilvl w:val="0"/>
          <w:numId w:val="8"/>
        </w:numPr>
        <w:spacing w:line="288" w:lineRule="auto"/>
        <w:ind w:left="1440"/>
        <w:contextualSpacing/>
        <w:rPr>
          <w:noProof/>
          <w:szCs w:val="19"/>
          <w:lang w:eastAsia="pl-PL"/>
        </w:rPr>
      </w:pPr>
      <w:r w:rsidRPr="00062438">
        <w:rPr>
          <w:noProof/>
          <w:color w:val="000000" w:themeColor="text1"/>
          <w:szCs w:val="19"/>
          <w:lang w:eastAsia="pl-PL"/>
        </w:rPr>
        <w:t>leczenie ambulatoryjne – 24,2% (w roku 2020 – 24,8%)</w:t>
      </w:r>
    </w:p>
    <w:p w14:paraId="3CF322EE" w14:textId="77777777" w:rsidR="00062438" w:rsidRPr="00062438" w:rsidRDefault="00062438" w:rsidP="00E9214F">
      <w:pPr>
        <w:numPr>
          <w:ilvl w:val="0"/>
          <w:numId w:val="9"/>
        </w:numPr>
        <w:spacing w:line="288" w:lineRule="auto"/>
        <w:contextualSpacing/>
        <w:rPr>
          <w:noProof/>
          <w:szCs w:val="19"/>
          <w:lang w:eastAsia="pl-PL"/>
        </w:rPr>
      </w:pPr>
      <w:r w:rsidRPr="00062438">
        <w:rPr>
          <w:noProof/>
          <w:color w:val="000000" w:themeColor="text1"/>
          <w:szCs w:val="19"/>
          <w:lang w:eastAsia="pl-PL"/>
        </w:rPr>
        <w:t xml:space="preserve">artykuły medyczne, m.in. leki – 21,0% (w roku 2020 – 21,7%) </w:t>
      </w:r>
    </w:p>
    <w:p w14:paraId="568FCC8A" w14:textId="77777777" w:rsidR="00062438" w:rsidRPr="00062438" w:rsidRDefault="00062438" w:rsidP="00E9214F">
      <w:pPr>
        <w:numPr>
          <w:ilvl w:val="0"/>
          <w:numId w:val="9"/>
        </w:numPr>
        <w:spacing w:line="288" w:lineRule="auto"/>
        <w:contextualSpacing/>
        <w:rPr>
          <w:noProof/>
          <w:szCs w:val="19"/>
          <w:lang w:eastAsia="pl-PL"/>
        </w:rPr>
      </w:pPr>
      <w:r w:rsidRPr="00062438">
        <w:rPr>
          <w:noProof/>
          <w:color w:val="000000" w:themeColor="text1"/>
          <w:szCs w:val="19"/>
          <w:lang w:eastAsia="pl-PL"/>
        </w:rPr>
        <w:t>długoterminową opiekę zdrowotną – 8,1% (w roku 2020 – 8,3%)</w:t>
      </w:r>
    </w:p>
    <w:p w14:paraId="65A6C04B" w14:textId="77777777" w:rsidR="00062438" w:rsidRDefault="00062438" w:rsidP="00E9214F">
      <w:pPr>
        <w:numPr>
          <w:ilvl w:val="0"/>
          <w:numId w:val="9"/>
        </w:numPr>
        <w:spacing w:line="288" w:lineRule="auto"/>
        <w:contextualSpacing/>
        <w:rPr>
          <w:noProof/>
          <w:szCs w:val="19"/>
          <w:lang w:eastAsia="pl-PL"/>
        </w:rPr>
      </w:pPr>
      <w:r w:rsidRPr="00062438">
        <w:rPr>
          <w:noProof/>
          <w:color w:val="000000" w:themeColor="text1"/>
          <w:szCs w:val="19"/>
          <w:lang w:eastAsia="pl-PL"/>
        </w:rPr>
        <w:t>usługi rehabilitacyjne – 4,4% (w roku 2020 – 4,2%)</w:t>
      </w:r>
      <w:r w:rsidRPr="00062438">
        <w:rPr>
          <w:noProof/>
          <w:szCs w:val="19"/>
          <w:lang w:eastAsia="pl-PL"/>
        </w:rPr>
        <w:t>.</w:t>
      </w:r>
    </w:p>
    <w:p w14:paraId="43FD9F52" w14:textId="77777777" w:rsidR="00FC068D" w:rsidRDefault="00FC068D" w:rsidP="00FC068D">
      <w:pPr>
        <w:spacing w:line="288" w:lineRule="auto"/>
        <w:contextualSpacing/>
        <w:rPr>
          <w:noProof/>
          <w:szCs w:val="19"/>
          <w:lang w:eastAsia="pl-PL"/>
        </w:rPr>
      </w:pPr>
    </w:p>
    <w:p w14:paraId="6D0F41E9" w14:textId="77777777" w:rsidR="00FC068D" w:rsidRDefault="00FC068D" w:rsidP="00FC068D">
      <w:pPr>
        <w:spacing w:line="288" w:lineRule="auto"/>
        <w:contextualSpacing/>
        <w:rPr>
          <w:noProof/>
          <w:szCs w:val="19"/>
          <w:lang w:eastAsia="pl-PL"/>
        </w:rPr>
      </w:pPr>
    </w:p>
    <w:p w14:paraId="7B709FC4" w14:textId="77777777" w:rsidR="00FC068D" w:rsidRDefault="00FC068D" w:rsidP="00FC068D">
      <w:pPr>
        <w:spacing w:line="288" w:lineRule="auto"/>
        <w:contextualSpacing/>
        <w:rPr>
          <w:noProof/>
          <w:szCs w:val="19"/>
          <w:lang w:eastAsia="pl-PL"/>
        </w:rPr>
      </w:pPr>
    </w:p>
    <w:p w14:paraId="73821783" w14:textId="77777777" w:rsidR="00FC068D" w:rsidRDefault="00FC068D" w:rsidP="00FC068D">
      <w:pPr>
        <w:spacing w:line="288" w:lineRule="auto"/>
        <w:contextualSpacing/>
        <w:rPr>
          <w:noProof/>
          <w:szCs w:val="19"/>
          <w:lang w:eastAsia="pl-PL"/>
        </w:rPr>
      </w:pPr>
    </w:p>
    <w:p w14:paraId="2FC64F0E" w14:textId="77777777" w:rsidR="00FC068D" w:rsidRDefault="00FC068D" w:rsidP="00FC068D">
      <w:pPr>
        <w:spacing w:line="288" w:lineRule="auto"/>
        <w:contextualSpacing/>
        <w:rPr>
          <w:noProof/>
          <w:szCs w:val="19"/>
          <w:lang w:eastAsia="pl-PL"/>
        </w:rPr>
      </w:pPr>
    </w:p>
    <w:p w14:paraId="7F3E988E" w14:textId="77777777" w:rsidR="00FC068D" w:rsidRDefault="00FC068D" w:rsidP="00FC068D">
      <w:pPr>
        <w:spacing w:line="288" w:lineRule="auto"/>
        <w:contextualSpacing/>
        <w:rPr>
          <w:noProof/>
          <w:szCs w:val="19"/>
          <w:lang w:eastAsia="pl-PL"/>
        </w:rPr>
      </w:pPr>
    </w:p>
    <w:p w14:paraId="1583032B" w14:textId="77777777" w:rsidR="00FC068D" w:rsidRDefault="00FC068D" w:rsidP="00FC068D">
      <w:pPr>
        <w:spacing w:line="288" w:lineRule="auto"/>
        <w:contextualSpacing/>
        <w:rPr>
          <w:noProof/>
          <w:szCs w:val="19"/>
          <w:lang w:eastAsia="pl-PL"/>
        </w:rPr>
      </w:pPr>
    </w:p>
    <w:p w14:paraId="2271FE70" w14:textId="77777777" w:rsidR="00FC068D" w:rsidRDefault="00FC068D" w:rsidP="00FC068D">
      <w:pPr>
        <w:spacing w:line="288" w:lineRule="auto"/>
        <w:contextualSpacing/>
        <w:rPr>
          <w:noProof/>
          <w:szCs w:val="19"/>
          <w:lang w:eastAsia="pl-PL"/>
        </w:rPr>
      </w:pPr>
    </w:p>
    <w:p w14:paraId="0D6DDD75" w14:textId="77777777" w:rsidR="00FC068D" w:rsidRDefault="00FC068D" w:rsidP="00FC068D">
      <w:pPr>
        <w:spacing w:line="288" w:lineRule="auto"/>
        <w:contextualSpacing/>
        <w:rPr>
          <w:noProof/>
          <w:szCs w:val="19"/>
          <w:lang w:eastAsia="pl-PL"/>
        </w:rPr>
      </w:pPr>
    </w:p>
    <w:p w14:paraId="64BD39B4" w14:textId="77777777" w:rsidR="00FC068D" w:rsidRPr="00062438" w:rsidRDefault="00FC068D" w:rsidP="00FC068D">
      <w:pPr>
        <w:spacing w:line="288" w:lineRule="auto"/>
        <w:contextualSpacing/>
        <w:rPr>
          <w:noProof/>
          <w:szCs w:val="19"/>
          <w:lang w:eastAsia="pl-PL"/>
        </w:rPr>
      </w:pPr>
    </w:p>
    <w:p w14:paraId="34797B0D" w14:textId="071590D6" w:rsidR="00062438" w:rsidRPr="00062438" w:rsidRDefault="0080409A" w:rsidP="00E9214F">
      <w:pPr>
        <w:spacing w:line="288" w:lineRule="auto"/>
        <w:rPr>
          <w:rFonts w:cs="Arial"/>
          <w:b/>
          <w:bCs/>
          <w:color w:val="000000" w:themeColor="text1"/>
          <w:szCs w:val="19"/>
        </w:rPr>
      </w:pPr>
      <w:r>
        <w:rPr>
          <w:rFonts w:ascii="Fira Sans SemiBold" w:eastAsia="Times New Roman" w:hAnsi="Fira Sans SemiBold" w:cs="Times New Roman"/>
          <w:bCs/>
          <w:noProof/>
          <w:color w:val="001D77"/>
          <w:szCs w:val="24"/>
          <w:lang w:eastAsia="pl-PL"/>
        </w:rPr>
        <w:drawing>
          <wp:anchor distT="0" distB="0" distL="114300" distR="114300" simplePos="0" relativeHeight="251776000" behindDoc="0" locked="0" layoutInCell="1" allowOverlap="1" wp14:anchorId="2039698D" wp14:editId="1C667A1D">
            <wp:simplePos x="0" y="0"/>
            <wp:positionH relativeFrom="column">
              <wp:posOffset>-132979</wp:posOffset>
            </wp:positionH>
            <wp:positionV relativeFrom="paragraph">
              <wp:posOffset>250825</wp:posOffset>
            </wp:positionV>
            <wp:extent cx="5041900" cy="1873885"/>
            <wp:effectExtent l="0" t="0" r="6350" b="0"/>
            <wp:wrapTight wrapText="bothSides">
              <wp:wrapPolygon edited="0">
                <wp:start x="0" y="0"/>
                <wp:lineTo x="0" y="21300"/>
                <wp:lineTo x="21546" y="21300"/>
                <wp:lineTo x="21546" y="0"/>
                <wp:lineTo x="0" y="0"/>
              </wp:wrapPolygon>
            </wp:wrapTight>
            <wp:docPr id="16567045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04519" name="Obraz 1656704519"/>
                    <pic:cNvPicPr/>
                  </pic:nvPicPr>
                  <pic:blipFill>
                    <a:blip r:embed="rId12">
                      <a:extLst>
                        <a:ext uri="{28A0092B-C50C-407E-A947-70E740481C1C}">
                          <a14:useLocalDpi xmlns:a14="http://schemas.microsoft.com/office/drawing/2010/main" val="0"/>
                        </a:ext>
                      </a:extLst>
                    </a:blip>
                    <a:stretch>
                      <a:fillRect/>
                    </a:stretch>
                  </pic:blipFill>
                  <pic:spPr>
                    <a:xfrm>
                      <a:off x="0" y="0"/>
                      <a:ext cx="5041900" cy="1873885"/>
                    </a:xfrm>
                    <a:prstGeom prst="rect">
                      <a:avLst/>
                    </a:prstGeom>
                  </pic:spPr>
                </pic:pic>
              </a:graphicData>
            </a:graphic>
          </wp:anchor>
        </w:drawing>
      </w:r>
      <w:r w:rsidR="00062438" w:rsidRPr="00062438">
        <w:rPr>
          <w:rFonts w:cs="Arial"/>
          <w:b/>
          <w:bCs/>
          <w:color w:val="000000" w:themeColor="text1"/>
          <w:szCs w:val="19"/>
        </w:rPr>
        <w:t>Wykres 2. Szacunki wydatków bieżących na ochronę zdrowia według funkcji w 2021 r.</w:t>
      </w:r>
    </w:p>
    <w:p w14:paraId="6C496928" w14:textId="6F5766F4" w:rsidR="00062438" w:rsidRPr="00062438" w:rsidRDefault="00062438" w:rsidP="00E9214F">
      <w:pPr>
        <w:shd w:val="clear" w:color="auto" w:fill="FFFFFF" w:themeFill="background1"/>
        <w:spacing w:line="288" w:lineRule="auto"/>
        <w:rPr>
          <w:rFonts w:ascii="Fira Sans SemiBold" w:eastAsia="Times New Roman" w:hAnsi="Fira Sans SemiBold" w:cs="Times New Roman"/>
          <w:bCs/>
          <w:color w:val="001D77"/>
          <w:szCs w:val="24"/>
          <w:lang w:eastAsia="pl-PL"/>
        </w:rPr>
      </w:pPr>
    </w:p>
    <w:p w14:paraId="575415F2" w14:textId="77777777" w:rsidR="00062438" w:rsidRPr="00062438" w:rsidRDefault="00062438" w:rsidP="00E9214F">
      <w:pPr>
        <w:shd w:val="clear" w:color="auto" w:fill="FFFFFF" w:themeFill="background1"/>
        <w:spacing w:line="288" w:lineRule="auto"/>
        <w:rPr>
          <w:rFonts w:ascii="Fira Sans SemiBold" w:eastAsia="Times New Roman" w:hAnsi="Fira Sans SemiBold" w:cs="Times New Roman"/>
          <w:bCs/>
          <w:color w:val="001D77"/>
          <w:szCs w:val="24"/>
          <w:lang w:eastAsia="pl-PL"/>
        </w:rPr>
      </w:pPr>
      <w:r w:rsidRPr="00062438">
        <w:rPr>
          <w:rFonts w:asciiTheme="minorHAnsi" w:eastAsiaTheme="minorEastAsia" w:hAnsiTheme="minorHAnsi"/>
          <w:b/>
          <w:noProof/>
          <w:color w:val="212492"/>
          <w:spacing w:val="-2"/>
          <w:sz w:val="22"/>
          <w:lang w:eastAsia="pl-PL"/>
        </w:rPr>
        <mc:AlternateContent>
          <mc:Choice Requires="wps">
            <w:drawing>
              <wp:anchor distT="45720" distB="45720" distL="114300" distR="114300" simplePos="0" relativeHeight="251761664" behindDoc="0" locked="0" layoutInCell="1" allowOverlap="1" wp14:anchorId="68E23582" wp14:editId="492BA460">
                <wp:simplePos x="0" y="0"/>
                <wp:positionH relativeFrom="page">
                  <wp:posOffset>5764530</wp:posOffset>
                </wp:positionH>
                <wp:positionV relativeFrom="paragraph">
                  <wp:posOffset>236855</wp:posOffset>
                </wp:positionV>
                <wp:extent cx="1712595" cy="1025525"/>
                <wp:effectExtent l="0" t="0" r="0" b="3175"/>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025525"/>
                        </a:xfrm>
                        <a:prstGeom prst="rect">
                          <a:avLst/>
                        </a:prstGeom>
                        <a:noFill/>
                        <a:ln w="9525">
                          <a:noFill/>
                          <a:miter lim="800000"/>
                          <a:headEnd/>
                          <a:tailEnd/>
                        </a:ln>
                      </wps:spPr>
                      <wps:txbx>
                        <w:txbxContent>
                          <w:p w14:paraId="38A689F4" w14:textId="77777777" w:rsidR="00A7005B" w:rsidRPr="00842635" w:rsidRDefault="00A7005B" w:rsidP="00062438">
                            <w:pPr>
                              <w:pStyle w:val="tekstzboku"/>
                              <w:spacing w:before="0"/>
                            </w:pPr>
                            <w:r>
                              <w:t xml:space="preserve">Największy strumień </w:t>
                            </w:r>
                            <w:r w:rsidRPr="00F04C84">
                              <w:t>środków z tytułu poniesionych wydatków</w:t>
                            </w:r>
                            <w:r w:rsidRPr="00FB191B">
                              <w:t xml:space="preserve"> na ochronę zdr</w:t>
                            </w:r>
                            <w:r>
                              <w:t xml:space="preserve">owia trafił do szpitali </w:t>
                            </w:r>
                            <w:r w:rsidRPr="00A34E8D">
                              <w:t>–</w:t>
                            </w:r>
                            <w:r>
                              <w:t xml:space="preserve"> 38,4%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0" style="position:absolute;margin-left:453.9pt;margin-top:18.65pt;width:134.85pt;height:80.75pt;z-index:2517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" w14:anchorId="68E23582">
                <v:textbox>
                  <w:txbxContent>
                    <w:p w:rsidRPr="00842635" w:rsidR="00A7005B" w:rsidP="00062438" w:rsidRDefault="00A7005B" w14:paraId="38A689F4" w14:textId="77777777">
                      <w:pPr>
                        <w:pStyle w:val="tekstzboku"/>
                        <w:spacing w:before="0"/>
                      </w:pPr>
                      <w:r>
                        <w:t xml:space="preserve">Największy strumień </w:t>
                      </w:r>
                      <w:r w:rsidRPr="00F04C84">
                        <w:t>środków z tytułu poniesionych wydatków</w:t>
                      </w:r>
                      <w:r w:rsidRPr="00FB191B">
                        <w:t xml:space="preserve"> na ochronę zdr</w:t>
                      </w:r>
                      <w:r>
                        <w:t xml:space="preserve">owia trafił do szpitali </w:t>
                      </w:r>
                      <w:r w:rsidRPr="00A34E8D">
                        <w:t>–</w:t>
                      </w:r>
                      <w:r>
                        <w:t xml:space="preserve"> 38,4%</w:t>
                      </w:r>
                    </w:p>
                  </w:txbxContent>
                </v:textbox>
                <w10:wrap anchorx="page"/>
              </v:shape>
            </w:pict>
          </mc:Fallback>
        </mc:AlternateContent>
      </w:r>
      <w:r w:rsidRPr="00062438">
        <w:rPr>
          <w:rFonts w:ascii="Fira Sans SemiBold" w:eastAsia="Times New Roman" w:hAnsi="Fira Sans SemiBold" w:cs="Times New Roman"/>
          <w:bCs/>
          <w:color w:val="001D77"/>
          <w:szCs w:val="24"/>
          <w:lang w:eastAsia="pl-PL"/>
        </w:rPr>
        <w:t>Struktura wydatków ze względu na świadczeniodawców</w:t>
      </w:r>
    </w:p>
    <w:p w14:paraId="4FDACCD7" w14:textId="77777777" w:rsidR="00062438" w:rsidRPr="00062438" w:rsidRDefault="00062438" w:rsidP="00E9214F">
      <w:pPr>
        <w:spacing w:line="288" w:lineRule="auto"/>
        <w:rPr>
          <w:rFonts w:eastAsiaTheme="minorEastAsia" w:cs="Arial"/>
          <w:szCs w:val="19"/>
          <w:lang w:eastAsia="pl-PL"/>
        </w:rPr>
      </w:pPr>
      <w:r w:rsidRPr="00062438">
        <w:rPr>
          <w:rFonts w:eastAsiaTheme="minorEastAsia" w:cs="Arial"/>
          <w:szCs w:val="19"/>
          <w:lang w:eastAsia="pl-PL"/>
        </w:rPr>
        <w:t>W przypadku świadczeniodawców (klasyfikacja HP), największy strumień środków z tytułu poniesionych wydatków w 2021 r., trafił m.in. do:</w:t>
      </w:r>
    </w:p>
    <w:p w14:paraId="17F12B7A" w14:textId="6A982F6A" w:rsidR="00062438" w:rsidRPr="00062438" w:rsidRDefault="00062438" w:rsidP="00E9214F">
      <w:pPr>
        <w:numPr>
          <w:ilvl w:val="0"/>
          <w:numId w:val="7"/>
        </w:numPr>
        <w:spacing w:line="288" w:lineRule="auto"/>
        <w:ind w:hanging="357"/>
        <w:contextualSpacing/>
        <w:rPr>
          <w:rFonts w:eastAsiaTheme="minorEastAsia" w:cs="Arial"/>
          <w:b/>
          <w:color w:val="000000" w:themeColor="text1"/>
          <w:szCs w:val="19"/>
          <w:lang w:eastAsia="pl-PL"/>
        </w:rPr>
      </w:pPr>
      <w:r w:rsidRPr="00062438">
        <w:rPr>
          <w:rFonts w:eastAsiaTheme="minorEastAsia" w:cs="Arial"/>
          <w:szCs w:val="19"/>
          <w:lang w:eastAsia="pl-PL"/>
        </w:rPr>
        <w:t>szpitali – 38,4% kwoty wydatków bieżących na</w:t>
      </w:r>
      <w:r w:rsidR="00A90DD5">
        <w:rPr>
          <w:rFonts w:eastAsiaTheme="minorEastAsia" w:cs="Arial"/>
          <w:szCs w:val="19"/>
          <w:lang w:eastAsia="pl-PL"/>
        </w:rPr>
        <w:t xml:space="preserve"> ochronę zdrowia (w 2020 r. – </w:t>
      </w:r>
      <w:r w:rsidRPr="00062438">
        <w:rPr>
          <w:rFonts w:eastAsiaTheme="minorEastAsia" w:cs="Arial"/>
          <w:szCs w:val="19"/>
          <w:lang w:eastAsia="pl-PL"/>
        </w:rPr>
        <w:t>40,4%)</w:t>
      </w:r>
    </w:p>
    <w:p w14:paraId="1A1D92DB" w14:textId="1C0A132E" w:rsidR="00062438" w:rsidRPr="00062438" w:rsidRDefault="00062438" w:rsidP="00E9214F">
      <w:pPr>
        <w:numPr>
          <w:ilvl w:val="0"/>
          <w:numId w:val="10"/>
        </w:numPr>
        <w:spacing w:line="288" w:lineRule="auto"/>
        <w:ind w:hanging="357"/>
        <w:contextualSpacing/>
        <w:rPr>
          <w:rFonts w:eastAsiaTheme="minorEastAsia" w:cs="Arial"/>
          <w:szCs w:val="19"/>
          <w:lang w:eastAsia="pl-PL"/>
        </w:rPr>
      </w:pPr>
      <w:r w:rsidRPr="00062438">
        <w:rPr>
          <w:rFonts w:eastAsiaTheme="minorEastAsia" w:cs="Arial"/>
          <w:szCs w:val="19"/>
          <w:lang w:eastAsia="pl-PL"/>
        </w:rPr>
        <w:t>w tym do szpitali ogólnych –</w:t>
      </w:r>
      <w:r w:rsidR="00322A1C">
        <w:rPr>
          <w:rFonts w:eastAsiaTheme="minorEastAsia" w:cs="Arial"/>
          <w:szCs w:val="19"/>
          <w:lang w:eastAsia="pl-PL"/>
        </w:rPr>
        <w:t xml:space="preserve"> </w:t>
      </w:r>
      <w:bookmarkStart w:id="1" w:name="_GoBack"/>
      <w:bookmarkEnd w:id="1"/>
      <w:r w:rsidRPr="00062438">
        <w:rPr>
          <w:rFonts w:eastAsiaTheme="minorEastAsia" w:cs="Arial"/>
          <w:szCs w:val="19"/>
          <w:lang w:eastAsia="pl-PL"/>
        </w:rPr>
        <w:t>29,9% (w roku 2020 – 30,5%)</w:t>
      </w:r>
    </w:p>
    <w:p w14:paraId="7B97A37D" w14:textId="77777777" w:rsidR="00062438" w:rsidRPr="00062438" w:rsidRDefault="00062438" w:rsidP="00E9214F">
      <w:pPr>
        <w:numPr>
          <w:ilvl w:val="0"/>
          <w:numId w:val="12"/>
        </w:numPr>
        <w:spacing w:line="288" w:lineRule="auto"/>
        <w:ind w:left="709" w:hanging="357"/>
        <w:contextualSpacing/>
        <w:rPr>
          <w:rFonts w:eastAsiaTheme="minorEastAsia" w:cs="Arial"/>
          <w:szCs w:val="19"/>
          <w:lang w:eastAsia="pl-PL"/>
        </w:rPr>
      </w:pPr>
      <w:r w:rsidRPr="00062438">
        <w:rPr>
          <w:rFonts w:eastAsiaTheme="minorEastAsia" w:cs="Arial"/>
          <w:szCs w:val="19"/>
          <w:lang w:eastAsia="pl-PL"/>
        </w:rPr>
        <w:t>placówek ambulatoryjnej opieki zdrowotnej – 25,3% (w roku 2020 – 25,8%)</w:t>
      </w:r>
    </w:p>
    <w:p w14:paraId="0367DAA4" w14:textId="66EADE81" w:rsidR="00062438" w:rsidRPr="00062438" w:rsidRDefault="00286D0A" w:rsidP="00E9214F">
      <w:pPr>
        <w:numPr>
          <w:ilvl w:val="0"/>
          <w:numId w:val="12"/>
        </w:numPr>
        <w:spacing w:line="288" w:lineRule="auto"/>
        <w:ind w:left="709" w:hanging="357"/>
        <w:contextualSpacing/>
        <w:rPr>
          <w:rFonts w:eastAsiaTheme="minorEastAsia" w:cs="Arial"/>
          <w:szCs w:val="19"/>
          <w:lang w:eastAsia="pl-PL"/>
        </w:rPr>
      </w:pPr>
      <w:r>
        <w:rPr>
          <w:rFonts w:eastAsiaTheme="minorEastAsia" w:cs="Arial"/>
          <w:szCs w:val="19"/>
          <w:lang w:eastAsia="pl-PL"/>
        </w:rPr>
        <w:t>sprzedawców</w:t>
      </w:r>
      <w:r w:rsidR="00062438" w:rsidRPr="00062438">
        <w:rPr>
          <w:rFonts w:eastAsiaTheme="minorEastAsia" w:cs="Arial"/>
          <w:szCs w:val="19"/>
          <w:lang w:eastAsia="pl-PL"/>
        </w:rPr>
        <w:t xml:space="preserve"> i innych dos</w:t>
      </w:r>
      <w:r w:rsidR="00A90DD5">
        <w:rPr>
          <w:rFonts w:eastAsiaTheme="minorEastAsia" w:cs="Arial"/>
          <w:szCs w:val="19"/>
          <w:lang w:eastAsia="pl-PL"/>
        </w:rPr>
        <w:t xml:space="preserve">tawców dóbr medycznych – 20,2% </w:t>
      </w:r>
      <w:r w:rsidR="00062438" w:rsidRPr="00062438">
        <w:rPr>
          <w:rFonts w:eastAsiaTheme="minorEastAsia" w:cs="Arial"/>
          <w:szCs w:val="19"/>
          <w:lang w:eastAsia="pl-PL"/>
        </w:rPr>
        <w:t>(w roku 2020 – 21,3%)</w:t>
      </w:r>
    </w:p>
    <w:p w14:paraId="423B6C2B" w14:textId="5956F053" w:rsidR="00062438" w:rsidRPr="00062438" w:rsidRDefault="00062438" w:rsidP="00E9214F">
      <w:pPr>
        <w:numPr>
          <w:ilvl w:val="0"/>
          <w:numId w:val="10"/>
        </w:numPr>
        <w:spacing w:line="288" w:lineRule="auto"/>
        <w:ind w:hanging="357"/>
        <w:contextualSpacing/>
        <w:rPr>
          <w:rFonts w:eastAsiaTheme="minorEastAsia" w:cs="Arial"/>
          <w:szCs w:val="19"/>
          <w:lang w:eastAsia="pl-PL"/>
        </w:rPr>
      </w:pPr>
      <w:r w:rsidRPr="00062438">
        <w:rPr>
          <w:rFonts w:eastAsiaTheme="minorEastAsia" w:cs="Arial"/>
          <w:szCs w:val="19"/>
          <w:lang w:eastAsia="pl-PL"/>
        </w:rPr>
        <w:t>w tym w większości do aptek, którym przeka</w:t>
      </w:r>
      <w:r w:rsidR="00A90DD5">
        <w:rPr>
          <w:rFonts w:eastAsiaTheme="minorEastAsia" w:cs="Arial"/>
          <w:szCs w:val="19"/>
          <w:lang w:eastAsia="pl-PL"/>
        </w:rPr>
        <w:t xml:space="preserve">zano ponad 18,0% ogółu środków </w:t>
      </w:r>
      <w:r w:rsidRPr="00062438">
        <w:rPr>
          <w:rFonts w:eastAsiaTheme="minorEastAsia" w:cs="Arial"/>
          <w:szCs w:val="19"/>
          <w:lang w:eastAsia="pl-PL"/>
        </w:rPr>
        <w:t>(w roku 2020 – 18,6%).</w:t>
      </w:r>
      <w:bookmarkStart w:id="2" w:name="_Hlk79063347"/>
    </w:p>
    <w:p w14:paraId="7CB17600" w14:textId="77777777" w:rsidR="00062438" w:rsidRPr="00062438" w:rsidRDefault="00062438" w:rsidP="00E9214F">
      <w:pPr>
        <w:spacing w:line="288" w:lineRule="auto"/>
        <w:rPr>
          <w:rFonts w:asciiTheme="majorHAnsi" w:eastAsiaTheme="minorEastAsia" w:hAnsiTheme="majorHAnsi" w:cs="Arial"/>
          <w:b/>
          <w:spacing w:val="-2"/>
          <w:szCs w:val="19"/>
          <w:lang w:eastAsia="pl-PL"/>
        </w:rPr>
      </w:pPr>
    </w:p>
    <w:p w14:paraId="3F08C9AC" w14:textId="4B06E32D" w:rsidR="00062438" w:rsidRPr="00062438" w:rsidRDefault="0038248A" w:rsidP="00E9214F">
      <w:pPr>
        <w:spacing w:line="288" w:lineRule="auto"/>
        <w:rPr>
          <w:rFonts w:eastAsiaTheme="minorEastAsia" w:cs="Arial"/>
          <w:b/>
          <w:spacing w:val="-4"/>
          <w:szCs w:val="19"/>
          <w:lang w:eastAsia="pl-PL"/>
        </w:rPr>
      </w:pPr>
      <w:r>
        <w:rPr>
          <w:rFonts w:ascii="Fira Sans SemiBold" w:eastAsia="Times New Roman" w:hAnsi="Fira Sans SemiBold" w:cs="Times New Roman"/>
          <w:bCs/>
          <w:noProof/>
          <w:color w:val="001D77"/>
          <w:szCs w:val="24"/>
          <w:lang w:eastAsia="pl-PL"/>
        </w:rPr>
        <w:drawing>
          <wp:anchor distT="0" distB="0" distL="114300" distR="114300" simplePos="0" relativeHeight="251777024" behindDoc="0" locked="0" layoutInCell="1" allowOverlap="1" wp14:anchorId="3C6A9D91" wp14:editId="74BB19E6">
            <wp:simplePos x="0" y="0"/>
            <wp:positionH relativeFrom="column">
              <wp:posOffset>157216</wp:posOffset>
            </wp:positionH>
            <wp:positionV relativeFrom="paragraph">
              <wp:posOffset>250825</wp:posOffset>
            </wp:positionV>
            <wp:extent cx="4767580" cy="2011045"/>
            <wp:effectExtent l="0" t="0" r="0" b="8255"/>
            <wp:wrapTight wrapText="bothSides">
              <wp:wrapPolygon edited="0">
                <wp:start x="0" y="0"/>
                <wp:lineTo x="0" y="21484"/>
                <wp:lineTo x="21491" y="21484"/>
                <wp:lineTo x="21491" y="0"/>
                <wp:lineTo x="0" y="0"/>
              </wp:wrapPolygon>
            </wp:wrapTight>
            <wp:docPr id="96452833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8337" name="Obraz 964528337"/>
                    <pic:cNvPicPr/>
                  </pic:nvPicPr>
                  <pic:blipFill>
                    <a:blip r:embed="rId13">
                      <a:extLst>
                        <a:ext uri="{28A0092B-C50C-407E-A947-70E740481C1C}">
                          <a14:useLocalDpi xmlns:a14="http://schemas.microsoft.com/office/drawing/2010/main" val="0"/>
                        </a:ext>
                      </a:extLst>
                    </a:blip>
                    <a:stretch>
                      <a:fillRect/>
                    </a:stretch>
                  </pic:blipFill>
                  <pic:spPr>
                    <a:xfrm>
                      <a:off x="0" y="0"/>
                      <a:ext cx="4767580" cy="2011045"/>
                    </a:xfrm>
                    <a:prstGeom prst="rect">
                      <a:avLst/>
                    </a:prstGeom>
                  </pic:spPr>
                </pic:pic>
              </a:graphicData>
            </a:graphic>
          </wp:anchor>
        </w:drawing>
      </w:r>
      <w:r w:rsidR="00062438" w:rsidRPr="00062438">
        <w:rPr>
          <w:rFonts w:eastAsiaTheme="minorEastAsia" w:cs="Arial"/>
          <w:b/>
          <w:spacing w:val="-4"/>
          <w:szCs w:val="19"/>
          <w:lang w:eastAsia="pl-PL"/>
        </w:rPr>
        <w:t>Wykres 3. Wydatki bieżące na ochronę zdrowia według dostawców usług zdrowotnych w 2021 r.</w:t>
      </w:r>
    </w:p>
    <w:bookmarkEnd w:id="2"/>
    <w:p w14:paraId="2548F188" w14:textId="6BC04AEA" w:rsidR="00062438" w:rsidRPr="00062438" w:rsidRDefault="00062438" w:rsidP="00E9214F">
      <w:pPr>
        <w:shd w:val="clear" w:color="auto" w:fill="FFFFFF" w:themeFill="background1"/>
        <w:spacing w:line="288" w:lineRule="auto"/>
        <w:rPr>
          <w:rFonts w:ascii="Fira Sans SemiBold" w:eastAsia="Times New Roman" w:hAnsi="Fira Sans SemiBold" w:cs="Times New Roman"/>
          <w:bCs/>
          <w:color w:val="001D77"/>
          <w:szCs w:val="24"/>
          <w:lang w:eastAsia="pl-PL"/>
        </w:rPr>
      </w:pPr>
    </w:p>
    <w:p w14:paraId="7A66C4F2" w14:textId="10D15A92" w:rsidR="00062438" w:rsidRPr="00062438" w:rsidRDefault="00062438" w:rsidP="00E9214F">
      <w:pPr>
        <w:shd w:val="clear" w:color="auto" w:fill="FFFFFF" w:themeFill="background1"/>
        <w:spacing w:line="288" w:lineRule="auto"/>
        <w:rPr>
          <w:rFonts w:ascii="Fira Sans SemiBold" w:eastAsia="Times New Roman" w:hAnsi="Fira Sans SemiBold" w:cs="Times New Roman"/>
          <w:bCs/>
          <w:color w:val="001D77"/>
          <w:szCs w:val="24"/>
          <w:lang w:eastAsia="pl-PL"/>
        </w:rPr>
      </w:pPr>
      <w:r w:rsidRPr="00062438">
        <w:rPr>
          <w:rFonts w:asciiTheme="minorHAnsi" w:eastAsiaTheme="minorEastAsia" w:hAnsiTheme="minorHAnsi"/>
          <w:b/>
          <w:noProof/>
          <w:color w:val="212492"/>
          <w:spacing w:val="-2"/>
          <w:sz w:val="22"/>
          <w:lang w:eastAsia="pl-PL"/>
        </w:rPr>
        <mc:AlternateContent>
          <mc:Choice Requires="wps">
            <w:drawing>
              <wp:anchor distT="45720" distB="45720" distL="114300" distR="114300" simplePos="0" relativeHeight="251762688" behindDoc="0" locked="0" layoutInCell="1" allowOverlap="1" wp14:anchorId="433748A9" wp14:editId="3AEB590E">
                <wp:simplePos x="0" y="0"/>
                <wp:positionH relativeFrom="page">
                  <wp:posOffset>5779135</wp:posOffset>
                </wp:positionH>
                <wp:positionV relativeFrom="paragraph">
                  <wp:posOffset>167640</wp:posOffset>
                </wp:positionV>
                <wp:extent cx="1697126" cy="957555"/>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57555"/>
                        </a:xfrm>
                        <a:prstGeom prst="rect">
                          <a:avLst/>
                        </a:prstGeom>
                        <a:noFill/>
                        <a:ln w="9525">
                          <a:noFill/>
                          <a:miter lim="800000"/>
                          <a:headEnd/>
                          <a:tailEnd/>
                        </a:ln>
                      </wps:spPr>
                      <wps:txbx>
                        <w:txbxContent>
                          <w:p w14:paraId="68071E05" w14:textId="77777777" w:rsidR="00A7005B" w:rsidRPr="00FB191B" w:rsidRDefault="00A7005B" w:rsidP="00062438">
                            <w:pPr>
                              <w:pStyle w:val="tekstzboku"/>
                              <w:spacing w:before="0"/>
                            </w:pPr>
                            <w:r w:rsidRPr="00FB191B">
                              <w:t xml:space="preserve">Podstawą finansowania opieki zdrowotnej były składki zdrowotne, które stanowiły </w:t>
                            </w:r>
                            <w:r>
                              <w:t>56,1</w:t>
                            </w:r>
                            <w:r w:rsidRPr="00FB191B">
                              <w:t>% wszystkich przychodów</w:t>
                            </w:r>
                          </w:p>
                          <w:p w14:paraId="7417917C" w14:textId="77777777" w:rsidR="00A7005B" w:rsidRPr="00842635" w:rsidRDefault="00A7005B" w:rsidP="00062438">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1" style="position:absolute;margin-left:455.05pt;margin-top:13.2pt;width:133.65pt;height:75.4pt;z-index:251762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" w14:anchorId="433748A9">
                <v:textbox>
                  <w:txbxContent>
                    <w:p w:rsidRPr="00FB191B" w:rsidR="00A7005B" w:rsidP="00062438" w:rsidRDefault="00A7005B" w14:paraId="68071E05" w14:textId="77777777">
                      <w:pPr>
                        <w:pStyle w:val="tekstzboku"/>
                        <w:spacing w:before="0"/>
                      </w:pPr>
                      <w:r w:rsidRPr="00FB191B">
                        <w:t xml:space="preserve">Podstawą finansowania opieki zdrowotnej były składki zdrowotne, które stanowiły </w:t>
                      </w:r>
                      <w:r>
                        <w:t>56,1</w:t>
                      </w:r>
                      <w:r w:rsidRPr="00FB191B">
                        <w:t>% wszystkich przychodów</w:t>
                      </w:r>
                    </w:p>
                    <w:p w:rsidRPr="00842635" w:rsidR="00A7005B" w:rsidP="00062438" w:rsidRDefault="00A7005B" w14:paraId="7417917C" w14:textId="77777777">
                      <w:pPr>
                        <w:pStyle w:val="tekstzboku"/>
                        <w:spacing w:before="0"/>
                      </w:pPr>
                    </w:p>
                  </w:txbxContent>
                </v:textbox>
                <w10:wrap anchorx="page"/>
              </v:shape>
            </w:pict>
          </mc:Fallback>
        </mc:AlternateContent>
      </w:r>
      <w:r w:rsidRPr="00062438">
        <w:rPr>
          <w:rFonts w:ascii="Fira Sans SemiBold" w:eastAsia="Times New Roman" w:hAnsi="Fira Sans SemiBold" w:cs="Times New Roman"/>
          <w:bCs/>
          <w:color w:val="001D77"/>
          <w:szCs w:val="24"/>
          <w:lang w:eastAsia="pl-PL"/>
        </w:rPr>
        <w:t>Struktura wydatków</w:t>
      </w:r>
      <w:r w:rsidR="009B7102">
        <w:rPr>
          <w:rFonts w:ascii="Fira Sans SemiBold" w:eastAsia="Times New Roman" w:hAnsi="Fira Sans SemiBold" w:cs="Times New Roman"/>
          <w:bCs/>
          <w:color w:val="001D77"/>
          <w:szCs w:val="24"/>
          <w:lang w:eastAsia="pl-PL"/>
        </w:rPr>
        <w:t xml:space="preserve"> ze względu na przychody system</w:t>
      </w:r>
      <w:r w:rsidRPr="00062438">
        <w:rPr>
          <w:rFonts w:ascii="Fira Sans SemiBold" w:eastAsia="Times New Roman" w:hAnsi="Fira Sans SemiBold" w:cs="Times New Roman"/>
          <w:bCs/>
          <w:color w:val="001D77"/>
          <w:szCs w:val="24"/>
          <w:lang w:eastAsia="pl-PL"/>
        </w:rPr>
        <w:t>ów finansowania</w:t>
      </w:r>
    </w:p>
    <w:p w14:paraId="539E703F" w14:textId="7CAA4543" w:rsidR="00062438" w:rsidRPr="00062438" w:rsidRDefault="00062438" w:rsidP="00E9214F">
      <w:pPr>
        <w:spacing w:line="288" w:lineRule="auto"/>
        <w:rPr>
          <w:rFonts w:eastAsiaTheme="minorEastAsia" w:cs="Arial"/>
          <w:color w:val="000000" w:themeColor="text1"/>
          <w:szCs w:val="19"/>
          <w:lang w:eastAsia="pl-PL"/>
        </w:rPr>
      </w:pPr>
      <w:r w:rsidRPr="00062438">
        <w:rPr>
          <w:rFonts w:eastAsiaTheme="minorEastAsia" w:cs="Arial"/>
          <w:color w:val="000000" w:themeColor="text1"/>
          <w:szCs w:val="19"/>
          <w:lang w:eastAsia="pl-PL"/>
        </w:rPr>
        <w:t>W 2021 r. największy udział w finansowaniu opieki zdr</w:t>
      </w:r>
      <w:r w:rsidR="00A90DD5">
        <w:rPr>
          <w:rFonts w:eastAsiaTheme="minorEastAsia" w:cs="Arial"/>
          <w:color w:val="000000" w:themeColor="text1"/>
          <w:szCs w:val="19"/>
          <w:lang w:eastAsia="pl-PL"/>
        </w:rPr>
        <w:t xml:space="preserve">owotnej miały środki pochodzące </w:t>
      </w:r>
      <w:r w:rsidRPr="00062438">
        <w:rPr>
          <w:rFonts w:eastAsiaTheme="minorEastAsia" w:cs="Arial"/>
          <w:color w:val="000000" w:themeColor="text1"/>
          <w:szCs w:val="19"/>
          <w:lang w:eastAsia="pl-PL"/>
        </w:rPr>
        <w:t xml:space="preserve">z obowiązkowych składek zdrowotnych, zaliczanych według klasyfikacji ICHA-FS do kategorii FS.3: składki na ubezpieczenia społeczne – 56,1% (w roku 2020 – 61,1%). </w:t>
      </w:r>
    </w:p>
    <w:p w14:paraId="0045164E" w14:textId="39C670C6" w:rsidR="00062438" w:rsidRPr="00062438" w:rsidRDefault="00062438" w:rsidP="00E9214F">
      <w:pPr>
        <w:spacing w:line="288" w:lineRule="auto"/>
        <w:rPr>
          <w:rFonts w:eastAsiaTheme="minorEastAsia" w:cs="Arial"/>
          <w:color w:val="000000" w:themeColor="text1"/>
          <w:szCs w:val="19"/>
          <w:lang w:eastAsia="pl-PL"/>
        </w:rPr>
      </w:pPr>
      <w:r w:rsidRPr="00062438">
        <w:rPr>
          <w:rFonts w:eastAsiaTheme="minorEastAsia" w:cs="Arial"/>
          <w:color w:val="000000" w:themeColor="text1"/>
          <w:szCs w:val="19"/>
          <w:lang w:eastAsia="pl-PL"/>
        </w:rPr>
        <w:t>P</w:t>
      </w:r>
      <w:r w:rsidR="00321B6B">
        <w:rPr>
          <w:rFonts w:eastAsiaTheme="minorEastAsia" w:cs="Arial"/>
          <w:color w:val="000000" w:themeColor="text1"/>
          <w:szCs w:val="19"/>
          <w:lang w:eastAsia="pl-PL"/>
        </w:rPr>
        <w:t>onad jedną piątą</w:t>
      </w:r>
      <w:r w:rsidRPr="00062438">
        <w:rPr>
          <w:rFonts w:eastAsiaTheme="minorEastAsia" w:cs="Arial"/>
          <w:color w:val="000000" w:themeColor="text1"/>
          <w:szCs w:val="19"/>
          <w:lang w:eastAsia="pl-PL"/>
        </w:rPr>
        <w:t xml:space="preserve"> (21,7%) wydatków na ochronę zdrowia, stanowiły środki przekazywane do systemu opieki zdrowotnej w formie dobrowolnych transferów finansowych, dokonywanych przez krajowe jednostki instytucjonalne, m.in. gospodarstwa domowe, przedsiębiorstwa, instytucje niekomercyjne (w roku 2020 – 21,7%), na wykresie poniżej określone jako inne przychody krajowe n.e.c</w:t>
      </w:r>
      <w:r w:rsidRPr="00062438">
        <w:rPr>
          <w:rFonts w:eastAsiaTheme="minorEastAsia" w:cs="Arial"/>
          <w:color w:val="000000" w:themeColor="text1"/>
          <w:szCs w:val="19"/>
          <w:vertAlign w:val="superscript"/>
          <w:lang w:eastAsia="pl-PL"/>
        </w:rPr>
        <w:footnoteReference w:id="7"/>
      </w:r>
      <w:r w:rsidR="005E1EF6">
        <w:rPr>
          <w:rFonts w:eastAsiaTheme="minorEastAsia" w:cs="Arial"/>
          <w:color w:val="000000" w:themeColor="text1"/>
          <w:szCs w:val="19"/>
          <w:lang w:eastAsia="pl-PL"/>
        </w:rPr>
        <w:t xml:space="preserve">. </w:t>
      </w:r>
    </w:p>
    <w:p w14:paraId="757553A6" w14:textId="1E350B4B" w:rsidR="00062438" w:rsidRPr="00062438" w:rsidRDefault="00062438" w:rsidP="00E9214F">
      <w:pPr>
        <w:spacing w:line="288" w:lineRule="auto"/>
        <w:rPr>
          <w:rFonts w:eastAsiaTheme="minorEastAsia" w:cs="Arial"/>
          <w:color w:val="000000" w:themeColor="text1"/>
          <w:szCs w:val="19"/>
          <w:lang w:eastAsia="pl-PL"/>
        </w:rPr>
      </w:pPr>
      <w:r w:rsidRPr="00062438">
        <w:rPr>
          <w:rFonts w:eastAsiaTheme="minorEastAsia" w:cs="Arial"/>
          <w:color w:val="000000" w:themeColor="text1"/>
          <w:szCs w:val="19"/>
          <w:lang w:eastAsia="pl-PL"/>
        </w:rPr>
        <w:t>Natomiast 16,0% stanowiły środki alokowane przez in</w:t>
      </w:r>
      <w:r w:rsidR="00A90DD5">
        <w:rPr>
          <w:rFonts w:eastAsiaTheme="minorEastAsia" w:cs="Arial"/>
          <w:color w:val="000000" w:themeColor="text1"/>
          <w:szCs w:val="19"/>
          <w:lang w:eastAsia="pl-PL"/>
        </w:rPr>
        <w:t xml:space="preserve">stytucje rządowe i samorządowe </w:t>
      </w:r>
      <w:r w:rsidR="00A90DD5">
        <w:rPr>
          <w:rFonts w:eastAsiaTheme="minorEastAsia" w:cs="Arial"/>
          <w:color w:val="000000" w:themeColor="text1"/>
          <w:szCs w:val="19"/>
          <w:lang w:eastAsia="pl-PL"/>
        </w:rPr>
        <w:br/>
      </w:r>
      <w:r w:rsidRPr="00062438">
        <w:rPr>
          <w:rFonts w:eastAsiaTheme="minorEastAsia" w:cs="Arial"/>
          <w:color w:val="000000" w:themeColor="text1"/>
          <w:szCs w:val="19"/>
          <w:lang w:eastAsia="pl-PL"/>
        </w:rPr>
        <w:t xml:space="preserve">(w roku 2020 – 10,8%). </w:t>
      </w:r>
    </w:p>
    <w:p w14:paraId="1FDAADAC" w14:textId="7B619A20" w:rsidR="00062438" w:rsidRPr="00062438" w:rsidRDefault="00062438" w:rsidP="00E9214F">
      <w:pPr>
        <w:spacing w:line="288" w:lineRule="auto"/>
        <w:rPr>
          <w:rFonts w:eastAsiaTheme="minorEastAsia" w:cs="Arial"/>
          <w:color w:val="000000" w:themeColor="text1"/>
          <w:szCs w:val="19"/>
          <w:lang w:eastAsia="pl-PL"/>
        </w:rPr>
      </w:pPr>
      <w:r w:rsidRPr="00062438">
        <w:rPr>
          <w:rFonts w:eastAsiaTheme="minorEastAsia" w:cs="Arial"/>
          <w:color w:val="000000" w:themeColor="text1"/>
          <w:szCs w:val="19"/>
          <w:lang w:eastAsia="pl-PL"/>
        </w:rPr>
        <w:t xml:space="preserve">Mniejszy, ale istotny udział, miała kategoria: dobrowolne przedpłaty – 5,8% (w roku 2020 – </w:t>
      </w:r>
      <w:r w:rsidRPr="00062438">
        <w:rPr>
          <w:rFonts w:eastAsiaTheme="minorEastAsia" w:cs="Arial"/>
          <w:color w:val="000000" w:themeColor="text1"/>
          <w:szCs w:val="19"/>
          <w:lang w:eastAsia="pl-PL"/>
        </w:rPr>
        <w:br/>
        <w:t>– 5,9%).</w:t>
      </w:r>
      <w:r w:rsidRPr="00062438">
        <w:t xml:space="preserve"> </w:t>
      </w:r>
      <w:r w:rsidRPr="00062438">
        <w:rPr>
          <w:rFonts w:eastAsiaTheme="minorEastAsia" w:cs="Arial"/>
          <w:color w:val="000000" w:themeColor="text1"/>
          <w:szCs w:val="19"/>
          <w:lang w:eastAsia="pl-PL"/>
        </w:rPr>
        <w:t>W tej pozycji uwzględnia się składki na dobrowolne, prywatne ubezpieczenia zdrowotne</w:t>
      </w:r>
      <w:r w:rsidRPr="00062438">
        <w:rPr>
          <w:rFonts w:eastAsiaTheme="minorEastAsia" w:cs="Arial"/>
          <w:color w:val="000000" w:themeColor="text1"/>
          <w:szCs w:val="19"/>
          <w:vertAlign w:val="superscript"/>
          <w:lang w:eastAsia="pl-PL"/>
        </w:rPr>
        <w:footnoteReference w:id="8"/>
      </w:r>
      <w:r w:rsidRPr="00062438">
        <w:rPr>
          <w:rFonts w:eastAsiaTheme="minorEastAsia" w:cs="Arial"/>
          <w:color w:val="000000" w:themeColor="text1"/>
          <w:szCs w:val="19"/>
          <w:lang w:eastAsia="pl-PL"/>
        </w:rPr>
        <w:t xml:space="preserve">. </w:t>
      </w:r>
    </w:p>
    <w:p w14:paraId="23455463" w14:textId="77777777" w:rsidR="00062438" w:rsidRPr="00062438" w:rsidRDefault="00062438" w:rsidP="00E9214F">
      <w:pPr>
        <w:spacing w:line="288" w:lineRule="auto"/>
        <w:rPr>
          <w:rFonts w:eastAsiaTheme="minorEastAsia" w:cs="Arial"/>
          <w:color w:val="000000" w:themeColor="text1"/>
          <w:szCs w:val="19"/>
          <w:lang w:eastAsia="pl-PL"/>
        </w:rPr>
      </w:pPr>
    </w:p>
    <w:p w14:paraId="35C31695" w14:textId="154254D0" w:rsidR="00062438" w:rsidRPr="00062438" w:rsidRDefault="00AB45A4" w:rsidP="0068081A">
      <w:pPr>
        <w:spacing w:line="288" w:lineRule="auto"/>
        <w:ind w:left="879" w:hanging="879"/>
        <w:rPr>
          <w:rFonts w:eastAsiaTheme="minorEastAsia" w:cs="Arial"/>
          <w:b/>
          <w:color w:val="000000" w:themeColor="text1"/>
          <w:szCs w:val="19"/>
          <w:lang w:eastAsia="pl-PL"/>
        </w:rPr>
      </w:pPr>
      <w:r>
        <w:rPr>
          <w:rFonts w:eastAsiaTheme="minorEastAsia" w:cs="Arial"/>
          <w:b/>
          <w:noProof/>
          <w:color w:val="000000" w:themeColor="text1"/>
          <w:szCs w:val="19"/>
          <w:lang w:eastAsia="pl-PL"/>
        </w:rPr>
        <w:drawing>
          <wp:anchor distT="0" distB="0" distL="114300" distR="114300" simplePos="0" relativeHeight="251770880" behindDoc="0" locked="0" layoutInCell="1" allowOverlap="1" wp14:anchorId="44AC5E96" wp14:editId="2E01B332">
            <wp:simplePos x="0" y="0"/>
            <wp:positionH relativeFrom="column">
              <wp:posOffset>0</wp:posOffset>
            </wp:positionH>
            <wp:positionV relativeFrom="paragraph">
              <wp:posOffset>413055</wp:posOffset>
            </wp:positionV>
            <wp:extent cx="5041900" cy="1727835"/>
            <wp:effectExtent l="0" t="0" r="6350" b="5715"/>
            <wp:wrapTight wrapText="bothSides">
              <wp:wrapPolygon edited="0">
                <wp:start x="0" y="0"/>
                <wp:lineTo x="0" y="21433"/>
                <wp:lineTo x="21546" y="21433"/>
                <wp:lineTo x="21546" y="0"/>
                <wp:lineTo x="0" y="0"/>
              </wp:wrapPolygon>
            </wp:wrapTight>
            <wp:docPr id="130181963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19633" name="Obraz 1301819633"/>
                    <pic:cNvPicPr/>
                  </pic:nvPicPr>
                  <pic:blipFill>
                    <a:blip r:embed="rId14">
                      <a:extLst>
                        <a:ext uri="{28A0092B-C50C-407E-A947-70E740481C1C}">
                          <a14:useLocalDpi xmlns:a14="http://schemas.microsoft.com/office/drawing/2010/main" val="0"/>
                        </a:ext>
                      </a:extLst>
                    </a:blip>
                    <a:stretch>
                      <a:fillRect/>
                    </a:stretch>
                  </pic:blipFill>
                  <pic:spPr>
                    <a:xfrm>
                      <a:off x="0" y="0"/>
                      <a:ext cx="5041900" cy="1727835"/>
                    </a:xfrm>
                    <a:prstGeom prst="rect">
                      <a:avLst/>
                    </a:prstGeom>
                  </pic:spPr>
                </pic:pic>
              </a:graphicData>
            </a:graphic>
          </wp:anchor>
        </w:drawing>
      </w:r>
      <w:r w:rsidR="00062438" w:rsidRPr="00062438">
        <w:rPr>
          <w:rFonts w:eastAsiaTheme="minorEastAsia" w:cs="Arial"/>
          <w:b/>
          <w:color w:val="000000" w:themeColor="text1"/>
          <w:szCs w:val="19"/>
          <w:lang w:eastAsia="pl-PL"/>
        </w:rPr>
        <w:t>Wykres</w:t>
      </w:r>
      <w:r w:rsidR="0068081A">
        <w:rPr>
          <w:rFonts w:eastAsiaTheme="minorEastAsia" w:cs="Arial"/>
          <w:b/>
          <w:color w:val="000000" w:themeColor="text1"/>
          <w:szCs w:val="19"/>
          <w:lang w:eastAsia="pl-PL"/>
        </w:rPr>
        <w:t> </w:t>
      </w:r>
      <w:r w:rsidR="00062438" w:rsidRPr="00062438">
        <w:rPr>
          <w:rFonts w:eastAsiaTheme="minorEastAsia" w:cs="Arial"/>
          <w:b/>
          <w:color w:val="000000" w:themeColor="text1"/>
          <w:szCs w:val="19"/>
          <w:lang w:eastAsia="pl-PL"/>
        </w:rPr>
        <w:t>4.</w:t>
      </w:r>
      <w:r w:rsidR="0068081A">
        <w:rPr>
          <w:rFonts w:eastAsiaTheme="minorEastAsia" w:cs="Arial"/>
          <w:b/>
          <w:color w:val="000000" w:themeColor="text1"/>
          <w:szCs w:val="19"/>
          <w:lang w:eastAsia="pl-PL"/>
        </w:rPr>
        <w:t> </w:t>
      </w:r>
      <w:r w:rsidR="00062438" w:rsidRPr="00062438">
        <w:rPr>
          <w:rFonts w:eastAsiaTheme="minorEastAsia" w:cs="Arial"/>
          <w:b/>
          <w:color w:val="000000" w:themeColor="text1"/>
          <w:szCs w:val="19"/>
          <w:lang w:eastAsia="pl-PL"/>
        </w:rPr>
        <w:t>Szacunki wydatków bieżących na ochronę zdrowia</w:t>
      </w:r>
      <w:r w:rsidR="00286D0A">
        <w:rPr>
          <w:rFonts w:eastAsiaTheme="minorEastAsia" w:cs="Arial"/>
          <w:b/>
          <w:color w:val="000000" w:themeColor="text1"/>
          <w:szCs w:val="19"/>
          <w:lang w:eastAsia="pl-PL"/>
        </w:rPr>
        <w:t xml:space="preserve"> </w:t>
      </w:r>
      <w:r w:rsidR="009B7102">
        <w:rPr>
          <w:rFonts w:eastAsiaTheme="minorEastAsia" w:cs="Arial"/>
          <w:b/>
          <w:color w:val="000000" w:themeColor="text1"/>
          <w:szCs w:val="19"/>
          <w:lang w:eastAsia="pl-PL"/>
        </w:rPr>
        <w:t>według przychodów system</w:t>
      </w:r>
      <w:r w:rsidR="00062438" w:rsidRPr="00062438">
        <w:rPr>
          <w:rFonts w:eastAsiaTheme="minorEastAsia" w:cs="Arial"/>
          <w:b/>
          <w:color w:val="000000" w:themeColor="text1"/>
          <w:szCs w:val="19"/>
          <w:lang w:eastAsia="pl-PL"/>
        </w:rPr>
        <w:t>ów finansowania w 2021 r.</w:t>
      </w:r>
    </w:p>
    <w:p w14:paraId="56C3FE42" w14:textId="77777777" w:rsidR="00062438" w:rsidRPr="00062438" w:rsidRDefault="00062438" w:rsidP="00E9214F">
      <w:pPr>
        <w:spacing w:line="288" w:lineRule="auto"/>
        <w:rPr>
          <w:rFonts w:eastAsiaTheme="minorEastAsia" w:cs="Arial"/>
          <w:b/>
          <w:color w:val="000000" w:themeColor="text1"/>
          <w:szCs w:val="19"/>
          <w:lang w:eastAsia="pl-PL"/>
        </w:rPr>
      </w:pPr>
    </w:p>
    <w:p w14:paraId="37FDFF8C" w14:textId="77777777" w:rsidR="00062438" w:rsidRPr="00062438" w:rsidRDefault="00062438" w:rsidP="00E9214F">
      <w:pPr>
        <w:spacing w:line="288" w:lineRule="auto"/>
        <w:rPr>
          <w:rFonts w:eastAsiaTheme="minorEastAsia" w:cs="Arial"/>
          <w:color w:val="000000" w:themeColor="text1"/>
          <w:szCs w:val="19"/>
          <w:lang w:eastAsia="pl-PL"/>
        </w:rPr>
      </w:pPr>
      <w:r w:rsidRPr="00062438">
        <w:rPr>
          <w:rFonts w:ascii="Fira Sans SemiBold" w:eastAsia="Times New Roman" w:hAnsi="Fira Sans SemiBold" w:cs="Times New Roman"/>
          <w:bCs/>
          <w:color w:val="001D77"/>
          <w:szCs w:val="24"/>
        </w:rPr>
        <w:t>Wzrost wydatków ujętych w Narodowym Rachunku Zdrowia w latach 2013-2022</w:t>
      </w:r>
    </w:p>
    <w:p w14:paraId="264161F9" w14:textId="0988DC40" w:rsidR="00062438" w:rsidRPr="00062438" w:rsidRDefault="00062438" w:rsidP="00E9214F">
      <w:pPr>
        <w:spacing w:line="288" w:lineRule="auto"/>
        <w:rPr>
          <w:rFonts w:eastAsiaTheme="minorEastAsia" w:cs="Arial"/>
          <w:color w:val="000000" w:themeColor="text1"/>
          <w:szCs w:val="19"/>
          <w:lang w:eastAsia="pl-PL"/>
        </w:rPr>
      </w:pPr>
      <w:r w:rsidRPr="00062438">
        <w:rPr>
          <w:rFonts w:eastAsiaTheme="minorEastAsia" w:cs="Arial"/>
          <w:color w:val="000000" w:themeColor="text1"/>
          <w:szCs w:val="19"/>
          <w:lang w:eastAsia="pl-PL"/>
        </w:rPr>
        <w:t>W latach 2013-2022 zaobserwować można stały wzrost wydatków ujętych w NRZ</w:t>
      </w:r>
      <w:r w:rsidR="00A90DD5">
        <w:rPr>
          <w:rFonts w:eastAsiaTheme="minorEastAsia" w:cs="Arial"/>
          <w:szCs w:val="19"/>
          <w:lang w:eastAsia="pl-PL"/>
        </w:rPr>
        <w:t xml:space="preserve">. Dla lat </w:t>
      </w:r>
      <w:r w:rsidR="00A90DD5">
        <w:rPr>
          <w:rFonts w:eastAsiaTheme="minorEastAsia" w:cs="Arial"/>
          <w:szCs w:val="19"/>
          <w:lang w:eastAsia="pl-PL"/>
        </w:rPr>
        <w:br/>
      </w:r>
      <w:r w:rsidRPr="00062438">
        <w:rPr>
          <w:rFonts w:eastAsiaTheme="minorEastAsia" w:cs="Arial"/>
          <w:szCs w:val="19"/>
          <w:lang w:eastAsia="pl-PL"/>
        </w:rPr>
        <w:t>2013</w:t>
      </w:r>
      <w:r w:rsidRPr="00062438">
        <w:rPr>
          <w:rFonts w:cs="Arial"/>
          <w:szCs w:val="19"/>
        </w:rPr>
        <w:t>–</w:t>
      </w:r>
      <w:r w:rsidRPr="00062438">
        <w:rPr>
          <w:rFonts w:eastAsiaTheme="minorEastAsia" w:cs="Arial"/>
          <w:szCs w:val="19"/>
          <w:lang w:eastAsia="pl-PL"/>
        </w:rPr>
        <w:t>2020 zaprezentowane zostały wyniki ostateczne, natomiast dla roku 2021 przedstawione zostały w</w:t>
      </w:r>
      <w:r w:rsidR="00A90DD5">
        <w:rPr>
          <w:rFonts w:eastAsiaTheme="minorEastAsia" w:cs="Arial"/>
          <w:szCs w:val="19"/>
          <w:lang w:eastAsia="pl-PL"/>
        </w:rPr>
        <w:t xml:space="preserve">yniki wstępne, a dla 2022 r. </w:t>
      </w:r>
      <w:r w:rsidR="00711B3F">
        <w:rPr>
          <w:szCs w:val="19"/>
        </w:rPr>
        <w:t>–</w:t>
      </w:r>
      <w:r w:rsidR="00A90DD5">
        <w:rPr>
          <w:rFonts w:eastAsiaTheme="minorEastAsia" w:cs="Arial"/>
          <w:szCs w:val="19"/>
          <w:lang w:eastAsia="pl-PL"/>
        </w:rPr>
        <w:t xml:space="preserve"> </w:t>
      </w:r>
      <w:r w:rsidRPr="00062438">
        <w:rPr>
          <w:rFonts w:eastAsiaTheme="minorEastAsia" w:cs="Arial"/>
          <w:szCs w:val="19"/>
          <w:lang w:eastAsia="pl-PL"/>
        </w:rPr>
        <w:t>wstępne szacunki.</w:t>
      </w:r>
    </w:p>
    <w:p w14:paraId="35584534" w14:textId="77777777" w:rsidR="00062438" w:rsidRPr="00062438" w:rsidRDefault="00062438" w:rsidP="00E9214F">
      <w:pPr>
        <w:spacing w:line="288" w:lineRule="auto"/>
        <w:rPr>
          <w:rFonts w:eastAsiaTheme="minorEastAsia" w:cs="Arial"/>
          <w:b/>
          <w:color w:val="000000" w:themeColor="text1"/>
          <w:szCs w:val="19"/>
          <w:lang w:eastAsia="pl-PL"/>
        </w:rPr>
      </w:pPr>
    </w:p>
    <w:p w14:paraId="1663BB21" w14:textId="1530FB2B" w:rsidR="00062438" w:rsidRPr="00062438" w:rsidRDefault="006875FB" w:rsidP="00E9214F">
      <w:pPr>
        <w:spacing w:line="288" w:lineRule="auto"/>
        <w:rPr>
          <w:rFonts w:eastAsiaTheme="minorEastAsia" w:cs="Arial"/>
          <w:b/>
          <w:color w:val="000000" w:themeColor="text1"/>
          <w:szCs w:val="19"/>
          <w:lang w:eastAsia="pl-PL"/>
        </w:rPr>
      </w:pPr>
      <w:r>
        <w:rPr>
          <w:rFonts w:eastAsiaTheme="minorEastAsia" w:cs="Arial"/>
          <w:b/>
          <w:noProof/>
          <w:color w:val="000000" w:themeColor="text1"/>
          <w:szCs w:val="19"/>
          <w:lang w:eastAsia="pl-PL"/>
        </w:rPr>
        <w:drawing>
          <wp:anchor distT="0" distB="0" distL="114300" distR="114300" simplePos="0" relativeHeight="251771904" behindDoc="0" locked="0" layoutInCell="1" allowOverlap="1" wp14:anchorId="678FE735" wp14:editId="668E1752">
            <wp:simplePos x="0" y="0"/>
            <wp:positionH relativeFrom="column">
              <wp:posOffset>0</wp:posOffset>
            </wp:positionH>
            <wp:positionV relativeFrom="paragraph">
              <wp:posOffset>251765</wp:posOffset>
            </wp:positionV>
            <wp:extent cx="5041900" cy="2522855"/>
            <wp:effectExtent l="0" t="0" r="6350" b="0"/>
            <wp:wrapTight wrapText="bothSides">
              <wp:wrapPolygon edited="0">
                <wp:start x="0" y="0"/>
                <wp:lineTo x="0" y="21366"/>
                <wp:lineTo x="21546" y="21366"/>
                <wp:lineTo x="21546" y="0"/>
                <wp:lineTo x="0" y="0"/>
              </wp:wrapPolygon>
            </wp:wrapTight>
            <wp:docPr id="147646423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64232" name="Obraz 1476464232"/>
                    <pic:cNvPicPr/>
                  </pic:nvPicPr>
                  <pic:blipFill>
                    <a:blip r:embed="rId15">
                      <a:extLst>
                        <a:ext uri="{28A0092B-C50C-407E-A947-70E740481C1C}">
                          <a14:useLocalDpi xmlns:a14="http://schemas.microsoft.com/office/drawing/2010/main" val="0"/>
                        </a:ext>
                      </a:extLst>
                    </a:blip>
                    <a:stretch>
                      <a:fillRect/>
                    </a:stretch>
                  </pic:blipFill>
                  <pic:spPr>
                    <a:xfrm>
                      <a:off x="0" y="0"/>
                      <a:ext cx="5041900" cy="2522855"/>
                    </a:xfrm>
                    <a:prstGeom prst="rect">
                      <a:avLst/>
                    </a:prstGeom>
                  </pic:spPr>
                </pic:pic>
              </a:graphicData>
            </a:graphic>
          </wp:anchor>
        </w:drawing>
      </w:r>
      <w:r w:rsidR="00062438" w:rsidRPr="00062438">
        <w:rPr>
          <w:rFonts w:eastAsiaTheme="minorEastAsia" w:cs="Arial"/>
          <w:b/>
          <w:color w:val="000000" w:themeColor="text1"/>
          <w:szCs w:val="19"/>
          <w:lang w:eastAsia="pl-PL"/>
        </w:rPr>
        <w:t>Wykres 5. Wzrost wydatków ujętych w Narodowym Rachunku Zdrowia</w:t>
      </w:r>
    </w:p>
    <w:p w14:paraId="26B16EDB" w14:textId="77777777" w:rsidR="00062438" w:rsidRPr="00062438" w:rsidRDefault="00062438" w:rsidP="00E9214F">
      <w:pPr>
        <w:spacing w:line="288" w:lineRule="auto"/>
        <w:rPr>
          <w:rFonts w:eastAsiaTheme="minorEastAsia" w:cs="Arial"/>
          <w:b/>
          <w:color w:val="000000" w:themeColor="text1"/>
          <w:szCs w:val="19"/>
          <w:lang w:eastAsia="pl-PL"/>
        </w:rPr>
      </w:pPr>
    </w:p>
    <w:p w14:paraId="7FF67BEE" w14:textId="7115AEA9" w:rsidR="00062438" w:rsidRDefault="00062438" w:rsidP="00E9214F">
      <w:pPr>
        <w:spacing w:line="288" w:lineRule="auto"/>
        <w:rPr>
          <w:rFonts w:eastAsiaTheme="minorEastAsia" w:cs="Arial"/>
          <w:b/>
          <w:color w:val="000000" w:themeColor="text1"/>
          <w:szCs w:val="19"/>
          <w:lang w:eastAsia="pl-PL"/>
        </w:rPr>
      </w:pPr>
    </w:p>
    <w:p w14:paraId="285E97E0" w14:textId="77777777" w:rsidR="0038248A" w:rsidRPr="0038248A" w:rsidRDefault="0038248A" w:rsidP="00E9214F">
      <w:pPr>
        <w:spacing w:line="288" w:lineRule="auto"/>
        <w:rPr>
          <w:rFonts w:eastAsiaTheme="minorEastAsia" w:cs="Arial"/>
          <w:b/>
          <w:color w:val="000000" w:themeColor="text1"/>
          <w:szCs w:val="19"/>
          <w:lang w:eastAsia="pl-PL"/>
        </w:rPr>
      </w:pPr>
    </w:p>
    <w:p w14:paraId="67DA71D8" w14:textId="77777777" w:rsidR="008B2B97" w:rsidRPr="0038248A" w:rsidRDefault="008B2B97" w:rsidP="0038248A">
      <w:pPr>
        <w:spacing w:line="288" w:lineRule="auto"/>
        <w:rPr>
          <w:rFonts w:eastAsiaTheme="minorEastAsia" w:cs="Arial"/>
          <w:b/>
          <w:color w:val="000000" w:themeColor="text1"/>
          <w:szCs w:val="19"/>
          <w:lang w:eastAsia="pl-PL"/>
        </w:rPr>
      </w:pPr>
    </w:p>
    <w:p w14:paraId="6DA98482" w14:textId="13872ABF" w:rsidR="008B2B97" w:rsidRPr="0009456F" w:rsidRDefault="008B2B97" w:rsidP="008B2B97">
      <w:pPr>
        <w:pStyle w:val="Bezodstpw"/>
        <w:rPr>
          <w:rFonts w:ascii="Fira Sans SemiBold" w:hAnsi="Fira Sans SemiBold" w:cs="Arial"/>
          <w:b/>
          <w:spacing w:val="-20"/>
          <w:sz w:val="40"/>
          <w:szCs w:val="40"/>
        </w:rPr>
      </w:pPr>
      <w:r w:rsidRPr="0009456F">
        <w:rPr>
          <w:rFonts w:ascii="Fira Sans SemiBold" w:hAnsi="Fira Sans SemiBold" w:cs="Arial"/>
          <w:spacing w:val="-20"/>
          <w:sz w:val="40"/>
          <w:szCs w:val="40"/>
        </w:rPr>
        <w:t>Nakłady publiczne na ochronę zdrowia w 2022 r.</w:t>
      </w:r>
      <w:r w:rsidRPr="0009456F">
        <w:rPr>
          <w:rFonts w:ascii="Fira Sans SemiBold" w:hAnsi="Fira Sans SemiBold" w:cs="Arial"/>
          <w:spacing w:val="-20"/>
          <w:sz w:val="40"/>
          <w:szCs w:val="40"/>
          <w:vertAlign w:val="superscript"/>
        </w:rPr>
        <w:footnoteReference w:id="9"/>
      </w:r>
    </w:p>
    <w:p w14:paraId="05376071" w14:textId="6D2A479A" w:rsidR="00671B3B" w:rsidRPr="00671B3B" w:rsidRDefault="00671B3B" w:rsidP="00671B3B">
      <w:pPr>
        <w:autoSpaceDE w:val="0"/>
        <w:autoSpaceDN w:val="0"/>
        <w:adjustRightInd w:val="0"/>
        <w:spacing w:before="360"/>
        <w:rPr>
          <w:rFonts w:eastAsia="Times New Roman" w:cs="Times New Roman"/>
          <w:b/>
          <w:noProof/>
          <w:szCs w:val="19"/>
          <w:lang w:eastAsia="pl-PL"/>
        </w:rPr>
      </w:pPr>
      <w:r w:rsidRPr="00587CEE">
        <w:rPr>
          <w:noProof/>
          <w:color w:val="001D77"/>
          <w:lang w:eastAsia="pl-PL"/>
        </w:rPr>
        <mc:AlternateContent>
          <mc:Choice Requires="wps">
            <w:drawing>
              <wp:anchor distT="45720" distB="45720" distL="114300" distR="114300" simplePos="0" relativeHeight="251764736" behindDoc="0" locked="0" layoutInCell="1" allowOverlap="1" wp14:anchorId="186DD7F6" wp14:editId="2734C674">
                <wp:simplePos x="0" y="0"/>
                <wp:positionH relativeFrom="margin">
                  <wp:posOffset>-99060</wp:posOffset>
                </wp:positionH>
                <wp:positionV relativeFrom="paragraph">
                  <wp:posOffset>231140</wp:posOffset>
                </wp:positionV>
                <wp:extent cx="2080260" cy="1508760"/>
                <wp:effectExtent l="0" t="0" r="0" b="0"/>
                <wp:wrapSquare wrapText="bothSides"/>
                <wp:docPr id="33"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508760"/>
                        </a:xfrm>
                        <a:prstGeom prst="roundRect">
                          <a:avLst/>
                        </a:prstGeom>
                        <a:solidFill>
                          <a:srgbClr val="001D77"/>
                        </a:solidFill>
                        <a:ln w="9525">
                          <a:noFill/>
                          <a:miter lim="800000"/>
                          <a:headEnd/>
                          <a:tailEnd/>
                        </a:ln>
                      </wps:spPr>
                      <wps:txbx>
                        <w:txbxContent>
                          <w:p w14:paraId="05521332" w14:textId="16E8F121" w:rsidR="00A7005B" w:rsidRPr="009B2A4A" w:rsidRDefault="00A7005B" w:rsidP="008B2B9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Pr>
                                <w:rStyle w:val="WartowskanikaZnak"/>
                                <w:sz w:val="72"/>
                                <w:szCs w:val="72"/>
                                <w:lang w:val="en-GB"/>
                              </w:rPr>
                              <w:t>6</w:t>
                            </w:r>
                            <w:r w:rsidRPr="009B2A4A">
                              <w:rPr>
                                <w:rStyle w:val="WartowskanikaZnak"/>
                                <w:sz w:val="72"/>
                                <w:szCs w:val="72"/>
                                <w:lang w:val="en-GB"/>
                              </w:rPr>
                              <w:t>,</w:t>
                            </w:r>
                            <w:r>
                              <w:rPr>
                                <w:rStyle w:val="WartowskanikaZnak"/>
                                <w:sz w:val="72"/>
                                <w:szCs w:val="72"/>
                                <w:lang w:val="en-GB"/>
                              </w:rPr>
                              <w:t>9%</w:t>
                            </w:r>
                          </w:p>
                          <w:p w14:paraId="357A1AF5" w14:textId="77777777" w:rsidR="00A7005B" w:rsidRPr="008B2B97" w:rsidRDefault="00A7005B" w:rsidP="008B2B97">
                            <w:pPr>
                              <w:rPr>
                                <w:color w:val="FFFFFF" w:themeColor="background1"/>
                                <w:sz w:val="18"/>
                                <w:szCs w:val="20"/>
                              </w:rPr>
                            </w:pPr>
                            <w:r w:rsidRPr="008B2B97">
                              <w:rPr>
                                <w:sz w:val="20"/>
                                <w:szCs w:val="20"/>
                              </w:rPr>
                              <w:t xml:space="preserve">Wzrost nakładów publicznych na ochronę zdrowia w 2022 r. </w:t>
                            </w:r>
                            <w:r w:rsidRPr="008B2B97">
                              <w:rPr>
                                <w:sz w:val="20"/>
                                <w:szCs w:val="20"/>
                              </w:rPr>
                              <w:br/>
                              <w:t xml:space="preserve">w porównaniu z </w:t>
                            </w:r>
                            <w:r w:rsidRPr="008B2B97">
                              <w:t>2021 r.</w:t>
                            </w:r>
                          </w:p>
                          <w:p w14:paraId="568EF62E" w14:textId="77777777" w:rsidR="00A7005B" w:rsidRPr="007D605C" w:rsidRDefault="00A7005B" w:rsidP="008B2B97">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_x0000_s1032" style="position:absolute;margin-left:-7.8pt;margin-top:18.2pt;width:163.8pt;height:118.8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Opis wskaźnika" fillcolor="#001d77" stroked="f" arcsize="10923f" w14:anchorId="186DD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">
                <v:stroke joinstyle="miter"/>
                <v:textbox>
                  <w:txbxContent>
                    <w:p w:rsidRPr="009B2A4A" w:rsidR="00A7005B" w:rsidP="008B2B97" w:rsidRDefault="00A7005B" w14:paraId="05521332" w14:textId="16E8F121">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Pr>
                          <w:rStyle w:val="WartowskanikaZnak"/>
                          <w:sz w:val="72"/>
                          <w:szCs w:val="72"/>
                          <w:lang w:val="en-GB"/>
                        </w:rPr>
                        <w:t>6</w:t>
                      </w:r>
                      <w:r w:rsidRPr="009B2A4A">
                        <w:rPr>
                          <w:rStyle w:val="WartowskanikaZnak"/>
                          <w:sz w:val="72"/>
                          <w:szCs w:val="72"/>
                          <w:lang w:val="en-GB"/>
                        </w:rPr>
                        <w:t>,</w:t>
                      </w:r>
                      <w:r>
                        <w:rPr>
                          <w:rStyle w:val="WartowskanikaZnak"/>
                          <w:sz w:val="72"/>
                          <w:szCs w:val="72"/>
                          <w:lang w:val="en-GB"/>
                        </w:rPr>
                        <w:t>9%</w:t>
                      </w:r>
                    </w:p>
                    <w:p w:rsidRPr="008B2B97" w:rsidR="00A7005B" w:rsidP="008B2B97" w:rsidRDefault="00A7005B" w14:paraId="357A1AF5" w14:textId="77777777">
                      <w:pPr>
                        <w:rPr>
                          <w:color w:val="FFFFFF" w:themeColor="background1"/>
                          <w:sz w:val="18"/>
                          <w:szCs w:val="20"/>
                        </w:rPr>
                      </w:pPr>
                      <w:r w:rsidRPr="008B2B97">
                        <w:rPr>
                          <w:sz w:val="20"/>
                          <w:szCs w:val="20"/>
                        </w:rPr>
                        <w:t xml:space="preserve">Wzrost nakładów publicznych na ochronę zdrowia w 2022 r. </w:t>
                      </w:r>
                      <w:r w:rsidRPr="008B2B97">
                        <w:rPr>
                          <w:sz w:val="20"/>
                          <w:szCs w:val="20"/>
                        </w:rPr>
                        <w:br/>
                        <w:t xml:space="preserve">w porównaniu z </w:t>
                      </w:r>
                      <w:r w:rsidRPr="008B2B97">
                        <w:t>2021 r.</w:t>
                      </w:r>
                    </w:p>
                    <w:p w:rsidRPr="007D605C" w:rsidR="00A7005B" w:rsidP="008B2B97" w:rsidRDefault="00A7005B" w14:paraId="568EF62E" w14:textId="77777777">
                      <w:pPr>
                        <w:pStyle w:val="Opiswskanika"/>
                        <w:rPr>
                          <w:sz w:val="18"/>
                          <w:szCs w:val="20"/>
                        </w:rPr>
                      </w:pPr>
                    </w:p>
                  </w:txbxContent>
                </v:textbox>
                <w10:wrap type="square" anchorx="margin"/>
              </v:roundrect>
            </w:pict>
          </mc:Fallback>
        </mc:AlternateContent>
      </w:r>
      <w:r w:rsidRPr="00671B3B">
        <w:rPr>
          <w:rFonts w:eastAsiaTheme="minorEastAsia" w:cs="Arial"/>
          <w:b/>
          <w:color w:val="000000" w:themeColor="text1"/>
          <w:szCs w:val="19"/>
          <w:lang w:eastAsia="pl-PL"/>
        </w:rPr>
        <w:t xml:space="preserve">Zgodnie z art. 131c </w:t>
      </w:r>
      <w:r w:rsidRPr="00671B3B">
        <w:rPr>
          <w:rFonts w:eastAsiaTheme="minorEastAsia" w:cs="Arial"/>
          <w:b/>
          <w:i/>
          <w:color w:val="000000" w:themeColor="text1"/>
          <w:szCs w:val="19"/>
          <w:lang w:eastAsia="pl-PL"/>
        </w:rPr>
        <w:t>ust</w:t>
      </w:r>
      <w:r w:rsidR="00A90DD5">
        <w:rPr>
          <w:rFonts w:eastAsiaTheme="minorEastAsia" w:cs="Arial"/>
          <w:b/>
          <w:i/>
          <w:color w:val="000000" w:themeColor="text1"/>
          <w:szCs w:val="19"/>
          <w:lang w:eastAsia="pl-PL"/>
        </w:rPr>
        <w:t xml:space="preserve">awy z dnia 27 sierpnia 2004 r. </w:t>
      </w:r>
      <w:r w:rsidR="00C43BC6">
        <w:rPr>
          <w:rFonts w:eastAsiaTheme="minorEastAsia" w:cs="Arial"/>
          <w:b/>
          <w:i/>
          <w:color w:val="000000" w:themeColor="text1"/>
          <w:szCs w:val="19"/>
          <w:lang w:eastAsia="pl-PL"/>
        </w:rPr>
        <w:br/>
      </w:r>
      <w:r w:rsidRPr="00671B3B">
        <w:rPr>
          <w:rFonts w:eastAsiaTheme="minorEastAsia" w:cs="Arial"/>
          <w:b/>
          <w:i/>
          <w:iCs/>
          <w:color w:val="000000" w:themeColor="text1"/>
          <w:szCs w:val="19"/>
          <w:lang w:eastAsia="pl-PL"/>
        </w:rPr>
        <w:t xml:space="preserve">o świadczeniach </w:t>
      </w:r>
      <w:r w:rsidR="00A90DD5">
        <w:rPr>
          <w:rFonts w:eastAsiaTheme="minorEastAsia" w:cs="Arial"/>
          <w:b/>
          <w:i/>
          <w:iCs/>
          <w:color w:val="000000" w:themeColor="text1"/>
          <w:szCs w:val="19"/>
          <w:lang w:eastAsia="pl-PL"/>
        </w:rPr>
        <w:t xml:space="preserve">opieki zdrowotnej finansowanych </w:t>
      </w:r>
      <w:r w:rsidRPr="00671B3B">
        <w:rPr>
          <w:rFonts w:eastAsiaTheme="minorEastAsia" w:cs="Arial"/>
          <w:b/>
          <w:i/>
          <w:iCs/>
          <w:color w:val="000000" w:themeColor="text1"/>
          <w:szCs w:val="19"/>
          <w:lang w:eastAsia="pl-PL"/>
        </w:rPr>
        <w:t>ze środków publicznych</w:t>
      </w:r>
      <w:r w:rsidRPr="00671B3B">
        <w:rPr>
          <w:rFonts w:eastAsiaTheme="minorEastAsia" w:cs="Arial"/>
          <w:b/>
          <w:iCs/>
          <w:color w:val="000000" w:themeColor="text1"/>
          <w:szCs w:val="19"/>
          <w:lang w:eastAsia="pl-PL"/>
        </w:rPr>
        <w:t xml:space="preserve"> </w:t>
      </w:r>
      <w:r w:rsidR="00240FD5">
        <w:rPr>
          <w:rFonts w:eastAsiaTheme="minorEastAsia" w:cs="Arial"/>
          <w:b/>
          <w:color w:val="000000" w:themeColor="text1"/>
          <w:szCs w:val="19"/>
          <w:lang w:eastAsia="pl-PL"/>
        </w:rPr>
        <w:t>(Dz. U. z 2022 r., poz. 2561</w:t>
      </w:r>
      <w:r w:rsidRPr="00671B3B">
        <w:rPr>
          <w:rFonts w:eastAsiaTheme="minorEastAsia" w:cs="Arial"/>
          <w:b/>
          <w:color w:val="000000" w:themeColor="text1"/>
          <w:szCs w:val="19"/>
          <w:lang w:eastAsia="pl-PL"/>
        </w:rPr>
        <w:t>),</w:t>
      </w:r>
      <w:r w:rsidRPr="00671B3B">
        <w:rPr>
          <w:rFonts w:eastAsiaTheme="minorEastAsia" w:cs="Arial"/>
          <w:color w:val="000000" w:themeColor="text1"/>
          <w:szCs w:val="19"/>
          <w:lang w:eastAsia="pl-PL"/>
        </w:rPr>
        <w:t xml:space="preserve"> </w:t>
      </w:r>
      <w:r w:rsidRPr="00671B3B">
        <w:rPr>
          <w:rFonts w:eastAsiaTheme="minorEastAsia" w:cs="Arial"/>
          <w:b/>
          <w:iCs/>
          <w:color w:val="000000" w:themeColor="text1"/>
          <w:szCs w:val="19"/>
          <w:lang w:eastAsia="pl-PL"/>
        </w:rPr>
        <w:t>na finansowanie ochrony zdrowia w 2022 r</w:t>
      </w:r>
      <w:r w:rsidRPr="00671B3B">
        <w:rPr>
          <w:rFonts w:eastAsiaTheme="minorEastAsia" w:cs="Arial"/>
          <w:b/>
          <w:color w:val="000000" w:themeColor="text1"/>
          <w:szCs w:val="19"/>
          <w:lang w:eastAsia="pl-PL"/>
        </w:rPr>
        <w:t>. powinny zostać przeznaczone środki</w:t>
      </w:r>
      <w:r w:rsidRPr="00671B3B">
        <w:rPr>
          <w:rFonts w:eastAsiaTheme="minorEastAsia" w:cs="Arial"/>
          <w:b/>
          <w:color w:val="000000" w:themeColor="text1"/>
          <w:szCs w:val="19"/>
          <w:vertAlign w:val="superscript"/>
          <w:lang w:eastAsia="pl-PL"/>
        </w:rPr>
        <w:footnoteReference w:id="10"/>
      </w:r>
      <w:r w:rsidRPr="00671B3B">
        <w:rPr>
          <w:rFonts w:eastAsiaTheme="minorEastAsia" w:cs="Arial"/>
          <w:b/>
          <w:color w:val="000000" w:themeColor="text1"/>
          <w:szCs w:val="19"/>
          <w:lang w:eastAsia="pl-PL"/>
        </w:rPr>
        <w:t xml:space="preserve"> w wysokości nie niższej niż </w:t>
      </w:r>
      <w:r w:rsidR="00240FD5" w:rsidRPr="00240FD5">
        <w:rPr>
          <w:rFonts w:eastAsiaTheme="minorEastAsia" w:cs="Arial"/>
          <w:b/>
          <w:color w:val="000000" w:themeColor="text1"/>
          <w:szCs w:val="19"/>
          <w:lang w:eastAsia="pl-PL"/>
        </w:rPr>
        <w:t>5,75</w:t>
      </w:r>
      <w:r w:rsidRPr="00671B3B">
        <w:rPr>
          <w:rFonts w:eastAsiaTheme="minorEastAsia" w:cs="Arial"/>
          <w:b/>
          <w:color w:val="000000" w:themeColor="text1"/>
          <w:szCs w:val="19"/>
          <w:lang w:eastAsia="pl-PL"/>
        </w:rPr>
        <w:t>% PKB, określonego w obwieszczeniu Prezesa Głównego Urzędu Statystycznego</w:t>
      </w:r>
      <w:r w:rsidRPr="00671B3B">
        <w:rPr>
          <w:rFonts w:eastAsiaTheme="minorEastAsia" w:cs="Arial"/>
          <w:b/>
          <w:color w:val="000000" w:themeColor="text1"/>
          <w:szCs w:val="19"/>
          <w:vertAlign w:val="superscript"/>
          <w:lang w:eastAsia="pl-PL"/>
        </w:rPr>
        <w:footnoteReference w:id="11"/>
      </w:r>
      <w:r w:rsidRPr="00671B3B">
        <w:rPr>
          <w:rFonts w:eastAsiaTheme="minorEastAsia" w:cs="Arial"/>
          <w:b/>
          <w:color w:val="000000" w:themeColor="text1"/>
          <w:szCs w:val="19"/>
          <w:lang w:eastAsia="pl-PL"/>
        </w:rPr>
        <w:t>. W związku z tym nakłady na finansowanie ochrony zdrowia w</w:t>
      </w:r>
      <w:r w:rsidR="00240FD5">
        <w:rPr>
          <w:rFonts w:eastAsiaTheme="minorEastAsia" w:cs="Arial"/>
          <w:b/>
          <w:color w:val="000000" w:themeColor="text1"/>
          <w:szCs w:val="19"/>
          <w:lang w:eastAsia="pl-PL"/>
        </w:rPr>
        <w:t xml:space="preserve"> roku 2022 zaplanowano na kwotę 133,6</w:t>
      </w:r>
      <w:r w:rsidRPr="00671B3B">
        <w:rPr>
          <w:rFonts w:eastAsiaTheme="minorEastAsia" w:cs="Arial"/>
          <w:b/>
          <w:color w:val="000000" w:themeColor="text1"/>
          <w:szCs w:val="19"/>
          <w:lang w:eastAsia="pl-PL"/>
        </w:rPr>
        <w:t xml:space="preserve"> mld zł, a ostatecznie zostały one zrealizowane w </w:t>
      </w:r>
      <w:r w:rsidR="00240FD5">
        <w:rPr>
          <w:rFonts w:eastAsiaTheme="minorEastAsia" w:cs="Arial"/>
          <w:b/>
          <w:color w:val="000000" w:themeColor="text1"/>
          <w:szCs w:val="19"/>
          <w:lang w:eastAsia="pl-PL"/>
        </w:rPr>
        <w:t>kwocie 151,0</w:t>
      </w:r>
      <w:r w:rsidRPr="00671B3B">
        <w:rPr>
          <w:rFonts w:eastAsiaTheme="minorEastAsia" w:cs="Arial"/>
          <w:b/>
          <w:color w:val="000000" w:themeColor="text1"/>
          <w:szCs w:val="19"/>
          <w:lang w:eastAsia="pl-PL"/>
        </w:rPr>
        <w:t xml:space="preserve"> mld zł.</w:t>
      </w:r>
    </w:p>
    <w:p w14:paraId="387B9077" w14:textId="7D0CF42D" w:rsidR="00671B3B" w:rsidRPr="00671B3B" w:rsidRDefault="00671B3B" w:rsidP="007C56ED">
      <w:pPr>
        <w:spacing w:line="288" w:lineRule="auto"/>
        <w:rPr>
          <w:rFonts w:eastAsiaTheme="minorEastAsia" w:cs="Arial"/>
          <w:b/>
          <w:color w:val="000000" w:themeColor="text1"/>
          <w:szCs w:val="19"/>
          <w:lang w:eastAsia="pl-PL"/>
        </w:rPr>
      </w:pPr>
      <w:r w:rsidRPr="00671B3B">
        <w:rPr>
          <w:rFonts w:eastAsiaTheme="minorEastAsia" w:cs="Arial"/>
          <w:noProof/>
          <w:color w:val="000000" w:themeColor="text1"/>
          <w:szCs w:val="19"/>
          <w:lang w:eastAsia="pl-PL"/>
        </w:rPr>
        <mc:AlternateContent>
          <mc:Choice Requires="wps">
            <w:drawing>
              <wp:anchor distT="45720" distB="45720" distL="114300" distR="114300" simplePos="0" relativeHeight="251766784" behindDoc="1" locked="0" layoutInCell="1" allowOverlap="1" wp14:anchorId="3D478607" wp14:editId="7BED8A6A">
                <wp:simplePos x="0" y="0"/>
                <wp:positionH relativeFrom="column">
                  <wp:posOffset>5279390</wp:posOffset>
                </wp:positionH>
                <wp:positionV relativeFrom="paragraph">
                  <wp:posOffset>182880</wp:posOffset>
                </wp:positionV>
                <wp:extent cx="1787525" cy="782955"/>
                <wp:effectExtent l="0" t="0" r="0" b="0"/>
                <wp:wrapTight wrapText="bothSides">
                  <wp:wrapPolygon edited="0">
                    <wp:start x="691" y="0"/>
                    <wp:lineTo x="691" y="21022"/>
                    <wp:lineTo x="20718" y="21022"/>
                    <wp:lineTo x="20718" y="0"/>
                    <wp:lineTo x="691"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782955"/>
                        </a:xfrm>
                        <a:prstGeom prst="rect">
                          <a:avLst/>
                        </a:prstGeom>
                        <a:noFill/>
                        <a:ln w="9525">
                          <a:noFill/>
                          <a:miter lim="800000"/>
                          <a:headEnd/>
                          <a:tailEnd/>
                        </a:ln>
                      </wps:spPr>
                      <wps:txbx>
                        <w:txbxContent>
                          <w:p w14:paraId="2B8D6220" w14:textId="3F24344A" w:rsidR="00A7005B" w:rsidRPr="00511F79" w:rsidRDefault="00A7005B" w:rsidP="00671B3B">
                            <w:pPr>
                              <w:spacing w:before="0" w:after="0"/>
                              <w:rPr>
                                <w:color w:val="FF0000"/>
                                <w:sz w:val="18"/>
                                <w:szCs w:val="18"/>
                              </w:rPr>
                            </w:pPr>
                            <w:r w:rsidRPr="00ED34DF">
                              <w:rPr>
                                <w:color w:val="001D77"/>
                                <w:sz w:val="18"/>
                                <w:szCs w:val="18"/>
                              </w:rPr>
                              <w:t>W stosunku do roku 20</w:t>
                            </w:r>
                            <w:r>
                              <w:rPr>
                                <w:color w:val="001D77"/>
                                <w:sz w:val="18"/>
                                <w:szCs w:val="18"/>
                              </w:rPr>
                              <w:t>21</w:t>
                            </w:r>
                            <w:r w:rsidRPr="00ED34DF">
                              <w:rPr>
                                <w:color w:val="001D77"/>
                                <w:sz w:val="18"/>
                                <w:szCs w:val="18"/>
                              </w:rPr>
                              <w:t xml:space="preserve"> zaobserwowano wzrost nakładów na ochronę zdrowia</w:t>
                            </w:r>
                            <w:r>
                              <w:rPr>
                                <w:sz w:val="18"/>
                                <w:szCs w:val="18"/>
                              </w:rPr>
                              <w:t xml:space="preserve"> </w:t>
                            </w:r>
                            <w:r>
                              <w:rPr>
                                <w:color w:val="001D77"/>
                                <w:sz w:val="18"/>
                                <w:szCs w:val="18"/>
                              </w:rPr>
                              <w:t>o 9,7</w:t>
                            </w:r>
                            <w:r w:rsidRPr="001F182B">
                              <w:rPr>
                                <w:color w:val="001D77"/>
                                <w:sz w:val="18"/>
                                <w:szCs w:val="18"/>
                              </w:rPr>
                              <w:t xml:space="preserve"> mld zł, czyli</w:t>
                            </w:r>
                            <w:r>
                              <w:rPr>
                                <w:color w:val="001D77"/>
                                <w:sz w:val="18"/>
                                <w:szCs w:val="18"/>
                              </w:rPr>
                              <w:t xml:space="preserve"> o 6,9</w:t>
                            </w:r>
                            <w:r w:rsidRPr="001F182B">
                              <w:rPr>
                                <w:color w:val="001D77"/>
                                <w:sz w:val="18"/>
                                <w:szCs w:val="18"/>
                              </w:rPr>
                              <w:t>%</w:t>
                            </w:r>
                          </w:p>
                          <w:p w14:paraId="69FA2D8E" w14:textId="77777777" w:rsidR="00A7005B" w:rsidRPr="00D616D2" w:rsidRDefault="00A7005B" w:rsidP="00671B3B">
                            <w:pPr>
                              <w:spacing w:after="0"/>
                              <w:rPr>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Pole tekstowe 34" style="position:absolute;margin-left:415.7pt;margin-top:14.4pt;width:140.75pt;height:61.6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" w14:anchorId="3D478607">
                <v:textbox>
                  <w:txbxContent>
                    <w:p w:rsidRPr="00511F79" w:rsidR="00A7005B" w:rsidP="00671B3B" w:rsidRDefault="00A7005B" w14:paraId="2B8D6220" w14:textId="3F24344A">
                      <w:pPr>
                        <w:spacing w:before="0" w:after="0"/>
                        <w:rPr>
                          <w:color w:val="FF0000"/>
                          <w:sz w:val="18"/>
                          <w:szCs w:val="18"/>
                        </w:rPr>
                      </w:pPr>
                      <w:r w:rsidRPr="00ED34DF">
                        <w:rPr>
                          <w:color w:val="001D77"/>
                          <w:sz w:val="18"/>
                          <w:szCs w:val="18"/>
                        </w:rPr>
                        <w:t>W stosunku do roku 20</w:t>
                      </w:r>
                      <w:r>
                        <w:rPr>
                          <w:color w:val="001D77"/>
                          <w:sz w:val="18"/>
                          <w:szCs w:val="18"/>
                        </w:rPr>
                        <w:t>21</w:t>
                      </w:r>
                      <w:r w:rsidRPr="00ED34DF">
                        <w:rPr>
                          <w:color w:val="001D77"/>
                          <w:sz w:val="18"/>
                          <w:szCs w:val="18"/>
                        </w:rPr>
                        <w:t xml:space="preserve"> zaobserwowano wzrost nakładów na ochronę zdrowia</w:t>
                      </w:r>
                      <w:r>
                        <w:rPr>
                          <w:sz w:val="18"/>
                          <w:szCs w:val="18"/>
                        </w:rPr>
                        <w:t xml:space="preserve"> </w:t>
                      </w:r>
                      <w:r>
                        <w:rPr>
                          <w:color w:val="001D77"/>
                          <w:sz w:val="18"/>
                          <w:szCs w:val="18"/>
                        </w:rPr>
                        <w:t>o 9,7</w:t>
                      </w:r>
                      <w:r w:rsidRPr="001F182B">
                        <w:rPr>
                          <w:color w:val="001D77"/>
                          <w:sz w:val="18"/>
                          <w:szCs w:val="18"/>
                        </w:rPr>
                        <w:t xml:space="preserve"> mld zł, czyli</w:t>
                      </w:r>
                      <w:r>
                        <w:rPr>
                          <w:color w:val="001D77"/>
                          <w:sz w:val="18"/>
                          <w:szCs w:val="18"/>
                        </w:rPr>
                        <w:t xml:space="preserve"> o 6,9</w:t>
                      </w:r>
                      <w:r w:rsidRPr="001F182B">
                        <w:rPr>
                          <w:color w:val="001D77"/>
                          <w:sz w:val="18"/>
                          <w:szCs w:val="18"/>
                        </w:rPr>
                        <w:t>%</w:t>
                      </w:r>
                    </w:p>
                    <w:p w:rsidRPr="00D616D2" w:rsidR="00A7005B" w:rsidP="00671B3B" w:rsidRDefault="00A7005B" w14:paraId="69FA2D8E" w14:textId="77777777">
                      <w:pPr>
                        <w:spacing w:after="0"/>
                        <w:rPr>
                          <w:bCs/>
                          <w:color w:val="001D77"/>
                          <w:sz w:val="18"/>
                          <w:szCs w:val="18"/>
                          <w:lang w:eastAsia="pl-PL"/>
                        </w:rPr>
                      </w:pPr>
                    </w:p>
                  </w:txbxContent>
                </v:textbox>
                <w10:wrap type="tight"/>
              </v:shape>
            </w:pict>
          </mc:Fallback>
        </mc:AlternateContent>
      </w:r>
    </w:p>
    <w:p w14:paraId="7761EEA8" w14:textId="7F39DDB7" w:rsidR="00671B3B" w:rsidRPr="00671B3B" w:rsidRDefault="00671B3B" w:rsidP="007C56ED">
      <w:pPr>
        <w:spacing w:line="288" w:lineRule="auto"/>
        <w:rPr>
          <w:rFonts w:eastAsiaTheme="minorEastAsia" w:cs="Arial"/>
          <w:color w:val="000000" w:themeColor="text1"/>
          <w:szCs w:val="19"/>
          <w:lang w:eastAsia="pl-PL"/>
        </w:rPr>
      </w:pPr>
      <w:r w:rsidRPr="00671B3B">
        <w:rPr>
          <w:rFonts w:eastAsiaTheme="minorEastAsia" w:cs="Arial"/>
          <w:color w:val="000000" w:themeColor="text1"/>
          <w:szCs w:val="19"/>
          <w:lang w:eastAsia="pl-PL"/>
        </w:rPr>
        <w:t>Zgodnie z ustawą budżetową na 2022 r. oraz pierwotnym planem Narodowego Funduszu Zdrowia, zaplanowan</w:t>
      </w:r>
      <w:r w:rsidR="00240FD5">
        <w:rPr>
          <w:rFonts w:eastAsiaTheme="minorEastAsia" w:cs="Arial"/>
          <w:color w:val="000000" w:themeColor="text1"/>
          <w:szCs w:val="19"/>
          <w:lang w:eastAsia="pl-PL"/>
        </w:rPr>
        <w:t>o na ten rok środki w wysokości 133,6</w:t>
      </w:r>
      <w:r w:rsidRPr="00671B3B">
        <w:rPr>
          <w:rFonts w:eastAsiaTheme="minorEastAsia" w:cs="Arial"/>
          <w:szCs w:val="19"/>
          <w:lang w:eastAsia="pl-PL"/>
        </w:rPr>
        <w:t xml:space="preserve"> mld </w:t>
      </w:r>
      <w:r w:rsidRPr="00671B3B">
        <w:rPr>
          <w:rFonts w:eastAsiaTheme="minorEastAsia" w:cs="Arial"/>
          <w:color w:val="000000" w:themeColor="text1"/>
          <w:szCs w:val="19"/>
          <w:lang w:eastAsia="pl-PL"/>
        </w:rPr>
        <w:t>zł, które w ciągu roku zostały zwiększone, a ic</w:t>
      </w:r>
      <w:r w:rsidR="00240FD5">
        <w:rPr>
          <w:rFonts w:eastAsiaTheme="minorEastAsia" w:cs="Arial"/>
          <w:color w:val="000000" w:themeColor="text1"/>
          <w:szCs w:val="19"/>
          <w:lang w:eastAsia="pl-PL"/>
        </w:rPr>
        <w:t>h ostateczne wykonanie wyniosło 151,0 mld zł (w tym 5,5</w:t>
      </w:r>
      <w:r w:rsidRPr="00671B3B">
        <w:rPr>
          <w:rFonts w:eastAsiaTheme="minorEastAsia" w:cs="Arial"/>
          <w:color w:val="000000" w:themeColor="text1"/>
          <w:szCs w:val="19"/>
          <w:lang w:eastAsia="pl-PL"/>
        </w:rPr>
        <w:t xml:space="preserve"> mld </w:t>
      </w:r>
      <w:r w:rsidR="00240FD5">
        <w:rPr>
          <w:rFonts w:eastAsiaTheme="minorEastAsia" w:cs="Arial"/>
          <w:color w:val="000000" w:themeColor="text1"/>
          <w:szCs w:val="19"/>
          <w:lang w:eastAsia="pl-PL"/>
        </w:rPr>
        <w:t xml:space="preserve">zł </w:t>
      </w:r>
      <w:r w:rsidRPr="00671B3B">
        <w:rPr>
          <w:rFonts w:eastAsiaTheme="minorEastAsia" w:cs="Arial"/>
          <w:color w:val="000000" w:themeColor="text1"/>
          <w:szCs w:val="19"/>
          <w:lang w:eastAsia="pl-PL"/>
        </w:rPr>
        <w:t>z Funduszu Przeciwdziałania COVID-19</w:t>
      </w:r>
      <w:r w:rsidRPr="00671B3B">
        <w:rPr>
          <w:rFonts w:eastAsiaTheme="minorEastAsia" w:cs="Arial"/>
          <w:color w:val="000000" w:themeColor="text1"/>
          <w:szCs w:val="19"/>
          <w:vertAlign w:val="superscript"/>
          <w:lang w:eastAsia="pl-PL"/>
        </w:rPr>
        <w:footnoteReference w:id="12"/>
      </w:r>
      <w:r w:rsidRPr="00671B3B">
        <w:rPr>
          <w:rFonts w:eastAsiaTheme="minorEastAsia" w:cs="Arial"/>
          <w:color w:val="000000" w:themeColor="text1"/>
          <w:szCs w:val="19"/>
          <w:lang w:eastAsia="pl-PL"/>
        </w:rPr>
        <w:t xml:space="preserve"> </w:t>
      </w:r>
      <w:r w:rsidR="00240FD5">
        <w:rPr>
          <w:rFonts w:eastAsiaTheme="minorEastAsia" w:cs="Arial"/>
          <w:color w:val="000000" w:themeColor="text1"/>
          <w:szCs w:val="19"/>
          <w:lang w:eastAsia="pl-PL"/>
        </w:rPr>
        <w:t>i 0,6 mld zł z Funduszu Pomocy</w:t>
      </w:r>
      <w:r w:rsidR="00240FD5">
        <w:rPr>
          <w:rStyle w:val="Odwoanieprzypisudolnego"/>
          <w:rFonts w:eastAsiaTheme="minorEastAsia" w:cs="Arial"/>
          <w:color w:val="000000" w:themeColor="text1"/>
          <w:szCs w:val="19"/>
          <w:lang w:eastAsia="pl-PL"/>
        </w:rPr>
        <w:footnoteReference w:id="13"/>
      </w:r>
      <w:r w:rsidR="00240FD5">
        <w:rPr>
          <w:rFonts w:eastAsiaTheme="minorEastAsia" w:cs="Arial"/>
          <w:color w:val="000000" w:themeColor="text1"/>
          <w:szCs w:val="19"/>
          <w:lang w:eastAsia="pl-PL"/>
        </w:rPr>
        <w:t xml:space="preserve"> przekazanych NFZ), co stanowi 6,50</w:t>
      </w:r>
      <w:r w:rsidRPr="00671B3B">
        <w:rPr>
          <w:rFonts w:eastAsiaTheme="minorEastAsia" w:cs="Arial"/>
          <w:color w:val="000000" w:themeColor="text1"/>
          <w:szCs w:val="19"/>
          <w:lang w:eastAsia="pl-PL"/>
        </w:rPr>
        <w:t>% PKB (z roku N-2)</w:t>
      </w:r>
      <w:r w:rsidRPr="00671B3B">
        <w:rPr>
          <w:rFonts w:eastAsiaTheme="minorEastAsia" w:cs="Arial"/>
          <w:color w:val="000000" w:themeColor="text1"/>
          <w:szCs w:val="19"/>
          <w:vertAlign w:val="superscript"/>
          <w:lang w:eastAsia="pl-PL"/>
        </w:rPr>
        <w:footnoteReference w:id="14"/>
      </w:r>
      <w:r w:rsidRPr="00671B3B">
        <w:rPr>
          <w:rFonts w:eastAsiaTheme="minorEastAsia" w:cs="Arial"/>
          <w:color w:val="000000" w:themeColor="text1"/>
          <w:szCs w:val="19"/>
          <w:lang w:eastAsia="pl-PL"/>
        </w:rPr>
        <w:t>. Podkreślenia wymaga, że śro</w:t>
      </w:r>
      <w:r w:rsidR="00240FD5">
        <w:rPr>
          <w:rFonts w:eastAsiaTheme="minorEastAsia" w:cs="Arial"/>
          <w:color w:val="000000" w:themeColor="text1"/>
          <w:szCs w:val="19"/>
          <w:lang w:eastAsia="pl-PL"/>
        </w:rPr>
        <w:t xml:space="preserve">dki te w roku 2022 były o około 9,7 </w:t>
      </w:r>
      <w:r w:rsidRPr="00671B3B">
        <w:rPr>
          <w:rFonts w:eastAsiaTheme="minorEastAsia" w:cs="Arial"/>
          <w:szCs w:val="19"/>
          <w:lang w:eastAsia="pl-PL"/>
        </w:rPr>
        <w:t>mld zł wyższe (</w:t>
      </w:r>
      <w:r w:rsidR="00240FD5" w:rsidRPr="00240FD5">
        <w:rPr>
          <w:rFonts w:eastAsiaTheme="minorEastAsia" w:cs="Arial"/>
          <w:szCs w:val="19"/>
          <w:lang w:eastAsia="pl-PL"/>
        </w:rPr>
        <w:t>6,9</w:t>
      </w:r>
      <w:r w:rsidR="00A90DD5">
        <w:rPr>
          <w:rFonts w:eastAsiaTheme="minorEastAsia" w:cs="Arial"/>
          <w:szCs w:val="19"/>
          <w:lang w:eastAsia="pl-PL"/>
        </w:rPr>
        <w:t xml:space="preserve">%) </w:t>
      </w:r>
      <w:r w:rsidRPr="00671B3B">
        <w:rPr>
          <w:rFonts w:eastAsiaTheme="minorEastAsia" w:cs="Arial"/>
          <w:color w:val="000000" w:themeColor="text1"/>
          <w:szCs w:val="19"/>
          <w:lang w:eastAsia="pl-PL"/>
        </w:rPr>
        <w:t>od nakładów, przekazanych na ochronę zdrowia w 2021 r.</w:t>
      </w:r>
    </w:p>
    <w:p w14:paraId="5DB96D5B" w14:textId="12684F34" w:rsidR="007C56ED" w:rsidRPr="007C56ED" w:rsidRDefault="007C56ED" w:rsidP="0068081A">
      <w:pPr>
        <w:tabs>
          <w:tab w:val="left" w:pos="3464"/>
          <w:tab w:val="left" w:pos="5052"/>
          <w:tab w:val="left" w:pos="6640"/>
        </w:tabs>
        <w:spacing w:line="288" w:lineRule="auto"/>
        <w:ind w:left="868" w:hanging="862"/>
        <w:rPr>
          <w:b/>
          <w:bCs/>
        </w:rPr>
      </w:pPr>
      <w:r w:rsidRPr="007C56ED">
        <w:rPr>
          <w:b/>
          <w:bCs/>
        </w:rPr>
        <w:t>Tablica</w:t>
      </w:r>
      <w:r w:rsidR="0068081A">
        <w:rPr>
          <w:b/>
          <w:bCs/>
        </w:rPr>
        <w:t> </w:t>
      </w:r>
      <w:r w:rsidRPr="007C56ED">
        <w:rPr>
          <w:b/>
          <w:bCs/>
        </w:rPr>
        <w:t>2.</w:t>
      </w:r>
      <w:r w:rsidR="0068081A">
        <w:rPr>
          <w:b/>
          <w:bCs/>
        </w:rPr>
        <w:t> </w:t>
      </w:r>
      <w:r w:rsidRPr="007C56ED">
        <w:rPr>
          <w:b/>
          <w:bCs/>
        </w:rPr>
        <w:t>Nakłady publiczne na ochronę zdrowia i ich udział w PKB z roku N</w:t>
      </w:r>
      <w:r w:rsidRPr="007C56ED">
        <w:rPr>
          <w:b/>
          <w:bCs/>
          <w:vertAlign w:val="superscript"/>
        </w:rPr>
        <w:t>a</w:t>
      </w:r>
      <w:r w:rsidRPr="007C56ED">
        <w:rPr>
          <w:b/>
          <w:bCs/>
        </w:rPr>
        <w:t>,</w:t>
      </w:r>
      <w:r w:rsidR="00B42E13">
        <w:rPr>
          <w:b/>
          <w:bCs/>
        </w:rPr>
        <w:t xml:space="preserve"> </w:t>
      </w:r>
      <w:r w:rsidRPr="007C56ED">
        <w:rPr>
          <w:b/>
          <w:bCs/>
        </w:rPr>
        <w:t xml:space="preserve">tj. roku bieżącego i z roku N-2, tj. zgodnie z ustawą </w:t>
      </w:r>
    </w:p>
    <w:tbl>
      <w:tblPr>
        <w:tblStyle w:val="Tabela-Siatka2"/>
        <w:tblpPr w:vertAnchor="text" w:tblpY="1"/>
        <w:tblOverlap w:val="never"/>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Pr>
      <w:tblGrid>
        <w:gridCol w:w="567"/>
        <w:gridCol w:w="1191"/>
        <w:gridCol w:w="1503"/>
        <w:gridCol w:w="850"/>
        <w:gridCol w:w="1134"/>
        <w:gridCol w:w="1108"/>
        <w:gridCol w:w="851"/>
        <w:gridCol w:w="851"/>
      </w:tblGrid>
      <w:tr w:rsidR="007C56ED" w:rsidRPr="007C56ED" w14:paraId="6383F3F7" w14:textId="77777777" w:rsidTr="00224BA0">
        <w:tc>
          <w:tcPr>
            <w:tcW w:w="567" w:type="dxa"/>
            <w:vMerge w:val="restart"/>
            <w:vAlign w:val="center"/>
          </w:tcPr>
          <w:p w14:paraId="2DA521E3" w14:textId="77777777" w:rsidR="007C56ED" w:rsidRPr="007C56ED" w:rsidRDefault="007C56ED" w:rsidP="007C56ED">
            <w:pPr>
              <w:spacing w:line="288" w:lineRule="auto"/>
              <w:jc w:val="center"/>
              <w:rPr>
                <w:sz w:val="16"/>
                <w:szCs w:val="16"/>
              </w:rPr>
            </w:pPr>
            <w:r w:rsidRPr="007C56ED">
              <w:rPr>
                <w:sz w:val="16"/>
                <w:szCs w:val="16"/>
              </w:rPr>
              <w:t>Rok</w:t>
            </w:r>
          </w:p>
        </w:tc>
        <w:tc>
          <w:tcPr>
            <w:tcW w:w="1191" w:type="dxa"/>
            <w:tcBorders>
              <w:top w:val="nil"/>
              <w:bottom w:val="single" w:sz="4" w:space="0" w:color="001D77"/>
            </w:tcBorders>
            <w:vAlign w:val="center"/>
          </w:tcPr>
          <w:p w14:paraId="3311D589" w14:textId="77777777" w:rsidR="007C56ED" w:rsidRPr="007C56ED" w:rsidRDefault="007C56ED" w:rsidP="007C56ED">
            <w:pPr>
              <w:spacing w:line="288" w:lineRule="auto"/>
              <w:jc w:val="center"/>
              <w:rPr>
                <w:sz w:val="16"/>
                <w:szCs w:val="16"/>
              </w:rPr>
            </w:pPr>
            <w:r w:rsidRPr="007C56ED">
              <w:rPr>
                <w:sz w:val="16"/>
                <w:szCs w:val="16"/>
              </w:rPr>
              <w:t>PKB</w:t>
            </w:r>
            <w:r w:rsidRPr="007C56ED">
              <w:rPr>
                <w:sz w:val="16"/>
                <w:szCs w:val="16"/>
                <w:vertAlign w:val="superscript"/>
              </w:rPr>
              <w:t xml:space="preserve"> </w:t>
            </w:r>
            <w:r w:rsidRPr="007C56ED">
              <w:rPr>
                <w:sz w:val="16"/>
                <w:szCs w:val="16"/>
              </w:rPr>
              <w:t>N-2</w:t>
            </w:r>
            <w:r w:rsidRPr="007C56ED">
              <w:rPr>
                <w:sz w:val="16"/>
                <w:szCs w:val="16"/>
              </w:rPr>
              <w:br/>
              <w:t>zgodnie</w:t>
            </w:r>
            <w:r w:rsidRPr="007C56ED">
              <w:rPr>
                <w:sz w:val="16"/>
                <w:szCs w:val="16"/>
              </w:rPr>
              <w:br/>
              <w:t>z ustawą</w:t>
            </w:r>
            <w:r w:rsidRPr="007C56ED">
              <w:rPr>
                <w:sz w:val="16"/>
                <w:szCs w:val="16"/>
                <w:vertAlign w:val="superscript"/>
              </w:rPr>
              <w:t>b</w:t>
            </w:r>
          </w:p>
        </w:tc>
        <w:tc>
          <w:tcPr>
            <w:tcW w:w="1503" w:type="dxa"/>
            <w:tcBorders>
              <w:top w:val="nil"/>
              <w:bottom w:val="single" w:sz="4" w:space="0" w:color="001D77"/>
            </w:tcBorders>
            <w:vAlign w:val="center"/>
          </w:tcPr>
          <w:p w14:paraId="4E39BAF7" w14:textId="77777777" w:rsidR="007C56ED" w:rsidRPr="007C56ED" w:rsidRDefault="007C56ED" w:rsidP="007C56ED">
            <w:pPr>
              <w:spacing w:line="288" w:lineRule="auto"/>
              <w:jc w:val="center"/>
              <w:rPr>
                <w:sz w:val="16"/>
                <w:szCs w:val="16"/>
              </w:rPr>
            </w:pPr>
            <w:r w:rsidRPr="007C56ED">
              <w:rPr>
                <w:sz w:val="16"/>
                <w:szCs w:val="16"/>
              </w:rPr>
              <w:t xml:space="preserve">PKB </w:t>
            </w:r>
            <w:r w:rsidRPr="007C56ED">
              <w:rPr>
                <w:sz w:val="16"/>
                <w:szCs w:val="16"/>
              </w:rPr>
              <w:br/>
              <w:t>dla roku</w:t>
            </w:r>
            <w:r w:rsidRPr="007C56ED">
              <w:rPr>
                <w:sz w:val="16"/>
                <w:szCs w:val="16"/>
              </w:rPr>
              <w:br/>
              <w:t>bieżącego (N)</w:t>
            </w:r>
            <w:r w:rsidRPr="007C56ED">
              <w:rPr>
                <w:sz w:val="16"/>
                <w:szCs w:val="16"/>
                <w:vertAlign w:val="superscript"/>
              </w:rPr>
              <w:t>c</w:t>
            </w:r>
          </w:p>
        </w:tc>
        <w:tc>
          <w:tcPr>
            <w:tcW w:w="1984" w:type="dxa"/>
            <w:gridSpan w:val="2"/>
            <w:tcBorders>
              <w:top w:val="nil"/>
              <w:bottom w:val="single" w:sz="4" w:space="0" w:color="001D77"/>
            </w:tcBorders>
            <w:vAlign w:val="center"/>
          </w:tcPr>
          <w:p w14:paraId="17C6798A" w14:textId="77777777" w:rsidR="007C56ED" w:rsidRPr="007C56ED" w:rsidRDefault="007C56ED" w:rsidP="007C56ED">
            <w:pPr>
              <w:spacing w:line="288" w:lineRule="auto"/>
              <w:jc w:val="center"/>
              <w:rPr>
                <w:sz w:val="16"/>
                <w:szCs w:val="16"/>
              </w:rPr>
            </w:pPr>
            <w:r w:rsidRPr="007C56ED">
              <w:rPr>
                <w:sz w:val="16"/>
                <w:szCs w:val="16"/>
              </w:rPr>
              <w:t>Plan</w:t>
            </w:r>
            <w:r w:rsidRPr="007C56ED">
              <w:rPr>
                <w:sz w:val="16"/>
                <w:szCs w:val="16"/>
                <w:vertAlign w:val="superscript"/>
              </w:rPr>
              <w:t>b</w:t>
            </w:r>
          </w:p>
        </w:tc>
        <w:tc>
          <w:tcPr>
            <w:tcW w:w="2810" w:type="dxa"/>
            <w:gridSpan w:val="3"/>
            <w:tcBorders>
              <w:top w:val="nil"/>
              <w:bottom w:val="single" w:sz="4" w:space="0" w:color="001D77"/>
            </w:tcBorders>
            <w:vAlign w:val="center"/>
          </w:tcPr>
          <w:p w14:paraId="34315483" w14:textId="77777777" w:rsidR="007C56ED" w:rsidRPr="007C56ED" w:rsidRDefault="007C56ED" w:rsidP="007C56ED">
            <w:pPr>
              <w:spacing w:line="288" w:lineRule="auto"/>
              <w:jc w:val="center"/>
              <w:rPr>
                <w:sz w:val="16"/>
                <w:szCs w:val="16"/>
              </w:rPr>
            </w:pPr>
            <w:r w:rsidRPr="007C56ED">
              <w:rPr>
                <w:sz w:val="16"/>
                <w:szCs w:val="16"/>
              </w:rPr>
              <w:t>Wykonanie</w:t>
            </w:r>
          </w:p>
        </w:tc>
      </w:tr>
      <w:tr w:rsidR="007C56ED" w:rsidRPr="007C56ED" w14:paraId="383B9A11" w14:textId="77777777" w:rsidTr="00224BA0">
        <w:tc>
          <w:tcPr>
            <w:tcW w:w="567" w:type="dxa"/>
            <w:vMerge/>
            <w:tcBorders>
              <w:bottom w:val="single" w:sz="12" w:space="0" w:color="001D77"/>
            </w:tcBorders>
            <w:vAlign w:val="center"/>
          </w:tcPr>
          <w:p w14:paraId="5833246B" w14:textId="77777777" w:rsidR="007C56ED" w:rsidRPr="007C56ED" w:rsidRDefault="007C56ED" w:rsidP="007C56ED">
            <w:pPr>
              <w:spacing w:line="288" w:lineRule="auto"/>
              <w:jc w:val="center"/>
              <w:rPr>
                <w:sz w:val="16"/>
                <w:szCs w:val="16"/>
              </w:rPr>
            </w:pPr>
          </w:p>
        </w:tc>
        <w:tc>
          <w:tcPr>
            <w:tcW w:w="3544" w:type="dxa"/>
            <w:gridSpan w:val="3"/>
            <w:tcBorders>
              <w:top w:val="single" w:sz="4" w:space="0" w:color="001D77"/>
              <w:bottom w:val="single" w:sz="12" w:space="0" w:color="001D77"/>
            </w:tcBorders>
            <w:vAlign w:val="center"/>
          </w:tcPr>
          <w:p w14:paraId="3D0906F8" w14:textId="77777777" w:rsidR="007C56ED" w:rsidRPr="007C56ED" w:rsidRDefault="007C56ED" w:rsidP="007C56ED">
            <w:pPr>
              <w:spacing w:line="288" w:lineRule="auto"/>
              <w:jc w:val="center"/>
              <w:rPr>
                <w:sz w:val="16"/>
                <w:szCs w:val="16"/>
              </w:rPr>
            </w:pPr>
            <w:r w:rsidRPr="007C56ED">
              <w:rPr>
                <w:sz w:val="16"/>
                <w:szCs w:val="16"/>
              </w:rPr>
              <w:t>w mld zł</w:t>
            </w:r>
          </w:p>
        </w:tc>
        <w:tc>
          <w:tcPr>
            <w:tcW w:w="1134" w:type="dxa"/>
            <w:tcBorders>
              <w:top w:val="single" w:sz="4" w:space="0" w:color="001D77"/>
              <w:bottom w:val="single" w:sz="12" w:space="0" w:color="001D77"/>
            </w:tcBorders>
            <w:vAlign w:val="center"/>
          </w:tcPr>
          <w:p w14:paraId="1E5D39BA" w14:textId="77777777" w:rsidR="007C56ED" w:rsidRPr="007C56ED" w:rsidRDefault="007C56ED" w:rsidP="007C56ED">
            <w:pPr>
              <w:spacing w:line="288" w:lineRule="auto"/>
              <w:jc w:val="center"/>
              <w:rPr>
                <w:sz w:val="16"/>
                <w:szCs w:val="16"/>
              </w:rPr>
            </w:pPr>
            <w:r w:rsidRPr="007C56ED">
              <w:rPr>
                <w:sz w:val="16"/>
                <w:szCs w:val="16"/>
              </w:rPr>
              <w:t>% PKB</w:t>
            </w:r>
            <w:r w:rsidRPr="007C56ED">
              <w:rPr>
                <w:sz w:val="16"/>
                <w:szCs w:val="16"/>
              </w:rPr>
              <w:br/>
              <w:t>N-2</w:t>
            </w:r>
          </w:p>
        </w:tc>
        <w:tc>
          <w:tcPr>
            <w:tcW w:w="1108" w:type="dxa"/>
            <w:tcBorders>
              <w:top w:val="single" w:sz="4" w:space="0" w:color="001D77"/>
              <w:bottom w:val="single" w:sz="12" w:space="0" w:color="001D77"/>
            </w:tcBorders>
            <w:vAlign w:val="center"/>
          </w:tcPr>
          <w:p w14:paraId="797C620B" w14:textId="77777777" w:rsidR="007C56ED" w:rsidRPr="007C56ED" w:rsidRDefault="007C56ED" w:rsidP="007C56ED">
            <w:pPr>
              <w:spacing w:line="288" w:lineRule="auto"/>
              <w:jc w:val="center"/>
              <w:rPr>
                <w:sz w:val="16"/>
                <w:szCs w:val="16"/>
              </w:rPr>
            </w:pPr>
            <w:r w:rsidRPr="007C56ED">
              <w:rPr>
                <w:sz w:val="16"/>
                <w:szCs w:val="16"/>
              </w:rPr>
              <w:t>w mld</w:t>
            </w:r>
            <w:r w:rsidRPr="007C56ED">
              <w:rPr>
                <w:sz w:val="16"/>
                <w:szCs w:val="16"/>
              </w:rPr>
              <w:br/>
              <w:t>zł</w:t>
            </w:r>
          </w:p>
        </w:tc>
        <w:tc>
          <w:tcPr>
            <w:tcW w:w="851" w:type="dxa"/>
            <w:tcBorders>
              <w:top w:val="single" w:sz="4" w:space="0" w:color="001D77"/>
              <w:bottom w:val="single" w:sz="12" w:space="0" w:color="001D77"/>
            </w:tcBorders>
            <w:vAlign w:val="center"/>
          </w:tcPr>
          <w:p w14:paraId="33CA3928" w14:textId="77777777" w:rsidR="007C56ED" w:rsidRPr="007C56ED" w:rsidRDefault="007C56ED" w:rsidP="007C56ED">
            <w:pPr>
              <w:spacing w:line="288" w:lineRule="auto"/>
              <w:jc w:val="center"/>
              <w:rPr>
                <w:sz w:val="16"/>
                <w:szCs w:val="16"/>
              </w:rPr>
            </w:pPr>
            <w:r w:rsidRPr="007C56ED">
              <w:rPr>
                <w:sz w:val="16"/>
                <w:szCs w:val="16"/>
              </w:rPr>
              <w:t>% PKB</w:t>
            </w:r>
            <w:r w:rsidRPr="007C56ED">
              <w:rPr>
                <w:sz w:val="16"/>
                <w:szCs w:val="16"/>
              </w:rPr>
              <w:br/>
              <w:t>N-2</w:t>
            </w:r>
            <w:r w:rsidRPr="007C56ED">
              <w:rPr>
                <w:sz w:val="16"/>
                <w:szCs w:val="16"/>
                <w:vertAlign w:val="superscript"/>
              </w:rPr>
              <w:t>b</w:t>
            </w:r>
          </w:p>
        </w:tc>
        <w:tc>
          <w:tcPr>
            <w:tcW w:w="851" w:type="dxa"/>
            <w:tcBorders>
              <w:top w:val="single" w:sz="4" w:space="0" w:color="001D77"/>
              <w:bottom w:val="single" w:sz="12" w:space="0" w:color="001D77"/>
            </w:tcBorders>
            <w:vAlign w:val="center"/>
          </w:tcPr>
          <w:p w14:paraId="6FFF826E" w14:textId="77777777" w:rsidR="007C56ED" w:rsidRPr="007C56ED" w:rsidRDefault="007C56ED" w:rsidP="007C56ED">
            <w:pPr>
              <w:spacing w:line="288" w:lineRule="auto"/>
              <w:jc w:val="center"/>
              <w:rPr>
                <w:color w:val="A6A6A6" w:themeColor="background1" w:themeShade="A6"/>
                <w:sz w:val="16"/>
                <w:szCs w:val="16"/>
              </w:rPr>
            </w:pPr>
            <w:r w:rsidRPr="007C56ED">
              <w:rPr>
                <w:color w:val="808080" w:themeColor="background1" w:themeShade="80"/>
                <w:sz w:val="16"/>
                <w:szCs w:val="16"/>
              </w:rPr>
              <w:t>% PKB</w:t>
            </w:r>
            <w:r w:rsidRPr="007C56ED">
              <w:rPr>
                <w:color w:val="808080" w:themeColor="background1" w:themeShade="80"/>
                <w:sz w:val="16"/>
                <w:szCs w:val="16"/>
              </w:rPr>
              <w:br/>
              <w:t>N</w:t>
            </w:r>
            <w:r w:rsidRPr="007C56ED">
              <w:rPr>
                <w:color w:val="808080" w:themeColor="background1" w:themeShade="80"/>
                <w:sz w:val="16"/>
                <w:szCs w:val="16"/>
                <w:vertAlign w:val="superscript"/>
              </w:rPr>
              <w:t>c</w:t>
            </w:r>
          </w:p>
        </w:tc>
      </w:tr>
      <w:tr w:rsidR="007C56ED" w:rsidRPr="007C56ED" w14:paraId="5DC790C6" w14:textId="77777777" w:rsidTr="00224BA0">
        <w:tc>
          <w:tcPr>
            <w:tcW w:w="567" w:type="dxa"/>
            <w:tcBorders>
              <w:top w:val="single" w:sz="4" w:space="0" w:color="001D77"/>
            </w:tcBorders>
          </w:tcPr>
          <w:p w14:paraId="61924B6D" w14:textId="77777777" w:rsidR="007C56ED" w:rsidRPr="007C56ED" w:rsidRDefault="007C56ED" w:rsidP="007C56ED">
            <w:pPr>
              <w:spacing w:line="288" w:lineRule="auto"/>
              <w:ind w:left="57"/>
              <w:rPr>
                <w:sz w:val="16"/>
                <w:szCs w:val="16"/>
              </w:rPr>
            </w:pPr>
            <w:r w:rsidRPr="007C56ED">
              <w:rPr>
                <w:sz w:val="16"/>
                <w:szCs w:val="16"/>
              </w:rPr>
              <w:t>2021</w:t>
            </w:r>
          </w:p>
        </w:tc>
        <w:tc>
          <w:tcPr>
            <w:tcW w:w="1191" w:type="dxa"/>
            <w:tcBorders>
              <w:top w:val="single" w:sz="4" w:space="0" w:color="001D77"/>
            </w:tcBorders>
            <w:vAlign w:val="bottom"/>
          </w:tcPr>
          <w:p w14:paraId="446478DA" w14:textId="77777777" w:rsidR="007C56ED" w:rsidRPr="007C56ED" w:rsidRDefault="007C56ED" w:rsidP="007C56ED">
            <w:pPr>
              <w:spacing w:line="288" w:lineRule="auto"/>
              <w:ind w:right="57"/>
              <w:jc w:val="right"/>
              <w:rPr>
                <w:sz w:val="16"/>
                <w:szCs w:val="16"/>
              </w:rPr>
            </w:pPr>
            <w:r w:rsidRPr="007C56ED">
              <w:rPr>
                <w:sz w:val="16"/>
                <w:szCs w:val="16"/>
              </w:rPr>
              <w:t>2 273,6</w:t>
            </w:r>
          </w:p>
        </w:tc>
        <w:tc>
          <w:tcPr>
            <w:tcW w:w="1503" w:type="dxa"/>
            <w:tcBorders>
              <w:top w:val="single" w:sz="4" w:space="0" w:color="001D77"/>
            </w:tcBorders>
            <w:vAlign w:val="bottom"/>
          </w:tcPr>
          <w:p w14:paraId="5D7D1E62" w14:textId="77777777" w:rsidR="007C56ED" w:rsidRPr="007C56ED" w:rsidRDefault="007C56ED" w:rsidP="007C56ED">
            <w:pPr>
              <w:spacing w:line="288" w:lineRule="auto"/>
              <w:ind w:right="57"/>
              <w:jc w:val="right"/>
              <w:rPr>
                <w:sz w:val="16"/>
                <w:szCs w:val="16"/>
              </w:rPr>
            </w:pPr>
            <w:r w:rsidRPr="007C56ED">
              <w:rPr>
                <w:sz w:val="16"/>
                <w:szCs w:val="16"/>
              </w:rPr>
              <w:t>2 622,2</w:t>
            </w:r>
          </w:p>
        </w:tc>
        <w:tc>
          <w:tcPr>
            <w:tcW w:w="850" w:type="dxa"/>
            <w:tcBorders>
              <w:top w:val="single" w:sz="4" w:space="0" w:color="001D77"/>
            </w:tcBorders>
            <w:vAlign w:val="bottom"/>
          </w:tcPr>
          <w:p w14:paraId="2403719E" w14:textId="77777777" w:rsidR="007C56ED" w:rsidRPr="007C56ED" w:rsidRDefault="007C56ED" w:rsidP="007C56ED">
            <w:pPr>
              <w:spacing w:line="288" w:lineRule="auto"/>
              <w:ind w:right="57"/>
              <w:jc w:val="right"/>
              <w:rPr>
                <w:sz w:val="16"/>
                <w:szCs w:val="16"/>
              </w:rPr>
            </w:pPr>
            <w:r w:rsidRPr="007C56ED">
              <w:rPr>
                <w:sz w:val="16"/>
                <w:szCs w:val="16"/>
              </w:rPr>
              <w:t>120,5</w:t>
            </w:r>
          </w:p>
        </w:tc>
        <w:tc>
          <w:tcPr>
            <w:tcW w:w="1134" w:type="dxa"/>
            <w:tcBorders>
              <w:top w:val="single" w:sz="4" w:space="0" w:color="001D77"/>
            </w:tcBorders>
            <w:vAlign w:val="bottom"/>
          </w:tcPr>
          <w:p w14:paraId="332A6FF9" w14:textId="77777777" w:rsidR="007C56ED" w:rsidRPr="007C56ED" w:rsidRDefault="007C56ED" w:rsidP="007C56ED">
            <w:pPr>
              <w:spacing w:line="288" w:lineRule="auto"/>
              <w:ind w:right="57"/>
              <w:jc w:val="right"/>
              <w:rPr>
                <w:sz w:val="16"/>
                <w:szCs w:val="16"/>
              </w:rPr>
            </w:pPr>
            <w:r w:rsidRPr="007C56ED">
              <w:rPr>
                <w:sz w:val="16"/>
                <w:szCs w:val="16"/>
              </w:rPr>
              <w:t>5,30</w:t>
            </w:r>
          </w:p>
        </w:tc>
        <w:tc>
          <w:tcPr>
            <w:tcW w:w="1108" w:type="dxa"/>
            <w:tcBorders>
              <w:top w:val="single" w:sz="4" w:space="0" w:color="001D77"/>
            </w:tcBorders>
            <w:vAlign w:val="bottom"/>
          </w:tcPr>
          <w:p w14:paraId="7E16786C" w14:textId="77777777" w:rsidR="007C56ED" w:rsidRPr="007C56ED" w:rsidRDefault="007C56ED" w:rsidP="007C56ED">
            <w:pPr>
              <w:spacing w:line="288" w:lineRule="auto"/>
              <w:ind w:right="57"/>
              <w:jc w:val="right"/>
              <w:rPr>
                <w:sz w:val="16"/>
                <w:szCs w:val="16"/>
              </w:rPr>
            </w:pPr>
            <w:r w:rsidRPr="007C56ED">
              <w:rPr>
                <w:sz w:val="16"/>
                <w:szCs w:val="16"/>
              </w:rPr>
              <w:t>141,3</w:t>
            </w:r>
          </w:p>
        </w:tc>
        <w:tc>
          <w:tcPr>
            <w:tcW w:w="851" w:type="dxa"/>
            <w:tcBorders>
              <w:top w:val="single" w:sz="4" w:space="0" w:color="001D77"/>
            </w:tcBorders>
            <w:vAlign w:val="bottom"/>
          </w:tcPr>
          <w:p w14:paraId="3F16C6B0" w14:textId="77777777" w:rsidR="007C56ED" w:rsidRPr="007C56ED" w:rsidRDefault="007C56ED" w:rsidP="007C56ED">
            <w:pPr>
              <w:spacing w:line="288" w:lineRule="auto"/>
              <w:ind w:right="57"/>
              <w:jc w:val="right"/>
              <w:rPr>
                <w:sz w:val="16"/>
                <w:szCs w:val="16"/>
              </w:rPr>
            </w:pPr>
            <w:r w:rsidRPr="007C56ED">
              <w:rPr>
                <w:sz w:val="16"/>
                <w:szCs w:val="16"/>
              </w:rPr>
              <w:t>6,22</w:t>
            </w:r>
          </w:p>
        </w:tc>
        <w:tc>
          <w:tcPr>
            <w:tcW w:w="851" w:type="dxa"/>
            <w:tcBorders>
              <w:top w:val="single" w:sz="4" w:space="0" w:color="001D77"/>
            </w:tcBorders>
            <w:vAlign w:val="bottom"/>
          </w:tcPr>
          <w:p w14:paraId="67D126BA" w14:textId="77777777" w:rsidR="007C56ED" w:rsidRPr="007C56ED" w:rsidRDefault="007C56ED" w:rsidP="007C56ED">
            <w:pPr>
              <w:spacing w:line="288" w:lineRule="auto"/>
              <w:ind w:right="57"/>
              <w:jc w:val="right"/>
              <w:rPr>
                <w:color w:val="A6A6A6" w:themeColor="background1" w:themeShade="A6"/>
                <w:sz w:val="16"/>
                <w:szCs w:val="16"/>
              </w:rPr>
            </w:pPr>
            <w:r w:rsidRPr="007C56ED">
              <w:rPr>
                <w:color w:val="A6A6A6" w:themeColor="background1" w:themeShade="A6"/>
                <w:sz w:val="16"/>
                <w:szCs w:val="16"/>
              </w:rPr>
              <w:t>5,39</w:t>
            </w:r>
          </w:p>
        </w:tc>
      </w:tr>
      <w:tr w:rsidR="007C56ED" w:rsidRPr="007C56ED" w14:paraId="3487A25F" w14:textId="77777777" w:rsidTr="00224BA0">
        <w:tc>
          <w:tcPr>
            <w:tcW w:w="567" w:type="dxa"/>
            <w:tcBorders>
              <w:top w:val="single" w:sz="4" w:space="0" w:color="001D77"/>
            </w:tcBorders>
          </w:tcPr>
          <w:p w14:paraId="4C09E8A6" w14:textId="77777777" w:rsidR="007C56ED" w:rsidRPr="007C56ED" w:rsidRDefault="007C56ED" w:rsidP="007C56ED">
            <w:pPr>
              <w:spacing w:line="288" w:lineRule="auto"/>
              <w:ind w:left="57"/>
              <w:rPr>
                <w:sz w:val="16"/>
                <w:szCs w:val="16"/>
              </w:rPr>
            </w:pPr>
            <w:r w:rsidRPr="00240FD5">
              <w:rPr>
                <w:sz w:val="16"/>
                <w:szCs w:val="16"/>
              </w:rPr>
              <w:t>2022</w:t>
            </w:r>
          </w:p>
        </w:tc>
        <w:tc>
          <w:tcPr>
            <w:tcW w:w="1191" w:type="dxa"/>
            <w:tcBorders>
              <w:top w:val="single" w:sz="4" w:space="0" w:color="001D77"/>
            </w:tcBorders>
            <w:vAlign w:val="bottom"/>
          </w:tcPr>
          <w:p w14:paraId="332F17A6" w14:textId="4AE6A366" w:rsidR="007C56ED" w:rsidRPr="007C56ED" w:rsidRDefault="00240FD5" w:rsidP="007C56ED">
            <w:pPr>
              <w:spacing w:line="288" w:lineRule="auto"/>
              <w:ind w:right="57"/>
              <w:jc w:val="right"/>
              <w:rPr>
                <w:sz w:val="16"/>
                <w:szCs w:val="16"/>
              </w:rPr>
            </w:pPr>
            <w:r>
              <w:rPr>
                <w:sz w:val="16"/>
                <w:szCs w:val="16"/>
              </w:rPr>
              <w:t>2 323,9</w:t>
            </w:r>
          </w:p>
        </w:tc>
        <w:tc>
          <w:tcPr>
            <w:tcW w:w="1503" w:type="dxa"/>
            <w:tcBorders>
              <w:top w:val="single" w:sz="4" w:space="0" w:color="001D77"/>
            </w:tcBorders>
            <w:vAlign w:val="bottom"/>
          </w:tcPr>
          <w:p w14:paraId="30AB11FF" w14:textId="173DAC57" w:rsidR="007C56ED" w:rsidRPr="007C56ED" w:rsidRDefault="00240FD5" w:rsidP="007C56ED">
            <w:pPr>
              <w:spacing w:line="288" w:lineRule="auto"/>
              <w:ind w:right="57"/>
              <w:jc w:val="right"/>
              <w:rPr>
                <w:sz w:val="16"/>
                <w:szCs w:val="16"/>
              </w:rPr>
            </w:pPr>
            <w:r>
              <w:rPr>
                <w:sz w:val="16"/>
                <w:szCs w:val="16"/>
              </w:rPr>
              <w:t>3 078,3</w:t>
            </w:r>
          </w:p>
        </w:tc>
        <w:tc>
          <w:tcPr>
            <w:tcW w:w="850" w:type="dxa"/>
            <w:tcBorders>
              <w:top w:val="single" w:sz="4" w:space="0" w:color="001D77"/>
            </w:tcBorders>
            <w:vAlign w:val="bottom"/>
          </w:tcPr>
          <w:p w14:paraId="2DDE438C" w14:textId="340932A3" w:rsidR="007C56ED" w:rsidRPr="007C56ED" w:rsidRDefault="00240FD5" w:rsidP="007C56ED">
            <w:pPr>
              <w:spacing w:line="288" w:lineRule="auto"/>
              <w:ind w:right="57"/>
              <w:jc w:val="right"/>
              <w:rPr>
                <w:sz w:val="16"/>
                <w:szCs w:val="16"/>
              </w:rPr>
            </w:pPr>
            <w:r>
              <w:rPr>
                <w:sz w:val="16"/>
                <w:szCs w:val="16"/>
              </w:rPr>
              <w:t>133,6</w:t>
            </w:r>
          </w:p>
        </w:tc>
        <w:tc>
          <w:tcPr>
            <w:tcW w:w="1134" w:type="dxa"/>
            <w:tcBorders>
              <w:top w:val="single" w:sz="4" w:space="0" w:color="001D77"/>
            </w:tcBorders>
            <w:vAlign w:val="bottom"/>
          </w:tcPr>
          <w:p w14:paraId="42D21884" w14:textId="5FE8776C" w:rsidR="007C56ED" w:rsidRPr="007C56ED" w:rsidRDefault="00240FD5" w:rsidP="007C56ED">
            <w:pPr>
              <w:spacing w:line="288" w:lineRule="auto"/>
              <w:ind w:right="57"/>
              <w:jc w:val="right"/>
              <w:rPr>
                <w:sz w:val="16"/>
                <w:szCs w:val="16"/>
              </w:rPr>
            </w:pPr>
            <w:r>
              <w:rPr>
                <w:sz w:val="16"/>
                <w:szCs w:val="16"/>
              </w:rPr>
              <w:t>5,75</w:t>
            </w:r>
          </w:p>
        </w:tc>
        <w:tc>
          <w:tcPr>
            <w:tcW w:w="1108" w:type="dxa"/>
            <w:tcBorders>
              <w:top w:val="single" w:sz="4" w:space="0" w:color="001D77"/>
            </w:tcBorders>
            <w:vAlign w:val="bottom"/>
          </w:tcPr>
          <w:p w14:paraId="110364CF" w14:textId="743A4CC3" w:rsidR="007C56ED" w:rsidRPr="007C56ED" w:rsidRDefault="00240FD5" w:rsidP="007C56ED">
            <w:pPr>
              <w:spacing w:line="288" w:lineRule="auto"/>
              <w:ind w:right="57"/>
              <w:jc w:val="right"/>
              <w:rPr>
                <w:sz w:val="16"/>
                <w:szCs w:val="16"/>
              </w:rPr>
            </w:pPr>
            <w:r>
              <w:rPr>
                <w:sz w:val="16"/>
                <w:szCs w:val="16"/>
              </w:rPr>
              <w:t>151,0</w:t>
            </w:r>
          </w:p>
        </w:tc>
        <w:tc>
          <w:tcPr>
            <w:tcW w:w="851" w:type="dxa"/>
            <w:tcBorders>
              <w:top w:val="single" w:sz="4" w:space="0" w:color="001D77"/>
            </w:tcBorders>
            <w:vAlign w:val="bottom"/>
          </w:tcPr>
          <w:p w14:paraId="4A3F1F68" w14:textId="7B9FCF92" w:rsidR="007C56ED" w:rsidRPr="007C56ED" w:rsidRDefault="00240FD5" w:rsidP="007C56ED">
            <w:pPr>
              <w:spacing w:line="288" w:lineRule="auto"/>
              <w:ind w:right="57"/>
              <w:jc w:val="right"/>
              <w:rPr>
                <w:sz w:val="16"/>
                <w:szCs w:val="16"/>
              </w:rPr>
            </w:pPr>
            <w:r>
              <w:rPr>
                <w:sz w:val="16"/>
                <w:szCs w:val="16"/>
              </w:rPr>
              <w:t>6,50</w:t>
            </w:r>
          </w:p>
        </w:tc>
        <w:tc>
          <w:tcPr>
            <w:tcW w:w="851" w:type="dxa"/>
            <w:tcBorders>
              <w:top w:val="single" w:sz="4" w:space="0" w:color="001D77"/>
            </w:tcBorders>
            <w:vAlign w:val="bottom"/>
          </w:tcPr>
          <w:p w14:paraId="72A4BA2F" w14:textId="3CEB0242" w:rsidR="007C56ED" w:rsidRPr="007C56ED" w:rsidRDefault="00240FD5" w:rsidP="007C56ED">
            <w:pPr>
              <w:spacing w:line="288" w:lineRule="auto"/>
              <w:ind w:right="57"/>
              <w:jc w:val="right"/>
              <w:rPr>
                <w:color w:val="A6A6A6" w:themeColor="background1" w:themeShade="A6"/>
                <w:sz w:val="16"/>
                <w:szCs w:val="16"/>
              </w:rPr>
            </w:pPr>
            <w:r>
              <w:rPr>
                <w:color w:val="A6A6A6" w:themeColor="background1" w:themeShade="A6"/>
                <w:sz w:val="16"/>
                <w:szCs w:val="16"/>
              </w:rPr>
              <w:t>4,91</w:t>
            </w:r>
          </w:p>
        </w:tc>
      </w:tr>
    </w:tbl>
    <w:p w14:paraId="526CF5BF" w14:textId="77777777" w:rsidR="007C56ED" w:rsidRPr="007C56ED" w:rsidRDefault="007C56ED" w:rsidP="007C56ED">
      <w:pPr>
        <w:spacing w:line="288" w:lineRule="auto"/>
        <w:contextualSpacing/>
        <w:rPr>
          <w:sz w:val="16"/>
          <w:szCs w:val="16"/>
          <w:vertAlign w:val="superscript"/>
        </w:rPr>
      </w:pPr>
    </w:p>
    <w:p w14:paraId="391C750E" w14:textId="77777777" w:rsidR="007C56ED" w:rsidRPr="007C56ED" w:rsidRDefault="007C56ED" w:rsidP="007C56ED">
      <w:pPr>
        <w:spacing w:line="288" w:lineRule="auto"/>
        <w:contextualSpacing/>
        <w:rPr>
          <w:sz w:val="16"/>
          <w:szCs w:val="16"/>
        </w:rPr>
      </w:pPr>
      <w:r w:rsidRPr="007C56ED">
        <w:rPr>
          <w:sz w:val="16"/>
          <w:szCs w:val="16"/>
          <w:vertAlign w:val="superscript"/>
        </w:rPr>
        <w:t xml:space="preserve">a </w:t>
      </w:r>
      <w:r w:rsidRPr="007C56ED">
        <w:rPr>
          <w:sz w:val="16"/>
          <w:szCs w:val="16"/>
        </w:rPr>
        <w:t>Literą N oznaczono rok, którego dotyczą dane o nakładach na zdrowie (Plan i Wykonanie).</w:t>
      </w:r>
    </w:p>
    <w:p w14:paraId="13C37DAB" w14:textId="77777777" w:rsidR="007C56ED" w:rsidRPr="007C56ED" w:rsidRDefault="007C56ED" w:rsidP="007C56ED">
      <w:pPr>
        <w:spacing w:line="288" w:lineRule="auto"/>
        <w:contextualSpacing/>
        <w:rPr>
          <w:rFonts w:eastAsiaTheme="minorEastAsia" w:cs="Arial"/>
          <w:color w:val="000000" w:themeColor="text1"/>
          <w:sz w:val="16"/>
          <w:szCs w:val="16"/>
        </w:rPr>
      </w:pPr>
      <w:r w:rsidRPr="007C56ED">
        <w:rPr>
          <w:rFonts w:eastAsiaTheme="minorEastAsia" w:cs="Arial"/>
          <w:color w:val="000000" w:themeColor="text1"/>
          <w:sz w:val="16"/>
          <w:szCs w:val="16"/>
          <w:vertAlign w:val="superscript"/>
          <w:lang w:eastAsia="pl-PL"/>
        </w:rPr>
        <w:t>b</w:t>
      </w:r>
      <w:r w:rsidRPr="007C56ED">
        <w:rPr>
          <w:rFonts w:eastAsiaTheme="minorEastAsia" w:cs="Arial"/>
          <w:color w:val="000000" w:themeColor="text1"/>
          <w:sz w:val="16"/>
          <w:szCs w:val="16"/>
          <w:lang w:eastAsia="pl-PL"/>
        </w:rPr>
        <w:t xml:space="preserve"> Zgodnie z art. 131c ust. 2 ustawy o świadczeniach opieki zdrowotnej finansowanych ze środków publicznych, </w:t>
      </w:r>
      <w:r w:rsidRPr="007C56ED">
        <w:rPr>
          <w:rFonts w:eastAsiaTheme="minorEastAsia" w:cs="Arial"/>
          <w:color w:val="000000" w:themeColor="text1"/>
          <w:sz w:val="16"/>
          <w:szCs w:val="16"/>
        </w:rPr>
        <w:t>dla wydatków za 2021 r. punktem odniesienia jest PKB z 2019 r., a dla 2022 r. – z roku 2020.</w:t>
      </w:r>
    </w:p>
    <w:p w14:paraId="4DB8CBF5" w14:textId="6C838566" w:rsidR="007C56ED" w:rsidRPr="007C56ED" w:rsidRDefault="007C56ED" w:rsidP="007C56ED">
      <w:pPr>
        <w:spacing w:line="288" w:lineRule="auto"/>
        <w:contextualSpacing/>
        <w:rPr>
          <w:rFonts w:cs="Arial"/>
          <w:color w:val="000000" w:themeColor="text1"/>
          <w:sz w:val="16"/>
          <w:szCs w:val="16"/>
        </w:rPr>
      </w:pPr>
      <w:r w:rsidRPr="007C56ED">
        <w:rPr>
          <w:sz w:val="16"/>
          <w:szCs w:val="16"/>
          <w:vertAlign w:val="superscript"/>
        </w:rPr>
        <w:t>c</w:t>
      </w:r>
      <w:r w:rsidRPr="007C56ED">
        <w:rPr>
          <w:sz w:val="16"/>
          <w:szCs w:val="16"/>
        </w:rPr>
        <w:t xml:space="preserve"> Według aktualnych danych PKB.</w:t>
      </w:r>
      <w:r w:rsidRPr="007C56ED">
        <w:rPr>
          <w:rFonts w:cs="Arial"/>
          <w:color w:val="000000" w:themeColor="text1"/>
          <w:sz w:val="16"/>
          <w:szCs w:val="16"/>
        </w:rPr>
        <w:t xml:space="preserve"> Źródło: GUS dane o PKB d</w:t>
      </w:r>
      <w:r w:rsidR="00A90DD5">
        <w:rPr>
          <w:rFonts w:cs="Arial"/>
          <w:color w:val="000000" w:themeColor="text1"/>
          <w:sz w:val="16"/>
          <w:szCs w:val="16"/>
        </w:rPr>
        <w:t xml:space="preserve">ostępne na stronie: </w:t>
      </w:r>
      <w:hyperlink r:id="rId16" w:history="1">
        <w:r w:rsidRPr="007C56ED">
          <w:rPr>
            <w:rFonts w:cs="Arial"/>
            <w:color w:val="0000FF"/>
            <w:sz w:val="16"/>
            <w:szCs w:val="16"/>
            <w:u w:val="single"/>
          </w:rPr>
          <w:t>https://stat.gov.pl/wskazniki-makroekonomiczne/</w:t>
        </w:r>
      </w:hyperlink>
      <w:r w:rsidRPr="007C56ED">
        <w:rPr>
          <w:rFonts w:cs="Arial"/>
          <w:color w:val="000000" w:themeColor="text1"/>
          <w:sz w:val="16"/>
          <w:szCs w:val="16"/>
        </w:rPr>
        <w:t xml:space="preserve"> </w:t>
      </w:r>
      <w:r w:rsidRPr="007C56ED">
        <w:rPr>
          <w:rFonts w:eastAsiaTheme="minorEastAsia" w:cs="Arial"/>
          <w:color w:val="000000" w:themeColor="text1"/>
          <w:sz w:val="16"/>
          <w:szCs w:val="16"/>
        </w:rPr>
        <w:t>–</w:t>
      </w:r>
      <w:r w:rsidRPr="007C56ED">
        <w:rPr>
          <w:rFonts w:cs="Arial"/>
          <w:color w:val="000000" w:themeColor="text1"/>
          <w:sz w:val="16"/>
          <w:szCs w:val="16"/>
        </w:rPr>
        <w:t xml:space="preserve"> aktualizacja 20.04.2023 r.</w:t>
      </w:r>
    </w:p>
    <w:p w14:paraId="40A76197" w14:textId="77777777" w:rsidR="007C56ED" w:rsidRPr="007C56ED" w:rsidRDefault="007C56ED" w:rsidP="007C56ED">
      <w:pPr>
        <w:shd w:val="clear" w:color="auto" w:fill="FFFFFF" w:themeFill="background1"/>
        <w:spacing w:line="288" w:lineRule="auto"/>
        <w:rPr>
          <w:rFonts w:ascii="Fira Sans SemiBold" w:eastAsia="Times New Roman" w:hAnsi="Fira Sans SemiBold" w:cs="Times New Roman"/>
          <w:bCs/>
          <w:color w:val="001D77"/>
          <w:szCs w:val="24"/>
          <w:lang w:eastAsia="pl-PL"/>
        </w:rPr>
      </w:pPr>
      <w:r w:rsidRPr="007C56ED">
        <w:rPr>
          <w:rFonts w:ascii="Fira Sans SemiBold" w:eastAsia="Times New Roman" w:hAnsi="Fira Sans SemiBold" w:cs="Times New Roman"/>
          <w:bCs/>
          <w:color w:val="001D77"/>
          <w:szCs w:val="24"/>
          <w:lang w:eastAsia="pl-PL"/>
        </w:rPr>
        <w:t xml:space="preserve">Struktura wydatków wynikających z ustawy </w:t>
      </w:r>
    </w:p>
    <w:p w14:paraId="7057AC27"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 xml:space="preserve">Zestawienie nakładów na ochronę zdrowia wg kategorii wynikających z </w:t>
      </w:r>
      <w:r w:rsidRPr="007C56ED">
        <w:rPr>
          <w:rFonts w:eastAsiaTheme="minorEastAsia" w:cs="Arial"/>
          <w:iCs/>
          <w:color w:val="000000" w:themeColor="text1"/>
          <w:szCs w:val="19"/>
          <w:lang w:eastAsia="pl-PL"/>
        </w:rPr>
        <w:t>ustawy</w:t>
      </w:r>
      <w:r w:rsidRPr="007C56ED">
        <w:rPr>
          <w:rFonts w:eastAsiaTheme="minorEastAsia" w:cs="Arial"/>
          <w:color w:val="000000" w:themeColor="text1"/>
          <w:szCs w:val="19"/>
          <w:lang w:eastAsia="pl-PL"/>
        </w:rPr>
        <w:t xml:space="preserve"> zostało przedstawione w Tablicy 3.</w:t>
      </w:r>
    </w:p>
    <w:p w14:paraId="6E744D40" w14:textId="77777777" w:rsidR="007C56ED" w:rsidRPr="007C56ED" w:rsidRDefault="007C56ED" w:rsidP="007C56ED">
      <w:pPr>
        <w:spacing w:line="288" w:lineRule="auto"/>
        <w:rPr>
          <w:rFonts w:eastAsiaTheme="minorEastAsia" w:cs="Arial"/>
          <w:color w:val="000000" w:themeColor="text1"/>
          <w:szCs w:val="19"/>
          <w:lang w:eastAsia="pl-PL"/>
        </w:rPr>
      </w:pPr>
    </w:p>
    <w:p w14:paraId="7EC47E77" w14:textId="77777777" w:rsidR="007C56ED" w:rsidRPr="007C56ED" w:rsidRDefault="007C56ED" w:rsidP="007C56ED">
      <w:pPr>
        <w:spacing w:before="100" w:beforeAutospacing="1" w:after="100" w:afterAutospacing="1" w:line="240" w:lineRule="auto"/>
        <w:rPr>
          <w:rFonts w:eastAsiaTheme="minorEastAsia" w:cs="Arial"/>
          <w:b/>
          <w:color w:val="000000" w:themeColor="text1"/>
          <w:sz w:val="18"/>
          <w:szCs w:val="18"/>
          <w:lang w:eastAsia="pl-PL"/>
        </w:rPr>
      </w:pPr>
      <w:r w:rsidRPr="007C56ED">
        <w:rPr>
          <w:rFonts w:eastAsiaTheme="minorEastAsia" w:cs="Arial"/>
          <w:b/>
          <w:color w:val="000000" w:themeColor="text1"/>
          <w:sz w:val="18"/>
          <w:szCs w:val="18"/>
          <w:lang w:eastAsia="pl-PL"/>
        </w:rPr>
        <w:t>Tablica 3. Struktura nakładów na ochronę zdrowia wg kategorii wynikających z ustawy</w:t>
      </w:r>
    </w:p>
    <w:tbl>
      <w:tblPr>
        <w:tblStyle w:val="Tabela-Siatka2"/>
        <w:tblW w:w="80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Pr>
      <w:tblGrid>
        <w:gridCol w:w="339"/>
        <w:gridCol w:w="3289"/>
        <w:gridCol w:w="850"/>
        <w:gridCol w:w="850"/>
        <w:gridCol w:w="626"/>
        <w:gridCol w:w="678"/>
        <w:gridCol w:w="850"/>
        <w:gridCol w:w="455"/>
        <w:gridCol w:w="99"/>
      </w:tblGrid>
      <w:tr w:rsidR="007C56ED" w:rsidRPr="007C56ED" w14:paraId="60514E6B" w14:textId="77777777" w:rsidTr="00224BA0">
        <w:trPr>
          <w:gridAfter w:val="1"/>
          <w:wAfter w:w="99" w:type="dxa"/>
        </w:trPr>
        <w:tc>
          <w:tcPr>
            <w:tcW w:w="339" w:type="dxa"/>
            <w:vMerge w:val="restart"/>
            <w:tcBorders>
              <w:right w:val="single" w:sz="12" w:space="0" w:color="001D77"/>
            </w:tcBorders>
            <w:vAlign w:val="center"/>
          </w:tcPr>
          <w:p w14:paraId="5334A2ED"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Lp.</w:t>
            </w:r>
          </w:p>
        </w:tc>
        <w:tc>
          <w:tcPr>
            <w:tcW w:w="3289" w:type="dxa"/>
            <w:vMerge w:val="restart"/>
            <w:tcBorders>
              <w:top w:val="nil"/>
              <w:left w:val="single" w:sz="12" w:space="0" w:color="001D77"/>
              <w:bottom w:val="single" w:sz="12" w:space="0" w:color="001D77"/>
              <w:right w:val="single" w:sz="12" w:space="0" w:color="001D77"/>
            </w:tcBorders>
            <w:vAlign w:val="center"/>
          </w:tcPr>
          <w:p w14:paraId="255B3624"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Kategorie wg ustawy</w:t>
            </w:r>
          </w:p>
        </w:tc>
        <w:tc>
          <w:tcPr>
            <w:tcW w:w="2326" w:type="dxa"/>
            <w:gridSpan w:val="3"/>
            <w:tcBorders>
              <w:left w:val="single" w:sz="12" w:space="0" w:color="001D77"/>
              <w:bottom w:val="single" w:sz="4" w:space="0" w:color="001D77"/>
              <w:right w:val="single" w:sz="12" w:space="0" w:color="001D77"/>
            </w:tcBorders>
          </w:tcPr>
          <w:p w14:paraId="3738C6F7"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2021</w:t>
            </w:r>
          </w:p>
        </w:tc>
        <w:tc>
          <w:tcPr>
            <w:tcW w:w="1983" w:type="dxa"/>
            <w:gridSpan w:val="3"/>
            <w:tcBorders>
              <w:top w:val="nil"/>
              <w:left w:val="single" w:sz="12" w:space="0" w:color="001D77"/>
              <w:bottom w:val="single" w:sz="4" w:space="0" w:color="001D77"/>
            </w:tcBorders>
            <w:vAlign w:val="center"/>
          </w:tcPr>
          <w:p w14:paraId="1835BAF0" w14:textId="77777777" w:rsidR="007C56ED" w:rsidRPr="007C56ED" w:rsidRDefault="007C56ED" w:rsidP="007C56ED">
            <w:pPr>
              <w:spacing w:before="100" w:beforeAutospacing="1" w:after="100" w:afterAutospacing="1" w:line="240" w:lineRule="auto"/>
              <w:ind w:right="-28"/>
              <w:jc w:val="center"/>
              <w:rPr>
                <w:sz w:val="16"/>
                <w:szCs w:val="16"/>
              </w:rPr>
            </w:pPr>
            <w:r w:rsidRPr="007C56ED">
              <w:rPr>
                <w:sz w:val="16"/>
                <w:szCs w:val="16"/>
              </w:rPr>
              <w:t>2022</w:t>
            </w:r>
          </w:p>
        </w:tc>
      </w:tr>
      <w:tr w:rsidR="007C56ED" w:rsidRPr="007C56ED" w14:paraId="5ED893FF" w14:textId="77777777" w:rsidTr="00224BA0">
        <w:trPr>
          <w:gridAfter w:val="1"/>
          <w:wAfter w:w="99" w:type="dxa"/>
        </w:trPr>
        <w:tc>
          <w:tcPr>
            <w:tcW w:w="339" w:type="dxa"/>
            <w:vMerge/>
            <w:tcBorders>
              <w:right w:val="single" w:sz="12" w:space="0" w:color="001D77"/>
            </w:tcBorders>
            <w:vAlign w:val="center"/>
          </w:tcPr>
          <w:p w14:paraId="2A3A58C8" w14:textId="77777777" w:rsidR="007C56ED" w:rsidRPr="007C56ED" w:rsidRDefault="007C56ED" w:rsidP="007C56ED">
            <w:pPr>
              <w:spacing w:before="100" w:beforeAutospacing="1" w:after="100" w:afterAutospacing="1" w:line="240" w:lineRule="auto"/>
              <w:jc w:val="center"/>
              <w:rPr>
                <w:sz w:val="16"/>
                <w:szCs w:val="16"/>
              </w:rPr>
            </w:pPr>
          </w:p>
        </w:tc>
        <w:tc>
          <w:tcPr>
            <w:tcW w:w="3289" w:type="dxa"/>
            <w:vMerge/>
            <w:tcBorders>
              <w:top w:val="single" w:sz="4" w:space="0" w:color="001D77"/>
              <w:left w:val="single" w:sz="12" w:space="0" w:color="001D77"/>
              <w:bottom w:val="single" w:sz="12" w:space="0" w:color="001D77"/>
              <w:right w:val="single" w:sz="12" w:space="0" w:color="001D77"/>
            </w:tcBorders>
            <w:vAlign w:val="center"/>
          </w:tcPr>
          <w:p w14:paraId="1B6CB871" w14:textId="77777777" w:rsidR="007C56ED" w:rsidRPr="007C56ED" w:rsidRDefault="007C56ED" w:rsidP="007C56ED">
            <w:pPr>
              <w:spacing w:before="100" w:beforeAutospacing="1" w:after="100" w:afterAutospacing="1" w:line="240" w:lineRule="auto"/>
              <w:jc w:val="center"/>
              <w:rPr>
                <w:sz w:val="16"/>
                <w:szCs w:val="16"/>
              </w:rPr>
            </w:pPr>
          </w:p>
        </w:tc>
        <w:tc>
          <w:tcPr>
            <w:tcW w:w="850" w:type="dxa"/>
            <w:tcBorders>
              <w:top w:val="single" w:sz="4" w:space="0" w:color="001D77"/>
              <w:left w:val="single" w:sz="12" w:space="0" w:color="001D77"/>
              <w:bottom w:val="single" w:sz="2" w:space="0" w:color="000000" w:themeColor="text1"/>
              <w:right w:val="single" w:sz="12" w:space="0" w:color="001D77"/>
            </w:tcBorders>
            <w:vAlign w:val="center"/>
          </w:tcPr>
          <w:p w14:paraId="34EC7AFA" w14:textId="77777777" w:rsidR="007C56ED" w:rsidRPr="007C56ED" w:rsidRDefault="007C56ED" w:rsidP="007C56ED">
            <w:pPr>
              <w:spacing w:before="100" w:beforeAutospacing="1" w:after="100" w:afterAutospacing="1" w:line="240" w:lineRule="auto"/>
              <w:jc w:val="center"/>
              <w:rPr>
                <w:color w:val="000000" w:themeColor="text1"/>
                <w:sz w:val="16"/>
                <w:szCs w:val="16"/>
              </w:rPr>
            </w:pPr>
            <w:r w:rsidRPr="007C56ED">
              <w:rPr>
                <w:color w:val="000000" w:themeColor="text1"/>
                <w:sz w:val="16"/>
                <w:szCs w:val="16"/>
              </w:rPr>
              <w:t>plan</w:t>
            </w:r>
            <w:r w:rsidRPr="007C56ED">
              <w:rPr>
                <w:color w:val="000000" w:themeColor="text1"/>
                <w:sz w:val="16"/>
                <w:szCs w:val="16"/>
                <w:vertAlign w:val="superscript"/>
              </w:rPr>
              <w:t>a</w:t>
            </w:r>
          </w:p>
        </w:tc>
        <w:tc>
          <w:tcPr>
            <w:tcW w:w="1476" w:type="dxa"/>
            <w:gridSpan w:val="2"/>
            <w:tcBorders>
              <w:top w:val="single" w:sz="4" w:space="0" w:color="001D77"/>
              <w:left w:val="single" w:sz="12" w:space="0" w:color="001D77"/>
              <w:bottom w:val="single" w:sz="2" w:space="0" w:color="000000" w:themeColor="text1"/>
              <w:right w:val="single" w:sz="12" w:space="0" w:color="001D77"/>
            </w:tcBorders>
            <w:vAlign w:val="center"/>
          </w:tcPr>
          <w:p w14:paraId="6F369DF0" w14:textId="77777777" w:rsidR="007C56ED" w:rsidRPr="007C56ED" w:rsidRDefault="007C56ED" w:rsidP="007C56ED">
            <w:pPr>
              <w:spacing w:before="100" w:beforeAutospacing="1" w:after="100" w:afterAutospacing="1" w:line="240" w:lineRule="auto"/>
              <w:jc w:val="center"/>
              <w:rPr>
                <w:color w:val="000000" w:themeColor="text1"/>
                <w:sz w:val="16"/>
                <w:szCs w:val="16"/>
              </w:rPr>
            </w:pPr>
            <w:r w:rsidRPr="007C56ED">
              <w:rPr>
                <w:color w:val="000000" w:themeColor="text1"/>
                <w:sz w:val="16"/>
                <w:szCs w:val="16"/>
              </w:rPr>
              <w:t>wykonanie</w:t>
            </w:r>
          </w:p>
        </w:tc>
        <w:tc>
          <w:tcPr>
            <w:tcW w:w="678" w:type="dxa"/>
            <w:tcBorders>
              <w:top w:val="single" w:sz="4" w:space="0" w:color="001D77"/>
              <w:left w:val="single" w:sz="12" w:space="0" w:color="001D77"/>
              <w:bottom w:val="single" w:sz="2" w:space="0" w:color="000000" w:themeColor="text1"/>
              <w:right w:val="single" w:sz="12" w:space="0" w:color="001D77"/>
            </w:tcBorders>
            <w:vAlign w:val="center"/>
          </w:tcPr>
          <w:p w14:paraId="1D55E737" w14:textId="77777777" w:rsidR="007C56ED" w:rsidRPr="007C56ED" w:rsidRDefault="007C56ED" w:rsidP="007C56ED">
            <w:pPr>
              <w:spacing w:before="100" w:beforeAutospacing="1" w:after="100" w:afterAutospacing="1" w:line="240" w:lineRule="auto"/>
              <w:jc w:val="center"/>
              <w:rPr>
                <w:color w:val="000000" w:themeColor="text1"/>
                <w:sz w:val="16"/>
                <w:szCs w:val="16"/>
              </w:rPr>
            </w:pPr>
            <w:r w:rsidRPr="007C56ED">
              <w:rPr>
                <w:color w:val="000000" w:themeColor="text1"/>
                <w:sz w:val="16"/>
                <w:szCs w:val="16"/>
              </w:rPr>
              <w:t>plan</w:t>
            </w:r>
            <w:r w:rsidRPr="007C56ED">
              <w:rPr>
                <w:color w:val="000000" w:themeColor="text1"/>
                <w:sz w:val="16"/>
                <w:szCs w:val="16"/>
                <w:vertAlign w:val="superscript"/>
              </w:rPr>
              <w:t>a</w:t>
            </w:r>
          </w:p>
        </w:tc>
        <w:tc>
          <w:tcPr>
            <w:tcW w:w="1305" w:type="dxa"/>
            <w:gridSpan w:val="2"/>
            <w:tcBorders>
              <w:top w:val="single" w:sz="4" w:space="0" w:color="001D77"/>
              <w:left w:val="single" w:sz="12" w:space="0" w:color="001D77"/>
              <w:bottom w:val="single" w:sz="2" w:space="0" w:color="000000" w:themeColor="text1"/>
            </w:tcBorders>
            <w:vAlign w:val="center"/>
          </w:tcPr>
          <w:p w14:paraId="0393F988" w14:textId="77777777" w:rsidR="007C56ED" w:rsidRPr="007C56ED" w:rsidRDefault="007C56ED" w:rsidP="007C56ED">
            <w:pPr>
              <w:spacing w:before="100" w:beforeAutospacing="1" w:after="100" w:afterAutospacing="1" w:line="240" w:lineRule="auto"/>
              <w:jc w:val="center"/>
              <w:rPr>
                <w:color w:val="000000" w:themeColor="text1"/>
                <w:sz w:val="16"/>
                <w:szCs w:val="16"/>
              </w:rPr>
            </w:pPr>
            <w:r w:rsidRPr="007C56ED">
              <w:rPr>
                <w:color w:val="000000" w:themeColor="text1"/>
                <w:sz w:val="16"/>
                <w:szCs w:val="16"/>
              </w:rPr>
              <w:t>wykonanie</w:t>
            </w:r>
          </w:p>
        </w:tc>
      </w:tr>
      <w:tr w:rsidR="007C56ED" w:rsidRPr="007C56ED" w14:paraId="20D6B7B6" w14:textId="77777777" w:rsidTr="00224BA0">
        <w:trPr>
          <w:gridAfter w:val="1"/>
          <w:wAfter w:w="99" w:type="dxa"/>
        </w:trPr>
        <w:tc>
          <w:tcPr>
            <w:tcW w:w="339" w:type="dxa"/>
            <w:vMerge/>
            <w:tcBorders>
              <w:bottom w:val="single" w:sz="12" w:space="0" w:color="001D77"/>
              <w:right w:val="single" w:sz="12" w:space="0" w:color="001D77"/>
            </w:tcBorders>
            <w:vAlign w:val="center"/>
          </w:tcPr>
          <w:p w14:paraId="35B28351" w14:textId="77777777" w:rsidR="007C56ED" w:rsidRPr="007C56ED" w:rsidRDefault="007C56ED" w:rsidP="007C56ED">
            <w:pPr>
              <w:spacing w:before="100" w:beforeAutospacing="1" w:after="100" w:afterAutospacing="1" w:line="240" w:lineRule="auto"/>
              <w:jc w:val="center"/>
              <w:rPr>
                <w:sz w:val="16"/>
                <w:szCs w:val="16"/>
              </w:rPr>
            </w:pPr>
          </w:p>
        </w:tc>
        <w:tc>
          <w:tcPr>
            <w:tcW w:w="3289" w:type="dxa"/>
            <w:vMerge/>
            <w:tcBorders>
              <w:top w:val="single" w:sz="4" w:space="0" w:color="001D77"/>
              <w:left w:val="single" w:sz="12" w:space="0" w:color="001D77"/>
              <w:bottom w:val="single" w:sz="12" w:space="0" w:color="001D77"/>
              <w:right w:val="single" w:sz="12" w:space="0" w:color="001D77"/>
            </w:tcBorders>
            <w:vAlign w:val="center"/>
          </w:tcPr>
          <w:p w14:paraId="1C648090" w14:textId="77777777" w:rsidR="007C56ED" w:rsidRPr="007C56ED" w:rsidRDefault="007C56ED" w:rsidP="007C56ED">
            <w:pPr>
              <w:spacing w:before="100" w:beforeAutospacing="1" w:after="100" w:afterAutospacing="1" w:line="240" w:lineRule="auto"/>
              <w:jc w:val="center"/>
              <w:rPr>
                <w:sz w:val="16"/>
                <w:szCs w:val="16"/>
              </w:rPr>
            </w:pP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56A4C863"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w mln zł</w:t>
            </w: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0AA86106"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w mln zł</w:t>
            </w:r>
          </w:p>
        </w:tc>
        <w:tc>
          <w:tcPr>
            <w:tcW w:w="626" w:type="dxa"/>
            <w:tcBorders>
              <w:top w:val="single" w:sz="2" w:space="0" w:color="000000" w:themeColor="text1"/>
              <w:left w:val="single" w:sz="12" w:space="0" w:color="001D77"/>
              <w:bottom w:val="single" w:sz="12" w:space="0" w:color="001D77"/>
              <w:right w:val="single" w:sz="12" w:space="0" w:color="001D77"/>
            </w:tcBorders>
            <w:vAlign w:val="center"/>
          </w:tcPr>
          <w:p w14:paraId="789EDB99"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w:t>
            </w:r>
          </w:p>
        </w:tc>
        <w:tc>
          <w:tcPr>
            <w:tcW w:w="678" w:type="dxa"/>
            <w:tcBorders>
              <w:top w:val="single" w:sz="2" w:space="0" w:color="000000" w:themeColor="text1"/>
              <w:left w:val="single" w:sz="12" w:space="0" w:color="001D77"/>
              <w:bottom w:val="single" w:sz="12" w:space="0" w:color="001D77"/>
              <w:right w:val="single" w:sz="12" w:space="0" w:color="001D77"/>
            </w:tcBorders>
            <w:vAlign w:val="center"/>
          </w:tcPr>
          <w:p w14:paraId="015B742C"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w mln zł</w:t>
            </w: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2C846B91"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w mln zł</w:t>
            </w:r>
          </w:p>
        </w:tc>
        <w:tc>
          <w:tcPr>
            <w:tcW w:w="455" w:type="dxa"/>
            <w:tcBorders>
              <w:top w:val="single" w:sz="2" w:space="0" w:color="000000" w:themeColor="text1"/>
              <w:left w:val="single" w:sz="12" w:space="0" w:color="001D77"/>
              <w:bottom w:val="single" w:sz="12" w:space="0" w:color="001D77"/>
            </w:tcBorders>
            <w:vAlign w:val="center"/>
          </w:tcPr>
          <w:p w14:paraId="6F1F5A43" w14:textId="77777777" w:rsidR="007C56ED" w:rsidRPr="007C56ED" w:rsidRDefault="007C56ED" w:rsidP="007C56ED">
            <w:pPr>
              <w:spacing w:before="100" w:beforeAutospacing="1" w:after="100" w:afterAutospacing="1" w:line="240" w:lineRule="auto"/>
              <w:jc w:val="center"/>
              <w:rPr>
                <w:sz w:val="16"/>
                <w:szCs w:val="16"/>
              </w:rPr>
            </w:pPr>
            <w:r w:rsidRPr="007C56ED">
              <w:rPr>
                <w:sz w:val="16"/>
                <w:szCs w:val="16"/>
              </w:rPr>
              <w:t>%</w:t>
            </w:r>
          </w:p>
        </w:tc>
      </w:tr>
      <w:tr w:rsidR="007C56ED" w:rsidRPr="007C56ED" w14:paraId="07D12074"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68528A9F"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I</w:t>
            </w:r>
          </w:p>
        </w:tc>
        <w:tc>
          <w:tcPr>
            <w:tcW w:w="3289" w:type="dxa"/>
            <w:tcBorders>
              <w:top w:val="single" w:sz="12" w:space="0" w:color="001D77"/>
              <w:left w:val="single" w:sz="12" w:space="0" w:color="001D77"/>
              <w:bottom w:val="single" w:sz="12" w:space="0" w:color="001D77"/>
              <w:right w:val="single" w:sz="12" w:space="0" w:color="001D77"/>
            </w:tcBorders>
          </w:tcPr>
          <w:p w14:paraId="419CD6DE" w14:textId="77777777"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Wydatki budżetowe w części budżetu państwa, której dysponentem jest minister właściwy do spraw zdrowia</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8EBEC13"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11 905</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DCC5E2F"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15 979</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3445FD47"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11,3</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7C125C37" w14:textId="1189BF56" w:rsidR="007C56ED" w:rsidRPr="007C56ED" w:rsidRDefault="007D16EC" w:rsidP="007C56ED">
            <w:pPr>
              <w:spacing w:before="100" w:beforeAutospacing="1" w:after="100" w:afterAutospacing="1" w:line="240" w:lineRule="auto"/>
              <w:ind w:right="57"/>
              <w:jc w:val="right"/>
              <w:rPr>
                <w:sz w:val="16"/>
                <w:szCs w:val="16"/>
              </w:rPr>
            </w:pPr>
            <w:r>
              <w:rPr>
                <w:sz w:val="16"/>
                <w:szCs w:val="16"/>
              </w:rPr>
              <w:t>14 917</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6768987F" w14:textId="6C7E1344" w:rsidR="007C56ED" w:rsidRPr="007C56ED" w:rsidRDefault="007D16EC" w:rsidP="007C56ED">
            <w:pPr>
              <w:spacing w:before="100" w:beforeAutospacing="1" w:after="100" w:afterAutospacing="1" w:line="240" w:lineRule="auto"/>
              <w:ind w:right="57"/>
              <w:jc w:val="right"/>
              <w:rPr>
                <w:sz w:val="16"/>
                <w:szCs w:val="16"/>
              </w:rPr>
            </w:pPr>
            <w:r>
              <w:rPr>
                <w:sz w:val="16"/>
                <w:szCs w:val="16"/>
              </w:rPr>
              <w:t>15 522</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32AF3D58" w14:textId="3BB60D6B" w:rsidR="007C56ED"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10,3</w:t>
            </w:r>
          </w:p>
        </w:tc>
      </w:tr>
      <w:tr w:rsidR="007C56ED" w:rsidRPr="007C56ED" w14:paraId="4885AB7A"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7CD6C08D"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II</w:t>
            </w:r>
          </w:p>
        </w:tc>
        <w:tc>
          <w:tcPr>
            <w:tcW w:w="3289" w:type="dxa"/>
            <w:tcBorders>
              <w:top w:val="single" w:sz="12" w:space="0" w:color="001D77"/>
              <w:left w:val="single" w:sz="12" w:space="0" w:color="001D77"/>
              <w:bottom w:val="single" w:sz="12" w:space="0" w:color="001D77"/>
              <w:right w:val="single" w:sz="12" w:space="0" w:color="001D77"/>
            </w:tcBorders>
          </w:tcPr>
          <w:p w14:paraId="55A5ED30" w14:textId="77777777"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 xml:space="preserve">Wydatki budżetu środków europejskich </w:t>
            </w:r>
            <w:r w:rsidRPr="007C56ED">
              <w:rPr>
                <w:sz w:val="16"/>
                <w:szCs w:val="16"/>
              </w:rPr>
              <w:br/>
              <w:t>w dziale „ochrona zdrowia”</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59892FF7"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574</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7F01F549"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810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092BFA91"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0,6</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773848B1" w14:textId="522D8322" w:rsidR="007C56ED" w:rsidRPr="007C56ED" w:rsidRDefault="007D16EC" w:rsidP="007C56ED">
            <w:pPr>
              <w:spacing w:before="100" w:beforeAutospacing="1" w:after="100" w:afterAutospacing="1" w:line="240" w:lineRule="auto"/>
              <w:ind w:right="57"/>
              <w:jc w:val="right"/>
              <w:rPr>
                <w:sz w:val="16"/>
                <w:szCs w:val="16"/>
              </w:rPr>
            </w:pPr>
            <w:r>
              <w:rPr>
                <w:sz w:val="16"/>
                <w:szCs w:val="16"/>
              </w:rPr>
              <w:t>1 598</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5499B19" w14:textId="370C9135" w:rsidR="007C56ED" w:rsidRPr="007C56ED" w:rsidRDefault="007D16EC" w:rsidP="007C56ED">
            <w:pPr>
              <w:spacing w:before="100" w:beforeAutospacing="1" w:after="100" w:afterAutospacing="1" w:line="240" w:lineRule="auto"/>
              <w:ind w:right="57"/>
              <w:jc w:val="right"/>
              <w:rPr>
                <w:sz w:val="16"/>
                <w:szCs w:val="16"/>
              </w:rPr>
            </w:pPr>
            <w:r>
              <w:rPr>
                <w:sz w:val="16"/>
                <w:szCs w:val="16"/>
              </w:rPr>
              <w:t>592</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33CFDE08" w14:textId="782B80A2" w:rsidR="007C56ED"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0,4</w:t>
            </w:r>
          </w:p>
        </w:tc>
      </w:tr>
      <w:tr w:rsidR="007C56ED" w:rsidRPr="007C56ED" w14:paraId="27B489D3"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4B10479A"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III</w:t>
            </w:r>
          </w:p>
        </w:tc>
        <w:tc>
          <w:tcPr>
            <w:tcW w:w="3289" w:type="dxa"/>
            <w:tcBorders>
              <w:top w:val="single" w:sz="12" w:space="0" w:color="001D77"/>
              <w:left w:val="single" w:sz="12" w:space="0" w:color="001D77"/>
              <w:bottom w:val="single" w:sz="12" w:space="0" w:color="001D77"/>
              <w:right w:val="single" w:sz="12" w:space="0" w:color="001D77"/>
            </w:tcBorders>
          </w:tcPr>
          <w:p w14:paraId="4A97C872" w14:textId="77777777"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Wydatki budżetowe w dziale „ochrona zdrowia” w innych częściach budżetu państwa</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BF18DAA" w14:textId="74E2B740"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10</w:t>
            </w:r>
            <w:r w:rsidR="007D16EC">
              <w:rPr>
                <w:sz w:val="16"/>
                <w:szCs w:val="16"/>
              </w:rPr>
              <w:t> </w:t>
            </w:r>
            <w:r w:rsidRPr="007C56ED">
              <w:rPr>
                <w:sz w:val="16"/>
                <w:szCs w:val="16"/>
              </w:rPr>
              <w:t>306</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CD47AD7" w14:textId="7BC2EA81"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6</w:t>
            </w:r>
            <w:r w:rsidR="007D16EC">
              <w:rPr>
                <w:sz w:val="16"/>
                <w:szCs w:val="16"/>
              </w:rPr>
              <w:t> </w:t>
            </w:r>
            <w:r w:rsidRPr="007C56ED">
              <w:rPr>
                <w:sz w:val="16"/>
                <w:szCs w:val="16"/>
              </w:rPr>
              <w:t>075</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3E7959E8"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4,3</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507ADDEA" w14:textId="7FAB4E4C" w:rsidR="007C56ED" w:rsidRPr="007C56ED" w:rsidRDefault="007D16EC" w:rsidP="007C56ED">
            <w:pPr>
              <w:spacing w:before="100" w:beforeAutospacing="1" w:after="100" w:afterAutospacing="1" w:line="240" w:lineRule="auto"/>
              <w:ind w:right="57"/>
              <w:jc w:val="right"/>
              <w:rPr>
                <w:sz w:val="16"/>
                <w:szCs w:val="16"/>
              </w:rPr>
            </w:pPr>
            <w:r>
              <w:rPr>
                <w:sz w:val="16"/>
                <w:szCs w:val="16"/>
              </w:rPr>
              <w:t>8 433</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4A04289" w14:textId="69E7A820" w:rsidR="007C56ED" w:rsidRPr="007C56ED" w:rsidRDefault="007D16EC" w:rsidP="007C56ED">
            <w:pPr>
              <w:spacing w:before="100" w:beforeAutospacing="1" w:after="100" w:afterAutospacing="1" w:line="240" w:lineRule="auto"/>
              <w:ind w:right="57"/>
              <w:jc w:val="right"/>
              <w:rPr>
                <w:sz w:val="16"/>
                <w:szCs w:val="16"/>
              </w:rPr>
            </w:pPr>
            <w:r>
              <w:rPr>
                <w:sz w:val="16"/>
                <w:szCs w:val="16"/>
              </w:rPr>
              <w:t>7 256</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63254427" w14:textId="7729D0D4" w:rsidR="007C56ED"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4,8</w:t>
            </w:r>
          </w:p>
        </w:tc>
      </w:tr>
      <w:tr w:rsidR="007C56ED" w:rsidRPr="007C56ED" w14:paraId="77C31EE5"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54182E94"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IV</w:t>
            </w:r>
          </w:p>
        </w:tc>
        <w:tc>
          <w:tcPr>
            <w:tcW w:w="3289" w:type="dxa"/>
            <w:tcBorders>
              <w:top w:val="single" w:sz="12" w:space="0" w:color="001D77"/>
              <w:left w:val="single" w:sz="12" w:space="0" w:color="001D77"/>
              <w:bottom w:val="single" w:sz="12" w:space="0" w:color="001D77"/>
              <w:right w:val="single" w:sz="12" w:space="0" w:color="001D77"/>
            </w:tcBorders>
          </w:tcPr>
          <w:p w14:paraId="3EBFD62E" w14:textId="38507C0E"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 xml:space="preserve">Koszty Narodowego Funduszu Zdrowia ujęte w planie finansowym Funduszu </w:t>
            </w:r>
            <w:r w:rsidRPr="007C56ED">
              <w:rPr>
                <w:sz w:val="16"/>
                <w:szCs w:val="16"/>
              </w:rPr>
              <w:br/>
              <w:t xml:space="preserve">z wyłączeniem </w:t>
            </w:r>
            <w:r w:rsidR="00AC7AA0">
              <w:rPr>
                <w:sz w:val="16"/>
                <w:szCs w:val="16"/>
              </w:rPr>
              <w:t>planowanych transferów środków finansowych otrzymanych ze źródeł, o których mowa w pozostałych kategoriach</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60888A8F" w14:textId="3B3AD6DA"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97</w:t>
            </w:r>
            <w:r w:rsidR="007D16EC">
              <w:rPr>
                <w:sz w:val="16"/>
                <w:szCs w:val="16"/>
              </w:rPr>
              <w:t> </w:t>
            </w:r>
            <w:r w:rsidRPr="007C56ED">
              <w:rPr>
                <w:sz w:val="16"/>
                <w:szCs w:val="16"/>
              </w:rPr>
              <w:t>428</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713886B5"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118 107</w:t>
            </w:r>
            <w:r w:rsidRPr="007C56ED">
              <w:rPr>
                <w:sz w:val="16"/>
                <w:szCs w:val="16"/>
                <w:vertAlign w:val="superscript"/>
              </w:rPr>
              <w:t>b</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2094CA23"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83,6</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071B6846" w14:textId="5B51365F" w:rsidR="007C56ED" w:rsidRPr="007C56ED" w:rsidRDefault="007D16EC" w:rsidP="007C56ED">
            <w:pPr>
              <w:spacing w:before="100" w:beforeAutospacing="1" w:after="100" w:afterAutospacing="1" w:line="240" w:lineRule="auto"/>
              <w:ind w:right="57"/>
              <w:jc w:val="right"/>
              <w:rPr>
                <w:sz w:val="16"/>
                <w:szCs w:val="16"/>
              </w:rPr>
            </w:pPr>
            <w:r>
              <w:rPr>
                <w:sz w:val="16"/>
                <w:szCs w:val="16"/>
              </w:rPr>
              <w:t>108 335</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17C0AD0" w14:textId="559FB7CC" w:rsidR="007C56ED" w:rsidRPr="007C56ED" w:rsidRDefault="007D16EC" w:rsidP="007C56ED">
            <w:pPr>
              <w:spacing w:before="100" w:beforeAutospacing="1" w:after="100" w:afterAutospacing="1" w:line="240" w:lineRule="auto"/>
              <w:ind w:right="57"/>
              <w:jc w:val="right"/>
              <w:rPr>
                <w:sz w:val="16"/>
                <w:szCs w:val="16"/>
                <w:vertAlign w:val="superscript"/>
              </w:rPr>
            </w:pPr>
            <w:r>
              <w:rPr>
                <w:sz w:val="16"/>
                <w:szCs w:val="16"/>
              </w:rPr>
              <w:t>127 317</w:t>
            </w:r>
            <w:r w:rsidR="007C56ED" w:rsidRPr="007C56ED">
              <w:rPr>
                <w:sz w:val="16"/>
                <w:szCs w:val="16"/>
                <w:vertAlign w:val="superscript"/>
              </w:rPr>
              <w:t>c</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4EB7AF0B" w14:textId="6B5AEC6A" w:rsidR="007C56ED"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84,3</w:t>
            </w:r>
          </w:p>
        </w:tc>
      </w:tr>
      <w:tr w:rsidR="007D16EC" w:rsidRPr="007C56ED" w14:paraId="2A5F9F6E"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550F5CF5" w14:textId="60577AC4" w:rsidR="007D16EC" w:rsidRPr="007C56ED" w:rsidRDefault="007D16EC" w:rsidP="007C56ED">
            <w:pPr>
              <w:spacing w:before="100" w:beforeAutospacing="1" w:after="100" w:afterAutospacing="1" w:line="240" w:lineRule="auto"/>
              <w:ind w:left="57"/>
              <w:rPr>
                <w:sz w:val="16"/>
                <w:szCs w:val="16"/>
              </w:rPr>
            </w:pPr>
            <w:r w:rsidRPr="007C56ED">
              <w:rPr>
                <w:sz w:val="16"/>
                <w:szCs w:val="16"/>
              </w:rPr>
              <w:t>V</w:t>
            </w:r>
          </w:p>
        </w:tc>
        <w:tc>
          <w:tcPr>
            <w:tcW w:w="3289" w:type="dxa"/>
            <w:tcBorders>
              <w:top w:val="single" w:sz="12" w:space="0" w:color="001D77"/>
              <w:left w:val="single" w:sz="12" w:space="0" w:color="001D77"/>
              <w:bottom w:val="single" w:sz="12" w:space="0" w:color="001D77"/>
              <w:right w:val="single" w:sz="12" w:space="0" w:color="001D77"/>
            </w:tcBorders>
          </w:tcPr>
          <w:p w14:paraId="496DF4C0" w14:textId="116941A9" w:rsidR="007D16EC" w:rsidRPr="007C56ED" w:rsidRDefault="007D16EC" w:rsidP="007C56ED">
            <w:pPr>
              <w:spacing w:before="100" w:beforeAutospacing="1" w:after="100" w:afterAutospacing="1" w:line="240" w:lineRule="auto"/>
              <w:ind w:left="57" w:right="57"/>
              <w:rPr>
                <w:sz w:val="16"/>
                <w:szCs w:val="16"/>
              </w:rPr>
            </w:pPr>
            <w:r>
              <w:rPr>
                <w:sz w:val="16"/>
                <w:szCs w:val="16"/>
              </w:rPr>
              <w:t>Koszt Funduszu Kredytowania Studiów Medycznych ujęte w planie finansowym tego Funduszu</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A534A1C" w14:textId="0E08A72C" w:rsidR="007D16EC" w:rsidRPr="007C56ED" w:rsidRDefault="007D16EC" w:rsidP="007C56ED">
            <w:pPr>
              <w:spacing w:before="100" w:beforeAutospacing="1" w:after="100" w:afterAutospacing="1" w:line="240" w:lineRule="auto"/>
              <w:ind w:right="57"/>
              <w:jc w:val="right"/>
              <w:rPr>
                <w:sz w:val="16"/>
                <w:szCs w:val="16"/>
              </w:rPr>
            </w:pPr>
            <w:r>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084EDE48" w14:textId="7D01EDFD" w:rsidR="007D16EC" w:rsidRPr="007C56ED" w:rsidRDefault="007D16EC" w:rsidP="007C56ED">
            <w:pPr>
              <w:spacing w:before="100" w:beforeAutospacing="1" w:after="100" w:afterAutospacing="1" w:line="240" w:lineRule="auto"/>
              <w:ind w:right="57"/>
              <w:jc w:val="right"/>
              <w:rPr>
                <w:sz w:val="16"/>
                <w:szCs w:val="16"/>
              </w:rPr>
            </w:pPr>
            <w:r>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54B215EB" w14:textId="4E140D27" w:rsidR="007D16EC"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4EFFC730" w14:textId="72496FF3" w:rsidR="007D16EC" w:rsidRPr="007C56ED" w:rsidRDefault="007D16EC" w:rsidP="007C56ED">
            <w:pPr>
              <w:spacing w:before="100" w:beforeAutospacing="1" w:after="100" w:afterAutospacing="1" w:line="240" w:lineRule="auto"/>
              <w:ind w:right="57"/>
              <w:jc w:val="right"/>
              <w:rPr>
                <w:sz w:val="16"/>
                <w:szCs w:val="16"/>
              </w:rPr>
            </w:pPr>
            <w:r>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5896F14" w14:textId="0658B4DE" w:rsidR="007D16EC" w:rsidRPr="007C56ED" w:rsidRDefault="007D16EC" w:rsidP="007C56ED">
            <w:pPr>
              <w:spacing w:before="100" w:beforeAutospacing="1" w:after="100" w:afterAutospacing="1" w:line="240" w:lineRule="auto"/>
              <w:ind w:right="57"/>
              <w:jc w:val="right"/>
              <w:rPr>
                <w:sz w:val="16"/>
                <w:szCs w:val="16"/>
              </w:rPr>
            </w:pPr>
            <w:r>
              <w:rPr>
                <w:sz w:val="16"/>
                <w:szCs w:val="16"/>
              </w:rPr>
              <w:t>0</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447728A8" w14:textId="141F583B" w:rsidR="007D16EC"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0,0</w:t>
            </w:r>
          </w:p>
        </w:tc>
      </w:tr>
      <w:tr w:rsidR="007C56ED" w:rsidRPr="007C56ED" w14:paraId="2DEA161A"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056886B6"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VI</w:t>
            </w:r>
          </w:p>
        </w:tc>
        <w:tc>
          <w:tcPr>
            <w:tcW w:w="3289" w:type="dxa"/>
            <w:tcBorders>
              <w:top w:val="single" w:sz="12" w:space="0" w:color="001D77"/>
              <w:left w:val="single" w:sz="12" w:space="0" w:color="001D77"/>
              <w:bottom w:val="single" w:sz="12" w:space="0" w:color="001D77"/>
              <w:right w:val="single" w:sz="12" w:space="0" w:color="001D77"/>
            </w:tcBorders>
          </w:tcPr>
          <w:p w14:paraId="160498C3" w14:textId="0E6158C8" w:rsidR="007C56ED" w:rsidRPr="007C56ED" w:rsidRDefault="007D16EC" w:rsidP="007D16EC">
            <w:pPr>
              <w:spacing w:before="100" w:beforeAutospacing="1" w:after="100" w:afterAutospacing="1" w:line="240" w:lineRule="auto"/>
              <w:ind w:left="57" w:right="57"/>
              <w:rPr>
                <w:sz w:val="16"/>
                <w:szCs w:val="16"/>
              </w:rPr>
            </w:pPr>
            <w:r w:rsidRPr="007D16EC">
              <w:rPr>
                <w:sz w:val="16"/>
                <w:szCs w:val="16"/>
              </w:rPr>
              <w:t>Koszty ujęte w planie finansowym Funduszu Kompensacyjnego Szczepień Ochronnych, z wyłączeniem środków pochodzących z wpłat z budżetu państwa przekazywanych w danym roku budżetowym</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9651D7F"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72974DE"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1C75396C"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5828B6BB" w14:textId="479797EB" w:rsidR="007C56ED" w:rsidRPr="007C56ED" w:rsidRDefault="007D16EC" w:rsidP="007C56ED">
            <w:pPr>
              <w:spacing w:before="100" w:beforeAutospacing="1" w:after="100" w:afterAutospacing="1" w:line="240" w:lineRule="auto"/>
              <w:ind w:right="57"/>
              <w:jc w:val="right"/>
              <w:rPr>
                <w:sz w:val="16"/>
                <w:szCs w:val="16"/>
              </w:rPr>
            </w:pPr>
            <w:r>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CF6FD40" w14:textId="1DABF31B" w:rsidR="007C56ED" w:rsidRPr="007C56ED" w:rsidRDefault="007D16EC" w:rsidP="007C56ED">
            <w:pPr>
              <w:spacing w:before="100" w:beforeAutospacing="1" w:after="100" w:afterAutospacing="1" w:line="240" w:lineRule="auto"/>
              <w:ind w:right="57"/>
              <w:jc w:val="right"/>
              <w:rPr>
                <w:sz w:val="16"/>
                <w:szCs w:val="16"/>
              </w:rPr>
            </w:pPr>
            <w:r>
              <w:rPr>
                <w:sz w:val="16"/>
                <w:szCs w:val="16"/>
              </w:rPr>
              <w:t>4</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1A5E4782" w14:textId="689A1964" w:rsidR="007C56ED" w:rsidRPr="007C56ED" w:rsidRDefault="007D16EC" w:rsidP="007C56ED">
            <w:pPr>
              <w:spacing w:before="100" w:beforeAutospacing="1" w:after="100" w:afterAutospacing="1" w:line="240" w:lineRule="auto"/>
              <w:ind w:right="57"/>
              <w:jc w:val="right"/>
              <w:rPr>
                <w:rFonts w:cs="Calibri"/>
                <w:sz w:val="16"/>
                <w:szCs w:val="16"/>
              </w:rPr>
            </w:pPr>
            <w:r>
              <w:rPr>
                <w:rFonts w:cs="Calibri"/>
                <w:sz w:val="16"/>
                <w:szCs w:val="16"/>
              </w:rPr>
              <w:t>0,0</w:t>
            </w:r>
          </w:p>
        </w:tc>
      </w:tr>
      <w:tr w:rsidR="007C56ED" w:rsidRPr="007C56ED" w14:paraId="19D92305"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085EAF0D"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VII</w:t>
            </w:r>
          </w:p>
        </w:tc>
        <w:tc>
          <w:tcPr>
            <w:tcW w:w="3289" w:type="dxa"/>
            <w:tcBorders>
              <w:top w:val="single" w:sz="12" w:space="0" w:color="001D77"/>
              <w:left w:val="single" w:sz="12" w:space="0" w:color="001D77"/>
              <w:bottom w:val="single" w:sz="12" w:space="0" w:color="001D77"/>
              <w:right w:val="single" w:sz="12" w:space="0" w:color="001D77"/>
            </w:tcBorders>
          </w:tcPr>
          <w:p w14:paraId="336E43C4" w14:textId="77777777"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Koszty ujęte w planie finansowym Funduszu Rozwiązywania Problemów Hazardowych</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82A78F7"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26</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006F6F81"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20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4E155E30"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24CB255E" w14:textId="429B2717" w:rsidR="007C56ED" w:rsidRPr="007C56ED" w:rsidRDefault="00D816F4" w:rsidP="007C56ED">
            <w:pPr>
              <w:spacing w:before="100" w:beforeAutospacing="1" w:after="100" w:afterAutospacing="1" w:line="240" w:lineRule="auto"/>
              <w:ind w:right="57"/>
              <w:jc w:val="right"/>
              <w:rPr>
                <w:sz w:val="16"/>
                <w:szCs w:val="16"/>
              </w:rPr>
            </w:pPr>
            <w:r>
              <w:rPr>
                <w:sz w:val="16"/>
                <w:szCs w:val="16"/>
              </w:rPr>
              <w:t>23</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065427E" w14:textId="55377386" w:rsidR="007C56ED" w:rsidRPr="007C56ED" w:rsidRDefault="00D816F4" w:rsidP="007C56ED">
            <w:pPr>
              <w:spacing w:before="100" w:beforeAutospacing="1" w:after="100" w:afterAutospacing="1" w:line="240" w:lineRule="auto"/>
              <w:ind w:right="57"/>
              <w:jc w:val="right"/>
              <w:rPr>
                <w:sz w:val="16"/>
                <w:szCs w:val="16"/>
              </w:rPr>
            </w:pPr>
            <w:r>
              <w:rPr>
                <w:sz w:val="16"/>
                <w:szCs w:val="16"/>
              </w:rPr>
              <w:t>18</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67B4B037" w14:textId="4B57B12C" w:rsidR="007C56ED" w:rsidRPr="007C56ED" w:rsidRDefault="00D816F4" w:rsidP="007C56ED">
            <w:pPr>
              <w:spacing w:before="100" w:beforeAutospacing="1" w:after="100" w:afterAutospacing="1" w:line="240" w:lineRule="auto"/>
              <w:ind w:right="57"/>
              <w:jc w:val="right"/>
              <w:rPr>
                <w:rFonts w:cs="Calibri"/>
                <w:sz w:val="16"/>
                <w:szCs w:val="16"/>
              </w:rPr>
            </w:pPr>
            <w:r>
              <w:rPr>
                <w:rFonts w:cs="Calibri"/>
                <w:sz w:val="16"/>
                <w:szCs w:val="16"/>
              </w:rPr>
              <w:t>0,0</w:t>
            </w:r>
          </w:p>
        </w:tc>
      </w:tr>
      <w:tr w:rsidR="007C56ED" w:rsidRPr="007C56ED" w14:paraId="77EFA6BB"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3A214604" w14:textId="77777777" w:rsidR="007C56ED" w:rsidRPr="007C56ED" w:rsidRDefault="007C56ED" w:rsidP="007C56ED">
            <w:pPr>
              <w:spacing w:before="100" w:beforeAutospacing="1" w:after="100" w:afterAutospacing="1" w:line="240" w:lineRule="auto"/>
              <w:ind w:left="57"/>
              <w:rPr>
                <w:sz w:val="16"/>
                <w:szCs w:val="16"/>
              </w:rPr>
            </w:pPr>
            <w:r w:rsidRPr="007C56ED">
              <w:rPr>
                <w:sz w:val="16"/>
                <w:szCs w:val="16"/>
              </w:rPr>
              <w:t>VIII</w:t>
            </w:r>
          </w:p>
        </w:tc>
        <w:tc>
          <w:tcPr>
            <w:tcW w:w="3289" w:type="dxa"/>
            <w:tcBorders>
              <w:top w:val="single" w:sz="12" w:space="0" w:color="001D77"/>
              <w:left w:val="single" w:sz="12" w:space="0" w:color="001D77"/>
              <w:bottom w:val="single" w:sz="12" w:space="0" w:color="001D77"/>
              <w:right w:val="single" w:sz="12" w:space="0" w:color="001D77"/>
            </w:tcBorders>
          </w:tcPr>
          <w:p w14:paraId="2987E112" w14:textId="6E088383"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Koszty realizacji programów rządowych,</w:t>
            </w:r>
            <w:r w:rsidRPr="007C56ED">
              <w:rPr>
                <w:sz w:val="16"/>
                <w:szCs w:val="16"/>
              </w:rPr>
              <w:br/>
              <w:t xml:space="preserve">o których mowa w art. 7 ust. 1 ustawy </w:t>
            </w:r>
            <w:r w:rsidRPr="007C56ED">
              <w:rPr>
                <w:sz w:val="16"/>
                <w:szCs w:val="16"/>
              </w:rPr>
              <w:br/>
              <w:t xml:space="preserve">z dnia 23 października 2018 r. </w:t>
            </w:r>
            <w:r w:rsidRPr="007C56ED">
              <w:rPr>
                <w:sz w:val="16"/>
                <w:szCs w:val="16"/>
              </w:rPr>
              <w:br/>
              <w:t xml:space="preserve">o Solidarnościowym Funduszu Wsparcia Osób Niepełnosprawnych </w:t>
            </w:r>
            <w:r w:rsidR="00D816F4" w:rsidRPr="004435CC">
              <w:rPr>
                <w:sz w:val="16"/>
                <w:szCs w:val="16"/>
              </w:rPr>
              <w:t>w zakresie wsparcia zdrowotnego osób niepełnosprawnych</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5CD22C4E"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05FA9218"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41</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78C34974"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76E5E3D1" w14:textId="57AA17BF" w:rsidR="007C56ED" w:rsidRPr="007C56ED" w:rsidRDefault="00D816F4" w:rsidP="007C56ED">
            <w:pPr>
              <w:spacing w:before="100" w:beforeAutospacing="1" w:after="100" w:afterAutospacing="1" w:line="240" w:lineRule="auto"/>
              <w:ind w:right="57"/>
              <w:jc w:val="right"/>
              <w:rPr>
                <w:sz w:val="16"/>
                <w:szCs w:val="16"/>
              </w:rPr>
            </w:pPr>
            <w:r>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6C61D2B7" w14:textId="335DEE9A" w:rsidR="007C56ED" w:rsidRPr="007C56ED" w:rsidRDefault="00D816F4" w:rsidP="007C56ED">
            <w:pPr>
              <w:spacing w:before="100" w:beforeAutospacing="1" w:after="100" w:afterAutospacing="1" w:line="240" w:lineRule="auto"/>
              <w:ind w:right="57"/>
              <w:jc w:val="right"/>
              <w:rPr>
                <w:sz w:val="16"/>
                <w:szCs w:val="16"/>
              </w:rPr>
            </w:pPr>
            <w:r>
              <w:rPr>
                <w:sz w:val="16"/>
                <w:szCs w:val="16"/>
              </w:rPr>
              <w:t>0</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7FDDB82E" w14:textId="35975938" w:rsidR="007C56ED" w:rsidRPr="007C56ED" w:rsidRDefault="00D816F4" w:rsidP="007C56ED">
            <w:pPr>
              <w:spacing w:before="100" w:beforeAutospacing="1" w:after="100" w:afterAutospacing="1" w:line="240" w:lineRule="auto"/>
              <w:ind w:right="57"/>
              <w:jc w:val="right"/>
              <w:rPr>
                <w:rFonts w:cs="Calibri"/>
                <w:sz w:val="16"/>
                <w:szCs w:val="16"/>
              </w:rPr>
            </w:pPr>
            <w:r>
              <w:rPr>
                <w:rFonts w:cs="Calibri"/>
                <w:sz w:val="16"/>
                <w:szCs w:val="16"/>
              </w:rPr>
              <w:t>0,0</w:t>
            </w:r>
          </w:p>
        </w:tc>
      </w:tr>
      <w:tr w:rsidR="00D816F4" w:rsidRPr="007C56ED" w14:paraId="20811002"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5220F509" w14:textId="124FDC6B" w:rsidR="00D816F4" w:rsidRPr="007C56ED" w:rsidRDefault="00D816F4" w:rsidP="007C56ED">
            <w:pPr>
              <w:spacing w:before="100" w:beforeAutospacing="1" w:after="100" w:afterAutospacing="1" w:line="240" w:lineRule="auto"/>
              <w:ind w:left="57"/>
              <w:rPr>
                <w:sz w:val="16"/>
                <w:szCs w:val="16"/>
              </w:rPr>
            </w:pPr>
            <w:r>
              <w:rPr>
                <w:sz w:val="16"/>
                <w:szCs w:val="16"/>
              </w:rPr>
              <w:t>IX</w:t>
            </w:r>
          </w:p>
        </w:tc>
        <w:tc>
          <w:tcPr>
            <w:tcW w:w="3289" w:type="dxa"/>
            <w:tcBorders>
              <w:top w:val="single" w:sz="12" w:space="0" w:color="001D77"/>
              <w:left w:val="single" w:sz="12" w:space="0" w:color="001D77"/>
              <w:bottom w:val="single" w:sz="12" w:space="0" w:color="001D77"/>
              <w:right w:val="single" w:sz="12" w:space="0" w:color="001D77"/>
            </w:tcBorders>
          </w:tcPr>
          <w:p w14:paraId="556543B1" w14:textId="30D7FDAB" w:rsidR="00D816F4" w:rsidRPr="007C56ED" w:rsidRDefault="00D816F4" w:rsidP="007C56ED">
            <w:pPr>
              <w:spacing w:before="100" w:beforeAutospacing="1" w:after="100" w:afterAutospacing="1" w:line="240" w:lineRule="auto"/>
              <w:ind w:left="57" w:right="57"/>
              <w:rPr>
                <w:sz w:val="16"/>
                <w:szCs w:val="16"/>
              </w:rPr>
            </w:pPr>
            <w:r w:rsidRPr="007C56ED">
              <w:rPr>
                <w:sz w:val="16"/>
                <w:szCs w:val="16"/>
              </w:rPr>
              <w:t>Odpis dla Agencji Oceny Technologii Medycznych i Taryfikacji, o którym mowa</w:t>
            </w:r>
            <w:r w:rsidRPr="007C56ED">
              <w:rPr>
                <w:sz w:val="16"/>
                <w:szCs w:val="16"/>
              </w:rPr>
              <w:br/>
              <w:t>w art. 31t ust. 5–9 ustawy ujęty w planie finansowym Funduszu</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8E2CCF2" w14:textId="692B564C" w:rsidR="00D816F4" w:rsidRPr="007C56ED" w:rsidRDefault="00D816F4" w:rsidP="007C56ED">
            <w:pPr>
              <w:spacing w:before="100" w:beforeAutospacing="1" w:after="100" w:afterAutospacing="1" w:line="240" w:lineRule="auto"/>
              <w:ind w:right="57"/>
              <w:jc w:val="right"/>
              <w:rPr>
                <w:sz w:val="16"/>
                <w:szCs w:val="16"/>
              </w:rPr>
            </w:pPr>
            <w:r>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FDD2C1E" w14:textId="3E9A7EE5" w:rsidR="00D816F4" w:rsidRPr="007C56ED" w:rsidRDefault="00D816F4" w:rsidP="007C56ED">
            <w:pPr>
              <w:spacing w:before="100" w:beforeAutospacing="1" w:after="100" w:afterAutospacing="1" w:line="240" w:lineRule="auto"/>
              <w:ind w:right="57"/>
              <w:jc w:val="right"/>
              <w:rPr>
                <w:sz w:val="16"/>
                <w:szCs w:val="16"/>
              </w:rPr>
            </w:pPr>
            <w:r>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02F24A54" w14:textId="4802F680" w:rsidR="00D816F4" w:rsidRPr="007C56ED" w:rsidRDefault="00D816F4" w:rsidP="007C56ED">
            <w:pPr>
              <w:spacing w:before="100" w:beforeAutospacing="1" w:after="100" w:afterAutospacing="1" w:line="240" w:lineRule="auto"/>
              <w:ind w:right="57"/>
              <w:jc w:val="right"/>
              <w:rPr>
                <w:rFonts w:cs="Calibri"/>
                <w:sz w:val="16"/>
                <w:szCs w:val="16"/>
              </w:rPr>
            </w:pPr>
            <w:r>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241A1A4F" w14:textId="34B76823" w:rsidR="00D816F4" w:rsidRPr="007C56ED" w:rsidRDefault="00D816F4" w:rsidP="007C56ED">
            <w:pPr>
              <w:spacing w:before="100" w:beforeAutospacing="1" w:after="100" w:afterAutospacing="1" w:line="240" w:lineRule="auto"/>
              <w:ind w:right="57"/>
              <w:jc w:val="right"/>
              <w:rPr>
                <w:sz w:val="16"/>
                <w:szCs w:val="16"/>
              </w:rPr>
            </w:pPr>
            <w:r>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8701F79" w14:textId="7B22E62C" w:rsidR="00D816F4" w:rsidRPr="007C56ED" w:rsidRDefault="00D816F4" w:rsidP="007C56ED">
            <w:pPr>
              <w:spacing w:before="100" w:beforeAutospacing="1" w:after="100" w:afterAutospacing="1" w:line="240" w:lineRule="auto"/>
              <w:ind w:right="57"/>
              <w:jc w:val="right"/>
              <w:rPr>
                <w:sz w:val="16"/>
                <w:szCs w:val="16"/>
              </w:rPr>
            </w:pPr>
            <w:r>
              <w:rPr>
                <w:sz w:val="16"/>
                <w:szCs w:val="16"/>
              </w:rPr>
              <w:t>0</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2074161D" w14:textId="04E50F90" w:rsidR="00D816F4" w:rsidRPr="007C56ED" w:rsidRDefault="00D816F4" w:rsidP="007C56ED">
            <w:pPr>
              <w:spacing w:before="100" w:beforeAutospacing="1" w:after="100" w:afterAutospacing="1" w:line="240" w:lineRule="auto"/>
              <w:ind w:right="57"/>
              <w:jc w:val="right"/>
              <w:rPr>
                <w:rFonts w:cs="Calibri"/>
                <w:sz w:val="16"/>
                <w:szCs w:val="16"/>
              </w:rPr>
            </w:pPr>
            <w:r>
              <w:rPr>
                <w:rFonts w:cs="Calibri"/>
                <w:sz w:val="16"/>
                <w:szCs w:val="16"/>
              </w:rPr>
              <w:t>0,0</w:t>
            </w:r>
          </w:p>
        </w:tc>
      </w:tr>
      <w:tr w:rsidR="007C56ED" w:rsidRPr="007C56ED" w14:paraId="5E10EF37" w14:textId="77777777" w:rsidTr="00224BA0">
        <w:trPr>
          <w:gridAfter w:val="1"/>
          <w:wAfter w:w="99" w:type="dxa"/>
        </w:trPr>
        <w:tc>
          <w:tcPr>
            <w:tcW w:w="339" w:type="dxa"/>
            <w:tcBorders>
              <w:top w:val="single" w:sz="12" w:space="0" w:color="001D77"/>
              <w:bottom w:val="single" w:sz="12" w:space="0" w:color="001D77"/>
              <w:right w:val="single" w:sz="12" w:space="0" w:color="001D77"/>
            </w:tcBorders>
          </w:tcPr>
          <w:p w14:paraId="3FDC5509" w14:textId="2DA29AAB" w:rsidR="007C56ED" w:rsidRPr="007C56ED" w:rsidRDefault="007C56ED" w:rsidP="007C56ED">
            <w:pPr>
              <w:spacing w:before="100" w:beforeAutospacing="1" w:after="100" w:afterAutospacing="1" w:line="240" w:lineRule="auto"/>
              <w:ind w:left="57"/>
              <w:rPr>
                <w:sz w:val="16"/>
                <w:szCs w:val="16"/>
              </w:rPr>
            </w:pPr>
            <w:r w:rsidRPr="007C56ED">
              <w:rPr>
                <w:sz w:val="16"/>
                <w:szCs w:val="16"/>
              </w:rPr>
              <w:t>X</w:t>
            </w:r>
          </w:p>
        </w:tc>
        <w:tc>
          <w:tcPr>
            <w:tcW w:w="3289" w:type="dxa"/>
            <w:tcBorders>
              <w:top w:val="single" w:sz="12" w:space="0" w:color="001D77"/>
              <w:left w:val="single" w:sz="12" w:space="0" w:color="001D77"/>
              <w:bottom w:val="single" w:sz="12" w:space="0" w:color="001D77"/>
              <w:right w:val="single" w:sz="12" w:space="0" w:color="001D77"/>
            </w:tcBorders>
          </w:tcPr>
          <w:p w14:paraId="02B712EA" w14:textId="77777777" w:rsidR="007C56ED" w:rsidRPr="007C56ED" w:rsidRDefault="007C56ED" w:rsidP="007C56ED">
            <w:pPr>
              <w:spacing w:before="100" w:beforeAutospacing="1" w:after="100" w:afterAutospacing="1" w:line="240" w:lineRule="auto"/>
              <w:ind w:left="57" w:right="57"/>
              <w:rPr>
                <w:sz w:val="16"/>
                <w:szCs w:val="16"/>
              </w:rPr>
            </w:pPr>
            <w:r w:rsidRPr="007C56ED">
              <w:rPr>
                <w:sz w:val="16"/>
                <w:szCs w:val="16"/>
              </w:rPr>
              <w:t xml:space="preserve">Odpis dla Agencji Badań Medycznych, </w:t>
            </w:r>
            <w:r w:rsidRPr="007C56ED">
              <w:rPr>
                <w:sz w:val="16"/>
                <w:szCs w:val="16"/>
              </w:rPr>
              <w:br/>
              <w:t xml:space="preserve">o którym mowa w art. 97 ust. 3e, ujęty </w:t>
            </w:r>
            <w:r w:rsidRPr="007C56ED">
              <w:rPr>
                <w:sz w:val="16"/>
                <w:szCs w:val="16"/>
              </w:rPr>
              <w:br/>
              <w:t>w planie finansowym Funduszu</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45D49EA"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286</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9E9649C" w14:textId="77777777" w:rsidR="007C56ED" w:rsidRPr="007C56ED" w:rsidRDefault="007C56ED" w:rsidP="007C56ED">
            <w:pPr>
              <w:spacing w:before="100" w:beforeAutospacing="1" w:after="100" w:afterAutospacing="1" w:line="240" w:lineRule="auto"/>
              <w:ind w:right="57"/>
              <w:jc w:val="right"/>
              <w:rPr>
                <w:sz w:val="16"/>
                <w:szCs w:val="16"/>
              </w:rPr>
            </w:pPr>
            <w:r w:rsidRPr="007C56ED">
              <w:rPr>
                <w:sz w:val="16"/>
                <w:szCs w:val="16"/>
              </w:rPr>
              <w:t>286</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19C593E9" w14:textId="77777777" w:rsidR="007C56ED" w:rsidRPr="007C56ED" w:rsidRDefault="007C56ED" w:rsidP="007C56ED">
            <w:pPr>
              <w:spacing w:before="100" w:beforeAutospacing="1" w:after="100" w:afterAutospacing="1" w:line="240" w:lineRule="auto"/>
              <w:ind w:right="57"/>
              <w:jc w:val="right"/>
              <w:rPr>
                <w:rFonts w:cs="Calibri"/>
                <w:sz w:val="16"/>
                <w:szCs w:val="16"/>
              </w:rPr>
            </w:pPr>
            <w:r w:rsidRPr="007C56ED">
              <w:rPr>
                <w:rFonts w:cs="Calibri"/>
                <w:sz w:val="16"/>
                <w:szCs w:val="16"/>
              </w:rPr>
              <w:t>0,2</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4BC7FFF3" w14:textId="6292B83D" w:rsidR="007C56ED" w:rsidRPr="007C56ED" w:rsidRDefault="00D816F4" w:rsidP="007C56ED">
            <w:pPr>
              <w:spacing w:before="100" w:beforeAutospacing="1" w:after="100" w:afterAutospacing="1" w:line="240" w:lineRule="auto"/>
              <w:ind w:right="57"/>
              <w:jc w:val="right"/>
              <w:rPr>
                <w:sz w:val="16"/>
                <w:szCs w:val="16"/>
              </w:rPr>
            </w:pPr>
            <w:r>
              <w:rPr>
                <w:sz w:val="16"/>
                <w:szCs w:val="16"/>
              </w:rPr>
              <w:t>323</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52B2F0DB" w14:textId="31B2ED74" w:rsidR="007C56ED" w:rsidRPr="007C56ED" w:rsidRDefault="00D816F4" w:rsidP="007C56ED">
            <w:pPr>
              <w:spacing w:before="100" w:beforeAutospacing="1" w:after="100" w:afterAutospacing="1" w:line="240" w:lineRule="auto"/>
              <w:ind w:right="57"/>
              <w:jc w:val="right"/>
              <w:rPr>
                <w:sz w:val="16"/>
                <w:szCs w:val="16"/>
              </w:rPr>
            </w:pPr>
            <w:r>
              <w:rPr>
                <w:sz w:val="16"/>
                <w:szCs w:val="16"/>
              </w:rPr>
              <w:t>323</w:t>
            </w:r>
          </w:p>
        </w:tc>
        <w:tc>
          <w:tcPr>
            <w:tcW w:w="455" w:type="dxa"/>
            <w:tcBorders>
              <w:top w:val="single" w:sz="12" w:space="0" w:color="001D77"/>
              <w:left w:val="single" w:sz="12" w:space="0" w:color="001D77"/>
              <w:bottom w:val="single" w:sz="12" w:space="0" w:color="001D77"/>
              <w:right w:val="nil"/>
            </w:tcBorders>
            <w:shd w:val="clear" w:color="auto" w:fill="auto"/>
            <w:vAlign w:val="bottom"/>
          </w:tcPr>
          <w:p w14:paraId="35CEEAC2" w14:textId="384C4732" w:rsidR="007C56ED" w:rsidRPr="007C56ED" w:rsidRDefault="00D816F4" w:rsidP="00D816F4">
            <w:pPr>
              <w:spacing w:before="100" w:beforeAutospacing="1" w:after="100" w:afterAutospacing="1" w:line="240" w:lineRule="auto"/>
              <w:ind w:right="57"/>
              <w:jc w:val="center"/>
              <w:rPr>
                <w:rFonts w:cs="Calibri"/>
                <w:sz w:val="16"/>
                <w:szCs w:val="16"/>
              </w:rPr>
            </w:pPr>
            <w:r>
              <w:rPr>
                <w:rFonts w:cs="Calibri"/>
                <w:sz w:val="16"/>
                <w:szCs w:val="16"/>
              </w:rPr>
              <w:t>0,2</w:t>
            </w:r>
          </w:p>
        </w:tc>
      </w:tr>
      <w:tr w:rsidR="007C56ED" w:rsidRPr="007C56ED" w14:paraId="2D48C2F1" w14:textId="77777777" w:rsidTr="00224BA0">
        <w:tc>
          <w:tcPr>
            <w:tcW w:w="3628" w:type="dxa"/>
            <w:gridSpan w:val="2"/>
            <w:tcBorders>
              <w:top w:val="single" w:sz="4" w:space="0" w:color="001D77"/>
              <w:bottom w:val="nil"/>
              <w:right w:val="single" w:sz="12" w:space="0" w:color="001D77"/>
            </w:tcBorders>
          </w:tcPr>
          <w:p w14:paraId="4AB5E98C" w14:textId="073063E4" w:rsidR="007C56ED" w:rsidRPr="007C56ED" w:rsidRDefault="007C56ED" w:rsidP="007C56ED">
            <w:pPr>
              <w:spacing w:before="100" w:beforeAutospacing="1" w:after="100" w:afterAutospacing="1" w:line="240" w:lineRule="auto"/>
              <w:ind w:left="57" w:right="57"/>
              <w:jc w:val="right"/>
              <w:rPr>
                <w:b/>
                <w:bCs/>
                <w:sz w:val="16"/>
                <w:szCs w:val="16"/>
              </w:rPr>
            </w:pPr>
            <w:r w:rsidRPr="007C56ED">
              <w:rPr>
                <w:b/>
                <w:bCs/>
                <w:sz w:val="16"/>
                <w:szCs w:val="16"/>
              </w:rPr>
              <w:t>RAZEM</w:t>
            </w:r>
            <w:r w:rsidR="00D816F4">
              <w:rPr>
                <w:bCs/>
                <w:sz w:val="16"/>
                <w:szCs w:val="16"/>
                <w:vertAlign w:val="superscript"/>
              </w:rPr>
              <w:t>d</w:t>
            </w:r>
          </w:p>
        </w:tc>
        <w:tc>
          <w:tcPr>
            <w:tcW w:w="850" w:type="dxa"/>
            <w:tcBorders>
              <w:top w:val="single" w:sz="4" w:space="0" w:color="auto"/>
              <w:left w:val="single" w:sz="12" w:space="0" w:color="001D77"/>
              <w:bottom w:val="nil"/>
              <w:right w:val="single" w:sz="12" w:space="0" w:color="001D77"/>
            </w:tcBorders>
            <w:shd w:val="clear" w:color="auto" w:fill="auto"/>
            <w:vAlign w:val="center"/>
          </w:tcPr>
          <w:p w14:paraId="3FCD6E29" w14:textId="23B9C1AF" w:rsidR="007C56ED" w:rsidRPr="007C56ED" w:rsidRDefault="00CE0204" w:rsidP="007C56ED">
            <w:pPr>
              <w:spacing w:before="100" w:beforeAutospacing="1" w:after="100" w:afterAutospacing="1" w:line="240" w:lineRule="auto"/>
              <w:ind w:right="57"/>
              <w:jc w:val="right"/>
              <w:rPr>
                <w:b/>
                <w:bCs/>
                <w:sz w:val="16"/>
                <w:szCs w:val="16"/>
              </w:rPr>
            </w:pPr>
            <w:r>
              <w:rPr>
                <w:b/>
                <w:bCs/>
                <w:sz w:val="16"/>
                <w:szCs w:val="16"/>
              </w:rPr>
              <w:t>120 525</w:t>
            </w:r>
          </w:p>
        </w:tc>
        <w:tc>
          <w:tcPr>
            <w:tcW w:w="850" w:type="dxa"/>
            <w:tcBorders>
              <w:top w:val="single" w:sz="4" w:space="0" w:color="auto"/>
              <w:left w:val="single" w:sz="12" w:space="0" w:color="001D77"/>
              <w:bottom w:val="nil"/>
              <w:right w:val="single" w:sz="12" w:space="0" w:color="001D77"/>
            </w:tcBorders>
            <w:shd w:val="clear" w:color="auto" w:fill="auto"/>
            <w:vAlign w:val="center"/>
          </w:tcPr>
          <w:p w14:paraId="4707ED9E" w14:textId="1A5751A3" w:rsidR="007C56ED" w:rsidRPr="007C56ED" w:rsidRDefault="00CE0204" w:rsidP="007C56ED">
            <w:pPr>
              <w:spacing w:before="100" w:beforeAutospacing="1" w:after="100" w:afterAutospacing="1" w:line="240" w:lineRule="auto"/>
              <w:ind w:right="57"/>
              <w:jc w:val="right"/>
              <w:rPr>
                <w:b/>
                <w:bCs/>
                <w:sz w:val="16"/>
                <w:szCs w:val="16"/>
              </w:rPr>
            </w:pPr>
            <w:r>
              <w:rPr>
                <w:b/>
                <w:bCs/>
                <w:sz w:val="16"/>
                <w:szCs w:val="16"/>
              </w:rPr>
              <w:t>141 318</w:t>
            </w:r>
          </w:p>
        </w:tc>
        <w:tc>
          <w:tcPr>
            <w:tcW w:w="626" w:type="dxa"/>
            <w:tcBorders>
              <w:top w:val="single" w:sz="4" w:space="0" w:color="001D77"/>
              <w:left w:val="single" w:sz="12" w:space="0" w:color="001D77"/>
              <w:bottom w:val="nil"/>
              <w:right w:val="single" w:sz="12" w:space="0" w:color="001D77"/>
            </w:tcBorders>
            <w:vAlign w:val="bottom"/>
          </w:tcPr>
          <w:p w14:paraId="16338E42" w14:textId="107A3D0F" w:rsidR="007C56ED" w:rsidRPr="007C56ED" w:rsidRDefault="00CE0204" w:rsidP="007C56ED">
            <w:pPr>
              <w:spacing w:before="100" w:beforeAutospacing="1" w:after="100" w:afterAutospacing="1" w:line="240" w:lineRule="auto"/>
              <w:ind w:right="57"/>
              <w:jc w:val="right"/>
              <w:rPr>
                <w:b/>
                <w:bCs/>
                <w:sz w:val="16"/>
                <w:szCs w:val="16"/>
              </w:rPr>
            </w:pPr>
            <w:r>
              <w:rPr>
                <w:b/>
                <w:bCs/>
                <w:sz w:val="16"/>
                <w:szCs w:val="16"/>
              </w:rPr>
              <w:t>100</w:t>
            </w:r>
          </w:p>
        </w:tc>
        <w:tc>
          <w:tcPr>
            <w:tcW w:w="678" w:type="dxa"/>
            <w:tcBorders>
              <w:top w:val="single" w:sz="4" w:space="0" w:color="001D77"/>
              <w:left w:val="single" w:sz="12" w:space="0" w:color="001D77"/>
              <w:bottom w:val="nil"/>
            </w:tcBorders>
            <w:vAlign w:val="bottom"/>
          </w:tcPr>
          <w:p w14:paraId="52E534DF" w14:textId="5C1C8748" w:rsidR="007C56ED" w:rsidRPr="007C56ED" w:rsidRDefault="00CE0204" w:rsidP="007C56ED">
            <w:pPr>
              <w:spacing w:before="100" w:beforeAutospacing="1" w:after="100" w:afterAutospacing="1" w:line="240" w:lineRule="auto"/>
              <w:ind w:right="57"/>
              <w:jc w:val="right"/>
              <w:rPr>
                <w:b/>
                <w:bCs/>
                <w:sz w:val="16"/>
                <w:szCs w:val="16"/>
              </w:rPr>
            </w:pPr>
            <w:r>
              <w:rPr>
                <w:b/>
                <w:bCs/>
                <w:sz w:val="16"/>
                <w:szCs w:val="16"/>
              </w:rPr>
              <w:t>133 629</w:t>
            </w:r>
          </w:p>
        </w:tc>
        <w:tc>
          <w:tcPr>
            <w:tcW w:w="850" w:type="dxa"/>
            <w:tcBorders>
              <w:top w:val="single" w:sz="4" w:space="0" w:color="001D77"/>
              <w:left w:val="single" w:sz="12" w:space="0" w:color="001D77"/>
              <w:bottom w:val="nil"/>
              <w:right w:val="single" w:sz="12" w:space="0" w:color="001D77"/>
            </w:tcBorders>
            <w:vAlign w:val="bottom"/>
          </w:tcPr>
          <w:p w14:paraId="3E2A2002" w14:textId="4D7EC207" w:rsidR="007C56ED" w:rsidRPr="007C56ED" w:rsidRDefault="00CE0204" w:rsidP="007C56ED">
            <w:pPr>
              <w:spacing w:before="100" w:beforeAutospacing="1" w:after="100" w:afterAutospacing="1" w:line="240" w:lineRule="auto"/>
              <w:ind w:right="57"/>
              <w:jc w:val="right"/>
              <w:rPr>
                <w:b/>
                <w:bCs/>
                <w:sz w:val="16"/>
                <w:szCs w:val="16"/>
              </w:rPr>
            </w:pPr>
            <w:r>
              <w:rPr>
                <w:b/>
                <w:bCs/>
                <w:sz w:val="16"/>
                <w:szCs w:val="16"/>
              </w:rPr>
              <w:t>151 032</w:t>
            </w:r>
          </w:p>
        </w:tc>
        <w:tc>
          <w:tcPr>
            <w:tcW w:w="554" w:type="dxa"/>
            <w:gridSpan w:val="2"/>
            <w:tcBorders>
              <w:top w:val="single" w:sz="4" w:space="0" w:color="001D77"/>
              <w:left w:val="single" w:sz="12" w:space="0" w:color="001D77"/>
              <w:bottom w:val="nil"/>
            </w:tcBorders>
            <w:vAlign w:val="bottom"/>
          </w:tcPr>
          <w:p w14:paraId="711AD420" w14:textId="77777777" w:rsidR="007C56ED" w:rsidRPr="007C56ED" w:rsidRDefault="007C56ED" w:rsidP="007C56ED">
            <w:pPr>
              <w:spacing w:before="100" w:beforeAutospacing="1" w:after="100" w:afterAutospacing="1" w:line="240" w:lineRule="auto"/>
              <w:ind w:right="113"/>
              <w:jc w:val="right"/>
              <w:rPr>
                <w:b/>
                <w:bCs/>
                <w:sz w:val="16"/>
                <w:szCs w:val="16"/>
              </w:rPr>
            </w:pPr>
            <w:r w:rsidRPr="007C56ED">
              <w:rPr>
                <w:b/>
                <w:bCs/>
                <w:sz w:val="16"/>
                <w:szCs w:val="16"/>
              </w:rPr>
              <w:t>100</w:t>
            </w:r>
          </w:p>
        </w:tc>
      </w:tr>
    </w:tbl>
    <w:p w14:paraId="414EF901" w14:textId="77777777" w:rsidR="007C56ED" w:rsidRPr="007C56ED" w:rsidRDefault="007C56ED" w:rsidP="007C56ED">
      <w:pPr>
        <w:spacing w:line="288" w:lineRule="auto"/>
        <w:rPr>
          <w:rFonts w:eastAsiaTheme="minorEastAsia" w:cs="Arial"/>
          <w:color w:val="000000" w:themeColor="text1"/>
          <w:sz w:val="16"/>
          <w:szCs w:val="16"/>
          <w:lang w:eastAsia="pl-PL"/>
        </w:rPr>
      </w:pPr>
      <w:r w:rsidRPr="007C56ED">
        <w:rPr>
          <w:color w:val="000000" w:themeColor="text1"/>
          <w:sz w:val="16"/>
          <w:szCs w:val="16"/>
          <w:vertAlign w:val="superscript"/>
        </w:rPr>
        <w:t xml:space="preserve">a </w:t>
      </w:r>
      <w:r w:rsidRPr="007C56ED">
        <w:rPr>
          <w:rFonts w:eastAsiaTheme="minorEastAsia" w:cs="Arial"/>
          <w:color w:val="000000" w:themeColor="text1"/>
          <w:sz w:val="16"/>
          <w:szCs w:val="16"/>
          <w:lang w:eastAsia="pl-PL"/>
        </w:rPr>
        <w:t>Zgodnie z ustawa budżetową.</w:t>
      </w:r>
    </w:p>
    <w:p w14:paraId="0DB371C2" w14:textId="77777777" w:rsidR="007C56ED" w:rsidRPr="007C56ED" w:rsidRDefault="007C56ED" w:rsidP="007C56ED">
      <w:pPr>
        <w:spacing w:line="288" w:lineRule="auto"/>
        <w:rPr>
          <w:rFonts w:eastAsiaTheme="minorEastAsia" w:cs="Arial"/>
          <w:color w:val="000000" w:themeColor="text1"/>
          <w:sz w:val="16"/>
          <w:szCs w:val="16"/>
          <w:lang w:eastAsia="pl-PL"/>
        </w:rPr>
      </w:pPr>
      <w:r w:rsidRPr="007C56ED">
        <w:rPr>
          <w:rFonts w:eastAsiaTheme="minorEastAsia" w:cs="Arial"/>
          <w:color w:val="000000" w:themeColor="text1"/>
          <w:sz w:val="16"/>
          <w:szCs w:val="16"/>
          <w:vertAlign w:val="superscript"/>
          <w:lang w:eastAsia="pl-PL"/>
        </w:rPr>
        <w:t xml:space="preserve">b </w:t>
      </w:r>
      <w:r w:rsidRPr="007C56ED">
        <w:rPr>
          <w:rFonts w:eastAsiaTheme="minorEastAsia" w:cs="Arial"/>
          <w:color w:val="000000" w:themeColor="text1"/>
          <w:sz w:val="16"/>
          <w:szCs w:val="16"/>
          <w:lang w:eastAsia="pl-PL"/>
        </w:rPr>
        <w:t>W tym 23 743 mln zł pochodziło z Funduszu Przeciwdziałania COVID-19.</w:t>
      </w:r>
    </w:p>
    <w:p w14:paraId="381FE383" w14:textId="7E57D8CC" w:rsidR="007C56ED" w:rsidRPr="007C56ED" w:rsidRDefault="007C56ED" w:rsidP="007C56ED">
      <w:pPr>
        <w:spacing w:line="288" w:lineRule="auto"/>
        <w:rPr>
          <w:rFonts w:eastAsiaTheme="minorEastAsia" w:cs="Arial"/>
          <w:color w:val="000000" w:themeColor="text1"/>
          <w:sz w:val="16"/>
          <w:szCs w:val="16"/>
          <w:lang w:eastAsia="pl-PL"/>
        </w:rPr>
      </w:pPr>
      <w:r w:rsidRPr="007C56ED">
        <w:rPr>
          <w:sz w:val="16"/>
          <w:szCs w:val="16"/>
          <w:vertAlign w:val="superscript"/>
        </w:rPr>
        <w:t>C</w:t>
      </w:r>
      <w:r w:rsidRPr="007C56ED">
        <w:rPr>
          <w:sz w:val="16"/>
          <w:szCs w:val="16"/>
        </w:rPr>
        <w:t xml:space="preserve"> </w:t>
      </w:r>
      <w:r w:rsidR="00D816F4">
        <w:rPr>
          <w:rFonts w:eastAsiaTheme="minorEastAsia" w:cs="Arial"/>
          <w:color w:val="000000" w:themeColor="text1"/>
          <w:sz w:val="16"/>
          <w:szCs w:val="16"/>
          <w:lang w:eastAsia="pl-PL"/>
        </w:rPr>
        <w:t>W tym 5 539</w:t>
      </w:r>
      <w:r w:rsidRPr="007C56ED">
        <w:rPr>
          <w:rFonts w:eastAsiaTheme="minorEastAsia" w:cs="Arial"/>
          <w:color w:val="000000" w:themeColor="text1"/>
          <w:sz w:val="16"/>
          <w:szCs w:val="16"/>
          <w:lang w:eastAsia="pl-PL"/>
        </w:rPr>
        <w:t xml:space="preserve"> mln zł pochodziło z Funduszu Przeciwdziałania COVID-19</w:t>
      </w:r>
      <w:r w:rsidR="00D816F4">
        <w:rPr>
          <w:rFonts w:eastAsiaTheme="minorEastAsia" w:cs="Arial"/>
          <w:color w:val="000000" w:themeColor="text1"/>
          <w:sz w:val="16"/>
          <w:szCs w:val="16"/>
          <w:lang w:eastAsia="pl-PL"/>
        </w:rPr>
        <w:t>, a 604 mln zł pochodziło z Funduszu Pomocy</w:t>
      </w:r>
      <w:r w:rsidRPr="007C56ED">
        <w:rPr>
          <w:rFonts w:eastAsiaTheme="minorEastAsia" w:cs="Arial"/>
          <w:color w:val="000000" w:themeColor="text1"/>
          <w:sz w:val="16"/>
          <w:szCs w:val="16"/>
          <w:lang w:eastAsia="pl-PL"/>
        </w:rPr>
        <w:t>.</w:t>
      </w:r>
    </w:p>
    <w:p w14:paraId="4064BC4A" w14:textId="59B939FA" w:rsidR="007C56ED" w:rsidRPr="007C56ED" w:rsidRDefault="007C56ED" w:rsidP="007C56ED">
      <w:pPr>
        <w:spacing w:line="288" w:lineRule="auto"/>
        <w:rPr>
          <w:sz w:val="16"/>
          <w:szCs w:val="16"/>
        </w:rPr>
      </w:pPr>
      <w:r w:rsidRPr="007C56ED">
        <w:rPr>
          <w:sz w:val="16"/>
          <w:szCs w:val="16"/>
          <w:vertAlign w:val="superscript"/>
        </w:rPr>
        <w:t>d</w:t>
      </w:r>
      <w:r w:rsidRPr="007C56ED">
        <w:rPr>
          <w:sz w:val="16"/>
          <w:szCs w:val="16"/>
        </w:rPr>
        <w:t xml:space="preserve"> Sumy w kolumnach obliczone z</w:t>
      </w:r>
      <w:r w:rsidR="007B70AE">
        <w:rPr>
          <w:sz w:val="16"/>
          <w:szCs w:val="16"/>
        </w:rPr>
        <w:t>ostały na wartościach, które</w:t>
      </w:r>
      <w:r w:rsidRPr="007C56ED">
        <w:rPr>
          <w:sz w:val="16"/>
          <w:szCs w:val="16"/>
        </w:rPr>
        <w:t xml:space="preserve"> zostały zaokrąglone.</w:t>
      </w:r>
    </w:p>
    <w:p w14:paraId="3189A073" w14:textId="77777777" w:rsidR="007C56ED" w:rsidRPr="007C56ED" w:rsidRDefault="007C56ED" w:rsidP="007C56ED">
      <w:pPr>
        <w:spacing w:line="288" w:lineRule="auto"/>
        <w:rPr>
          <w:rFonts w:eastAsiaTheme="minorEastAsia" w:cs="Arial"/>
          <w:color w:val="000000" w:themeColor="text1"/>
          <w:szCs w:val="19"/>
          <w:lang w:eastAsia="pl-PL"/>
        </w:rPr>
      </w:pPr>
    </w:p>
    <w:p w14:paraId="07DD3339" w14:textId="6F4870E7" w:rsidR="007C56ED" w:rsidRPr="007C56ED" w:rsidRDefault="007C56ED" w:rsidP="007C56ED">
      <w:pPr>
        <w:spacing w:line="288" w:lineRule="auto"/>
        <w:rPr>
          <w:rFonts w:eastAsiaTheme="minorEastAsia" w:cs="Arial"/>
          <w:szCs w:val="19"/>
          <w:lang w:eastAsia="pl-PL"/>
        </w:rPr>
      </w:pPr>
      <w:r w:rsidRPr="007C56ED">
        <w:rPr>
          <w:rFonts w:eastAsiaTheme="minorEastAsia" w:cs="Arial"/>
          <w:color w:val="000000" w:themeColor="text1"/>
          <w:szCs w:val="19"/>
          <w:lang w:eastAsia="pl-PL"/>
        </w:rPr>
        <w:t xml:space="preserve">W strukturze tych nakładów główne pozycje dotyczą </w:t>
      </w:r>
      <w:r w:rsidR="00312C1B">
        <w:rPr>
          <w:rFonts w:eastAsiaTheme="minorEastAsia" w:cs="Arial"/>
          <w:color w:val="000000" w:themeColor="text1"/>
          <w:szCs w:val="19"/>
          <w:lang w:eastAsia="pl-PL"/>
        </w:rPr>
        <w:t>ujętych w planie finansowym</w:t>
      </w:r>
      <w:r w:rsidRPr="007C56ED">
        <w:rPr>
          <w:rFonts w:eastAsiaTheme="minorEastAsia" w:cs="Arial"/>
          <w:color w:val="000000" w:themeColor="text1"/>
          <w:szCs w:val="19"/>
          <w:lang w:eastAsia="pl-PL"/>
        </w:rPr>
        <w:t xml:space="preserve"> kosztów Narodowego Funduszu Zdrowia </w:t>
      </w:r>
      <w:r w:rsidRPr="007C56ED">
        <w:rPr>
          <w:rFonts w:eastAsiaTheme="minorEastAsia" w:cs="Arial"/>
          <w:szCs w:val="19"/>
          <w:lang w:eastAsia="pl-PL"/>
        </w:rPr>
        <w:t xml:space="preserve">(punkt IV Tablicy 3) </w:t>
      </w:r>
      <w:r w:rsidRPr="007C56ED">
        <w:rPr>
          <w:rFonts w:eastAsiaTheme="minorEastAsia" w:cs="Arial"/>
          <w:color w:val="000000" w:themeColor="text1"/>
          <w:szCs w:val="19"/>
          <w:lang w:eastAsia="pl-PL"/>
        </w:rPr>
        <w:t>oraz wydatków bud</w:t>
      </w:r>
      <w:r w:rsidR="0010137A">
        <w:rPr>
          <w:rFonts w:eastAsiaTheme="minorEastAsia" w:cs="Arial"/>
          <w:color w:val="000000" w:themeColor="text1"/>
          <w:szCs w:val="19"/>
          <w:lang w:eastAsia="pl-PL"/>
        </w:rPr>
        <w:t xml:space="preserve">żetu państwa, ujętych w części </w:t>
      </w:r>
      <w:r w:rsidRPr="007C56ED">
        <w:rPr>
          <w:rFonts w:eastAsiaTheme="minorEastAsia" w:cs="Arial"/>
          <w:color w:val="000000" w:themeColor="text1"/>
          <w:szCs w:val="19"/>
          <w:lang w:eastAsia="pl-PL"/>
        </w:rPr>
        <w:t xml:space="preserve">46 – Zdrowie </w:t>
      </w:r>
      <w:r w:rsidRPr="007C56ED">
        <w:rPr>
          <w:rFonts w:eastAsiaTheme="minorEastAsia" w:cs="Arial"/>
          <w:szCs w:val="19"/>
          <w:lang w:eastAsia="pl-PL"/>
        </w:rPr>
        <w:t xml:space="preserve">(punkt I Tablicy 3) </w:t>
      </w:r>
      <w:r w:rsidRPr="007C56ED">
        <w:rPr>
          <w:rFonts w:eastAsiaTheme="minorEastAsia" w:cs="Arial"/>
          <w:color w:val="000000" w:themeColor="text1"/>
          <w:szCs w:val="19"/>
          <w:lang w:eastAsia="pl-PL"/>
        </w:rPr>
        <w:t xml:space="preserve">oraz w dziale ochrona zdrowia w innych częściach budżetowych </w:t>
      </w:r>
      <w:r w:rsidRPr="007C56ED">
        <w:rPr>
          <w:rFonts w:eastAsiaTheme="minorEastAsia" w:cs="Arial"/>
          <w:szCs w:val="19"/>
          <w:lang w:eastAsia="pl-PL"/>
        </w:rPr>
        <w:t xml:space="preserve">(punkt III Tablicy 3). </w:t>
      </w:r>
    </w:p>
    <w:p w14:paraId="4C02C435" w14:textId="77777777" w:rsidR="007C56ED" w:rsidRDefault="007C56ED" w:rsidP="007C56ED">
      <w:pPr>
        <w:spacing w:line="288" w:lineRule="auto"/>
        <w:rPr>
          <w:rFonts w:eastAsiaTheme="minorEastAsia" w:cs="Arial"/>
          <w:color w:val="000000" w:themeColor="text1"/>
          <w:szCs w:val="19"/>
          <w:lang w:eastAsia="pl-PL"/>
        </w:rPr>
      </w:pPr>
    </w:p>
    <w:p w14:paraId="46AA19A4" w14:textId="77777777" w:rsidR="006875FB" w:rsidRDefault="006875FB" w:rsidP="007C56ED">
      <w:pPr>
        <w:spacing w:line="288" w:lineRule="auto"/>
        <w:rPr>
          <w:rFonts w:eastAsiaTheme="minorEastAsia" w:cs="Arial"/>
          <w:color w:val="000000" w:themeColor="text1"/>
          <w:szCs w:val="19"/>
          <w:lang w:eastAsia="pl-PL"/>
        </w:rPr>
      </w:pPr>
    </w:p>
    <w:p w14:paraId="3AD52C57" w14:textId="77777777" w:rsidR="006875FB" w:rsidRPr="007C56ED" w:rsidRDefault="006875FB" w:rsidP="007C56ED">
      <w:pPr>
        <w:spacing w:line="288" w:lineRule="auto"/>
        <w:rPr>
          <w:rFonts w:eastAsiaTheme="minorEastAsia" w:cs="Arial"/>
          <w:color w:val="000000" w:themeColor="text1"/>
          <w:szCs w:val="19"/>
          <w:lang w:eastAsia="pl-PL"/>
        </w:rPr>
      </w:pPr>
    </w:p>
    <w:p w14:paraId="212E0F6E" w14:textId="047D143E" w:rsidR="007C56ED" w:rsidRPr="007C56ED" w:rsidRDefault="00E263FB" w:rsidP="006875FB">
      <w:pPr>
        <w:spacing w:line="288" w:lineRule="auto"/>
        <w:ind w:left="879" w:hanging="879"/>
        <w:rPr>
          <w:rFonts w:eastAsiaTheme="minorEastAsia" w:cs="Arial"/>
          <w:b/>
          <w:color w:val="000000" w:themeColor="text1"/>
          <w:szCs w:val="19"/>
          <w:lang w:eastAsia="pl-PL"/>
        </w:rPr>
      </w:pPr>
      <w:r>
        <w:rPr>
          <w:rFonts w:ascii="Fira Sans SemiBold" w:eastAsia="Times New Roman" w:hAnsi="Fira Sans SemiBold" w:cs="Times New Roman"/>
          <w:bCs/>
          <w:noProof/>
          <w:color w:val="001D77"/>
          <w:szCs w:val="24"/>
          <w:lang w:eastAsia="pl-PL"/>
        </w:rPr>
        <w:drawing>
          <wp:anchor distT="0" distB="0" distL="114300" distR="114300" simplePos="0" relativeHeight="251772928" behindDoc="0" locked="0" layoutInCell="1" allowOverlap="1" wp14:anchorId="3F076BB5" wp14:editId="7D75DE68">
            <wp:simplePos x="0" y="0"/>
            <wp:positionH relativeFrom="column">
              <wp:posOffset>0</wp:posOffset>
            </wp:positionH>
            <wp:positionV relativeFrom="paragraph">
              <wp:posOffset>427025</wp:posOffset>
            </wp:positionV>
            <wp:extent cx="5041900" cy="2235200"/>
            <wp:effectExtent l="0" t="0" r="6350" b="0"/>
            <wp:wrapTight wrapText="bothSides">
              <wp:wrapPolygon edited="0">
                <wp:start x="0" y="0"/>
                <wp:lineTo x="0" y="21355"/>
                <wp:lineTo x="21546" y="21355"/>
                <wp:lineTo x="21546" y="0"/>
                <wp:lineTo x="0" y="0"/>
              </wp:wrapPolygon>
            </wp:wrapTight>
            <wp:docPr id="174347103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71033" name="Obraz 1743471033"/>
                    <pic:cNvPicPr/>
                  </pic:nvPicPr>
                  <pic:blipFill>
                    <a:blip r:embed="rId17">
                      <a:extLst>
                        <a:ext uri="{28A0092B-C50C-407E-A947-70E740481C1C}">
                          <a14:useLocalDpi xmlns:a14="http://schemas.microsoft.com/office/drawing/2010/main" val="0"/>
                        </a:ext>
                      </a:extLst>
                    </a:blip>
                    <a:stretch>
                      <a:fillRect/>
                    </a:stretch>
                  </pic:blipFill>
                  <pic:spPr>
                    <a:xfrm>
                      <a:off x="0" y="0"/>
                      <a:ext cx="5041900" cy="2235200"/>
                    </a:xfrm>
                    <a:prstGeom prst="rect">
                      <a:avLst/>
                    </a:prstGeom>
                  </pic:spPr>
                </pic:pic>
              </a:graphicData>
            </a:graphic>
          </wp:anchor>
        </w:drawing>
      </w:r>
      <w:r w:rsidR="007C56ED" w:rsidRPr="007C56ED">
        <w:rPr>
          <w:rFonts w:eastAsiaTheme="minorEastAsia" w:cs="Arial"/>
          <w:b/>
          <w:color w:val="000000" w:themeColor="text1"/>
          <w:szCs w:val="19"/>
          <w:lang w:eastAsia="pl-PL"/>
        </w:rPr>
        <w:t>Wykres</w:t>
      </w:r>
      <w:r w:rsidR="006875FB">
        <w:rPr>
          <w:rFonts w:eastAsiaTheme="minorEastAsia" w:cs="Arial"/>
          <w:b/>
          <w:color w:val="000000" w:themeColor="text1"/>
          <w:szCs w:val="19"/>
          <w:lang w:eastAsia="pl-PL"/>
        </w:rPr>
        <w:t> </w:t>
      </w:r>
      <w:r w:rsidR="007C56ED" w:rsidRPr="007C56ED">
        <w:rPr>
          <w:rFonts w:eastAsiaTheme="minorEastAsia" w:cs="Arial"/>
          <w:b/>
          <w:color w:val="000000" w:themeColor="text1"/>
          <w:szCs w:val="19"/>
          <w:lang w:eastAsia="pl-PL"/>
        </w:rPr>
        <w:t>6.</w:t>
      </w:r>
      <w:r w:rsidR="006875FB">
        <w:rPr>
          <w:rFonts w:eastAsiaTheme="minorEastAsia" w:cs="Arial"/>
          <w:b/>
          <w:color w:val="000000" w:themeColor="text1"/>
          <w:szCs w:val="19"/>
          <w:lang w:eastAsia="pl-PL"/>
        </w:rPr>
        <w:t> </w:t>
      </w:r>
      <w:r w:rsidR="007C56ED" w:rsidRPr="007C56ED">
        <w:rPr>
          <w:rFonts w:eastAsiaTheme="minorEastAsia" w:cs="Arial"/>
          <w:b/>
          <w:color w:val="000000" w:themeColor="text1"/>
          <w:szCs w:val="19"/>
          <w:lang w:eastAsia="pl-PL"/>
        </w:rPr>
        <w:t>Udział wydatków w nakładach na ochronę zdrowia</w:t>
      </w:r>
      <w:r w:rsidR="009769F0">
        <w:rPr>
          <w:rFonts w:eastAsiaTheme="minorEastAsia" w:cs="Arial"/>
          <w:b/>
          <w:color w:val="000000" w:themeColor="text1"/>
          <w:szCs w:val="19"/>
          <w:lang w:eastAsia="pl-PL"/>
        </w:rPr>
        <w:t xml:space="preserve"> </w:t>
      </w:r>
      <w:r w:rsidR="007C56ED" w:rsidRPr="007C56ED">
        <w:rPr>
          <w:rFonts w:eastAsiaTheme="minorEastAsia" w:cs="Arial"/>
          <w:b/>
          <w:color w:val="000000" w:themeColor="text1"/>
          <w:szCs w:val="19"/>
          <w:lang w:eastAsia="pl-PL"/>
        </w:rPr>
        <w:t>według katego</w:t>
      </w:r>
      <w:r w:rsidR="003F1616">
        <w:rPr>
          <w:rFonts w:eastAsiaTheme="minorEastAsia" w:cs="Arial"/>
          <w:b/>
          <w:color w:val="000000" w:themeColor="text1"/>
          <w:szCs w:val="19"/>
          <w:lang w:eastAsia="pl-PL"/>
        </w:rPr>
        <w:t>rii wynikających z ustawy w 2022</w:t>
      </w:r>
      <w:r w:rsidR="007C56ED" w:rsidRPr="007C56ED">
        <w:rPr>
          <w:rFonts w:eastAsiaTheme="minorEastAsia" w:cs="Arial"/>
          <w:b/>
          <w:color w:val="000000" w:themeColor="text1"/>
          <w:szCs w:val="19"/>
          <w:lang w:eastAsia="pl-PL"/>
        </w:rPr>
        <w:t xml:space="preserve"> r. </w:t>
      </w:r>
    </w:p>
    <w:p w14:paraId="0B24BAE3" w14:textId="77777777" w:rsidR="007C56ED" w:rsidRPr="007C56ED" w:rsidRDefault="007C56ED" w:rsidP="007C56ED">
      <w:pPr>
        <w:spacing w:line="288" w:lineRule="auto"/>
        <w:rPr>
          <w:rFonts w:ascii="Fira Sans SemiBold" w:eastAsia="Times New Roman" w:hAnsi="Fira Sans SemiBold" w:cs="Times New Roman"/>
          <w:bCs/>
          <w:color w:val="001D77"/>
          <w:szCs w:val="24"/>
        </w:rPr>
      </w:pPr>
    </w:p>
    <w:p w14:paraId="1B224359"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t>Wzrost nakładów na ochronę zdrowia w latach 2014-2022</w:t>
      </w:r>
    </w:p>
    <w:p w14:paraId="42529A11" w14:textId="77777777" w:rsidR="003F1616" w:rsidRPr="00A933B7" w:rsidRDefault="003F1616" w:rsidP="003F1616">
      <w:pPr>
        <w:spacing w:line="288" w:lineRule="auto"/>
        <w:rPr>
          <w:rFonts w:eastAsiaTheme="minorEastAsia" w:cs="Arial"/>
          <w:szCs w:val="19"/>
          <w:lang w:eastAsia="pl-PL"/>
        </w:rPr>
      </w:pPr>
      <w:r w:rsidRPr="00B147F7">
        <w:rPr>
          <w:rFonts w:eastAsiaTheme="minorEastAsia" w:cs="Arial"/>
          <w:color w:val="000000" w:themeColor="text1"/>
          <w:szCs w:val="19"/>
          <w:lang w:eastAsia="pl-PL"/>
        </w:rPr>
        <w:t xml:space="preserve">W latach 2014-2022 możemy zaobserwować stały wzrost nakładów na ochronę zdrowia. </w:t>
      </w:r>
      <w:r w:rsidRPr="00B147F7">
        <w:rPr>
          <w:rFonts w:eastAsiaTheme="minorEastAsia" w:cs="Arial"/>
          <w:szCs w:val="19"/>
          <w:lang w:eastAsia="pl-PL"/>
        </w:rPr>
        <w:t xml:space="preserve">Dotyczy to zarówno corocznych planów nakładów według ustawy, jak ich wykonania, które prawie zawsze było większe od planu, z wyjątkiem roku 2014. Pomiędzy rokiem 2014 a 2022 nakłady </w:t>
      </w:r>
      <w:r w:rsidRPr="003F1616">
        <w:rPr>
          <w:rFonts w:eastAsiaTheme="minorEastAsia" w:cs="Arial"/>
          <w:szCs w:val="19"/>
          <w:lang w:eastAsia="pl-PL"/>
        </w:rPr>
        <w:t xml:space="preserve">na ochronę zdrowia według planu, wzrosły o 82,0%, natomiast według wykonania, zwiększyły się o 107,1%. Największy roczny wzrost w tym okresie nakładów na ochronę zdrowia według wykonania, odnotowano w roku 2021 – o 21,5%. </w:t>
      </w:r>
    </w:p>
    <w:p w14:paraId="6BF221B7" w14:textId="77777777" w:rsidR="007C56ED" w:rsidRPr="007C56ED" w:rsidRDefault="007C56ED" w:rsidP="007C56ED">
      <w:pPr>
        <w:spacing w:line="288" w:lineRule="auto"/>
        <w:rPr>
          <w:rFonts w:eastAsiaTheme="minorEastAsia" w:cs="Arial"/>
          <w:color w:val="000000" w:themeColor="text1"/>
          <w:szCs w:val="19"/>
          <w:lang w:eastAsia="pl-PL"/>
        </w:rPr>
      </w:pPr>
    </w:p>
    <w:p w14:paraId="43046377" w14:textId="06D1ACD9" w:rsidR="007C56ED" w:rsidRPr="007C56ED" w:rsidRDefault="002D17A5" w:rsidP="007C56ED">
      <w:pPr>
        <w:spacing w:line="288" w:lineRule="auto"/>
        <w:rPr>
          <w:rFonts w:eastAsiaTheme="minorEastAsia" w:cs="Arial"/>
          <w:b/>
          <w:color w:val="000000" w:themeColor="text1"/>
          <w:szCs w:val="19"/>
          <w:lang w:eastAsia="pl-PL"/>
        </w:rPr>
      </w:pPr>
      <w:r>
        <w:rPr>
          <w:rFonts w:ascii="Fira Sans SemiBold" w:eastAsia="Times New Roman" w:hAnsi="Fira Sans SemiBold" w:cs="Times New Roman"/>
          <w:bCs/>
          <w:noProof/>
          <w:color w:val="001D77"/>
          <w:szCs w:val="24"/>
          <w:lang w:eastAsia="pl-PL"/>
        </w:rPr>
        <w:drawing>
          <wp:anchor distT="0" distB="0" distL="114300" distR="114300" simplePos="0" relativeHeight="251773952" behindDoc="0" locked="0" layoutInCell="1" allowOverlap="1" wp14:anchorId="65995EEF" wp14:editId="0C0D9C1E">
            <wp:simplePos x="0" y="0"/>
            <wp:positionH relativeFrom="column">
              <wp:posOffset>0</wp:posOffset>
            </wp:positionH>
            <wp:positionV relativeFrom="paragraph">
              <wp:posOffset>247320</wp:posOffset>
            </wp:positionV>
            <wp:extent cx="5041900" cy="2522855"/>
            <wp:effectExtent l="0" t="0" r="6350" b="0"/>
            <wp:wrapTight wrapText="bothSides">
              <wp:wrapPolygon edited="0">
                <wp:start x="0" y="0"/>
                <wp:lineTo x="0" y="21366"/>
                <wp:lineTo x="21546" y="21366"/>
                <wp:lineTo x="21546" y="0"/>
                <wp:lineTo x="0" y="0"/>
              </wp:wrapPolygon>
            </wp:wrapTight>
            <wp:docPr id="92784807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48073" name="Obraz 927848073"/>
                    <pic:cNvPicPr/>
                  </pic:nvPicPr>
                  <pic:blipFill>
                    <a:blip r:embed="rId18">
                      <a:extLst>
                        <a:ext uri="{28A0092B-C50C-407E-A947-70E740481C1C}">
                          <a14:useLocalDpi xmlns:a14="http://schemas.microsoft.com/office/drawing/2010/main" val="0"/>
                        </a:ext>
                      </a:extLst>
                    </a:blip>
                    <a:stretch>
                      <a:fillRect/>
                    </a:stretch>
                  </pic:blipFill>
                  <pic:spPr>
                    <a:xfrm>
                      <a:off x="0" y="0"/>
                      <a:ext cx="5041900" cy="2522855"/>
                    </a:xfrm>
                    <a:prstGeom prst="rect">
                      <a:avLst/>
                    </a:prstGeom>
                  </pic:spPr>
                </pic:pic>
              </a:graphicData>
            </a:graphic>
          </wp:anchor>
        </w:drawing>
      </w:r>
      <w:r w:rsidR="007C56ED" w:rsidRPr="007C56ED">
        <w:rPr>
          <w:rFonts w:eastAsiaTheme="minorEastAsia" w:cs="Arial"/>
          <w:b/>
          <w:color w:val="000000" w:themeColor="text1"/>
          <w:szCs w:val="19"/>
          <w:lang w:eastAsia="pl-PL"/>
        </w:rPr>
        <w:t>Wykres 7. Wzrost nakładów na ochronę zdrowia</w:t>
      </w:r>
    </w:p>
    <w:p w14:paraId="55530330" w14:textId="77777777" w:rsidR="007C56ED" w:rsidRPr="007C56ED" w:rsidRDefault="007C56ED" w:rsidP="007C56ED">
      <w:pPr>
        <w:spacing w:line="288" w:lineRule="auto"/>
        <w:rPr>
          <w:rFonts w:ascii="Fira Sans SemiBold" w:eastAsia="Times New Roman" w:hAnsi="Fira Sans SemiBold" w:cs="Times New Roman"/>
          <w:bCs/>
          <w:color w:val="001D77"/>
          <w:szCs w:val="24"/>
        </w:rPr>
      </w:pPr>
    </w:p>
    <w:p w14:paraId="6CAE2BF1" w14:textId="77777777" w:rsidR="007C56ED" w:rsidRPr="007C56ED" w:rsidRDefault="007C56ED" w:rsidP="007C56ED">
      <w:pPr>
        <w:spacing w:line="288" w:lineRule="auto"/>
        <w:rPr>
          <w:rFonts w:ascii="Fira Sans SemiBold" w:eastAsia="Times New Roman" w:hAnsi="Fira Sans SemiBold" w:cs="Times New Roman"/>
          <w:bCs/>
          <w:color w:val="001D77"/>
          <w:szCs w:val="24"/>
        </w:rPr>
      </w:pPr>
    </w:p>
    <w:p w14:paraId="70D89EC7" w14:textId="77777777" w:rsidR="007C56ED" w:rsidRPr="007C56ED" w:rsidRDefault="007C56ED" w:rsidP="007C56ED">
      <w:pPr>
        <w:spacing w:line="288" w:lineRule="auto"/>
        <w:rPr>
          <w:rFonts w:ascii="Fira Sans SemiBold" w:eastAsia="Times New Roman" w:hAnsi="Fira Sans SemiBold" w:cs="Times New Roman"/>
          <w:bCs/>
          <w:color w:val="001D77"/>
          <w:szCs w:val="24"/>
        </w:rPr>
      </w:pPr>
    </w:p>
    <w:p w14:paraId="41503D97" w14:textId="77777777" w:rsidR="007C56ED" w:rsidRDefault="007C56ED" w:rsidP="007C56ED">
      <w:pPr>
        <w:spacing w:line="288" w:lineRule="auto"/>
        <w:rPr>
          <w:rFonts w:ascii="Fira Sans SemiBold" w:eastAsia="Times New Roman" w:hAnsi="Fira Sans SemiBold" w:cs="Times New Roman"/>
          <w:bCs/>
          <w:color w:val="001D77"/>
          <w:szCs w:val="24"/>
        </w:rPr>
      </w:pPr>
    </w:p>
    <w:p w14:paraId="5C0A14DB" w14:textId="77777777" w:rsidR="00224BA0" w:rsidRDefault="00224BA0" w:rsidP="007C56ED">
      <w:pPr>
        <w:spacing w:line="288" w:lineRule="auto"/>
        <w:rPr>
          <w:rFonts w:ascii="Fira Sans SemiBold" w:eastAsia="Times New Roman" w:hAnsi="Fira Sans SemiBold" w:cs="Times New Roman"/>
          <w:bCs/>
          <w:color w:val="001D77"/>
          <w:szCs w:val="24"/>
        </w:rPr>
      </w:pPr>
    </w:p>
    <w:p w14:paraId="09CEF9D1" w14:textId="77777777" w:rsidR="00224BA0" w:rsidRDefault="00224BA0" w:rsidP="007C56ED">
      <w:pPr>
        <w:spacing w:line="288" w:lineRule="auto"/>
        <w:rPr>
          <w:rFonts w:ascii="Fira Sans SemiBold" w:eastAsia="Times New Roman" w:hAnsi="Fira Sans SemiBold" w:cs="Times New Roman"/>
          <w:bCs/>
          <w:color w:val="001D77"/>
          <w:szCs w:val="24"/>
        </w:rPr>
      </w:pPr>
    </w:p>
    <w:p w14:paraId="64527BC0" w14:textId="77777777" w:rsidR="00224BA0" w:rsidRDefault="00224BA0" w:rsidP="007C56ED">
      <w:pPr>
        <w:spacing w:line="288" w:lineRule="auto"/>
        <w:rPr>
          <w:rFonts w:ascii="Fira Sans SemiBold" w:eastAsia="Times New Roman" w:hAnsi="Fira Sans SemiBold" w:cs="Times New Roman"/>
          <w:bCs/>
          <w:color w:val="001D77"/>
          <w:szCs w:val="24"/>
        </w:rPr>
      </w:pPr>
    </w:p>
    <w:p w14:paraId="4B6250C3" w14:textId="77777777" w:rsidR="00224BA0" w:rsidRDefault="00224BA0" w:rsidP="007C56ED">
      <w:pPr>
        <w:spacing w:line="288" w:lineRule="auto"/>
        <w:rPr>
          <w:rFonts w:ascii="Fira Sans SemiBold" w:eastAsia="Times New Roman" w:hAnsi="Fira Sans SemiBold" w:cs="Times New Roman"/>
          <w:bCs/>
          <w:color w:val="001D77"/>
          <w:szCs w:val="24"/>
        </w:rPr>
      </w:pPr>
    </w:p>
    <w:p w14:paraId="15C124C8" w14:textId="77777777" w:rsidR="00224BA0" w:rsidRPr="007C56ED" w:rsidRDefault="00224BA0" w:rsidP="007C56ED">
      <w:pPr>
        <w:spacing w:line="288" w:lineRule="auto"/>
        <w:rPr>
          <w:rFonts w:ascii="Fira Sans SemiBold" w:eastAsia="Times New Roman" w:hAnsi="Fira Sans SemiBold" w:cs="Times New Roman"/>
          <w:bCs/>
          <w:color w:val="001D77"/>
          <w:szCs w:val="24"/>
        </w:rPr>
      </w:pPr>
    </w:p>
    <w:p w14:paraId="3E57A917" w14:textId="77777777" w:rsidR="007C56ED" w:rsidRPr="007C56ED" w:rsidRDefault="007C56ED" w:rsidP="007C56ED">
      <w:pPr>
        <w:spacing w:line="288" w:lineRule="auto"/>
        <w:ind w:firstLine="360"/>
        <w:rPr>
          <w:rFonts w:eastAsiaTheme="minorEastAsia" w:cs="Arial"/>
          <w:color w:val="000000" w:themeColor="text1"/>
          <w:szCs w:val="19"/>
          <w:lang w:eastAsia="pl-PL"/>
        </w:rPr>
      </w:pPr>
      <w:bookmarkStart w:id="3" w:name="_Hlk105498860"/>
      <w:r w:rsidRPr="007C56ED">
        <w:rPr>
          <w:rFonts w:ascii="Fira Sans SemiBold" w:eastAsia="Times New Roman" w:hAnsi="Fira Sans SemiBold" w:cs="Times New Roman"/>
          <w:bCs/>
          <w:color w:val="001D77"/>
          <w:szCs w:val="24"/>
        </w:rPr>
        <w:t>Podsumowanie</w:t>
      </w:r>
    </w:p>
    <w:p w14:paraId="43FEAC06" w14:textId="52993700" w:rsidR="007C56ED" w:rsidRPr="007C56ED" w:rsidRDefault="007C56ED" w:rsidP="007C56ED">
      <w:pPr>
        <w:spacing w:line="288" w:lineRule="auto"/>
        <w:rPr>
          <w:rFonts w:eastAsia="Times New Roman" w:cs="Times New Roman"/>
          <w:noProof/>
          <w:szCs w:val="19"/>
          <w:lang w:eastAsia="pl-PL"/>
        </w:rPr>
      </w:pPr>
      <w:r w:rsidRPr="007C56ED">
        <w:rPr>
          <w:rFonts w:eastAsia="Times New Roman" w:cs="Times New Roman"/>
          <w:noProof/>
          <w:szCs w:val="19"/>
          <w:lang w:eastAsia="pl-PL"/>
        </w:rPr>
        <w:t>Bez względu na przyjętą metodologię – wg Narodoweg</w:t>
      </w:r>
      <w:r w:rsidR="0010137A">
        <w:rPr>
          <w:rFonts w:eastAsia="Times New Roman" w:cs="Times New Roman"/>
          <w:noProof/>
          <w:szCs w:val="19"/>
          <w:lang w:eastAsia="pl-PL"/>
        </w:rPr>
        <w:t xml:space="preserve">o Rachunku Zdrowia czy zgodnie </w:t>
      </w:r>
      <w:r w:rsidR="0010137A">
        <w:rPr>
          <w:rFonts w:eastAsia="Times New Roman" w:cs="Times New Roman"/>
          <w:noProof/>
          <w:szCs w:val="19"/>
          <w:lang w:eastAsia="pl-PL"/>
        </w:rPr>
        <w:br/>
      </w:r>
      <w:r w:rsidRPr="007C56ED">
        <w:rPr>
          <w:rFonts w:eastAsia="Times New Roman" w:cs="Times New Roman"/>
          <w:noProof/>
          <w:szCs w:val="19"/>
          <w:lang w:eastAsia="pl-PL"/>
        </w:rPr>
        <w:t xml:space="preserve">z przepisami art. 131c ustawy z dnia 27 sierpnia 2004 r. o świadczeniach opieki zdrowotnej finansowanych ze środków publicznych – w latach 2014-2022 wystąpił znaczący wzrost kwot wydatków na ochronę zdrowia. </w:t>
      </w:r>
    </w:p>
    <w:p w14:paraId="1C1A45C3" w14:textId="12B98725" w:rsidR="007C56ED" w:rsidRPr="007C56ED" w:rsidRDefault="007C56ED" w:rsidP="007C56ED">
      <w:pPr>
        <w:spacing w:line="288" w:lineRule="auto"/>
        <w:rPr>
          <w:rFonts w:eastAsia="Times New Roman" w:cs="Times New Roman"/>
          <w:noProof/>
          <w:szCs w:val="19"/>
          <w:highlight w:val="yellow"/>
          <w:lang w:eastAsia="pl-PL"/>
        </w:rPr>
      </w:pPr>
      <w:r w:rsidRPr="007C56ED">
        <w:rPr>
          <w:rFonts w:eastAsia="Times New Roman" w:cs="Times New Roman"/>
          <w:noProof/>
          <w:szCs w:val="19"/>
          <w:lang w:eastAsia="pl-PL"/>
        </w:rPr>
        <w:t xml:space="preserve">Dane za rok 2022 wskazują na osiągnięcie przez nakłady publiczne </w:t>
      </w:r>
      <w:r w:rsidR="001D06BD" w:rsidRPr="001D06BD">
        <w:rPr>
          <w:rFonts w:eastAsia="Times New Roman" w:cs="Times New Roman"/>
          <w:noProof/>
          <w:szCs w:val="19"/>
          <w:lang w:eastAsia="pl-PL"/>
        </w:rPr>
        <w:t>poziomu 6,50</w:t>
      </w:r>
      <w:r w:rsidR="0010137A" w:rsidRPr="001D06BD">
        <w:rPr>
          <w:rFonts w:eastAsia="Times New Roman" w:cs="Times New Roman"/>
          <w:noProof/>
          <w:szCs w:val="19"/>
          <w:lang w:eastAsia="pl-PL"/>
        </w:rPr>
        <w:t>% PKB</w:t>
      </w:r>
      <w:r w:rsidR="00312C1B" w:rsidRPr="007C56ED">
        <w:rPr>
          <w:rFonts w:eastAsia="Times New Roman" w:cs="Times New Roman"/>
          <w:noProof/>
          <w:szCs w:val="19"/>
          <w:vertAlign w:val="superscript"/>
          <w:lang w:eastAsia="pl-PL"/>
        </w:rPr>
        <w:footnoteReference w:id="15"/>
      </w:r>
      <w:r w:rsidR="0010137A" w:rsidRPr="001D06BD">
        <w:rPr>
          <w:rFonts w:eastAsia="Times New Roman" w:cs="Times New Roman"/>
          <w:noProof/>
          <w:szCs w:val="19"/>
          <w:lang w:eastAsia="pl-PL"/>
        </w:rPr>
        <w:t xml:space="preserve"> </w:t>
      </w:r>
      <w:r w:rsidR="00312C1B">
        <w:rPr>
          <w:rFonts w:eastAsia="Times New Roman" w:cs="Times New Roman"/>
          <w:noProof/>
          <w:szCs w:val="19"/>
          <w:lang w:eastAsia="pl-PL"/>
        </w:rPr>
        <w:t>a</w:t>
      </w:r>
      <w:r w:rsidR="004F5635" w:rsidRPr="004F5635">
        <w:rPr>
          <w:rFonts w:eastAsia="Times New Roman" w:cs="Times New Roman"/>
          <w:noProof/>
          <w:szCs w:val="19"/>
          <w:lang w:eastAsia="pl-PL"/>
        </w:rPr>
        <w:t xml:space="preserve"> </w:t>
      </w:r>
      <w:r w:rsidR="00312C1B">
        <w:rPr>
          <w:rFonts w:eastAsia="Times New Roman" w:cs="Times New Roman"/>
          <w:noProof/>
          <w:szCs w:val="19"/>
          <w:lang w:eastAsia="pl-PL"/>
        </w:rPr>
        <w:t>bieżące wydatki publiczne i prywatne</w:t>
      </w:r>
      <w:r w:rsidRPr="007C56ED">
        <w:rPr>
          <w:rFonts w:eastAsia="Times New Roman" w:cs="Times New Roman"/>
          <w:noProof/>
          <w:szCs w:val="19"/>
          <w:vertAlign w:val="superscript"/>
          <w:lang w:eastAsia="pl-PL"/>
        </w:rPr>
        <w:footnoteReference w:id="16"/>
      </w:r>
      <w:r w:rsidR="00312C1B">
        <w:rPr>
          <w:rFonts w:eastAsia="Times New Roman" w:cs="Times New Roman"/>
          <w:noProof/>
          <w:szCs w:val="19"/>
          <w:lang w:eastAsia="pl-PL"/>
        </w:rPr>
        <w:t xml:space="preserve"> na ochronę zdrowia ujęte w Narodowym Rachunku Zdrowia – poziomu </w:t>
      </w:r>
      <w:r w:rsidR="00312C1B" w:rsidRPr="00312C1B">
        <w:rPr>
          <w:rFonts w:eastAsia="Times New Roman" w:cs="Times New Roman"/>
          <w:noProof/>
          <w:szCs w:val="19"/>
          <w:lang w:eastAsia="pl-PL"/>
        </w:rPr>
        <w:t>6,7% PKB</w:t>
      </w:r>
      <w:r w:rsidR="00312C1B">
        <w:rPr>
          <w:rFonts w:eastAsia="Times New Roman" w:cs="Times New Roman"/>
          <w:noProof/>
          <w:szCs w:val="19"/>
          <w:lang w:eastAsia="pl-PL"/>
        </w:rPr>
        <w:t>.</w:t>
      </w:r>
    </w:p>
    <w:p w14:paraId="36F30CAD" w14:textId="7201620C" w:rsidR="007C56ED" w:rsidRPr="007C56ED" w:rsidRDefault="007C56ED" w:rsidP="007C56ED">
      <w:pPr>
        <w:spacing w:line="288" w:lineRule="auto"/>
        <w:rPr>
          <w:rFonts w:eastAsia="Times New Roman" w:cs="Times New Roman"/>
          <w:noProof/>
          <w:szCs w:val="19"/>
          <w:lang w:eastAsia="pl-PL"/>
        </w:rPr>
      </w:pPr>
      <w:r w:rsidRPr="007C56ED">
        <w:rPr>
          <w:rFonts w:eastAsia="Times New Roman" w:cs="Times New Roman"/>
          <w:noProof/>
          <w:szCs w:val="19"/>
          <w:lang w:eastAsia="pl-PL"/>
        </w:rPr>
        <w:t>Szereg czasowy nakładów publicznych na ochronę z</w:t>
      </w:r>
      <w:r w:rsidR="005B60D8">
        <w:rPr>
          <w:rFonts w:eastAsia="Times New Roman" w:cs="Times New Roman"/>
          <w:noProof/>
          <w:szCs w:val="19"/>
          <w:lang w:eastAsia="pl-PL"/>
        </w:rPr>
        <w:t xml:space="preserve">drowia, wskazuje na wzrost tych </w:t>
      </w:r>
      <w:r w:rsidRPr="007C56ED">
        <w:rPr>
          <w:rFonts w:eastAsia="Times New Roman" w:cs="Times New Roman"/>
          <w:noProof/>
          <w:szCs w:val="19"/>
          <w:lang w:eastAsia="pl-PL"/>
        </w:rPr>
        <w:t xml:space="preserve">nakładów </w:t>
      </w:r>
      <w:r w:rsidRPr="00131058">
        <w:rPr>
          <w:rFonts w:eastAsia="Times New Roman" w:cs="Times New Roman"/>
          <w:noProof/>
          <w:szCs w:val="19"/>
          <w:lang w:eastAsia="pl-PL"/>
        </w:rPr>
        <w:t xml:space="preserve">o </w:t>
      </w:r>
      <w:r w:rsidR="00131058" w:rsidRPr="00131058">
        <w:rPr>
          <w:rFonts w:eastAsia="Times New Roman" w:cs="Times New Roman"/>
          <w:noProof/>
          <w:szCs w:val="19"/>
          <w:lang w:eastAsia="pl-PL"/>
        </w:rPr>
        <w:t>ponad 100</w:t>
      </w:r>
      <w:r w:rsidRPr="00131058">
        <w:rPr>
          <w:rFonts w:eastAsia="Times New Roman" w:cs="Times New Roman"/>
          <w:noProof/>
          <w:szCs w:val="19"/>
          <w:lang w:eastAsia="pl-PL"/>
        </w:rPr>
        <w:t xml:space="preserve">% pomiędzy rokiem 2014 a rokiem 2022. </w:t>
      </w:r>
      <w:r w:rsidRPr="00497B87">
        <w:rPr>
          <w:rFonts w:eastAsia="Times New Roman" w:cs="Times New Roman"/>
          <w:noProof/>
          <w:szCs w:val="19"/>
          <w:lang w:eastAsia="pl-PL"/>
        </w:rPr>
        <w:t>Podobnie pomiędzy rokiem 2014 a rokiem 2022 bieżące wydatki publiczne i prywatne na ochronę zdrowia</w:t>
      </w:r>
      <w:r w:rsidR="00497B87" w:rsidRPr="00497B87">
        <w:rPr>
          <w:rFonts w:eastAsia="Times New Roman" w:cs="Times New Roman"/>
          <w:noProof/>
          <w:szCs w:val="19"/>
          <w:lang w:eastAsia="pl-PL"/>
        </w:rPr>
        <w:t>, według NRZ, wzrosły o przeszło 9</w:t>
      </w:r>
      <w:r w:rsidRPr="00497B87">
        <w:rPr>
          <w:rFonts w:eastAsia="Times New Roman" w:cs="Times New Roman"/>
          <w:noProof/>
          <w:szCs w:val="19"/>
          <w:lang w:eastAsia="pl-PL"/>
        </w:rPr>
        <w:t>1%.</w:t>
      </w:r>
      <w:r w:rsidRPr="007C56ED">
        <w:rPr>
          <w:rFonts w:eastAsia="Times New Roman" w:cs="Times New Roman"/>
          <w:noProof/>
          <w:szCs w:val="19"/>
          <w:lang w:eastAsia="pl-PL"/>
        </w:rPr>
        <w:t xml:space="preserve"> </w:t>
      </w:r>
    </w:p>
    <w:bookmarkEnd w:id="3"/>
    <w:p w14:paraId="253A2396" w14:textId="77777777" w:rsidR="007C56ED" w:rsidRPr="007C56ED" w:rsidRDefault="007C56ED" w:rsidP="007C56ED">
      <w:pPr>
        <w:spacing w:line="288" w:lineRule="auto"/>
        <w:rPr>
          <w:rFonts w:ascii="Fira Sans SemiBold" w:eastAsia="Times New Roman" w:hAnsi="Fira Sans SemiBold" w:cs="Times New Roman"/>
          <w:bCs/>
          <w:color w:val="001D77"/>
          <w:szCs w:val="24"/>
        </w:rPr>
      </w:pPr>
      <w:r w:rsidRPr="007C56ED">
        <w:rPr>
          <w:rFonts w:ascii="Fira Sans SemiBold" w:eastAsia="Times New Roman" w:hAnsi="Fira Sans SemiBold" w:cs="Times New Roman"/>
          <w:bCs/>
          <w:color w:val="001D77"/>
          <w:szCs w:val="24"/>
        </w:rPr>
        <w:br w:type="page"/>
      </w:r>
    </w:p>
    <w:p w14:paraId="42740A0F" w14:textId="77777777" w:rsidR="007C56ED" w:rsidRPr="007C56ED" w:rsidRDefault="007C56ED" w:rsidP="007C56ED">
      <w:pPr>
        <w:spacing w:line="288" w:lineRule="auto"/>
        <w:ind w:firstLine="360"/>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t>Komentarz metodyczny</w:t>
      </w:r>
    </w:p>
    <w:p w14:paraId="78B2AFBF" w14:textId="77777777" w:rsidR="007C56ED" w:rsidRPr="007C56ED" w:rsidRDefault="007C56ED" w:rsidP="007C56ED">
      <w:pPr>
        <w:numPr>
          <w:ilvl w:val="0"/>
          <w:numId w:val="13"/>
        </w:numPr>
        <w:spacing w:line="288" w:lineRule="auto"/>
        <w:contextualSpacing/>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t xml:space="preserve">Metoda szacowania Narodowego Rachunku Zdrowia </w:t>
      </w:r>
    </w:p>
    <w:p w14:paraId="7A0D2B78" w14:textId="30FAF5AE" w:rsidR="007C56ED" w:rsidRPr="007C56ED" w:rsidRDefault="007C56ED" w:rsidP="007C56ED">
      <w:pPr>
        <w:spacing w:line="288" w:lineRule="auto"/>
        <w:rPr>
          <w:rFonts w:eastAsia="Times New Roman" w:cs="Times New Roman"/>
          <w:noProof/>
          <w:szCs w:val="19"/>
          <w:lang w:eastAsia="pl-PL"/>
        </w:rPr>
      </w:pPr>
      <w:r w:rsidRPr="007C56ED">
        <w:rPr>
          <w:rFonts w:eastAsia="Times New Roman" w:cs="Times New Roman"/>
          <w:noProof/>
          <w:szCs w:val="19"/>
          <w:lang w:eastAsia="pl-PL"/>
        </w:rPr>
        <w:t>System rachunków zdrowia jest międzynarodowym narzędziem analizy wydatków na ochronę zdrowia, które ujmuje je w sposób wszechstronny, zapewniający porównywalność</w:t>
      </w:r>
      <w:r w:rsidRPr="007C56ED">
        <w:rPr>
          <w:rFonts w:ascii="MyriadPro-Regular" w:eastAsia="Times New Roman" w:hAnsi="MyriadPro-Regular" w:cs="MyriadPro-Regular"/>
          <w:szCs w:val="19"/>
        </w:rPr>
        <w:t xml:space="preserve"> </w:t>
      </w:r>
      <w:r w:rsidRPr="007C56ED">
        <w:rPr>
          <w:rFonts w:eastAsia="Times New Roman" w:cs="Times New Roman"/>
          <w:noProof/>
          <w:szCs w:val="19"/>
          <w:lang w:eastAsia="pl-PL"/>
        </w:rPr>
        <w:t>pomiędzy krajami. Narodowe Rachunki Zdrowia (NRZ) umożliwiają systematyczny opis przepływów finansowych związanych z konsumpcją towarów i usłu</w:t>
      </w:r>
      <w:r w:rsidR="0010137A">
        <w:rPr>
          <w:rFonts w:eastAsia="Times New Roman" w:cs="Times New Roman"/>
          <w:noProof/>
          <w:szCs w:val="19"/>
          <w:lang w:eastAsia="pl-PL"/>
        </w:rPr>
        <w:t xml:space="preserve">g w zakresie opieki zdrowotnej. </w:t>
      </w:r>
      <w:r w:rsidRPr="007C56ED">
        <w:rPr>
          <w:rFonts w:eastAsia="Times New Roman" w:cs="Times New Roman"/>
          <w:noProof/>
          <w:szCs w:val="19"/>
          <w:lang w:eastAsia="pl-PL"/>
        </w:rPr>
        <w:t>Ich celem jest opisanie systemu ochrony zdrowia z perspektywy wydatków. Ze względu na długotrwały, wielomiesięczny proces przygotowania i weryfikacji danych finalnych, są one poprzedzane danymi wstępnymi i wstępnymi szacunkami, między którymi mogą wystąpić znaczące różnice.</w:t>
      </w:r>
    </w:p>
    <w:p w14:paraId="664988D0" w14:textId="2379B825" w:rsidR="007C56ED" w:rsidRPr="007C56ED" w:rsidRDefault="007C56ED" w:rsidP="007C56ED">
      <w:pPr>
        <w:autoSpaceDE w:val="0"/>
        <w:autoSpaceDN w:val="0"/>
        <w:adjustRightInd w:val="0"/>
        <w:spacing w:line="288" w:lineRule="auto"/>
        <w:rPr>
          <w:rFonts w:eastAsia="Times New Roman" w:cs="Times New Roman"/>
          <w:noProof/>
          <w:szCs w:val="19"/>
          <w:lang w:eastAsia="pl-PL"/>
        </w:rPr>
      </w:pPr>
      <w:r w:rsidRPr="007C56ED">
        <w:rPr>
          <w:rFonts w:eastAsia="Times New Roman" w:cs="Times New Roman"/>
          <w:noProof/>
          <w:szCs w:val="19"/>
          <w:lang w:eastAsia="pl-PL"/>
        </w:rPr>
        <w:t>Od kilkunastu lat rachunki te sporządzane są według metodologii SHA 2011</w:t>
      </w:r>
      <w:r w:rsidRPr="007C56ED">
        <w:rPr>
          <w:rFonts w:eastAsia="Times New Roman" w:cs="Times New Roman"/>
          <w:noProof/>
          <w:szCs w:val="19"/>
          <w:vertAlign w:val="superscript"/>
          <w:lang w:eastAsia="pl-PL"/>
        </w:rPr>
        <w:footnoteReference w:id="17"/>
      </w:r>
      <w:r w:rsidRPr="007C56ED">
        <w:rPr>
          <w:rFonts w:eastAsia="Times New Roman" w:cs="Times New Roman"/>
          <w:noProof/>
          <w:szCs w:val="19"/>
          <w:lang w:eastAsia="pl-PL"/>
        </w:rPr>
        <w:t>, zgodnie z którą informacje o wydatkach na ochronę zdrowia przeka</w:t>
      </w:r>
      <w:r w:rsidR="000031E8">
        <w:rPr>
          <w:rFonts w:eastAsia="Times New Roman" w:cs="Times New Roman"/>
          <w:noProof/>
          <w:szCs w:val="19"/>
          <w:lang w:eastAsia="pl-PL"/>
        </w:rPr>
        <w:t xml:space="preserve">zywane są do trzech organizacji </w:t>
      </w:r>
      <w:r w:rsidRPr="007C56ED">
        <w:rPr>
          <w:rFonts w:eastAsia="Times New Roman" w:cs="Times New Roman"/>
          <w:noProof/>
          <w:szCs w:val="19"/>
          <w:lang w:eastAsia="pl-PL"/>
        </w:rPr>
        <w:t xml:space="preserve">międzynarodowych </w:t>
      </w:r>
      <w:r w:rsidR="00312C1B">
        <w:rPr>
          <w:rFonts w:eastAsia="Times New Roman" w:cs="Times New Roman"/>
          <w:noProof/>
          <w:szCs w:val="19"/>
          <w:lang w:eastAsia="pl-PL"/>
        </w:rPr>
        <w:t xml:space="preserve">(OECD, WHO, </w:t>
      </w:r>
      <w:r w:rsidR="00312C1B" w:rsidRPr="00312C1B">
        <w:rPr>
          <w:rFonts w:eastAsia="Times New Roman" w:cs="Times New Roman"/>
          <w:noProof/>
          <w:szCs w:val="19"/>
          <w:lang w:eastAsia="pl-PL"/>
        </w:rPr>
        <w:t>Eurostatu</w:t>
      </w:r>
      <w:r w:rsidR="00312C1B">
        <w:rPr>
          <w:rFonts w:eastAsia="Times New Roman" w:cs="Times New Roman"/>
          <w:noProof/>
          <w:szCs w:val="19"/>
          <w:lang w:eastAsia="pl-PL"/>
        </w:rPr>
        <w:t>)</w:t>
      </w:r>
      <w:r w:rsidR="00312C1B" w:rsidRPr="00312C1B">
        <w:rPr>
          <w:rFonts w:eastAsia="Times New Roman" w:cs="Times New Roman"/>
          <w:noProof/>
          <w:szCs w:val="19"/>
          <w:lang w:eastAsia="pl-PL"/>
        </w:rPr>
        <w:t xml:space="preserve"> </w:t>
      </w:r>
      <w:r w:rsidR="00C763C3" w:rsidRPr="007C56ED">
        <w:rPr>
          <w:rFonts w:eastAsiaTheme="minorEastAsia" w:cs="Arial"/>
          <w:szCs w:val="19"/>
          <w:lang w:eastAsia="pl-PL"/>
        </w:rPr>
        <w:t>–</w:t>
      </w:r>
      <w:r w:rsidRPr="007C56ED">
        <w:rPr>
          <w:rFonts w:eastAsia="Times New Roman" w:cs="Times New Roman"/>
          <w:noProof/>
          <w:szCs w:val="19"/>
          <w:lang w:eastAsia="pl-PL"/>
        </w:rPr>
        <w:t xml:space="preserve"> w roku 2015 (dane za 2013 r.) na podstawie umowy dżentelmeńskiej, natomiast od roku 2016 zgodnie z Rozporządzeniem Komisji (UE) </w:t>
      </w:r>
      <w:r w:rsidR="00312C1B">
        <w:rPr>
          <w:rFonts w:eastAsia="Times New Roman" w:cs="Times New Roman"/>
          <w:noProof/>
          <w:szCs w:val="19"/>
          <w:lang w:eastAsia="pl-PL"/>
        </w:rPr>
        <w:br/>
      </w:r>
      <w:r w:rsidRPr="007C56ED">
        <w:rPr>
          <w:rFonts w:eastAsia="Times New Roman" w:cs="Times New Roman"/>
          <w:noProof/>
          <w:szCs w:val="19"/>
          <w:lang w:eastAsia="pl-PL"/>
        </w:rPr>
        <w:t>z 2015 r.</w:t>
      </w:r>
      <w:r w:rsidR="00710768">
        <w:rPr>
          <w:rFonts w:eastAsia="Times New Roman" w:cs="Times New Roman"/>
          <w:noProof/>
          <w:szCs w:val="19"/>
          <w:lang w:eastAsia="pl-PL"/>
        </w:rPr>
        <w:t>, a od 2021 r. na podstawie nowego Rozporządzenia Komisji (UE) 2021/1901</w:t>
      </w:r>
      <w:r w:rsidRPr="007C56ED">
        <w:rPr>
          <w:rFonts w:eastAsia="Times New Roman" w:cs="Times New Roman"/>
          <w:noProof/>
          <w:szCs w:val="19"/>
          <w:vertAlign w:val="superscript"/>
          <w:lang w:eastAsia="pl-PL"/>
        </w:rPr>
        <w:footnoteReference w:id="18"/>
      </w:r>
      <w:r w:rsidR="00710768">
        <w:rPr>
          <w:rFonts w:eastAsia="Times New Roman" w:cs="Times New Roman"/>
          <w:noProof/>
          <w:szCs w:val="19"/>
          <w:lang w:eastAsia="pl-PL"/>
        </w:rPr>
        <w:t>.</w:t>
      </w:r>
    </w:p>
    <w:p w14:paraId="2E1274E5" w14:textId="26AFD4E0" w:rsidR="007C56ED" w:rsidRPr="007C56ED" w:rsidRDefault="007C56ED" w:rsidP="007C56ED">
      <w:pPr>
        <w:spacing w:line="288" w:lineRule="auto"/>
        <w:rPr>
          <w:rFonts w:eastAsia="Times New Roman" w:cs="Times New Roman"/>
          <w:szCs w:val="19"/>
        </w:rPr>
      </w:pPr>
      <w:r w:rsidRPr="007C56ED">
        <w:rPr>
          <w:rFonts w:eastAsia="Times New Roman" w:cs="Times New Roman"/>
          <w:szCs w:val="19"/>
        </w:rPr>
        <w:t xml:space="preserve">Narodowy Rachunek Zdrowia sporządzany jest co rok za rok T-2. Rachunek zestawiany jest według międzynarodowej klasyfikacji wydatków ICHA (International Classification for Health Accounts) i ujmowany w czterech tablicach (HCxHF, HPxHF, HCxHP i HFxFS), które są przekazywane, łącznie z wstępnymi szacunkami i uwagami metodologicznymi, do OECD, Eurostatu </w:t>
      </w:r>
      <w:r w:rsidR="0010137A">
        <w:rPr>
          <w:rFonts w:eastAsia="Times New Roman" w:cs="Times New Roman"/>
          <w:szCs w:val="19"/>
        </w:rPr>
        <w:br/>
      </w:r>
      <w:r w:rsidRPr="007C56ED">
        <w:rPr>
          <w:rFonts w:eastAsia="Times New Roman" w:cs="Times New Roman"/>
          <w:szCs w:val="19"/>
        </w:rPr>
        <w:t xml:space="preserve">i WHO. </w:t>
      </w:r>
    </w:p>
    <w:p w14:paraId="151B4D29" w14:textId="4D7E424C" w:rsidR="007C56ED" w:rsidRPr="007C56ED" w:rsidRDefault="007C56ED" w:rsidP="007C56ED">
      <w:pPr>
        <w:spacing w:line="288" w:lineRule="auto"/>
        <w:rPr>
          <w:rFonts w:eastAsia="Times New Roman" w:cs="Times New Roman"/>
          <w:szCs w:val="19"/>
        </w:rPr>
      </w:pPr>
      <w:r w:rsidRPr="007C56ED">
        <w:rPr>
          <w:rFonts w:eastAsia="Times New Roman" w:cs="Times New Roman"/>
          <w:szCs w:val="19"/>
        </w:rPr>
        <w:t>Zmienne klasy</w:t>
      </w:r>
      <w:r w:rsidR="00866422">
        <w:rPr>
          <w:rFonts w:eastAsia="Times New Roman" w:cs="Times New Roman"/>
          <w:szCs w:val="19"/>
        </w:rPr>
        <w:t>fikujące wydatki to: HF (system</w:t>
      </w:r>
      <w:r w:rsidRPr="007C56ED">
        <w:rPr>
          <w:rFonts w:eastAsia="Times New Roman" w:cs="Times New Roman"/>
          <w:szCs w:val="19"/>
        </w:rPr>
        <w:t xml:space="preserve">y finansowania), HC (funkcje ochrony zdrowia) </w:t>
      </w:r>
      <w:r w:rsidR="009769F0">
        <w:rPr>
          <w:rFonts w:eastAsia="Times New Roman" w:cs="Times New Roman"/>
          <w:szCs w:val="19"/>
        </w:rPr>
        <w:br/>
      </w:r>
      <w:r w:rsidRPr="007C56ED">
        <w:rPr>
          <w:rFonts w:eastAsia="Times New Roman" w:cs="Times New Roman"/>
          <w:szCs w:val="19"/>
        </w:rPr>
        <w:t>i HP (świadczeniodawcy ochrony zdrowia). Dodatkowa</w:t>
      </w:r>
      <w:r w:rsidR="0010137A">
        <w:rPr>
          <w:rFonts w:eastAsia="Times New Roman" w:cs="Times New Roman"/>
          <w:szCs w:val="19"/>
        </w:rPr>
        <w:t xml:space="preserve"> zmienna FS zawiera informacje </w:t>
      </w:r>
      <w:r w:rsidR="009B7102">
        <w:rPr>
          <w:rFonts w:eastAsia="Times New Roman" w:cs="Times New Roman"/>
          <w:szCs w:val="19"/>
        </w:rPr>
        <w:t>o przychodach system</w:t>
      </w:r>
      <w:r w:rsidRPr="007C56ED">
        <w:rPr>
          <w:rFonts w:eastAsia="Times New Roman" w:cs="Times New Roman"/>
          <w:szCs w:val="19"/>
        </w:rPr>
        <w:t xml:space="preserve">ów finansowania (HF). </w:t>
      </w:r>
    </w:p>
    <w:p w14:paraId="536BDACF" w14:textId="6AE2A258" w:rsidR="007C56ED" w:rsidRPr="007C56ED" w:rsidRDefault="007C56ED" w:rsidP="007C56ED">
      <w:pPr>
        <w:spacing w:line="288" w:lineRule="auto"/>
        <w:rPr>
          <w:rFonts w:eastAsia="Times New Roman" w:cs="Times New Roman"/>
          <w:szCs w:val="19"/>
        </w:rPr>
      </w:pPr>
      <w:r w:rsidRPr="007C56ED">
        <w:rPr>
          <w:rFonts w:eastAsia="Times New Roman" w:cs="Times New Roman"/>
          <w:szCs w:val="19"/>
        </w:rPr>
        <w:t>Wyniki finalne Narodowego Rachunku Zdrowia dla rok</w:t>
      </w:r>
      <w:r w:rsidR="0010137A">
        <w:rPr>
          <w:rFonts w:eastAsia="Times New Roman" w:cs="Times New Roman"/>
          <w:szCs w:val="19"/>
        </w:rPr>
        <w:t xml:space="preserve">u T-2 są corocznie uzupełniane </w:t>
      </w:r>
      <w:r w:rsidRPr="007C56ED">
        <w:rPr>
          <w:rFonts w:eastAsia="Times New Roman" w:cs="Times New Roman"/>
          <w:szCs w:val="19"/>
        </w:rPr>
        <w:t>o dostępne nieco wcześniej dane wstępne z roku T-2 oraz ws</w:t>
      </w:r>
      <w:r w:rsidR="009B7102">
        <w:rPr>
          <w:rFonts w:eastAsia="Times New Roman" w:cs="Times New Roman"/>
          <w:szCs w:val="19"/>
        </w:rPr>
        <w:t>tępne szacunki dotyczące system</w:t>
      </w:r>
      <w:r w:rsidRPr="007C56ED">
        <w:rPr>
          <w:rFonts w:eastAsia="Times New Roman" w:cs="Times New Roman"/>
          <w:szCs w:val="19"/>
        </w:rPr>
        <w:t>ów finansowania za rok T-1.</w:t>
      </w:r>
    </w:p>
    <w:p w14:paraId="6BB62AE3" w14:textId="2D44A278" w:rsidR="007C56ED" w:rsidRPr="007C56ED" w:rsidRDefault="007C56ED" w:rsidP="007C56ED">
      <w:pPr>
        <w:spacing w:line="288" w:lineRule="auto"/>
        <w:rPr>
          <w:rFonts w:eastAsia="Times New Roman" w:cs="Times New Roman"/>
          <w:noProof/>
          <w:szCs w:val="19"/>
          <w:lang w:eastAsia="pl-PL"/>
        </w:rPr>
      </w:pPr>
      <w:r w:rsidRPr="007C56ED">
        <w:rPr>
          <w:rFonts w:eastAsia="Times New Roman" w:cs="Times New Roman"/>
          <w:szCs w:val="19"/>
        </w:rPr>
        <w:t>Źródłami informacji dla NRZ w zakresie wydatków publicznych (HF.1</w:t>
      </w:r>
      <w:r w:rsidR="00866422">
        <w:rPr>
          <w:rFonts w:eastAsia="Times New Roman" w:cs="Times New Roman"/>
          <w:szCs w:val="19"/>
        </w:rPr>
        <w:t>), na które składają się systemy rządowe, system</w:t>
      </w:r>
      <w:r w:rsidRPr="007C56ED">
        <w:rPr>
          <w:rFonts w:eastAsia="Times New Roman" w:cs="Times New Roman"/>
          <w:szCs w:val="19"/>
        </w:rPr>
        <w:t xml:space="preserve">y obowiązkowych </w:t>
      </w:r>
      <w:r w:rsidR="009769F0" w:rsidRPr="007C56ED">
        <w:rPr>
          <w:rFonts w:eastAsiaTheme="minorEastAsia" w:cs="Arial"/>
          <w:szCs w:val="19"/>
          <w:lang w:eastAsia="pl-PL"/>
        </w:rPr>
        <w:t>–</w:t>
      </w:r>
      <w:r w:rsidRPr="007C56ED">
        <w:rPr>
          <w:rFonts w:eastAsia="Times New Roman" w:cs="Times New Roman"/>
          <w:szCs w:val="19"/>
        </w:rPr>
        <w:t xml:space="preserve"> skład</w:t>
      </w:r>
      <w:r w:rsidR="0010137A">
        <w:rPr>
          <w:rFonts w:eastAsia="Times New Roman" w:cs="Times New Roman"/>
          <w:szCs w:val="19"/>
        </w:rPr>
        <w:t xml:space="preserve">kowych ubezpieczeń zdrowotnych, </w:t>
      </w:r>
      <w:r w:rsidRPr="007C56ED">
        <w:rPr>
          <w:rFonts w:eastAsia="Times New Roman" w:cs="Times New Roman"/>
          <w:szCs w:val="19"/>
        </w:rPr>
        <w:t>są m.in. systemy administracyjne instytucji, które gromadzą dane o wydatkach na ochronę zdrowia, tj. Ministerstwa Zdrowia, Narodowego Funduszu Zdrowia, Zakładu Ubezpieczeń Społecznych, Kasy Rolniczego Ubezpieczenia Społecznego, Ministerstwa Spraw Wewnętrznych i Administracji, Ministerstwa Obrony Narodowej, Ministerstwa Sprawiedliwości, Ministerstwa Rodziny i Polityki Społecznej. Do szacunków wydatków prywatnych (HF.2 i HF.3) wykorzystywane są dane pochodzące z Komisji Nadzoru Finansowego, Narodowego Funduszu Zdrowia, Zakładu Ubezpieczeń Społecznych i Kasy Rolniczego Ubezpieczenia Społecznego oraz wyniki innych badań realizowanych w ramach programu badań statystycznych statystyki publicznej takich jak badania instytucji Non-Profit, badanie budżetów gospodarstw domowych i inne dostępne źródła informacji.</w:t>
      </w:r>
    </w:p>
    <w:p w14:paraId="469831B0" w14:textId="36C33759" w:rsidR="007C56ED" w:rsidRPr="007C56ED" w:rsidRDefault="007C56ED" w:rsidP="007C56ED">
      <w:pPr>
        <w:autoSpaceDE w:val="0"/>
        <w:autoSpaceDN w:val="0"/>
        <w:adjustRightInd w:val="0"/>
        <w:spacing w:line="288" w:lineRule="auto"/>
        <w:rPr>
          <w:rFonts w:eastAsia="Times New Roman" w:cs="Times New Roman"/>
          <w:noProof/>
          <w:szCs w:val="19"/>
          <w:lang w:eastAsia="pl-PL"/>
        </w:rPr>
      </w:pPr>
      <w:r w:rsidRPr="007C56ED">
        <w:rPr>
          <w:rFonts w:eastAsia="Times New Roman" w:cs="Times New Roman"/>
          <w:noProof/>
          <w:szCs w:val="19"/>
          <w:lang w:eastAsia="pl-PL"/>
        </w:rPr>
        <w:t>Należy mieć na uwadze, że systemy opieki zdrowotnej na całym świecie ewoluują, często podlegają złożonym zmianom organizacyjnym, zmieniają się również systemy finansowania</w:t>
      </w:r>
      <w:r w:rsidRPr="007C56ED">
        <w:rPr>
          <w:rFonts w:ascii="MyriadPro-Regular" w:eastAsia="Times New Roman" w:hAnsi="MyriadPro-Regular" w:cs="MyriadPro-Regular"/>
          <w:szCs w:val="19"/>
        </w:rPr>
        <w:t xml:space="preserve">, </w:t>
      </w:r>
      <w:r w:rsidRPr="007C56ED">
        <w:rPr>
          <w:rFonts w:eastAsia="Times New Roman" w:cs="Times New Roman"/>
          <w:noProof/>
          <w:szCs w:val="19"/>
          <w:lang w:eastAsia="pl-PL"/>
        </w:rPr>
        <w:t>co wymaga systematycznego dostosowywania do tych zmian rachunków zdrowia, nad którymi w skali międzynarodowej merytoryczny nadzór spr</w:t>
      </w:r>
      <w:r w:rsidR="0010137A">
        <w:rPr>
          <w:rFonts w:eastAsia="Times New Roman" w:cs="Times New Roman"/>
          <w:noProof/>
          <w:szCs w:val="19"/>
          <w:lang w:eastAsia="pl-PL"/>
        </w:rPr>
        <w:t xml:space="preserve">awuje zespół ekspertów złożony </w:t>
      </w:r>
      <w:r w:rsidR="0010137A">
        <w:rPr>
          <w:rFonts w:eastAsia="Times New Roman" w:cs="Times New Roman"/>
          <w:noProof/>
          <w:szCs w:val="19"/>
          <w:lang w:eastAsia="pl-PL"/>
        </w:rPr>
        <w:br/>
      </w:r>
      <w:r w:rsidRPr="007C56ED">
        <w:rPr>
          <w:rFonts w:eastAsia="Times New Roman" w:cs="Times New Roman"/>
          <w:noProof/>
          <w:szCs w:val="19"/>
          <w:lang w:eastAsia="pl-PL"/>
        </w:rPr>
        <w:t xml:space="preserve">z przedstawicieli: Eurostatu, OECD i WHO </w:t>
      </w:r>
      <w:r w:rsidR="009769F0" w:rsidRPr="007C56ED">
        <w:rPr>
          <w:rFonts w:eastAsiaTheme="minorEastAsia" w:cs="Arial"/>
          <w:szCs w:val="19"/>
          <w:lang w:eastAsia="pl-PL"/>
        </w:rPr>
        <w:t>–</w:t>
      </w:r>
      <w:r w:rsidRPr="007C56ED">
        <w:rPr>
          <w:rFonts w:eastAsia="Times New Roman" w:cs="Times New Roman"/>
          <w:noProof/>
          <w:szCs w:val="19"/>
          <w:lang w:eastAsia="pl-PL"/>
        </w:rPr>
        <w:t xml:space="preserve"> IHAT (Inter</w:t>
      </w:r>
      <w:r w:rsidR="0010137A">
        <w:rPr>
          <w:rFonts w:eastAsia="Times New Roman" w:cs="Times New Roman"/>
          <w:noProof/>
          <w:szCs w:val="19"/>
          <w:lang w:eastAsia="pl-PL"/>
        </w:rPr>
        <w:t xml:space="preserve">national Health Account Team). </w:t>
      </w:r>
      <w:r w:rsidR="0010137A">
        <w:rPr>
          <w:rFonts w:eastAsia="Times New Roman" w:cs="Times New Roman"/>
          <w:noProof/>
          <w:szCs w:val="19"/>
          <w:lang w:eastAsia="pl-PL"/>
        </w:rPr>
        <w:br/>
      </w:r>
      <w:r w:rsidRPr="007C56ED">
        <w:rPr>
          <w:rFonts w:eastAsia="Times New Roman" w:cs="Times New Roman"/>
          <w:noProof/>
          <w:szCs w:val="19"/>
          <w:lang w:eastAsia="pl-PL"/>
        </w:rPr>
        <w:t xml:space="preserve">W związku z tym corocznie, przeprowadzany jest tzw. „proces walidacji”, który ma na celu eliminację wszelkich niespójności, które mogłyby </w:t>
      </w:r>
      <w:r w:rsidR="00B75A65">
        <w:rPr>
          <w:rFonts w:eastAsia="Times New Roman" w:cs="Times New Roman"/>
          <w:noProof/>
          <w:szCs w:val="19"/>
          <w:lang w:eastAsia="pl-PL"/>
        </w:rPr>
        <w:t xml:space="preserve">zagrozić porównywalności danych </w:t>
      </w:r>
      <w:r w:rsidRPr="007C56ED">
        <w:rPr>
          <w:rFonts w:eastAsia="Times New Roman" w:cs="Times New Roman"/>
          <w:noProof/>
          <w:szCs w:val="19"/>
          <w:lang w:eastAsia="pl-PL"/>
        </w:rPr>
        <w:t xml:space="preserve">pomiędzy krajami. Kraje dokonują zmian we wcześniej opracowanych rachunkach, w celu doprowadzenia danych do jak najlepszej, międzynarodowej porównywalności. </w:t>
      </w:r>
    </w:p>
    <w:p w14:paraId="57B70414" w14:textId="77777777" w:rsidR="007C56ED" w:rsidRPr="007C56ED" w:rsidRDefault="007C56ED" w:rsidP="007C56ED">
      <w:pPr>
        <w:spacing w:line="288" w:lineRule="auto"/>
        <w:ind w:right="96"/>
        <w:rPr>
          <w:rFonts w:cs="Arial"/>
          <w:b/>
          <w:sz w:val="20"/>
          <w:szCs w:val="20"/>
        </w:rPr>
      </w:pPr>
      <w:r w:rsidRPr="007C56ED">
        <w:rPr>
          <w:rFonts w:eastAsia="Times New Roman" w:cs="Times New Roman"/>
          <w:noProof/>
          <w:szCs w:val="19"/>
          <w:lang w:eastAsia="pl-PL"/>
        </w:rPr>
        <w:t xml:space="preserve">Wydatki bieżące na ochronę zdrowia, odnoszą się do aktualnie obowiązujących danych </w:t>
      </w:r>
      <w:r w:rsidRPr="007C56ED">
        <w:rPr>
          <w:rFonts w:eastAsia="Times New Roman" w:cs="Times New Roman"/>
          <w:noProof/>
          <w:szCs w:val="19"/>
          <w:lang w:eastAsia="pl-PL"/>
        </w:rPr>
        <w:br/>
        <w:t>o wartości wytworzonego PKB</w:t>
      </w:r>
      <w:r w:rsidRPr="007C56ED">
        <w:rPr>
          <w:rFonts w:eastAsia="Times New Roman" w:cs="Times New Roman"/>
          <w:noProof/>
          <w:szCs w:val="19"/>
          <w:vertAlign w:val="superscript"/>
          <w:lang w:eastAsia="pl-PL"/>
        </w:rPr>
        <w:footnoteReference w:id="19"/>
      </w:r>
      <w:r w:rsidRPr="007C56ED">
        <w:rPr>
          <w:rFonts w:eastAsia="Times New Roman" w:cs="Times New Roman"/>
          <w:noProof/>
          <w:szCs w:val="19"/>
          <w:lang w:eastAsia="pl-PL"/>
        </w:rPr>
        <w:t xml:space="preserve"> na dzień przygotowania niniejszej informacji sygnalnej </w:t>
      </w:r>
      <w:r w:rsidRPr="007C56ED">
        <w:rPr>
          <w:rFonts w:eastAsia="Times New Roman" w:cs="Times New Roman"/>
          <w:noProof/>
          <w:szCs w:val="19"/>
          <w:lang w:eastAsia="pl-PL"/>
        </w:rPr>
        <w:br/>
        <w:t>i odnoszą się do wartości PKB z tego samego roku.</w:t>
      </w:r>
    </w:p>
    <w:p w14:paraId="2324569F" w14:textId="77777777" w:rsidR="007C56ED" w:rsidRPr="007C56ED" w:rsidRDefault="007C56ED" w:rsidP="007C56ED">
      <w:pPr>
        <w:spacing w:line="288" w:lineRule="auto"/>
        <w:rPr>
          <w:rFonts w:eastAsiaTheme="minorEastAsia" w:cs="Arial"/>
          <w:color w:val="000000" w:themeColor="text1"/>
          <w:szCs w:val="19"/>
          <w:lang w:eastAsia="pl-PL"/>
        </w:rPr>
      </w:pPr>
    </w:p>
    <w:p w14:paraId="441BE60E" w14:textId="77777777" w:rsidR="007C56ED" w:rsidRPr="007C56ED" w:rsidRDefault="007C56ED" w:rsidP="007C56ED">
      <w:pPr>
        <w:numPr>
          <w:ilvl w:val="0"/>
          <w:numId w:val="13"/>
        </w:numPr>
        <w:spacing w:line="288" w:lineRule="auto"/>
        <w:contextualSpacing/>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lang w:eastAsia="pl-PL"/>
        </w:rPr>
        <w:t>Metoda szacowania nakładów</w:t>
      </w:r>
      <w:r w:rsidRPr="007C56ED">
        <w:rPr>
          <w:rFonts w:ascii="Fira Sans SemiBold" w:eastAsia="Times New Roman" w:hAnsi="Fira Sans SemiBold" w:cs="Times New Roman"/>
          <w:bCs/>
          <w:color w:val="001D77"/>
          <w:szCs w:val="24"/>
        </w:rPr>
        <w:t xml:space="preserve"> publicznych </w:t>
      </w:r>
      <w:r w:rsidRPr="007C56ED">
        <w:rPr>
          <w:rFonts w:ascii="Fira Sans SemiBold" w:eastAsia="Times New Roman" w:hAnsi="Fira Sans SemiBold" w:cs="Times New Roman"/>
          <w:bCs/>
          <w:color w:val="001D77"/>
          <w:szCs w:val="24"/>
          <w:lang w:eastAsia="pl-PL"/>
        </w:rPr>
        <w:t>na</w:t>
      </w:r>
      <w:r w:rsidRPr="007C56ED">
        <w:rPr>
          <w:rFonts w:ascii="Fira Sans SemiBold" w:eastAsia="Times New Roman" w:hAnsi="Fira Sans SemiBold" w:cs="Times New Roman"/>
          <w:bCs/>
          <w:color w:val="001D77"/>
          <w:szCs w:val="24"/>
        </w:rPr>
        <w:t xml:space="preserve"> ochronę zdrowia</w:t>
      </w:r>
      <w:r w:rsidRPr="007C56ED">
        <w:rPr>
          <w:rFonts w:ascii="Fira Sans SemiBold" w:eastAsia="Times New Roman" w:hAnsi="Fira Sans SemiBold" w:cs="Times New Roman"/>
          <w:bCs/>
          <w:color w:val="001D77"/>
          <w:szCs w:val="24"/>
          <w:vertAlign w:val="superscript"/>
        </w:rPr>
        <w:footnoteReference w:id="20"/>
      </w:r>
      <w:r w:rsidRPr="007C56ED">
        <w:rPr>
          <w:rFonts w:ascii="Fira Sans SemiBold" w:eastAsia="Times New Roman" w:hAnsi="Fira Sans SemiBold" w:cs="Times New Roman"/>
          <w:bCs/>
          <w:color w:val="001D77"/>
          <w:szCs w:val="24"/>
        </w:rPr>
        <w:t xml:space="preserve"> </w:t>
      </w:r>
    </w:p>
    <w:p w14:paraId="7D558E2F"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 xml:space="preserve">Metodologia wyliczania nakładów na ochronę zdrowia przez Ministerstwo Zdrowia określona jest ściśle w art. 131c ustawy o świadczeniach opieki zdrowotnej z dnia 27 sierpnia 2004 r. </w:t>
      </w:r>
      <w:r w:rsidRPr="007C56ED">
        <w:rPr>
          <w:rFonts w:eastAsiaTheme="minorEastAsia" w:cs="Arial"/>
          <w:color w:val="000000" w:themeColor="text1"/>
          <w:szCs w:val="19"/>
          <w:lang w:eastAsia="pl-PL"/>
        </w:rPr>
        <w:br/>
        <w:t xml:space="preserve">o świadczeniach opieki zdrowotnej finansowanych ze środków publicznych (Dz. U. z 2021 r., poz. 1285) i nie jest powiązana z metodologią SHA 2011, według której opracowywany jest Narodowy Rachunek Zdrowia. </w:t>
      </w:r>
    </w:p>
    <w:p w14:paraId="563C9EE1" w14:textId="0ED50C6C"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Zgodnie z przepisami ustawy, na finansowanie ochrony zdrowia, przeznacza się corocznie środki finanso</w:t>
      </w:r>
      <w:r w:rsidR="00131058">
        <w:rPr>
          <w:rFonts w:eastAsiaTheme="minorEastAsia" w:cs="Arial"/>
          <w:color w:val="000000" w:themeColor="text1"/>
          <w:szCs w:val="19"/>
          <w:lang w:eastAsia="pl-PL"/>
        </w:rPr>
        <w:t>we w wysokości nie niższej niż 7</w:t>
      </w:r>
      <w:r w:rsidRPr="007C56ED">
        <w:rPr>
          <w:rFonts w:eastAsiaTheme="minorEastAsia" w:cs="Arial"/>
          <w:color w:val="000000" w:themeColor="text1"/>
          <w:szCs w:val="19"/>
          <w:lang w:eastAsia="pl-PL"/>
        </w:rPr>
        <w:t>% produktu krajowego brutto, z zastrzeżeniem, że wysokość środków finansowych przeznaczonych n</w:t>
      </w:r>
      <w:r w:rsidR="0010137A">
        <w:rPr>
          <w:rFonts w:eastAsiaTheme="minorEastAsia" w:cs="Arial"/>
          <w:color w:val="000000" w:themeColor="text1"/>
          <w:szCs w:val="19"/>
          <w:lang w:eastAsia="pl-PL"/>
        </w:rPr>
        <w:t xml:space="preserve">a finansowanie ochrony zdrowia </w:t>
      </w:r>
      <w:r w:rsidR="00DE2D09">
        <w:rPr>
          <w:rFonts w:eastAsiaTheme="minorEastAsia" w:cs="Arial"/>
          <w:color w:val="000000" w:themeColor="text1"/>
          <w:szCs w:val="19"/>
          <w:lang w:eastAsia="pl-PL"/>
        </w:rPr>
        <w:t>w latach 2019–2026</w:t>
      </w:r>
      <w:r w:rsidRPr="007C56ED">
        <w:rPr>
          <w:rFonts w:eastAsiaTheme="minorEastAsia" w:cs="Arial"/>
          <w:color w:val="000000" w:themeColor="text1"/>
          <w:szCs w:val="19"/>
          <w:lang w:eastAsia="pl-PL"/>
        </w:rPr>
        <w:t>, nie może być niższa niż:</w:t>
      </w:r>
    </w:p>
    <w:p w14:paraId="6EA7F6AD"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1) 4,86% produktu krajowego brutto w 2019 r.</w:t>
      </w:r>
    </w:p>
    <w:p w14:paraId="3CAF3BFD"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2) 5,03% produktu krajowego brutto w 2020 r.</w:t>
      </w:r>
    </w:p>
    <w:p w14:paraId="299D3D8A"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3) 5,30% produktu krajowego brutto w 2021 r.</w:t>
      </w:r>
    </w:p>
    <w:p w14:paraId="104EAECD" w14:textId="6E420055" w:rsidR="007C56ED" w:rsidRPr="007C56ED" w:rsidRDefault="00131058" w:rsidP="007C56ED">
      <w:pPr>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4) 5,7</w:t>
      </w:r>
      <w:r w:rsidR="007C56ED" w:rsidRPr="007C56ED">
        <w:rPr>
          <w:rFonts w:eastAsiaTheme="minorEastAsia" w:cs="Arial"/>
          <w:color w:val="000000" w:themeColor="text1"/>
          <w:szCs w:val="19"/>
          <w:lang w:eastAsia="pl-PL"/>
        </w:rPr>
        <w:t>5% produktu krajowego brutto w 2022 r.</w:t>
      </w:r>
    </w:p>
    <w:p w14:paraId="3594B5E1" w14:textId="5FFB475E" w:rsidR="007C56ED" w:rsidRPr="007C56ED" w:rsidRDefault="00131058" w:rsidP="007C56ED">
      <w:pPr>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5) 6,00</w:t>
      </w:r>
      <w:r w:rsidR="007C56ED" w:rsidRPr="007C56ED">
        <w:rPr>
          <w:rFonts w:eastAsiaTheme="minorEastAsia" w:cs="Arial"/>
          <w:color w:val="000000" w:themeColor="text1"/>
          <w:szCs w:val="19"/>
          <w:lang w:eastAsia="pl-PL"/>
        </w:rPr>
        <w:t>% produktu krajowego brutto w 2023 r.</w:t>
      </w:r>
    </w:p>
    <w:p w14:paraId="2512568D" w14:textId="22855015" w:rsidR="007C56ED" w:rsidRPr="007C56ED" w:rsidRDefault="00DE2D09" w:rsidP="007C56ED">
      <w:pPr>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6) 6,2</w:t>
      </w:r>
      <w:r w:rsidR="007C56ED" w:rsidRPr="007C56ED">
        <w:rPr>
          <w:rFonts w:eastAsiaTheme="minorEastAsia" w:cs="Arial"/>
          <w:color w:val="000000" w:themeColor="text1"/>
          <w:szCs w:val="19"/>
          <w:lang w:eastAsia="pl-PL"/>
        </w:rPr>
        <w:t>0% produktu krajowego brutto w 2024 r.</w:t>
      </w:r>
    </w:p>
    <w:p w14:paraId="4B8F2295" w14:textId="0439DAA7" w:rsidR="007C56ED" w:rsidRDefault="00DE2D09" w:rsidP="007C56ED">
      <w:pPr>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7) 6,5</w:t>
      </w:r>
      <w:r w:rsidR="00131058">
        <w:rPr>
          <w:rFonts w:eastAsiaTheme="minorEastAsia" w:cs="Arial"/>
          <w:color w:val="000000" w:themeColor="text1"/>
          <w:szCs w:val="19"/>
          <w:lang w:eastAsia="pl-PL"/>
        </w:rPr>
        <w:t>0</w:t>
      </w:r>
      <w:r w:rsidR="007C56ED" w:rsidRPr="007C56ED">
        <w:rPr>
          <w:rFonts w:eastAsiaTheme="minorEastAsia" w:cs="Arial"/>
          <w:color w:val="000000" w:themeColor="text1"/>
          <w:szCs w:val="19"/>
          <w:lang w:eastAsia="pl-PL"/>
        </w:rPr>
        <w:t>% produktu krajowego brutto w 2025 r.</w:t>
      </w:r>
    </w:p>
    <w:p w14:paraId="3A85E88C" w14:textId="4A1A2072" w:rsidR="00DE2D09" w:rsidRPr="007C56ED" w:rsidRDefault="00DE2D09" w:rsidP="007C56ED">
      <w:pPr>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8) 6,80</w:t>
      </w:r>
      <w:r w:rsidRPr="007C56ED">
        <w:rPr>
          <w:rFonts w:eastAsiaTheme="minorEastAsia" w:cs="Arial"/>
          <w:color w:val="000000" w:themeColor="text1"/>
          <w:szCs w:val="19"/>
          <w:lang w:eastAsia="pl-PL"/>
        </w:rPr>
        <w:t>% produktu krajowego brutto w 202</w:t>
      </w:r>
      <w:r>
        <w:rPr>
          <w:rFonts w:eastAsiaTheme="minorEastAsia" w:cs="Arial"/>
          <w:color w:val="000000" w:themeColor="text1"/>
          <w:szCs w:val="19"/>
          <w:lang w:eastAsia="pl-PL"/>
        </w:rPr>
        <w:t>6</w:t>
      </w:r>
      <w:r w:rsidRPr="007C56ED">
        <w:rPr>
          <w:rFonts w:eastAsiaTheme="minorEastAsia" w:cs="Arial"/>
          <w:color w:val="000000" w:themeColor="text1"/>
          <w:szCs w:val="19"/>
          <w:lang w:eastAsia="pl-PL"/>
        </w:rPr>
        <w:t xml:space="preserve"> r.</w:t>
      </w:r>
    </w:p>
    <w:p w14:paraId="4D2E9348"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 xml:space="preserve">Powyższe limity, zgodnie z ust. 4 art. 131c tej ustawy, są uwzględniane przez Radę Ministrów </w:t>
      </w:r>
      <w:r w:rsidRPr="007C56ED">
        <w:rPr>
          <w:rFonts w:eastAsiaTheme="minorEastAsia" w:cs="Arial"/>
          <w:color w:val="000000" w:themeColor="text1"/>
          <w:szCs w:val="19"/>
          <w:lang w:eastAsia="pl-PL"/>
        </w:rPr>
        <w:br/>
        <w:t>w projektach ustaw budżetowych albo projektach ustaw o prowizorium budżetowym.</w:t>
      </w:r>
    </w:p>
    <w:p w14:paraId="0ED5133E" w14:textId="3D29F795"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Punkt odniesienia wartości produktu krajowego brutto j</w:t>
      </w:r>
      <w:r w:rsidR="0010137A">
        <w:rPr>
          <w:rFonts w:eastAsiaTheme="minorEastAsia" w:cs="Arial"/>
          <w:color w:val="000000" w:themeColor="text1"/>
          <w:szCs w:val="19"/>
          <w:lang w:eastAsia="pl-PL"/>
        </w:rPr>
        <w:t xml:space="preserve">est wskazany w art. 131c ust. 2 </w:t>
      </w:r>
      <w:r w:rsidRPr="007C56ED">
        <w:rPr>
          <w:rFonts w:eastAsiaTheme="minorEastAsia" w:cs="Arial"/>
          <w:color w:val="000000" w:themeColor="text1"/>
          <w:szCs w:val="19"/>
          <w:lang w:eastAsia="pl-PL"/>
        </w:rPr>
        <w:t xml:space="preserve">ustawy, zgodnie z którym wartość produktu krajowego brutto jest ustalana na podstawie wartości określonej w obwieszczeniu Prezesa Głównego Urzędu Statystycznego wydawanym na podstawie art. 5 ustawy z dnia 26 października 2000 r. o sposobie obliczania wartości rocznego produktu krajowego brutto, według stanu na dzień 31 sierpnia. Przedmiotowe obwieszczenie wydawane jest do 15 maja danego roku za rok poprzedni. Tym samym, przy planowaniu nakładów na ochronę zdrowia na rok następny, zgodnie z ustawą, Rada Ministrów </w:t>
      </w:r>
      <w:r w:rsidR="0010137A">
        <w:rPr>
          <w:rFonts w:eastAsiaTheme="minorEastAsia" w:cs="Arial"/>
          <w:color w:val="000000" w:themeColor="text1"/>
          <w:szCs w:val="19"/>
          <w:lang w:eastAsia="pl-PL"/>
        </w:rPr>
        <w:br/>
      </w:r>
      <w:r w:rsidRPr="007C56ED">
        <w:rPr>
          <w:rFonts w:eastAsiaTheme="minorEastAsia" w:cs="Arial"/>
          <w:color w:val="000000" w:themeColor="text1"/>
          <w:szCs w:val="19"/>
          <w:lang w:eastAsia="pl-PL"/>
        </w:rPr>
        <w:t xml:space="preserve">w projektach ustaw budżetowych albo projektach ustaw o prowizorium budżetowym przygotowywanych na rok N uwzględnia tę wartość PKB, która jest dostępna dla roku N-2. Dodatkowo ustawa o świadczeniach opieki zdrowotnej finansowanych ze środków publicznych, określa również ścisły katalog wydatków lub kosztów, które wlicza się do nakładów na ochronę zdrowia. </w:t>
      </w:r>
    </w:p>
    <w:p w14:paraId="1F4FDC16" w14:textId="77777777" w:rsidR="007C56ED" w:rsidRPr="007C56ED" w:rsidRDefault="007C56ED" w:rsidP="007C56ED">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Katalog ten obejmuje:</w:t>
      </w:r>
    </w:p>
    <w:p w14:paraId="123E4F9B" w14:textId="77777777" w:rsidR="00131058" w:rsidRPr="007C56ED" w:rsidRDefault="00131058" w:rsidP="00131058">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1) wydatki budżetowe w części budżetu państwa, której dysponentem jest minister właściwy do spraw zdrowia;</w:t>
      </w:r>
    </w:p>
    <w:p w14:paraId="7B8097B7" w14:textId="77777777" w:rsidR="00131058" w:rsidRPr="007C56ED" w:rsidRDefault="00131058" w:rsidP="00131058">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2) wydatki budżetowe w dziale „ochrona zdrowia” w innych częściach budżetu państwa;</w:t>
      </w:r>
    </w:p>
    <w:p w14:paraId="0F494058" w14:textId="77777777" w:rsidR="00131058" w:rsidRPr="007C56ED" w:rsidRDefault="00131058" w:rsidP="00131058">
      <w:pPr>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 xml:space="preserve">3) koszty Narodowego Funduszu Zdrowia </w:t>
      </w:r>
      <w:r w:rsidRPr="001925EC">
        <w:rPr>
          <w:rFonts w:eastAsiaTheme="minorEastAsia" w:cs="Arial"/>
          <w:color w:val="000000" w:themeColor="text1"/>
          <w:szCs w:val="19"/>
          <w:lang w:eastAsia="pl-PL"/>
        </w:rPr>
        <w:t>ujęte w planie finansowym Funduszu z wyłączeniem środków z Funduszu Medycznego, przekazywanych do Funduszu</w:t>
      </w:r>
      <w:r w:rsidRPr="007C56ED">
        <w:rPr>
          <w:rFonts w:eastAsiaTheme="minorEastAsia" w:cs="Arial"/>
          <w:color w:val="000000" w:themeColor="text1"/>
          <w:szCs w:val="19"/>
          <w:lang w:eastAsia="pl-PL"/>
        </w:rPr>
        <w:t>;</w:t>
      </w:r>
    </w:p>
    <w:p w14:paraId="08362300" w14:textId="35BD1D21" w:rsidR="00131058" w:rsidRPr="00131058" w:rsidRDefault="00131058" w:rsidP="00131058">
      <w:pPr>
        <w:spacing w:line="288" w:lineRule="auto"/>
        <w:rPr>
          <w:rFonts w:eastAsiaTheme="minorEastAsia" w:cs="Arial"/>
          <w:szCs w:val="19"/>
          <w:lang w:eastAsia="pl-PL"/>
        </w:rPr>
      </w:pPr>
      <w:r w:rsidRPr="007C56ED">
        <w:rPr>
          <w:rFonts w:eastAsiaTheme="minorEastAsia" w:cs="Arial"/>
          <w:color w:val="000000" w:themeColor="text1"/>
          <w:szCs w:val="19"/>
          <w:lang w:eastAsia="pl-PL"/>
        </w:rPr>
        <w:t xml:space="preserve">4) odpis dla Agencji Oceny Technologii Medycznych i Taryfikacji, o którym mowa w art. 31t </w:t>
      </w:r>
      <w:r w:rsidR="009769F0">
        <w:rPr>
          <w:rFonts w:eastAsiaTheme="minorEastAsia" w:cs="Arial"/>
          <w:szCs w:val="19"/>
          <w:lang w:eastAsia="pl-PL"/>
        </w:rPr>
        <w:t>ust. 5-</w:t>
      </w:r>
      <w:r w:rsidRPr="00131058">
        <w:rPr>
          <w:rFonts w:eastAsiaTheme="minorEastAsia" w:cs="Arial"/>
          <w:szCs w:val="19"/>
          <w:lang w:eastAsia="pl-PL"/>
        </w:rPr>
        <w:t>9, ujęty w planie finansowym Funduszu;</w:t>
      </w:r>
    </w:p>
    <w:p w14:paraId="1FE95EDD" w14:textId="77777777" w:rsidR="00131058" w:rsidRPr="00131058" w:rsidRDefault="00131058" w:rsidP="00131058">
      <w:pPr>
        <w:spacing w:line="288" w:lineRule="auto"/>
        <w:rPr>
          <w:rFonts w:eastAsiaTheme="minorEastAsia" w:cs="Arial"/>
          <w:szCs w:val="19"/>
          <w:lang w:eastAsia="pl-PL"/>
        </w:rPr>
      </w:pPr>
      <w:r w:rsidRPr="00131058">
        <w:rPr>
          <w:rFonts w:eastAsiaTheme="minorEastAsia" w:cs="Arial"/>
          <w:szCs w:val="19"/>
          <w:lang w:eastAsia="pl-PL"/>
        </w:rPr>
        <w:t xml:space="preserve">5) koszty Funduszu Kredytowania Studiów Medycznych ujęte w planie finansowym tego </w:t>
      </w:r>
      <w:r w:rsidRPr="00131058">
        <w:rPr>
          <w:rFonts w:eastAsiaTheme="minorEastAsia" w:cs="Arial"/>
          <w:szCs w:val="19"/>
          <w:lang w:eastAsia="pl-PL"/>
        </w:rPr>
        <w:br/>
        <w:t>Funduszu;</w:t>
      </w:r>
    </w:p>
    <w:p w14:paraId="56E91009" w14:textId="77777777" w:rsidR="00131058" w:rsidRPr="00131058" w:rsidRDefault="00131058" w:rsidP="00131058">
      <w:pPr>
        <w:spacing w:line="288" w:lineRule="auto"/>
        <w:rPr>
          <w:rFonts w:eastAsiaTheme="minorEastAsia" w:cs="Arial"/>
          <w:szCs w:val="19"/>
          <w:lang w:eastAsia="pl-PL"/>
        </w:rPr>
      </w:pPr>
      <w:r w:rsidRPr="00131058">
        <w:rPr>
          <w:rFonts w:eastAsiaTheme="minorEastAsia" w:cs="Arial"/>
          <w:szCs w:val="19"/>
          <w:lang w:eastAsia="pl-PL"/>
        </w:rPr>
        <w:t xml:space="preserve">6) koszty ujęte w planie finansowym Funduszu Rozwiązywania Problemów Hazardowych, </w:t>
      </w:r>
      <w:r w:rsidRPr="00131058">
        <w:rPr>
          <w:rFonts w:eastAsiaTheme="minorEastAsia" w:cs="Arial"/>
          <w:szCs w:val="19"/>
          <w:lang w:eastAsia="pl-PL"/>
        </w:rPr>
        <w:br/>
        <w:t>o którym mowa w art. 88 ustawy z dnia 19 listopada 2009 r. o grach hazardowych;</w:t>
      </w:r>
    </w:p>
    <w:p w14:paraId="46191B9C" w14:textId="77777777" w:rsidR="00131058" w:rsidRPr="00131058" w:rsidRDefault="00131058" w:rsidP="00131058">
      <w:pPr>
        <w:spacing w:line="288" w:lineRule="auto"/>
        <w:rPr>
          <w:rFonts w:eastAsiaTheme="minorEastAsia" w:cs="Arial"/>
          <w:szCs w:val="19"/>
          <w:lang w:eastAsia="pl-PL"/>
        </w:rPr>
      </w:pPr>
      <w:r w:rsidRPr="00131058">
        <w:rPr>
          <w:rFonts w:eastAsiaTheme="minorEastAsia" w:cs="Arial"/>
          <w:szCs w:val="19"/>
          <w:lang w:eastAsia="pl-PL"/>
        </w:rPr>
        <w:t xml:space="preserve">7) odpis dla Agencji Badań Medycznych, o którym mowa w art. 97 ust. 3e, ujęty w planie </w:t>
      </w:r>
      <w:r w:rsidRPr="00131058">
        <w:rPr>
          <w:rFonts w:eastAsiaTheme="minorEastAsia" w:cs="Arial"/>
          <w:szCs w:val="19"/>
          <w:lang w:eastAsia="pl-PL"/>
        </w:rPr>
        <w:br/>
        <w:t>finansowym Funduszu;</w:t>
      </w:r>
    </w:p>
    <w:p w14:paraId="4C45108E" w14:textId="213A6C83" w:rsidR="00131058" w:rsidRPr="00131058" w:rsidRDefault="00131058" w:rsidP="00131058">
      <w:pPr>
        <w:spacing w:line="288" w:lineRule="auto"/>
        <w:rPr>
          <w:rFonts w:eastAsiaTheme="minorEastAsia" w:cs="Arial"/>
          <w:szCs w:val="19"/>
          <w:lang w:eastAsia="pl-PL"/>
        </w:rPr>
      </w:pPr>
      <w:r w:rsidRPr="00131058">
        <w:rPr>
          <w:rFonts w:eastAsiaTheme="minorEastAsia" w:cs="Arial"/>
          <w:szCs w:val="19"/>
          <w:lang w:eastAsia="pl-PL"/>
        </w:rPr>
        <w:t xml:space="preserve">8) koszty ujęte w planie finansowym Funduszu Kompensacyjnego Szczepień Ochronnych, </w:t>
      </w:r>
      <w:r w:rsidR="008F1DB3">
        <w:rPr>
          <w:rFonts w:eastAsiaTheme="minorEastAsia" w:cs="Arial"/>
          <w:szCs w:val="19"/>
          <w:lang w:eastAsia="pl-PL"/>
        </w:rPr>
        <w:br/>
      </w:r>
      <w:r w:rsidRPr="00131058">
        <w:rPr>
          <w:rFonts w:eastAsiaTheme="minorEastAsia" w:cs="Arial"/>
          <w:szCs w:val="19"/>
          <w:lang w:eastAsia="pl-PL"/>
        </w:rPr>
        <w:t>o którym mowa w </w:t>
      </w:r>
      <w:hyperlink r:id="rId19" w:history="1">
        <w:r w:rsidRPr="00131058">
          <w:rPr>
            <w:rFonts w:eastAsiaTheme="minorEastAsia" w:cs="Arial"/>
            <w:szCs w:val="19"/>
            <w:lang w:eastAsia="pl-PL"/>
          </w:rPr>
          <w:t>art. 17b ust. 1</w:t>
        </w:r>
      </w:hyperlink>
      <w:r w:rsidRPr="00131058">
        <w:rPr>
          <w:rFonts w:eastAsiaTheme="minorEastAsia" w:cs="Arial"/>
          <w:szCs w:val="19"/>
          <w:lang w:eastAsia="pl-PL"/>
        </w:rPr>
        <w:t> ustawy z dnia 5 grudnia 2008 r. o zapobieganiu oraz zwalczaniu zakażeń i chorób zakaźnych u ludzi;</w:t>
      </w:r>
    </w:p>
    <w:p w14:paraId="1098EC1C" w14:textId="77777777" w:rsidR="00131058" w:rsidRPr="00131058" w:rsidRDefault="00131058" w:rsidP="00131058">
      <w:pPr>
        <w:spacing w:line="288" w:lineRule="auto"/>
        <w:rPr>
          <w:rFonts w:eastAsiaTheme="minorEastAsia" w:cs="Arial"/>
          <w:szCs w:val="19"/>
          <w:lang w:eastAsia="pl-PL"/>
        </w:rPr>
      </w:pPr>
      <w:r w:rsidRPr="00131058">
        <w:rPr>
          <w:rFonts w:eastAsiaTheme="minorEastAsia" w:cs="Arial"/>
          <w:szCs w:val="19"/>
          <w:lang w:eastAsia="pl-PL"/>
        </w:rPr>
        <w:t>9) koszty ujęte w rocznym planie finansowym Funduszu Kompensacyjnego Badań Klinicznych, o którym mowa w </w:t>
      </w:r>
      <w:hyperlink r:id="rId20" w:history="1">
        <w:r w:rsidRPr="00131058">
          <w:rPr>
            <w:rFonts w:eastAsiaTheme="minorEastAsia" w:cs="Arial"/>
            <w:szCs w:val="19"/>
            <w:lang w:eastAsia="pl-PL"/>
          </w:rPr>
          <w:t>art. 41 ust. 5</w:t>
        </w:r>
      </w:hyperlink>
      <w:r w:rsidRPr="00131058">
        <w:rPr>
          <w:rFonts w:eastAsiaTheme="minorEastAsia" w:cs="Arial"/>
          <w:szCs w:val="19"/>
          <w:lang w:eastAsia="pl-PL"/>
        </w:rPr>
        <w:t> ustawy z dnia 9 marca 2023 r. o badaniach klinicznych produktów leczniczych stosowanych u ludzi (Dz.U. </w:t>
      </w:r>
      <w:hyperlink r:id="rId21" w:history="1">
        <w:r w:rsidRPr="00131058">
          <w:rPr>
            <w:rFonts w:eastAsiaTheme="minorEastAsia" w:cs="Arial"/>
            <w:szCs w:val="19"/>
            <w:lang w:eastAsia="pl-PL"/>
          </w:rPr>
          <w:t>poz. 605</w:t>
        </w:r>
      </w:hyperlink>
      <w:r w:rsidRPr="00131058">
        <w:rPr>
          <w:rFonts w:eastAsiaTheme="minorEastAsia" w:cs="Arial"/>
          <w:szCs w:val="19"/>
          <w:lang w:eastAsia="pl-PL"/>
        </w:rPr>
        <w:t xml:space="preserve">); </w:t>
      </w:r>
    </w:p>
    <w:p w14:paraId="55A69D73" w14:textId="751F44B6" w:rsidR="00131058" w:rsidRPr="00131058" w:rsidRDefault="009769F0" w:rsidP="00131058">
      <w:pPr>
        <w:spacing w:line="288" w:lineRule="auto"/>
        <w:rPr>
          <w:rFonts w:eastAsiaTheme="minorEastAsia" w:cs="Arial"/>
          <w:szCs w:val="19"/>
          <w:lang w:eastAsia="pl-PL"/>
        </w:rPr>
      </w:pPr>
      <w:r w:rsidRPr="007C56ED">
        <w:rPr>
          <w:rFonts w:eastAsiaTheme="minorEastAsia" w:cs="Arial"/>
          <w:szCs w:val="19"/>
          <w:lang w:eastAsia="pl-PL"/>
        </w:rPr>
        <w:t>–</w:t>
      </w:r>
      <w:r w:rsidR="00131058" w:rsidRPr="00131058">
        <w:rPr>
          <w:rFonts w:eastAsiaTheme="minorEastAsia" w:cs="Arial"/>
          <w:szCs w:val="19"/>
          <w:lang w:eastAsia="pl-PL"/>
        </w:rPr>
        <w:t xml:space="preserve"> po wyłączeniu planowanych transferów środków finansowych otrzymanych </w:t>
      </w:r>
      <w:r w:rsidR="00131058">
        <w:rPr>
          <w:rFonts w:eastAsiaTheme="minorEastAsia" w:cs="Arial"/>
          <w:szCs w:val="19"/>
          <w:lang w:eastAsia="pl-PL"/>
        </w:rPr>
        <w:t xml:space="preserve">ze źródeł, </w:t>
      </w:r>
      <w:r w:rsidR="00131058">
        <w:rPr>
          <w:rFonts w:eastAsiaTheme="minorEastAsia" w:cs="Arial"/>
          <w:szCs w:val="19"/>
          <w:lang w:eastAsia="pl-PL"/>
        </w:rPr>
        <w:br/>
        <w:t>o których mowa w punktach</w:t>
      </w:r>
      <w:r w:rsidR="00131058" w:rsidRPr="00131058">
        <w:rPr>
          <w:rFonts w:eastAsiaTheme="minorEastAsia" w:cs="Arial"/>
          <w:szCs w:val="19"/>
          <w:lang w:eastAsia="pl-PL"/>
        </w:rPr>
        <w:t xml:space="preserve"> 1-9.</w:t>
      </w:r>
    </w:p>
    <w:p w14:paraId="030DA38A" w14:textId="43F91E8E" w:rsidR="00671B3B" w:rsidRPr="00671B3B" w:rsidRDefault="00671B3B" w:rsidP="00671B3B">
      <w:pPr>
        <w:tabs>
          <w:tab w:val="left" w:pos="3464"/>
          <w:tab w:val="left" w:pos="5052"/>
          <w:tab w:val="left" w:pos="6640"/>
        </w:tabs>
        <w:spacing w:before="40"/>
        <w:rPr>
          <w:b/>
          <w:bCs/>
        </w:rPr>
      </w:pPr>
    </w:p>
    <w:p w14:paraId="0525DBCC" w14:textId="46E7A655" w:rsidR="008B2B97" w:rsidRPr="00115B0B" w:rsidRDefault="008B2B97" w:rsidP="00115B0B">
      <w:pPr>
        <w:rPr>
          <w:rFonts w:eastAsiaTheme="minorEastAsia" w:cs="Arial"/>
          <w:b/>
          <w:color w:val="000000" w:themeColor="text1"/>
          <w:szCs w:val="19"/>
          <w:lang w:eastAsia="pl-PL"/>
        </w:rPr>
      </w:pPr>
    </w:p>
    <w:p w14:paraId="28E2344E" w14:textId="493977F2" w:rsidR="00216634" w:rsidRPr="009B2A4A" w:rsidRDefault="00216634" w:rsidP="002D17A5">
      <w:pPr>
        <w:pStyle w:val="Nagwek1"/>
        <w:keepNext w:val="0"/>
        <w:rPr>
          <w:szCs w:val="19"/>
          <w:lang w:val="en-GB"/>
        </w:rPr>
      </w:pPr>
    </w:p>
    <w:p w14:paraId="6906E19B" w14:textId="1CE62A17" w:rsidR="00DA331D" w:rsidRPr="009B2A4A" w:rsidRDefault="00DA331D" w:rsidP="00E95B8E">
      <w:pPr>
        <w:rPr>
          <w:sz w:val="16"/>
          <w:lang w:val="en-GB"/>
        </w:rPr>
      </w:pPr>
    </w:p>
    <w:p w14:paraId="4809D44B" w14:textId="52ACD0A1" w:rsidR="00694AF0" w:rsidRPr="009B2A4A" w:rsidRDefault="00694AF0" w:rsidP="00E76D26">
      <w:pPr>
        <w:rPr>
          <w:sz w:val="18"/>
          <w:lang w:val="en-GB"/>
        </w:rPr>
      </w:pPr>
    </w:p>
    <w:p w14:paraId="3C222B0C" w14:textId="77777777" w:rsidR="00DA331D" w:rsidRPr="009B2A4A" w:rsidRDefault="00DA331D" w:rsidP="00DA331D">
      <w:pPr>
        <w:spacing w:before="360"/>
        <w:rPr>
          <w:sz w:val="18"/>
          <w:lang w:val="en-GB"/>
        </w:rPr>
        <w:sectPr w:rsidR="00DA331D" w:rsidRPr="009B2A4A" w:rsidSect="003B18B6">
          <w:headerReference w:type="even" r:id="rId22"/>
          <w:headerReference w:type="default" r:id="rId23"/>
          <w:footerReference w:type="even"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t>Opracowanie merytoryczne:</w:t>
            </w:r>
          </w:p>
          <w:p w14:paraId="1E9B29DC" w14:textId="3601AE7C"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313535">
              <w:rPr>
                <w:rFonts w:cs="Arial"/>
                <w:b/>
                <w:color w:val="000000" w:themeColor="text1"/>
                <w:sz w:val="20"/>
              </w:rPr>
              <w:t>Badań Społecznych</w:t>
            </w:r>
            <w:r w:rsidR="008F1DB3">
              <w:rPr>
                <w:rFonts w:cs="Arial"/>
                <w:b/>
                <w:color w:val="000000" w:themeColor="text1"/>
                <w:sz w:val="20"/>
              </w:rPr>
              <w:t xml:space="preserve"> i Rynku Pracy</w:t>
            </w:r>
          </w:p>
          <w:p w14:paraId="41A1AE38" w14:textId="16D70621" w:rsidR="00DE2400" w:rsidRPr="00AB1F20" w:rsidRDefault="00DE2400" w:rsidP="00224BA0">
            <w:pPr>
              <w:spacing w:before="0" w:after="0" w:line="276" w:lineRule="auto"/>
              <w:rPr>
                <w:b/>
                <w:sz w:val="20"/>
                <w:szCs w:val="20"/>
                <w:lang w:val="fi-FI"/>
              </w:rPr>
            </w:pPr>
            <w:r w:rsidRPr="00AB1F20">
              <w:rPr>
                <w:b/>
                <w:sz w:val="20"/>
                <w:szCs w:val="20"/>
                <w:lang w:val="fi-FI"/>
              </w:rPr>
              <w:t xml:space="preserve">Dyrektor </w:t>
            </w:r>
            <w:r w:rsidR="00E16D33">
              <w:rPr>
                <w:b/>
                <w:sz w:val="20"/>
                <w:szCs w:val="20"/>
                <w:lang w:val="fi-FI"/>
              </w:rPr>
              <w:t xml:space="preserve">dr </w:t>
            </w:r>
            <w:r w:rsidR="00313535">
              <w:rPr>
                <w:b/>
                <w:sz w:val="20"/>
                <w:szCs w:val="20"/>
                <w:lang w:val="fi-FI"/>
              </w:rPr>
              <w:t>Piotr Łysoń</w:t>
            </w:r>
          </w:p>
          <w:p w14:paraId="5425F0B4" w14:textId="4288E16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52D8F">
              <w:rPr>
                <w:rFonts w:ascii="Fira Sans" w:hAnsi="Fira Sans" w:cs="Arial"/>
                <w:color w:val="000000" w:themeColor="text1"/>
                <w:sz w:val="20"/>
                <w:lang w:val="fi-FI"/>
              </w:rPr>
              <w:t>449 40 27</w:t>
            </w:r>
          </w:p>
        </w:tc>
        <w:tc>
          <w:tcPr>
            <w:tcW w:w="4927" w:type="dxa"/>
          </w:tcPr>
          <w:p w14:paraId="4E8FFA16" w14:textId="77777777" w:rsidR="00DE2400" w:rsidRPr="004A1D19" w:rsidRDefault="00DE2400" w:rsidP="00075BD4">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047A0FE3" w14:textId="77777777" w:rsidR="00DE2400" w:rsidRPr="00F03D62" w:rsidRDefault="00DE2400" w:rsidP="00F03D62">
            <w:pPr>
              <w:spacing w:before="0" w:after="0" w:line="276" w:lineRule="auto"/>
              <w:rPr>
                <w:b/>
                <w:sz w:val="20"/>
                <w:szCs w:val="20"/>
                <w:lang w:val="fi-FI"/>
              </w:rPr>
            </w:pPr>
            <w:r w:rsidRPr="00F03D62">
              <w:rPr>
                <w:b/>
                <w:sz w:val="20"/>
                <w:szCs w:val="20"/>
                <w:lang w:val="fi-FI"/>
              </w:rPr>
              <w:t>Karolina Banaszek</w:t>
            </w:r>
          </w:p>
          <w:p w14:paraId="59C02E89" w14:textId="77777777" w:rsidR="00DE2400" w:rsidRPr="00331135" w:rsidRDefault="00DE2400" w:rsidP="0033113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CC62B04" w14:textId="77777777" w:rsidR="00DE2400" w:rsidRDefault="00DE2400" w:rsidP="00224BA0">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224BA0">
            <w:pPr>
              <w:rPr>
                <w:b/>
                <w:sz w:val="20"/>
              </w:rPr>
            </w:pPr>
            <w:r w:rsidRPr="00C91687">
              <w:rPr>
                <w:b/>
                <w:sz w:val="20"/>
              </w:rPr>
              <w:t xml:space="preserve">Wydział Współpracy z Mediami </w:t>
            </w:r>
          </w:p>
          <w:p w14:paraId="6446B629" w14:textId="575B0CB9" w:rsidR="00DE2400" w:rsidRPr="00C91687" w:rsidRDefault="00DE2400" w:rsidP="00075BD4">
            <w:pPr>
              <w:spacing w:before="0" w:after="0"/>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224BA0">
            <w:pPr>
              <w:rPr>
                <w:sz w:val="18"/>
                <w:lang w:val="en-US"/>
              </w:rPr>
            </w:pPr>
            <w:r w:rsidRPr="00A82D31">
              <w:rPr>
                <w:b/>
                <w:sz w:val="20"/>
                <w:lang w:val="en-GB"/>
              </w:rPr>
              <w:t>e-mail:</w:t>
            </w:r>
            <w:r w:rsidRPr="00A82D31">
              <w:rPr>
                <w:sz w:val="20"/>
                <w:lang w:val="en-GB"/>
              </w:rPr>
              <w:t xml:space="preserve"> </w:t>
            </w:r>
            <w:hyperlink r:id="rId2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224BA0">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224BA0">
            <w:pPr>
              <w:rPr>
                <w:b/>
                <w:sz w:val="20"/>
              </w:rPr>
            </w:pPr>
          </w:p>
        </w:tc>
        <w:tc>
          <w:tcPr>
            <w:tcW w:w="4927" w:type="dxa"/>
            <w:vAlign w:val="center"/>
          </w:tcPr>
          <w:p w14:paraId="09C3C6AD" w14:textId="1B4377EF" w:rsidR="00DE2400" w:rsidRDefault="00531873" w:rsidP="00224BA0">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224BA0">
            <w:pPr>
              <w:rPr>
                <w:b/>
                <w:sz w:val="20"/>
              </w:rPr>
            </w:pPr>
          </w:p>
        </w:tc>
        <w:tc>
          <w:tcPr>
            <w:tcW w:w="4927" w:type="dxa"/>
          </w:tcPr>
          <w:p w14:paraId="5B472D28" w14:textId="4EA23A0C" w:rsidR="00DE2400" w:rsidRDefault="00531873" w:rsidP="00224BA0">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9B2A4A"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2482A087" w14:textId="77777777" w:rsidR="00A52D8F" w:rsidRPr="00A52D8F" w:rsidRDefault="00322A1C" w:rsidP="00A52D8F">
            <w:pPr>
              <w:rPr>
                <w:color w:val="0000FF"/>
                <w:szCs w:val="19"/>
                <w:u w:val="single"/>
              </w:rPr>
            </w:pPr>
            <w:hyperlink r:id="rId35" w:history="1">
              <w:r w:rsidR="00A52D8F" w:rsidRPr="00A52D8F">
                <w:rPr>
                  <w:color w:val="0000FF"/>
                  <w:szCs w:val="19"/>
                  <w:u w:val="single"/>
                </w:rPr>
                <w:t>Zdrowie i ochrona zdrowia w 2021 r.</w:t>
              </w:r>
            </w:hyperlink>
          </w:p>
          <w:p w14:paraId="42551F87" w14:textId="77777777" w:rsidR="00A52D8F" w:rsidRPr="00A52D8F" w:rsidRDefault="00322A1C" w:rsidP="00A52D8F">
            <w:pPr>
              <w:rPr>
                <w:color w:val="002060"/>
                <w:szCs w:val="19"/>
                <w:u w:val="single"/>
              </w:rPr>
            </w:pPr>
            <w:hyperlink r:id="rId36" w:history="1">
              <w:r w:rsidR="00A52D8F" w:rsidRPr="00A52D8F">
                <w:rPr>
                  <w:color w:val="0000FF"/>
                  <w:szCs w:val="19"/>
                  <w:u w:val="single"/>
                </w:rPr>
                <w:t>Komunikat Prezesa GUS w sprawie NRZ za 2020 r.</w:t>
              </w:r>
            </w:hyperlink>
          </w:p>
          <w:p w14:paraId="56A758A1" w14:textId="77777777" w:rsidR="00A52D8F" w:rsidRPr="00A52D8F" w:rsidRDefault="00322A1C" w:rsidP="00A52D8F">
            <w:pPr>
              <w:spacing w:after="0"/>
              <w:rPr>
                <w:color w:val="0000FF"/>
                <w:u w:val="single"/>
              </w:rPr>
            </w:pPr>
            <w:hyperlink r:id="rId37" w:history="1">
              <w:r w:rsidR="00A52D8F" w:rsidRPr="00A52D8F">
                <w:rPr>
                  <w:color w:val="0000FF"/>
                  <w:u w:val="single"/>
                </w:rPr>
                <w:t>Podręcznik SHA2011</w:t>
              </w:r>
            </w:hyperlink>
          </w:p>
          <w:p w14:paraId="55DA24D0" w14:textId="3E177224" w:rsidR="00531873" w:rsidRPr="00694D63" w:rsidRDefault="00531873" w:rsidP="00531873">
            <w:pPr>
              <w:shd w:val="clear" w:color="auto" w:fill="D9D9D9" w:themeFill="background1" w:themeFillShade="D9"/>
              <w:spacing w:before="360"/>
              <w:rPr>
                <w:b/>
                <w:color w:val="000000" w:themeColor="text1"/>
                <w:szCs w:val="24"/>
              </w:rPr>
            </w:pPr>
            <w:r>
              <w:rPr>
                <w:b/>
                <w:color w:val="000000" w:themeColor="text1"/>
                <w:szCs w:val="24"/>
              </w:rPr>
              <w:t>Temat dostępny w bazach danych</w:t>
            </w:r>
          </w:p>
          <w:p w14:paraId="4B24D9AC" w14:textId="77777777" w:rsidR="00A52D8F" w:rsidRPr="00A52D8F" w:rsidRDefault="00322A1C" w:rsidP="00A52D8F">
            <w:pPr>
              <w:spacing w:after="0"/>
            </w:pPr>
            <w:hyperlink r:id="rId38" w:history="1">
              <w:r w:rsidR="00A52D8F" w:rsidRPr="00A52D8F">
                <w:rPr>
                  <w:color w:val="0000FF"/>
                  <w:u w:val="single"/>
                </w:rPr>
                <w:t>Baza danych OECD</w:t>
              </w:r>
            </w:hyperlink>
            <w:r w:rsidR="00A52D8F" w:rsidRPr="00A52D8F">
              <w:t xml:space="preserve"> </w:t>
            </w:r>
          </w:p>
          <w:p w14:paraId="6EC7A51E" w14:textId="4DA196D9" w:rsidR="00531873" w:rsidRPr="00694D63" w:rsidRDefault="00531873" w:rsidP="00531873">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6FD64EDD" w14:textId="77777777" w:rsidR="00A52D8F" w:rsidRPr="00A52D8F" w:rsidRDefault="00322A1C" w:rsidP="00A52D8F">
            <w:pPr>
              <w:spacing w:after="0"/>
              <w:rPr>
                <w:color w:val="0000FF"/>
                <w:u w:val="single"/>
              </w:rPr>
            </w:pPr>
            <w:hyperlink r:id="rId39" w:history="1">
              <w:r w:rsidR="00A52D8F" w:rsidRPr="00A52D8F">
                <w:rPr>
                  <w:color w:val="0000FF"/>
                  <w:u w:val="single"/>
                </w:rPr>
                <w:t>Stacjonarna opieka zdrowotna</w:t>
              </w:r>
            </w:hyperlink>
          </w:p>
          <w:p w14:paraId="0B9C5698" w14:textId="77777777" w:rsidR="00A52D8F" w:rsidRPr="00A52D8F" w:rsidRDefault="00322A1C" w:rsidP="00A52D8F">
            <w:pPr>
              <w:spacing w:after="0"/>
              <w:rPr>
                <w:color w:val="0000FF"/>
                <w:u w:val="single"/>
              </w:rPr>
            </w:pPr>
            <w:hyperlink r:id="rId40" w:history="1">
              <w:r w:rsidR="00A52D8F" w:rsidRPr="00A52D8F">
                <w:rPr>
                  <w:color w:val="0000FF"/>
                  <w:u w:val="single"/>
                </w:rPr>
                <w:t>Szpital</w:t>
              </w:r>
            </w:hyperlink>
          </w:p>
          <w:p w14:paraId="07B2C4B0" w14:textId="77777777" w:rsidR="00A52D8F" w:rsidRPr="00A52D8F" w:rsidRDefault="00322A1C" w:rsidP="00A52D8F">
            <w:pPr>
              <w:spacing w:after="0"/>
              <w:rPr>
                <w:color w:val="0000FF"/>
                <w:u w:val="single"/>
              </w:rPr>
            </w:pPr>
            <w:hyperlink r:id="rId41" w:history="1">
              <w:r w:rsidR="00A52D8F" w:rsidRPr="00A52D8F">
                <w:rPr>
                  <w:color w:val="0000FF"/>
                  <w:u w:val="single"/>
                </w:rPr>
                <w:t>Zakład opieki zdrowotnej</w:t>
              </w:r>
            </w:hyperlink>
          </w:p>
          <w:p w14:paraId="703041A4" w14:textId="77777777" w:rsidR="00A52D8F" w:rsidRPr="00A52D8F" w:rsidRDefault="00322A1C" w:rsidP="00A52D8F">
            <w:pPr>
              <w:spacing w:after="0"/>
              <w:rPr>
                <w:color w:val="0000FF"/>
                <w:u w:val="single"/>
              </w:rPr>
            </w:pPr>
            <w:hyperlink r:id="rId42" w:history="1">
              <w:r w:rsidR="00A52D8F" w:rsidRPr="00A52D8F">
                <w:rPr>
                  <w:color w:val="0000FF"/>
                  <w:u w:val="single"/>
                </w:rPr>
                <w:t>Zdrowie</w:t>
              </w:r>
            </w:hyperlink>
          </w:p>
          <w:p w14:paraId="32159E9A" w14:textId="59781BFB" w:rsidR="00531873" w:rsidRPr="009B2A4A" w:rsidRDefault="00531873" w:rsidP="00531873">
            <w:pPr>
              <w:rPr>
                <w:rStyle w:val="Hipercze"/>
                <w:lang w:val="en-GB"/>
              </w:rPr>
            </w:pPr>
          </w:p>
          <w:p w14:paraId="74120B68" w14:textId="77777777" w:rsidR="00531873" w:rsidRDefault="00531873" w:rsidP="00531873">
            <w:pPr>
              <w:rPr>
                <w:b/>
                <w:color w:val="000000" w:themeColor="text1"/>
                <w:szCs w:val="24"/>
                <w:lang w:val="en-GB"/>
              </w:rPr>
            </w:pPr>
          </w:p>
          <w:p w14:paraId="734C8732" w14:textId="77777777" w:rsidR="00531873" w:rsidRDefault="00531873" w:rsidP="00531873">
            <w:pPr>
              <w:rPr>
                <w:b/>
                <w:color w:val="000000" w:themeColor="text1"/>
                <w:szCs w:val="24"/>
                <w:lang w:val="en-GB"/>
              </w:rPr>
            </w:pPr>
          </w:p>
          <w:p w14:paraId="59EB7117" w14:textId="77777777" w:rsidR="00531873" w:rsidRPr="00876479" w:rsidRDefault="00531873" w:rsidP="00531873">
            <w:pPr>
              <w:rPr>
                <w:b/>
                <w:color w:val="000000" w:themeColor="text1"/>
                <w:szCs w:val="24"/>
                <w:lang w:val="en-GB"/>
              </w:rPr>
            </w:pPr>
          </w:p>
        </w:tc>
      </w:tr>
    </w:tbl>
    <w:p w14:paraId="1634A8FA" w14:textId="77777777" w:rsidR="000470AA" w:rsidRPr="009B2A4A" w:rsidRDefault="000470AA" w:rsidP="000470AA">
      <w:pPr>
        <w:rPr>
          <w:sz w:val="18"/>
          <w:lang w:val="en-GB"/>
        </w:rPr>
      </w:pPr>
    </w:p>
    <w:p w14:paraId="1B68E34A" w14:textId="77777777" w:rsidR="000470AA" w:rsidRPr="009B2A4A" w:rsidRDefault="000470AA" w:rsidP="000470AA">
      <w:pPr>
        <w:rPr>
          <w:sz w:val="20"/>
          <w:lang w:val="en-GB"/>
        </w:rPr>
      </w:pPr>
    </w:p>
    <w:p w14:paraId="21E45930" w14:textId="77777777" w:rsidR="000470AA" w:rsidRPr="009B2A4A" w:rsidRDefault="000470AA" w:rsidP="000470AA">
      <w:pPr>
        <w:rPr>
          <w:sz w:val="18"/>
          <w:lang w:val="en-GB"/>
        </w:rPr>
      </w:pPr>
    </w:p>
    <w:p w14:paraId="7C19EFAE" w14:textId="07F9940B" w:rsidR="00D261A2" w:rsidRPr="009B2A4A" w:rsidRDefault="00D261A2" w:rsidP="00AD0E56">
      <w:pPr>
        <w:rPr>
          <w:sz w:val="18"/>
          <w:lang w:val="en-GB"/>
        </w:rPr>
      </w:pPr>
    </w:p>
    <w:sectPr w:rsidR="00D261A2" w:rsidRPr="009B2A4A"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97F737" w14:textId="77777777" w:rsidR="00A7005B" w:rsidRDefault="00A7005B" w:rsidP="000662E2">
      <w:pPr>
        <w:spacing w:after="0" w:line="240" w:lineRule="auto"/>
      </w:pPr>
      <w:r>
        <w:separator/>
      </w:r>
    </w:p>
  </w:endnote>
  <w:endnote w:type="continuationSeparator" w:id="0">
    <w:p w14:paraId="3132EE33" w14:textId="77777777" w:rsidR="00A7005B" w:rsidRDefault="00A7005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5083C586-1593-4E92-BA80-720762747EB8}"/>
    <w:embedBold r:id="rId2" w:fontKey="{42AC4A18-A895-47AF-B3BA-EBF951D0AF0B}"/>
    <w:embedBoldItalic r:id="rId3" w:fontKey="{2F84C1B9-1BC1-4B89-BD84-82B4F2162164}"/>
  </w:font>
  <w:font w:name="Fira Sans Light">
    <w:panose1 w:val="020B0403050000020004"/>
    <w:charset w:val="EE"/>
    <w:family w:val="swiss"/>
    <w:pitch w:val="variable"/>
    <w:sig w:usb0="600002FF" w:usb1="02000001" w:usb2="00000000" w:usb3="00000000" w:csb0="0000019F" w:csb1="00000000"/>
    <w:embedRegular r:id="rId4" w:fontKey="{E9F2ED47-8EE8-45AD-918E-7CAA5660F012}"/>
    <w:embedBold r:id="rId5" w:fontKey="{98B82BE5-4D8E-4DFD-9BA7-3A8161DFBFA2}"/>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6" w:fontKey="{456D3AEC-DE9A-4A2F-B14B-A61F98D34061}"/>
    <w:embedBold r:id="rId7" w:fontKey="{6431F83F-B3EA-4A3A-8D92-4139FC01729C}"/>
  </w:font>
  <w:font w:name="Fira Sans Medium">
    <w:panose1 w:val="020B0603050000020004"/>
    <w:charset w:val="EE"/>
    <w:family w:val="swiss"/>
    <w:pitch w:val="variable"/>
    <w:sig w:usb0="600002FF" w:usb1="02000001" w:usb2="00000000" w:usb3="00000000" w:csb0="0000019F" w:csb1="00000000"/>
    <w:embedRegular r:id="rId8" w:fontKey="{D9C153D0-CEC6-4E8D-B286-CB2F76807AEE}"/>
    <w:embedBold r:id="rId9" w:fontKey="{70FE07F4-D424-46A5-AD23-13CAED2BFA88}"/>
    <w:embedItalic r:id="rId10" w:fontKey="{0EFCBBD9-27FE-4CD6-9B0B-477695CAA9E9}"/>
  </w:font>
  <w:font w:name="Segoe UI">
    <w:panose1 w:val="020B0502040204020203"/>
    <w:charset w:val="EE"/>
    <w:family w:val="swiss"/>
    <w:pitch w:val="variable"/>
    <w:sig w:usb0="E4002EFF" w:usb1="C000E47F" w:usb2="00000009" w:usb3="00000000" w:csb0="000001FF" w:csb1="00000000"/>
    <w:embedRegular r:id="rId11" w:fontKey="{B65333B8-DD0B-4A90-91D8-BDFDFA9DD60B}"/>
  </w:font>
  <w:font w:name="Fira Sans Extra Condensed SemiB">
    <w:panose1 w:val="020B0603050000020004"/>
    <w:charset w:val="EE"/>
    <w:family w:val="swiss"/>
    <w:pitch w:val="variable"/>
    <w:sig w:usb0="600002FF" w:usb1="00000001" w:usb2="00000000" w:usb3="00000000" w:csb0="0000019F" w:csb1="00000000"/>
    <w:embedRegular r:id="rId12" w:fontKey="{1C4C1BE0-DF14-4FBE-99C1-C2F9E77166A4}"/>
  </w:font>
  <w:font w:name="Calibri">
    <w:panose1 w:val="020F0502020204030204"/>
    <w:charset w:val="EE"/>
    <w:family w:val="swiss"/>
    <w:pitch w:val="variable"/>
    <w:sig w:usb0="E4002EFF" w:usb1="C000247B" w:usb2="00000009" w:usb3="00000000" w:csb0="000001FF" w:csb1="00000000"/>
    <w:embedRegular r:id="rId13" w:fontKey="{21C69637-2FD5-4428-8DCC-BF29E0CE855C}"/>
  </w:font>
  <w:font w:name="MyriadPro-Regular">
    <w:altName w:val="Times New 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312A5" w14:textId="77777777" w:rsidR="00A7005B" w:rsidRDefault="00A7005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A7005B" w:rsidRDefault="00A7005B" w:rsidP="003B18B6">
        <w:pPr>
          <w:pStyle w:val="Stopka"/>
          <w:jc w:val="center"/>
        </w:pPr>
        <w:r>
          <w:fldChar w:fldCharType="begin"/>
        </w:r>
        <w:r>
          <w:instrText>PAGE   \* MERGEFORMAT</w:instrText>
        </w:r>
        <w:r>
          <w:fldChar w:fldCharType="separate"/>
        </w:r>
        <w:r w:rsidR="00322A1C">
          <w:rPr>
            <w:noProof/>
          </w:rPr>
          <w:t>12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A7005B" w:rsidRDefault="00A7005B" w:rsidP="003B18B6">
        <w:pPr>
          <w:pStyle w:val="Stopka"/>
          <w:jc w:val="center"/>
        </w:pPr>
        <w:r>
          <w:fldChar w:fldCharType="begin"/>
        </w:r>
        <w:r>
          <w:instrText>PAGE   \* MERGEFORMAT</w:instrText>
        </w:r>
        <w:r>
          <w:fldChar w:fldCharType="separate"/>
        </w:r>
        <w:r w:rsidR="002356B0">
          <w:rPr>
            <w:noProof/>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A7005B" w:rsidRDefault="00A7005B" w:rsidP="003B18B6">
        <w:pPr>
          <w:pStyle w:val="Stopka"/>
          <w:jc w:val="center"/>
        </w:pPr>
        <w:r>
          <w:fldChar w:fldCharType="begin"/>
        </w:r>
        <w:r>
          <w:instrText>PAGE   \* MERGEFORMAT</w:instrText>
        </w:r>
        <w:r>
          <w:fldChar w:fldCharType="separate"/>
        </w:r>
        <w:r w:rsidR="002356B0">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21AC0" w14:textId="77777777" w:rsidR="00A7005B" w:rsidRDefault="00A7005B" w:rsidP="000662E2">
      <w:pPr>
        <w:spacing w:after="0" w:line="240" w:lineRule="auto"/>
      </w:pPr>
      <w:r>
        <w:separator/>
      </w:r>
    </w:p>
  </w:footnote>
  <w:footnote w:type="continuationSeparator" w:id="0">
    <w:p w14:paraId="20ABEB1D" w14:textId="77777777" w:rsidR="00A7005B" w:rsidRDefault="00A7005B" w:rsidP="000662E2">
      <w:pPr>
        <w:spacing w:after="0" w:line="240" w:lineRule="auto"/>
      </w:pPr>
      <w:r>
        <w:continuationSeparator/>
      </w:r>
    </w:p>
  </w:footnote>
  <w:footnote w:id="1">
    <w:p w14:paraId="4019D741" w14:textId="64A07433" w:rsidR="00A7005B" w:rsidRPr="007C7B66" w:rsidRDefault="00A7005B" w:rsidP="00E9214F">
      <w:pPr>
        <w:pStyle w:val="Tekstprzypisudolnego"/>
        <w:spacing w:after="120" w:line="288" w:lineRule="auto"/>
        <w:rPr>
          <w:sz w:val="16"/>
          <w:szCs w:val="16"/>
        </w:rPr>
      </w:pPr>
      <w:r w:rsidRPr="007C7B66">
        <w:rPr>
          <w:rStyle w:val="Odwoanieprzypisudolnego"/>
          <w:sz w:val="16"/>
          <w:szCs w:val="16"/>
        </w:rPr>
        <w:footnoteRef/>
      </w:r>
      <w:r w:rsidRPr="007C7B66">
        <w:rPr>
          <w:sz w:val="16"/>
          <w:szCs w:val="16"/>
        </w:rPr>
        <w:t xml:space="preserve"> Więcej informacji na temat metodologii zaw</w:t>
      </w:r>
      <w:r>
        <w:rPr>
          <w:sz w:val="16"/>
          <w:szCs w:val="16"/>
        </w:rPr>
        <w:t xml:space="preserve">ierają komentarze metodyczne zamieszczone na końcu </w:t>
      </w:r>
      <w:r w:rsidRPr="007C7B66">
        <w:rPr>
          <w:sz w:val="16"/>
          <w:szCs w:val="16"/>
        </w:rPr>
        <w:t>tekstu.</w:t>
      </w:r>
    </w:p>
  </w:footnote>
  <w:footnote w:id="2">
    <w:p w14:paraId="3A63B872" w14:textId="77777777" w:rsidR="00A7005B" w:rsidRPr="007C7B66" w:rsidRDefault="00A7005B" w:rsidP="00E9214F">
      <w:pPr>
        <w:pStyle w:val="Tekstprzypisudolnego"/>
        <w:spacing w:after="120" w:line="288" w:lineRule="auto"/>
        <w:rPr>
          <w:sz w:val="16"/>
          <w:szCs w:val="16"/>
        </w:rPr>
      </w:pPr>
      <w:r w:rsidRPr="007C7B66">
        <w:rPr>
          <w:rStyle w:val="Odwoanieprzypisudolnego"/>
          <w:sz w:val="16"/>
          <w:szCs w:val="16"/>
        </w:rPr>
        <w:footnoteRef/>
      </w:r>
      <w:r w:rsidRPr="007C7B66">
        <w:rPr>
          <w:sz w:val="16"/>
          <w:szCs w:val="16"/>
        </w:rPr>
        <w:t xml:space="preserve"> Ustawa z dnia 27 sierpnia 2004 r. o świadczeniach opieki zdrowotnej finansowanych ze środków </w:t>
      </w:r>
      <w:r>
        <w:rPr>
          <w:sz w:val="16"/>
          <w:szCs w:val="16"/>
        </w:rPr>
        <w:t>publicznych</w:t>
      </w:r>
      <w:r w:rsidRPr="007C7B66">
        <w:rPr>
          <w:sz w:val="16"/>
          <w:szCs w:val="16"/>
        </w:rPr>
        <w:t xml:space="preserve"> art. 131c (Dz. U. z 2021 r., poz. 1285).</w:t>
      </w:r>
    </w:p>
  </w:footnote>
  <w:footnote w:id="3">
    <w:p w14:paraId="4371DAA0" w14:textId="0EDDD893" w:rsidR="00A7005B" w:rsidRPr="00576A78" w:rsidRDefault="00A7005B" w:rsidP="00E9214F">
      <w:pPr>
        <w:pStyle w:val="Tekstprzypisudolnego"/>
        <w:spacing w:after="120" w:line="288" w:lineRule="auto"/>
        <w:rPr>
          <w:sz w:val="16"/>
          <w:szCs w:val="16"/>
        </w:rPr>
      </w:pPr>
      <w:r w:rsidRPr="007C7B66">
        <w:rPr>
          <w:rStyle w:val="Odwoanieprzypisudolnego"/>
          <w:sz w:val="16"/>
          <w:szCs w:val="16"/>
        </w:rPr>
        <w:footnoteRef/>
      </w:r>
      <w:r w:rsidRPr="007C7B66">
        <w:rPr>
          <w:sz w:val="16"/>
          <w:szCs w:val="16"/>
        </w:rPr>
        <w:t xml:space="preserve"> </w:t>
      </w:r>
      <w:r w:rsidRPr="00663EC9">
        <w:rPr>
          <w:sz w:val="16"/>
          <w:szCs w:val="16"/>
        </w:rPr>
        <w:t>Wstępne szacunk</w:t>
      </w:r>
      <w:r>
        <w:rPr>
          <w:sz w:val="16"/>
          <w:szCs w:val="16"/>
        </w:rPr>
        <w:t>i Narodowego Rachunku Zdrowia</w:t>
      </w:r>
      <w:r w:rsidRPr="00663EC9">
        <w:rPr>
          <w:sz w:val="16"/>
          <w:szCs w:val="16"/>
        </w:rPr>
        <w:t xml:space="preserve"> obejmują </w:t>
      </w:r>
      <w:r>
        <w:rPr>
          <w:sz w:val="16"/>
          <w:szCs w:val="16"/>
        </w:rPr>
        <w:t xml:space="preserve">ogół </w:t>
      </w:r>
      <w:r w:rsidRPr="00663EC9">
        <w:rPr>
          <w:sz w:val="16"/>
          <w:szCs w:val="16"/>
        </w:rPr>
        <w:t>wydatk</w:t>
      </w:r>
      <w:r>
        <w:rPr>
          <w:sz w:val="16"/>
          <w:szCs w:val="16"/>
        </w:rPr>
        <w:t>ów</w:t>
      </w:r>
      <w:r w:rsidRPr="00663EC9">
        <w:rPr>
          <w:sz w:val="16"/>
          <w:szCs w:val="16"/>
        </w:rPr>
        <w:t xml:space="preserve"> bieżąc</w:t>
      </w:r>
      <w:r>
        <w:rPr>
          <w:sz w:val="16"/>
          <w:szCs w:val="16"/>
        </w:rPr>
        <w:t>ych</w:t>
      </w:r>
      <w:r w:rsidRPr="00663EC9">
        <w:rPr>
          <w:sz w:val="16"/>
          <w:szCs w:val="16"/>
        </w:rPr>
        <w:t xml:space="preserve"> </w:t>
      </w:r>
      <w:r>
        <w:rPr>
          <w:sz w:val="16"/>
          <w:szCs w:val="16"/>
        </w:rPr>
        <w:t xml:space="preserve">poniesionych przez płatników </w:t>
      </w:r>
      <w:r w:rsidRPr="00663EC9">
        <w:rPr>
          <w:sz w:val="16"/>
          <w:szCs w:val="16"/>
        </w:rPr>
        <w:t xml:space="preserve">na ochronę zdrowia w roku poprzednim i prezentowane są w trzech głównych kategoriach: HF.1: Wydatki publiczne, HF.2: Wydatki prywatne bez bezpośrednich wydatków gospodarstw domowych i HF.3: Bezpośrednie wydatki gospodarstw domowych. Uzasadnienie metodologiczne znajduje się w corocznie przesyłanym pliku </w:t>
      </w:r>
      <w:r>
        <w:rPr>
          <w:sz w:val="16"/>
          <w:szCs w:val="16"/>
        </w:rPr>
        <w:t xml:space="preserve">wraz z kwestionariuszem o nazwie </w:t>
      </w:r>
      <w:r w:rsidRPr="00F61E6A">
        <w:rPr>
          <w:sz w:val="16"/>
          <w:szCs w:val="16"/>
        </w:rPr>
        <w:t>„</w:t>
      </w:r>
      <w:proofErr w:type="spellStart"/>
      <w:r w:rsidRPr="00F61E6A">
        <w:rPr>
          <w:sz w:val="16"/>
          <w:szCs w:val="16"/>
        </w:rPr>
        <w:t>Explanatory</w:t>
      </w:r>
      <w:proofErr w:type="spellEnd"/>
      <w:r w:rsidRPr="00F61E6A">
        <w:rPr>
          <w:sz w:val="16"/>
          <w:szCs w:val="16"/>
        </w:rPr>
        <w:t xml:space="preserve"> Notes to T-0 JHAQ”</w:t>
      </w:r>
      <w:r>
        <w:rPr>
          <w:sz w:val="16"/>
          <w:szCs w:val="16"/>
        </w:rPr>
        <w:t xml:space="preserve"> zatytułowanym</w:t>
      </w:r>
      <w:r w:rsidRPr="00663EC9">
        <w:rPr>
          <w:sz w:val="16"/>
          <w:szCs w:val="16"/>
        </w:rPr>
        <w:t>: „T-0 JOINT OECD, EUROSTAT AND WHO HEALTH ACCOUNTS (SHA 2011)” w sekcji</w:t>
      </w:r>
      <w:r w:rsidRPr="00663EC9">
        <w:rPr>
          <w:b/>
          <w:bCs/>
          <w:sz w:val="16"/>
          <w:szCs w:val="16"/>
        </w:rPr>
        <w:t xml:space="preserve"> </w:t>
      </w:r>
      <w:r>
        <w:rPr>
          <w:sz w:val="16"/>
          <w:szCs w:val="16"/>
        </w:rPr>
        <w:t>„</w:t>
      </w:r>
      <w:proofErr w:type="spellStart"/>
      <w:r>
        <w:rPr>
          <w:sz w:val="16"/>
          <w:szCs w:val="16"/>
        </w:rPr>
        <w:t>Scope</w:t>
      </w:r>
      <w:proofErr w:type="spellEnd"/>
      <w:r>
        <w:rPr>
          <w:sz w:val="16"/>
          <w:szCs w:val="16"/>
        </w:rPr>
        <w:t xml:space="preserve"> and </w:t>
      </w:r>
      <w:proofErr w:type="spellStart"/>
      <w:r>
        <w:rPr>
          <w:sz w:val="16"/>
          <w:szCs w:val="16"/>
        </w:rPr>
        <w:t>approach</w:t>
      </w:r>
      <w:proofErr w:type="spellEnd"/>
      <w:r>
        <w:rPr>
          <w:sz w:val="16"/>
          <w:szCs w:val="16"/>
        </w:rPr>
        <w:t xml:space="preserve"> to the T-2</w:t>
      </w:r>
      <w:r w:rsidRPr="00663EC9">
        <w:rPr>
          <w:sz w:val="16"/>
          <w:szCs w:val="16"/>
        </w:rPr>
        <w:t xml:space="preserve"> data </w:t>
      </w:r>
      <w:proofErr w:type="spellStart"/>
      <w:r w:rsidRPr="00663EC9">
        <w:rPr>
          <w:sz w:val="16"/>
          <w:szCs w:val="16"/>
        </w:rPr>
        <w:t>collections</w:t>
      </w:r>
      <w:proofErr w:type="spellEnd"/>
      <w:r w:rsidRPr="00663EC9">
        <w:rPr>
          <w:sz w:val="16"/>
          <w:szCs w:val="16"/>
        </w:rPr>
        <w:t xml:space="preserve">”. </w:t>
      </w:r>
      <w:r w:rsidRPr="00663EC9">
        <w:rPr>
          <w:b/>
          <w:sz w:val="16"/>
          <w:szCs w:val="16"/>
        </w:rPr>
        <w:t>Wstępne szacunki o</w:t>
      </w:r>
      <w:r>
        <w:rPr>
          <w:b/>
          <w:sz w:val="16"/>
          <w:szCs w:val="16"/>
        </w:rPr>
        <w:t>dnoszą się do danych z roku 2022</w:t>
      </w:r>
      <w:r w:rsidRPr="00663EC9">
        <w:rPr>
          <w:b/>
          <w:sz w:val="16"/>
          <w:szCs w:val="16"/>
        </w:rPr>
        <w:t>.</w:t>
      </w:r>
      <w:r>
        <w:rPr>
          <w:b/>
          <w:sz w:val="16"/>
          <w:szCs w:val="16"/>
        </w:rPr>
        <w:t xml:space="preserve"> </w:t>
      </w:r>
    </w:p>
  </w:footnote>
  <w:footnote w:id="4">
    <w:p w14:paraId="01DD0E5C" w14:textId="064EBEBB" w:rsidR="00A7005B" w:rsidRPr="007C7B66" w:rsidRDefault="00A7005B" w:rsidP="00291082">
      <w:pPr>
        <w:pStyle w:val="Tekstprzypisudolnego"/>
        <w:spacing w:line="288" w:lineRule="auto"/>
        <w:rPr>
          <w:sz w:val="16"/>
          <w:szCs w:val="16"/>
        </w:rPr>
      </w:pPr>
      <w:r w:rsidRPr="007B493F">
        <w:rPr>
          <w:rStyle w:val="Odwoanieprzypisudolnego"/>
          <w:sz w:val="16"/>
          <w:szCs w:val="16"/>
        </w:rPr>
        <w:footnoteRef/>
      </w:r>
      <w:r w:rsidRPr="007B493F">
        <w:rPr>
          <w:sz w:val="16"/>
          <w:szCs w:val="16"/>
        </w:rPr>
        <w:t xml:space="preserve"> Wyniki Narodowego Rachunku Zdrowia za </w:t>
      </w:r>
      <w:r w:rsidRPr="007B493F">
        <w:rPr>
          <w:b/>
          <w:sz w:val="16"/>
          <w:szCs w:val="16"/>
        </w:rPr>
        <w:t>202</w:t>
      </w:r>
      <w:r>
        <w:rPr>
          <w:b/>
          <w:sz w:val="16"/>
          <w:szCs w:val="16"/>
        </w:rPr>
        <w:t>1</w:t>
      </w:r>
      <w:r w:rsidRPr="007B493F">
        <w:rPr>
          <w:b/>
          <w:sz w:val="16"/>
          <w:szCs w:val="16"/>
        </w:rPr>
        <w:t xml:space="preserve"> r.</w:t>
      </w:r>
      <w:r w:rsidRPr="007B493F">
        <w:rPr>
          <w:sz w:val="16"/>
          <w:szCs w:val="16"/>
        </w:rPr>
        <w:t xml:space="preserve"> (do czasu opublikowania obwieszczenia i komunikatu Prezesa Głównego Urzędu Statystycznego traktowane są jako </w:t>
      </w:r>
      <w:r w:rsidRPr="007B493F">
        <w:rPr>
          <w:b/>
          <w:sz w:val="16"/>
          <w:szCs w:val="16"/>
        </w:rPr>
        <w:t>dane wstępne</w:t>
      </w:r>
      <w:r w:rsidRPr="007B493F">
        <w:rPr>
          <w:sz w:val="16"/>
          <w:szCs w:val="16"/>
        </w:rPr>
        <w:t>) opracowane zgodnie z tzw. Wspólnym Kwestionariuszem (JHAQ) i obejmują wydatki na zdrowie ujęte w czterech wymiarach klasyfikacji</w:t>
      </w:r>
      <w:r>
        <w:rPr>
          <w:sz w:val="16"/>
          <w:szCs w:val="16"/>
        </w:rPr>
        <w:t>: system</w:t>
      </w:r>
      <w:r w:rsidRPr="007B493F">
        <w:rPr>
          <w:sz w:val="16"/>
          <w:szCs w:val="16"/>
        </w:rPr>
        <w:t>ów finansowania (HF), funkcji ochrony zdrowia (HC), dostawców dóbr i usług ochrony zdro</w:t>
      </w:r>
      <w:r>
        <w:rPr>
          <w:sz w:val="16"/>
          <w:szCs w:val="16"/>
        </w:rPr>
        <w:t>wia (HP) oraz przychodów system</w:t>
      </w:r>
      <w:r w:rsidRPr="007B493F">
        <w:rPr>
          <w:sz w:val="16"/>
          <w:szCs w:val="16"/>
        </w:rPr>
        <w:t xml:space="preserve">ów finansowania (FS). Dane wstępne </w:t>
      </w:r>
      <w:r>
        <w:rPr>
          <w:sz w:val="16"/>
          <w:szCs w:val="16"/>
        </w:rPr>
        <w:t>zostały przekazane pod koniec kwietnia br.</w:t>
      </w:r>
      <w:r w:rsidRPr="007B493F">
        <w:rPr>
          <w:sz w:val="16"/>
          <w:szCs w:val="16"/>
        </w:rPr>
        <w:t xml:space="preserve"> do organizacji międzynarodowych podlegają walidacji przez międzynarodowy zespół ekspert</w:t>
      </w:r>
      <w:r>
        <w:rPr>
          <w:sz w:val="16"/>
          <w:szCs w:val="16"/>
        </w:rPr>
        <w:t xml:space="preserve">ów ds. narodowych rachunków zdrowia (IHAT) </w:t>
      </w:r>
      <w:r w:rsidRPr="007B493F">
        <w:rPr>
          <w:sz w:val="16"/>
          <w:szCs w:val="16"/>
        </w:rPr>
        <w:t xml:space="preserve">i mogą jeszcze </w:t>
      </w:r>
      <w:r>
        <w:rPr>
          <w:sz w:val="16"/>
          <w:szCs w:val="16"/>
        </w:rPr>
        <w:t xml:space="preserve">się </w:t>
      </w:r>
      <w:r w:rsidRPr="007B493F">
        <w:rPr>
          <w:sz w:val="16"/>
          <w:szCs w:val="16"/>
        </w:rPr>
        <w:t>zmieni</w:t>
      </w:r>
      <w:r>
        <w:rPr>
          <w:sz w:val="16"/>
          <w:szCs w:val="16"/>
        </w:rPr>
        <w:t>ć</w:t>
      </w:r>
      <w:r w:rsidRPr="007B493F">
        <w:rPr>
          <w:sz w:val="16"/>
          <w:szCs w:val="16"/>
        </w:rPr>
        <w:t>. Wstępne dane, dla których został sporządzony rachunek (nie zweryfikowany przez OECD) odnoszą się do danych za 202</w:t>
      </w:r>
      <w:r>
        <w:rPr>
          <w:sz w:val="16"/>
          <w:szCs w:val="16"/>
        </w:rPr>
        <w:t>1</w:t>
      </w:r>
      <w:r w:rsidRPr="007B493F">
        <w:rPr>
          <w:sz w:val="16"/>
          <w:szCs w:val="16"/>
        </w:rPr>
        <w:t xml:space="preserve"> r.</w:t>
      </w:r>
    </w:p>
    <w:p w14:paraId="187C97EC" w14:textId="77777777" w:rsidR="00A7005B" w:rsidRDefault="00A7005B" w:rsidP="00385C91">
      <w:pPr>
        <w:pStyle w:val="Tekstprzypisudolnego"/>
        <w:spacing w:before="0" w:line="14" w:lineRule="exact"/>
      </w:pPr>
    </w:p>
  </w:footnote>
  <w:footnote w:id="5">
    <w:p w14:paraId="7D376559" w14:textId="77777777" w:rsidR="00A7005B" w:rsidRPr="00426AC0" w:rsidRDefault="00A7005B" w:rsidP="00B15CEB">
      <w:pPr>
        <w:pStyle w:val="Tekstprzypisudolnego"/>
        <w:spacing w:after="120" w:line="288" w:lineRule="auto"/>
        <w:rPr>
          <w:sz w:val="16"/>
          <w:szCs w:val="16"/>
          <w:highlight w:val="yellow"/>
        </w:rPr>
      </w:pPr>
      <w:r w:rsidRPr="00D30F7D">
        <w:rPr>
          <w:rStyle w:val="Odwoanieprzypisudolnego"/>
          <w:sz w:val="16"/>
          <w:szCs w:val="16"/>
        </w:rPr>
        <w:footnoteRef/>
      </w:r>
      <w:r w:rsidRPr="00D30F7D">
        <w:rPr>
          <w:sz w:val="16"/>
          <w:szCs w:val="16"/>
        </w:rPr>
        <w:t xml:space="preserve"> W informacji sygnalnej wydanej 29.07.2022 r. pt. Wydatki na ochronę zdrowia w latach 2019-2021, za rok 2021 przedstawiono wstępne szacunki bieżących wydatków na ochronę zdrowia w wysokości 172 884,6 mln zł.</w:t>
      </w:r>
    </w:p>
  </w:footnote>
  <w:footnote w:id="6">
    <w:p w14:paraId="5138152C" w14:textId="25469E7A" w:rsidR="00A7005B" w:rsidRPr="006F19EC" w:rsidRDefault="00A7005B" w:rsidP="00B15CEB">
      <w:pPr>
        <w:pStyle w:val="Tekstprzypisudolnego"/>
        <w:spacing w:after="120" w:line="288" w:lineRule="auto"/>
        <w:rPr>
          <w:sz w:val="16"/>
          <w:szCs w:val="16"/>
        </w:rPr>
      </w:pPr>
      <w:r w:rsidRPr="00D30F7D">
        <w:rPr>
          <w:rStyle w:val="Odwoanieprzypisudolnego"/>
          <w:sz w:val="16"/>
          <w:szCs w:val="16"/>
        </w:rPr>
        <w:footnoteRef/>
      </w:r>
      <w:r>
        <w:rPr>
          <w:rStyle w:val="Hipercze"/>
          <w:rFonts w:cstheme="minorBidi"/>
          <w:sz w:val="16"/>
          <w:szCs w:val="16"/>
        </w:rPr>
        <w:t xml:space="preserve"> </w:t>
      </w:r>
      <w:hyperlink r:id="rId1" w:history="1">
        <w:r w:rsidRPr="002B555A">
          <w:rPr>
            <w:rStyle w:val="Hipercze"/>
            <w:rFonts w:cstheme="minorBidi"/>
            <w:sz w:val="16"/>
            <w:szCs w:val="16"/>
          </w:rPr>
          <w:t>https://stat.gov.pl/download/gfx/portalinformacyjny/pl/defaultstronaopisowa/1772/2/1/roczne_wskazniki_makroekonomiczne_cz_iii.xlsx</w:t>
        </w:r>
      </w:hyperlink>
      <w:r>
        <w:rPr>
          <w:rStyle w:val="Hipercze"/>
          <w:rFonts w:cstheme="minorBidi"/>
          <w:sz w:val="16"/>
          <w:szCs w:val="16"/>
        </w:rPr>
        <w:t xml:space="preserve"> </w:t>
      </w:r>
      <w:r w:rsidRPr="00D30F7D">
        <w:rPr>
          <w:sz w:val="16"/>
          <w:szCs w:val="16"/>
        </w:rPr>
        <w:t xml:space="preserve">- PKB (ceny bieżące): 2020 r. – 2 337 672 mln zł, 2021 r. – 2 631 302 mln zł </w:t>
      </w:r>
      <w:r>
        <w:rPr>
          <w:sz w:val="16"/>
          <w:szCs w:val="16"/>
        </w:rPr>
        <w:br/>
      </w:r>
      <w:r w:rsidRPr="00D30F7D">
        <w:rPr>
          <w:sz w:val="16"/>
          <w:szCs w:val="16"/>
        </w:rPr>
        <w:t>i 2022 r. – 3 078 325 mln zł, gdzie dla roku 2022 podano szacunek wstępny PKB.</w:t>
      </w:r>
    </w:p>
  </w:footnote>
  <w:footnote w:id="7">
    <w:p w14:paraId="7CAB2267" w14:textId="77777777" w:rsidR="00A7005B" w:rsidRPr="00EB26F9" w:rsidRDefault="00A7005B" w:rsidP="00E9214F">
      <w:pPr>
        <w:pStyle w:val="Tekstprzypisudolnego"/>
        <w:spacing w:after="120" w:line="288" w:lineRule="auto"/>
        <w:rPr>
          <w:sz w:val="16"/>
          <w:szCs w:val="16"/>
        </w:rPr>
      </w:pPr>
      <w:r w:rsidRPr="005C553D">
        <w:rPr>
          <w:rStyle w:val="Odwoanieprzypisudolnego"/>
          <w:sz w:val="16"/>
          <w:szCs w:val="16"/>
        </w:rPr>
        <w:footnoteRef/>
      </w:r>
      <w:r w:rsidRPr="005C553D">
        <w:rPr>
          <w:sz w:val="16"/>
          <w:szCs w:val="16"/>
        </w:rPr>
        <w:t xml:space="preserve"> n.e.c = ‎Not Elsewhere Classified – nie sklasyfikowane gdzie indziej</w:t>
      </w:r>
      <w:r>
        <w:rPr>
          <w:sz w:val="16"/>
          <w:szCs w:val="16"/>
        </w:rPr>
        <w:t>.</w:t>
      </w:r>
    </w:p>
  </w:footnote>
  <w:footnote w:id="8">
    <w:p w14:paraId="4C53C6D9" w14:textId="77777777" w:rsidR="00A7005B" w:rsidRPr="007E5406" w:rsidRDefault="00A7005B" w:rsidP="00E9214F">
      <w:pPr>
        <w:pStyle w:val="Tekstprzypisudolnego"/>
        <w:spacing w:after="120" w:line="288" w:lineRule="auto"/>
        <w:rPr>
          <w:sz w:val="16"/>
          <w:szCs w:val="16"/>
        </w:rPr>
      </w:pPr>
      <w:r w:rsidRPr="007E5406">
        <w:rPr>
          <w:rStyle w:val="Odwoanieprzypisudolnego"/>
          <w:sz w:val="16"/>
          <w:szCs w:val="16"/>
        </w:rPr>
        <w:footnoteRef/>
      </w:r>
      <w:r w:rsidRPr="007E5406">
        <w:rPr>
          <w:sz w:val="16"/>
          <w:szCs w:val="16"/>
        </w:rPr>
        <w:t xml:space="preserve"> </w:t>
      </w:r>
      <w:r w:rsidRPr="007E5406">
        <w:rPr>
          <w:rFonts w:eastAsiaTheme="minorEastAsia" w:cs="Arial"/>
          <w:color w:val="000000" w:themeColor="text1"/>
          <w:sz w:val="16"/>
          <w:szCs w:val="16"/>
          <w:lang w:eastAsia="pl-PL"/>
        </w:rPr>
        <w:t xml:space="preserve">Składki na </w:t>
      </w:r>
      <w:r w:rsidRPr="00761496">
        <w:rPr>
          <w:rFonts w:eastAsiaTheme="minorEastAsia" w:cs="Arial"/>
          <w:color w:val="000000" w:themeColor="text1"/>
          <w:sz w:val="16"/>
          <w:szCs w:val="16"/>
          <w:lang w:eastAsia="pl-PL"/>
        </w:rPr>
        <w:t>ubezpieczenia dobrowolne, to wpłaty dokonywane przez ubezpieczonych lub inne jednostki instytucjonalne, na rzecz ubezpieczonych,</w:t>
      </w:r>
      <w:r w:rsidRPr="007E5406">
        <w:rPr>
          <w:rFonts w:eastAsiaTheme="minorEastAsia" w:cs="Arial"/>
          <w:color w:val="000000" w:themeColor="text1"/>
          <w:sz w:val="16"/>
          <w:szCs w:val="16"/>
          <w:lang w:eastAsia="pl-PL"/>
        </w:rPr>
        <w:t xml:space="preserve"> w celu zabezpieczenia dostępu do świadczeń z systemu dobrowolnych ubezpieczeń zdrowotnych.</w:t>
      </w:r>
    </w:p>
  </w:footnote>
  <w:footnote w:id="9">
    <w:p w14:paraId="00A7E548" w14:textId="77777777" w:rsidR="00A7005B" w:rsidRPr="00A0570C" w:rsidRDefault="00A7005B" w:rsidP="007C56ED">
      <w:pPr>
        <w:pStyle w:val="Tekstprzypisudolnego"/>
        <w:spacing w:after="120" w:line="288" w:lineRule="auto"/>
        <w:rPr>
          <w:sz w:val="16"/>
          <w:szCs w:val="16"/>
        </w:rPr>
      </w:pPr>
      <w:r w:rsidRPr="00A0570C">
        <w:rPr>
          <w:rStyle w:val="Odwoanieprzypisudolnego"/>
          <w:sz w:val="16"/>
          <w:szCs w:val="16"/>
        </w:rPr>
        <w:footnoteRef/>
      </w:r>
      <w:r w:rsidRPr="00A0570C">
        <w:rPr>
          <w:sz w:val="16"/>
          <w:szCs w:val="16"/>
        </w:rPr>
        <w:t xml:space="preserve"> Rozdział opracowany przez Ministerstwo Zdrowia we współpracy z Głównym Urzędem Statystycznym</w:t>
      </w:r>
      <w:r>
        <w:rPr>
          <w:sz w:val="16"/>
          <w:szCs w:val="16"/>
        </w:rPr>
        <w:t xml:space="preserve"> na podstawie danych Ministerstwa Zdrowia</w:t>
      </w:r>
      <w:r w:rsidRPr="00A0570C">
        <w:rPr>
          <w:sz w:val="16"/>
          <w:szCs w:val="16"/>
        </w:rPr>
        <w:t>.</w:t>
      </w:r>
    </w:p>
  </w:footnote>
  <w:footnote w:id="10">
    <w:p w14:paraId="62E40D7A" w14:textId="77777777" w:rsidR="00A7005B" w:rsidRPr="00A0570C" w:rsidRDefault="00A7005B" w:rsidP="007C56ED">
      <w:pPr>
        <w:pStyle w:val="Tekstprzypisudolnego"/>
        <w:spacing w:after="120" w:line="288" w:lineRule="auto"/>
        <w:rPr>
          <w:sz w:val="16"/>
          <w:szCs w:val="16"/>
        </w:rPr>
      </w:pPr>
      <w:r w:rsidRPr="00A0570C">
        <w:rPr>
          <w:sz w:val="16"/>
          <w:szCs w:val="16"/>
          <w:vertAlign w:val="superscript"/>
        </w:rPr>
        <w:footnoteRef/>
      </w:r>
      <w:r w:rsidRPr="00A0570C">
        <w:rPr>
          <w:sz w:val="16"/>
          <w:szCs w:val="16"/>
        </w:rPr>
        <w:t xml:space="preserve"> Katalog środków określa art. 131c ust. 3 ustawy o świadczeniach opieki zdrowotnej finansowanych ze środków publicznych.</w:t>
      </w:r>
    </w:p>
  </w:footnote>
  <w:footnote w:id="11">
    <w:p w14:paraId="61E5DCA8" w14:textId="2DDB90D5" w:rsidR="00A7005B" w:rsidRPr="00A0570C" w:rsidRDefault="00A7005B" w:rsidP="007C56ED">
      <w:pPr>
        <w:pStyle w:val="Tekstprzypisudolnego"/>
        <w:spacing w:after="120" w:line="288" w:lineRule="auto"/>
        <w:rPr>
          <w:sz w:val="16"/>
          <w:szCs w:val="16"/>
        </w:rPr>
      </w:pPr>
      <w:r w:rsidRPr="00A0570C">
        <w:rPr>
          <w:sz w:val="16"/>
          <w:szCs w:val="16"/>
          <w:vertAlign w:val="superscript"/>
        </w:rPr>
        <w:footnoteRef/>
      </w:r>
      <w:r>
        <w:rPr>
          <w:sz w:val="16"/>
          <w:szCs w:val="16"/>
        </w:rPr>
        <w:t xml:space="preserve"> </w:t>
      </w:r>
      <w:r w:rsidRPr="00A0570C">
        <w:rPr>
          <w:sz w:val="16"/>
          <w:szCs w:val="16"/>
        </w:rPr>
        <w:t xml:space="preserve">Wartość określona w </w:t>
      </w:r>
      <w:r>
        <w:rPr>
          <w:sz w:val="16"/>
          <w:szCs w:val="16"/>
        </w:rPr>
        <w:t>o</w:t>
      </w:r>
      <w:r w:rsidRPr="00A0570C">
        <w:rPr>
          <w:sz w:val="16"/>
          <w:szCs w:val="16"/>
        </w:rPr>
        <w:t>bwieszczeniu Prezesa Głównego Urzędu Statyst</w:t>
      </w:r>
      <w:r>
        <w:rPr>
          <w:sz w:val="16"/>
          <w:szCs w:val="16"/>
        </w:rPr>
        <w:t>ycznego wydawanym na podstawie </w:t>
      </w:r>
      <w:hyperlink r:id="rId2" w:history="1">
        <w:r w:rsidRPr="00A0570C">
          <w:rPr>
            <w:sz w:val="16"/>
            <w:szCs w:val="16"/>
          </w:rPr>
          <w:t>art. 5</w:t>
        </w:r>
      </w:hyperlink>
      <w:r w:rsidRPr="00A0570C">
        <w:rPr>
          <w:sz w:val="16"/>
          <w:szCs w:val="16"/>
        </w:rPr>
        <w:t> ustawy z dnia 26 października 2000 r. o sposobie obliczania wartości rocznego produktu krajowego brutto, według stanu na dzień 31 sierpnia 20</w:t>
      </w:r>
      <w:r>
        <w:rPr>
          <w:sz w:val="16"/>
          <w:szCs w:val="16"/>
        </w:rPr>
        <w:t>21</w:t>
      </w:r>
      <w:r w:rsidRPr="00A0570C">
        <w:rPr>
          <w:sz w:val="16"/>
          <w:szCs w:val="16"/>
        </w:rPr>
        <w:t xml:space="preserve"> r.</w:t>
      </w:r>
    </w:p>
  </w:footnote>
  <w:footnote w:id="12">
    <w:p w14:paraId="4A4F02FB" w14:textId="6AEB944A" w:rsidR="00A7005B" w:rsidRDefault="00A7005B" w:rsidP="007C56ED">
      <w:pPr>
        <w:pStyle w:val="Tekstprzypisudolnego"/>
        <w:spacing w:after="120" w:line="288" w:lineRule="auto"/>
      </w:pPr>
      <w:r w:rsidRPr="00A0570C">
        <w:rPr>
          <w:rStyle w:val="Odwoanieprzypisudolnego"/>
          <w:sz w:val="16"/>
          <w:szCs w:val="16"/>
        </w:rPr>
        <w:footnoteRef/>
      </w:r>
      <w:r>
        <w:rPr>
          <w:sz w:val="16"/>
          <w:szCs w:val="16"/>
        </w:rPr>
        <w:t xml:space="preserve"> </w:t>
      </w:r>
      <w:r w:rsidRPr="00BB16B6">
        <w:rPr>
          <w:sz w:val="16"/>
          <w:szCs w:val="16"/>
        </w:rPr>
        <w:t>Fundusz</w:t>
      </w:r>
      <w:r w:rsidRPr="00A0570C">
        <w:rPr>
          <w:sz w:val="16"/>
          <w:szCs w:val="16"/>
        </w:rPr>
        <w:t xml:space="preserve"> Przeciwdziałania COVID-19, o którym mowa w art. 65 ust. 1 </w:t>
      </w:r>
      <w:r>
        <w:rPr>
          <w:sz w:val="16"/>
          <w:szCs w:val="16"/>
        </w:rPr>
        <w:t xml:space="preserve">ustawy z dnia 31 marca 2020 r. </w:t>
      </w:r>
      <w:r w:rsidRPr="00A0570C">
        <w:rPr>
          <w:sz w:val="16"/>
          <w:szCs w:val="16"/>
        </w:rPr>
        <w:t>o zmianie ustawy o szczególnych rozwiązaniach związanych z zapobieganiem, przeciwdziałaniem i zwalczaniem COVID-19, innych chorób zakaźnych oraz wywołanych nimi sytuacji kryzysowych oraz niektórych innych ustaw (Dz. U. poz. 568, z późn. zm.)</w:t>
      </w:r>
      <w:r>
        <w:rPr>
          <w:sz w:val="16"/>
          <w:szCs w:val="16"/>
        </w:rPr>
        <w:t>.</w:t>
      </w:r>
    </w:p>
  </w:footnote>
  <w:footnote w:id="13">
    <w:p w14:paraId="2138B12B" w14:textId="22E3DCDF" w:rsidR="00A7005B" w:rsidRDefault="00A7005B">
      <w:pPr>
        <w:pStyle w:val="Tekstprzypisudolnego"/>
      </w:pPr>
      <w:r>
        <w:rPr>
          <w:rStyle w:val="Odwoanieprzypisudolnego"/>
        </w:rPr>
        <w:footnoteRef/>
      </w:r>
      <w:r w:rsidRPr="00240FD5">
        <w:t xml:space="preserve"> </w:t>
      </w:r>
      <w:r w:rsidRPr="00240FD5">
        <w:rPr>
          <w:sz w:val="16"/>
          <w:szCs w:val="16"/>
        </w:rPr>
        <w:t xml:space="preserve">Fundusz Pomocy, o którym mowa w art. 14 ust. 1 ustawy z 12 marca 2022 r. o pomocy obywatelom Ukrainy </w:t>
      </w:r>
      <w:r w:rsidRPr="00240FD5">
        <w:rPr>
          <w:sz w:val="16"/>
          <w:szCs w:val="16"/>
        </w:rPr>
        <w:br/>
        <w:t>w związku z konfliktem zbrojnym na terytorium tego państwa (Dz. U. z 2022 r. poz. 583 z późn. zm.).</w:t>
      </w:r>
    </w:p>
  </w:footnote>
  <w:footnote w:id="14">
    <w:p w14:paraId="54322AE1" w14:textId="6AA4C6DA" w:rsidR="00A7005B" w:rsidRPr="00F33025" w:rsidRDefault="00A7005B" w:rsidP="007C56ED">
      <w:pPr>
        <w:spacing w:line="288" w:lineRule="auto"/>
        <w:contextualSpacing/>
        <w:rPr>
          <w:rFonts w:eastAsia="Calibri" w:cs="Times New Roman"/>
          <w:sz w:val="16"/>
          <w:szCs w:val="16"/>
        </w:rPr>
      </w:pPr>
      <w:r w:rsidRPr="00F33025">
        <w:rPr>
          <w:rStyle w:val="Odwoanieprzypisudolnego"/>
          <w:sz w:val="16"/>
          <w:szCs w:val="16"/>
        </w:rPr>
        <w:footnoteRef/>
      </w:r>
      <w:r w:rsidRPr="00F33025">
        <w:rPr>
          <w:sz w:val="16"/>
          <w:szCs w:val="16"/>
        </w:rPr>
        <w:t xml:space="preserve"> </w:t>
      </w:r>
      <w:r>
        <w:rPr>
          <w:sz w:val="16"/>
          <w:szCs w:val="16"/>
        </w:rPr>
        <w:t xml:space="preserve">Literą </w:t>
      </w:r>
      <w:r w:rsidRPr="00F33025">
        <w:rPr>
          <w:rFonts w:eastAsia="Calibri" w:cs="Times New Roman"/>
          <w:sz w:val="16"/>
          <w:szCs w:val="16"/>
        </w:rPr>
        <w:t xml:space="preserve">N </w:t>
      </w:r>
      <w:r>
        <w:rPr>
          <w:rFonts w:eastAsia="Calibri" w:cs="Times New Roman"/>
          <w:sz w:val="16"/>
          <w:szCs w:val="16"/>
        </w:rPr>
        <w:t xml:space="preserve">oznaczono </w:t>
      </w:r>
      <w:r w:rsidRPr="00F33025">
        <w:rPr>
          <w:rFonts w:eastAsia="Calibri" w:cs="Times New Roman"/>
          <w:sz w:val="16"/>
          <w:szCs w:val="16"/>
        </w:rPr>
        <w:t xml:space="preserve">rok bieżący, </w:t>
      </w:r>
      <w:r>
        <w:rPr>
          <w:rFonts w:eastAsia="Calibri" w:cs="Times New Roman"/>
          <w:sz w:val="16"/>
          <w:szCs w:val="16"/>
        </w:rPr>
        <w:t xml:space="preserve">a </w:t>
      </w:r>
      <w:r w:rsidRPr="00F33025">
        <w:rPr>
          <w:rFonts w:eastAsia="Calibri" w:cs="Times New Roman"/>
          <w:sz w:val="16"/>
          <w:szCs w:val="16"/>
        </w:rPr>
        <w:t>N-2 rok o 2 lata wcześniejszy</w:t>
      </w:r>
      <w:r>
        <w:rPr>
          <w:rFonts w:eastAsia="Calibri" w:cs="Times New Roman"/>
          <w:sz w:val="16"/>
          <w:szCs w:val="16"/>
        </w:rPr>
        <w:t>.</w:t>
      </w:r>
      <w:r w:rsidRPr="00F33025">
        <w:rPr>
          <w:rFonts w:eastAsia="Calibri" w:cs="Times New Roman"/>
          <w:sz w:val="16"/>
          <w:szCs w:val="16"/>
        </w:rPr>
        <w:t xml:space="preserve"> </w:t>
      </w:r>
      <w:r>
        <w:rPr>
          <w:rFonts w:eastAsia="Calibri" w:cs="Times New Roman"/>
          <w:sz w:val="16"/>
          <w:szCs w:val="16"/>
        </w:rPr>
        <w:t>Z</w:t>
      </w:r>
      <w:r w:rsidRPr="00F33025">
        <w:rPr>
          <w:rFonts w:eastAsia="Calibri" w:cs="Times New Roman"/>
          <w:color w:val="000000"/>
          <w:sz w:val="16"/>
          <w:szCs w:val="16"/>
          <w:lang w:eastAsia="pl-PL"/>
        </w:rPr>
        <w:t xml:space="preserve">godnie z art. 131c ust. 2 ustawy o świadczeniach opieki zdrowotnej finansowanych ze środków publicznych, </w:t>
      </w:r>
      <w:r w:rsidRPr="00F33025">
        <w:rPr>
          <w:rFonts w:eastAsia="Calibri" w:cs="Times New Roman"/>
          <w:color w:val="000000"/>
          <w:sz w:val="16"/>
          <w:szCs w:val="16"/>
        </w:rPr>
        <w:t>dla wydatków za 20</w:t>
      </w:r>
      <w:r>
        <w:rPr>
          <w:rFonts w:eastAsia="Calibri" w:cs="Times New Roman"/>
          <w:color w:val="000000"/>
          <w:sz w:val="16"/>
          <w:szCs w:val="16"/>
        </w:rPr>
        <w:t>21</w:t>
      </w:r>
      <w:r w:rsidRPr="00F33025">
        <w:rPr>
          <w:rFonts w:eastAsia="Calibri" w:cs="Times New Roman"/>
          <w:color w:val="000000"/>
          <w:sz w:val="16"/>
          <w:szCs w:val="16"/>
        </w:rPr>
        <w:t xml:space="preserve"> r. punktem odniesienia jest PKB z 201</w:t>
      </w:r>
      <w:r>
        <w:rPr>
          <w:rFonts w:eastAsia="Calibri" w:cs="Times New Roman"/>
          <w:color w:val="000000"/>
          <w:sz w:val="16"/>
          <w:szCs w:val="16"/>
        </w:rPr>
        <w:t>9</w:t>
      </w:r>
      <w:r w:rsidRPr="00F33025">
        <w:rPr>
          <w:rFonts w:eastAsia="Calibri" w:cs="Times New Roman"/>
          <w:color w:val="000000"/>
          <w:sz w:val="16"/>
          <w:szCs w:val="16"/>
        </w:rPr>
        <w:t xml:space="preserve"> r., a dla 202</w:t>
      </w:r>
      <w:r>
        <w:rPr>
          <w:rFonts w:eastAsia="Calibri" w:cs="Times New Roman"/>
          <w:color w:val="000000"/>
          <w:sz w:val="16"/>
          <w:szCs w:val="16"/>
        </w:rPr>
        <w:t>2</w:t>
      </w:r>
      <w:r w:rsidRPr="00F33025">
        <w:rPr>
          <w:rFonts w:eastAsia="Calibri" w:cs="Times New Roman"/>
          <w:color w:val="000000"/>
          <w:sz w:val="16"/>
          <w:szCs w:val="16"/>
        </w:rPr>
        <w:t xml:space="preserve"> r. – </w:t>
      </w:r>
      <w:r>
        <w:rPr>
          <w:rFonts w:eastAsia="Calibri" w:cs="Times New Roman"/>
          <w:color w:val="000000"/>
          <w:sz w:val="16"/>
          <w:szCs w:val="16"/>
        </w:rPr>
        <w:t xml:space="preserve">z </w:t>
      </w:r>
      <w:r w:rsidRPr="00F33025">
        <w:rPr>
          <w:rFonts w:eastAsia="Calibri" w:cs="Times New Roman"/>
          <w:color w:val="000000"/>
          <w:sz w:val="16"/>
          <w:szCs w:val="16"/>
        </w:rPr>
        <w:t>rok</w:t>
      </w:r>
      <w:r>
        <w:rPr>
          <w:rFonts w:eastAsia="Calibri" w:cs="Times New Roman"/>
          <w:color w:val="000000"/>
          <w:sz w:val="16"/>
          <w:szCs w:val="16"/>
        </w:rPr>
        <w:t>u</w:t>
      </w:r>
      <w:r w:rsidRPr="00F33025">
        <w:rPr>
          <w:rFonts w:eastAsia="Calibri" w:cs="Times New Roman"/>
          <w:color w:val="000000"/>
          <w:sz w:val="16"/>
          <w:szCs w:val="16"/>
        </w:rPr>
        <w:t xml:space="preserve"> 20</w:t>
      </w:r>
      <w:r>
        <w:rPr>
          <w:rFonts w:eastAsia="Calibri" w:cs="Times New Roman"/>
          <w:color w:val="000000"/>
          <w:sz w:val="16"/>
          <w:szCs w:val="16"/>
        </w:rPr>
        <w:t>20.</w:t>
      </w:r>
    </w:p>
    <w:p w14:paraId="23A3CF75" w14:textId="77777777" w:rsidR="00A7005B" w:rsidRDefault="00A7005B" w:rsidP="00671B3B">
      <w:pPr>
        <w:pStyle w:val="Tekstprzypisudolnego"/>
        <w:spacing w:before="0" w:line="20" w:lineRule="exact"/>
      </w:pPr>
    </w:p>
  </w:footnote>
  <w:footnote w:id="15">
    <w:p w14:paraId="41B012E1" w14:textId="77777777" w:rsidR="00312C1B" w:rsidRPr="001139DD" w:rsidRDefault="00312C1B" w:rsidP="00312C1B">
      <w:pPr>
        <w:pStyle w:val="Tekstprzypisudolnego"/>
        <w:rPr>
          <w:sz w:val="16"/>
          <w:szCs w:val="16"/>
        </w:rPr>
      </w:pPr>
      <w:r w:rsidRPr="001139DD">
        <w:rPr>
          <w:rStyle w:val="Odwoanieprzypisudolnego"/>
          <w:sz w:val="16"/>
          <w:szCs w:val="16"/>
        </w:rPr>
        <w:footnoteRef/>
      </w:r>
      <w:r w:rsidRPr="001139DD">
        <w:rPr>
          <w:sz w:val="16"/>
          <w:szCs w:val="16"/>
        </w:rPr>
        <w:t xml:space="preserve"> W</w:t>
      </w:r>
      <w:r>
        <w:rPr>
          <w:sz w:val="16"/>
          <w:szCs w:val="16"/>
        </w:rPr>
        <w:t>edłu</w:t>
      </w:r>
      <w:r w:rsidRPr="001139DD">
        <w:rPr>
          <w:sz w:val="16"/>
          <w:szCs w:val="16"/>
        </w:rPr>
        <w:t>g metodologii ustawowej</w:t>
      </w:r>
      <w:r>
        <w:rPr>
          <w:sz w:val="16"/>
          <w:szCs w:val="16"/>
        </w:rPr>
        <w:t xml:space="preserve"> PKB dla roku N-2</w:t>
      </w:r>
      <w:r w:rsidRPr="001139DD">
        <w:rPr>
          <w:sz w:val="16"/>
          <w:szCs w:val="16"/>
        </w:rPr>
        <w:t>.</w:t>
      </w:r>
    </w:p>
  </w:footnote>
  <w:footnote w:id="16">
    <w:p w14:paraId="16C58CEA" w14:textId="77777777" w:rsidR="00A7005B" w:rsidRDefault="00A7005B" w:rsidP="007C56ED">
      <w:pPr>
        <w:pStyle w:val="Tekstprzypisudolnego"/>
      </w:pPr>
      <w:r w:rsidRPr="001139DD">
        <w:rPr>
          <w:rStyle w:val="Odwoanieprzypisudolnego"/>
          <w:sz w:val="16"/>
          <w:szCs w:val="16"/>
        </w:rPr>
        <w:footnoteRef/>
      </w:r>
      <w:r w:rsidRPr="001139DD">
        <w:rPr>
          <w:sz w:val="16"/>
          <w:szCs w:val="16"/>
        </w:rPr>
        <w:t xml:space="preserve"> W</w:t>
      </w:r>
      <w:r>
        <w:rPr>
          <w:sz w:val="16"/>
          <w:szCs w:val="16"/>
        </w:rPr>
        <w:t>edłu</w:t>
      </w:r>
      <w:r w:rsidRPr="001139DD">
        <w:rPr>
          <w:sz w:val="16"/>
          <w:szCs w:val="16"/>
        </w:rPr>
        <w:t>g NRZ</w:t>
      </w:r>
      <w:r>
        <w:rPr>
          <w:sz w:val="16"/>
          <w:szCs w:val="16"/>
        </w:rPr>
        <w:t xml:space="preserve"> wstępne szacunki dla roku 2022 w odniesieniu do PKB z tego samego roku</w:t>
      </w:r>
      <w:r w:rsidRPr="001139DD">
        <w:rPr>
          <w:sz w:val="16"/>
          <w:szCs w:val="16"/>
        </w:rPr>
        <w:t>.</w:t>
      </w:r>
    </w:p>
  </w:footnote>
  <w:footnote w:id="17">
    <w:p w14:paraId="33BBB11E" w14:textId="3891094D" w:rsidR="00A7005B" w:rsidRPr="00D65B16" w:rsidRDefault="00A7005B" w:rsidP="00313535">
      <w:pPr>
        <w:pStyle w:val="Tekstprzypisudolnego"/>
        <w:spacing w:after="120" w:line="288" w:lineRule="auto"/>
        <w:rPr>
          <w:sz w:val="16"/>
          <w:szCs w:val="16"/>
        </w:rPr>
      </w:pPr>
      <w:r w:rsidRPr="00D65B16">
        <w:rPr>
          <w:rStyle w:val="Odwoanieprzypisudolnego"/>
          <w:sz w:val="16"/>
          <w:szCs w:val="16"/>
        </w:rPr>
        <w:footnoteRef/>
      </w:r>
      <w:r>
        <w:rPr>
          <w:sz w:val="16"/>
          <w:szCs w:val="16"/>
        </w:rPr>
        <w:t xml:space="preserve"> Do roku 2014 Narodowy Rachunek Zdrowia był sporządzany na podstawie metodologii</w:t>
      </w:r>
      <w:r w:rsidRPr="00D65B16">
        <w:rPr>
          <w:sz w:val="16"/>
          <w:szCs w:val="16"/>
        </w:rPr>
        <w:t xml:space="preserve"> SHA</w:t>
      </w:r>
      <w:r>
        <w:rPr>
          <w:sz w:val="16"/>
          <w:szCs w:val="16"/>
        </w:rPr>
        <w:t xml:space="preserve"> </w:t>
      </w:r>
      <w:r w:rsidRPr="00D65B16">
        <w:rPr>
          <w:sz w:val="16"/>
          <w:szCs w:val="16"/>
        </w:rPr>
        <w:t>1.0. i przekazywany do OECD, Eurostat</w:t>
      </w:r>
      <w:r>
        <w:rPr>
          <w:sz w:val="16"/>
          <w:szCs w:val="16"/>
        </w:rPr>
        <w:t>u</w:t>
      </w:r>
      <w:r w:rsidRPr="00D65B16">
        <w:rPr>
          <w:sz w:val="16"/>
          <w:szCs w:val="16"/>
        </w:rPr>
        <w:t xml:space="preserve"> i WHO w oparciu o umowę dżentelmeńską. Proces tworzenia SHA 2011 rozpoczął się w 2007 r. w ramach współpracy pomiędzy ekspertami z OECD, WHO oraz Eurostatu, działającymi pod wspólną nazwą Międzynarodowy Zespół ds. Rachunków Zdrowia (IHAT). Przygotowany przez Zespół podręcznik, był przedmiotem szczegółowych i szeroko zakrojonych konsultacji mających na celu zebranie opinii międzynarodowych ekspertów oraz organizacji międzynarodowych z całego </w:t>
      </w:r>
      <w:r>
        <w:rPr>
          <w:sz w:val="16"/>
          <w:szCs w:val="16"/>
        </w:rPr>
        <w:t>świata. Przedstawiciele GUS</w:t>
      </w:r>
      <w:r w:rsidRPr="00D65B16">
        <w:rPr>
          <w:sz w:val="16"/>
          <w:szCs w:val="16"/>
        </w:rPr>
        <w:t xml:space="preserve"> czynnie uczestniczyli w pracach nad nową metodologią SHA w trakcie kolejnych etapów jej opracowywania.</w:t>
      </w:r>
      <w:r>
        <w:rPr>
          <w:sz w:val="16"/>
          <w:szCs w:val="16"/>
        </w:rPr>
        <w:t xml:space="preserve"> </w:t>
      </w:r>
      <w:r w:rsidRPr="00D65B16">
        <w:rPr>
          <w:sz w:val="16"/>
          <w:szCs w:val="16"/>
        </w:rPr>
        <w:t>Od roku 2015 – dane za 2013 r., zgodnie z Rozporządzeniem Komisji, Narodowy Rachunek Zdrowia jest</w:t>
      </w:r>
      <w:r>
        <w:rPr>
          <w:sz w:val="16"/>
          <w:szCs w:val="16"/>
        </w:rPr>
        <w:t xml:space="preserve"> </w:t>
      </w:r>
      <w:r w:rsidRPr="00D65B16">
        <w:rPr>
          <w:sz w:val="16"/>
          <w:szCs w:val="16"/>
        </w:rPr>
        <w:t>opracowywany według metodologii SHA 2011</w:t>
      </w:r>
      <w:r>
        <w:rPr>
          <w:sz w:val="16"/>
          <w:szCs w:val="16"/>
        </w:rPr>
        <w:t xml:space="preserve"> </w:t>
      </w:r>
      <w:r w:rsidRPr="007C56ED">
        <w:rPr>
          <w:rFonts w:eastAsiaTheme="minorEastAsia" w:cs="Arial"/>
          <w:szCs w:val="19"/>
          <w:lang w:eastAsia="pl-PL"/>
        </w:rPr>
        <w:t>–</w:t>
      </w:r>
      <w:r>
        <w:rPr>
          <w:sz w:val="16"/>
          <w:szCs w:val="16"/>
        </w:rPr>
        <w:t xml:space="preserve"> </w:t>
      </w:r>
      <w:r w:rsidRPr="008A61F9">
        <w:rPr>
          <w:sz w:val="16"/>
          <w:szCs w:val="16"/>
        </w:rPr>
        <w:t>A System of Health Accounts 2011.</w:t>
      </w:r>
    </w:p>
  </w:footnote>
  <w:footnote w:id="18">
    <w:p w14:paraId="4286AA02" w14:textId="6D03B673" w:rsidR="00A7005B" w:rsidRDefault="00A7005B" w:rsidP="00313535">
      <w:pPr>
        <w:pStyle w:val="Tekstprzypisudolnego"/>
        <w:spacing w:after="120" w:line="288" w:lineRule="auto"/>
      </w:pPr>
      <w:r w:rsidRPr="00D65B16">
        <w:rPr>
          <w:rStyle w:val="Odwoanieprzypisudolnego"/>
          <w:sz w:val="16"/>
          <w:szCs w:val="16"/>
        </w:rPr>
        <w:footnoteRef/>
      </w:r>
      <w:r w:rsidRPr="00D65B16">
        <w:rPr>
          <w:sz w:val="16"/>
          <w:szCs w:val="16"/>
        </w:rPr>
        <w:t xml:space="preserve"> </w:t>
      </w:r>
      <w:r>
        <w:rPr>
          <w:sz w:val="16"/>
          <w:szCs w:val="16"/>
        </w:rPr>
        <w:t>Rozporządzenie</w:t>
      </w:r>
      <w:r w:rsidRPr="00CA3A18">
        <w:rPr>
          <w:sz w:val="16"/>
          <w:szCs w:val="16"/>
        </w:rPr>
        <w:t xml:space="preserve"> Komisji (UE) </w:t>
      </w:r>
      <w:r>
        <w:rPr>
          <w:sz w:val="16"/>
          <w:szCs w:val="16"/>
        </w:rPr>
        <w:t>2021/1901 z dnia 29 października 2021</w:t>
      </w:r>
      <w:r w:rsidRPr="00D65B16">
        <w:rPr>
          <w:sz w:val="16"/>
          <w:szCs w:val="16"/>
        </w:rPr>
        <w:t xml:space="preserve"> r. w sprawie wykonania rozporządzenia </w:t>
      </w:r>
      <w:r>
        <w:rPr>
          <w:sz w:val="16"/>
          <w:szCs w:val="16"/>
        </w:rPr>
        <w:t xml:space="preserve">(WE) </w:t>
      </w:r>
      <w:r w:rsidRPr="00D65B16">
        <w:rPr>
          <w:sz w:val="16"/>
          <w:szCs w:val="16"/>
        </w:rPr>
        <w:t>nr 1338/2008 Parla</w:t>
      </w:r>
      <w:r>
        <w:rPr>
          <w:sz w:val="16"/>
          <w:szCs w:val="16"/>
        </w:rPr>
        <w:t xml:space="preserve">mentu Europejskiego i Rady </w:t>
      </w:r>
      <w:r w:rsidRPr="00D65B16">
        <w:rPr>
          <w:sz w:val="16"/>
          <w:szCs w:val="16"/>
        </w:rPr>
        <w:t>w odniesieniu do statystyk w zakresie wydatków na</w:t>
      </w:r>
      <w:r>
        <w:rPr>
          <w:sz w:val="16"/>
          <w:szCs w:val="16"/>
        </w:rPr>
        <w:t xml:space="preserve"> opiekę zdrowotną</w:t>
      </w:r>
      <w:r w:rsidRPr="00D65B16">
        <w:rPr>
          <w:sz w:val="16"/>
          <w:szCs w:val="16"/>
        </w:rPr>
        <w:t xml:space="preserve"> i jej finansowania.</w:t>
      </w:r>
    </w:p>
  </w:footnote>
  <w:footnote w:id="19">
    <w:p w14:paraId="4334EDF6" w14:textId="77777777" w:rsidR="00A7005B" w:rsidRDefault="00A7005B" w:rsidP="007C56ED">
      <w:pPr>
        <w:pStyle w:val="Tekstprzypisudolnego"/>
      </w:pPr>
      <w:r w:rsidRPr="004A77B4">
        <w:rPr>
          <w:rStyle w:val="Odwoanieprzypisudolnego"/>
          <w:sz w:val="16"/>
          <w:szCs w:val="16"/>
        </w:rPr>
        <w:footnoteRef/>
      </w:r>
      <w:r w:rsidRPr="004A77B4">
        <w:rPr>
          <w:sz w:val="16"/>
          <w:szCs w:val="16"/>
        </w:rPr>
        <w:t xml:space="preserve"> Dane</w:t>
      </w:r>
      <w:r w:rsidRPr="004A28D5">
        <w:rPr>
          <w:sz w:val="16"/>
          <w:szCs w:val="16"/>
        </w:rPr>
        <w:t xml:space="preserve"> o wartości PKB mogą ulec zmianie, zgodnie ze stosowaną w rachunkach narodowych</w:t>
      </w:r>
      <w:r w:rsidRPr="00BB1D64">
        <w:rPr>
          <w:sz w:val="16"/>
          <w:szCs w:val="16"/>
        </w:rPr>
        <w:t>,</w:t>
      </w:r>
      <w:r w:rsidRPr="004A28D5">
        <w:rPr>
          <w:sz w:val="16"/>
          <w:szCs w:val="16"/>
        </w:rPr>
        <w:t xml:space="preserve"> polityką rewizji.</w:t>
      </w:r>
    </w:p>
  </w:footnote>
  <w:footnote w:id="20">
    <w:p w14:paraId="6099CB09" w14:textId="77777777" w:rsidR="00A7005B" w:rsidRPr="00A571A9" w:rsidRDefault="00A7005B" w:rsidP="007C56ED">
      <w:pPr>
        <w:pStyle w:val="Tekstprzypisudolnego"/>
        <w:rPr>
          <w:sz w:val="16"/>
          <w:szCs w:val="16"/>
        </w:rPr>
      </w:pPr>
      <w:r w:rsidRPr="00A571A9">
        <w:rPr>
          <w:rStyle w:val="Odwoanieprzypisudolnego"/>
          <w:sz w:val="16"/>
          <w:szCs w:val="16"/>
        </w:rPr>
        <w:footnoteRef/>
      </w:r>
      <w:r w:rsidRPr="00A571A9">
        <w:rPr>
          <w:sz w:val="16"/>
          <w:szCs w:val="16"/>
        </w:rPr>
        <w:t xml:space="preserve"> Materiał opracowany przez Ministerstwo Zdrowia.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2F93B" w14:textId="77777777" w:rsidR="00A7005B" w:rsidRDefault="00A7005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A7005B" w:rsidRDefault="00A7005B">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45AD6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A7005B" w:rsidRDefault="00A7005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822412C" w:rsidR="00A7005B" w:rsidRDefault="00A7005B">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F7ED3C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A7005B" w:rsidRPr="003C6C8D" w:rsidRDefault="00A7005B"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A7005B" w:rsidRPr="003C6C8D" w:rsidRDefault="00A7005B"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BA24AC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A7005B" w:rsidRDefault="00A7005B">
    <w:pPr>
      <w:pStyle w:val="Nagwek"/>
      <w:rPr>
        <w:noProof/>
        <w:lang w:eastAsia="pl-PL"/>
      </w:rPr>
    </w:pPr>
  </w:p>
  <w:p w14:paraId="45C1A999" w14:textId="77777777" w:rsidR="00A7005B" w:rsidRDefault="00A7005B">
    <w:pPr>
      <w:pStyle w:val="Nagwek"/>
      <w:rPr>
        <w:noProof/>
        <w:lang w:eastAsia="pl-PL"/>
      </w:rPr>
    </w:pPr>
  </w:p>
  <w:p w14:paraId="3194277A" w14:textId="5E6F66AE" w:rsidR="00A7005B" w:rsidRDefault="00A7005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7751DD8" w:rsidR="00A7005B" w:rsidRPr="00A01B40" w:rsidRDefault="00A7005B" w:rsidP="00F049AB">
                          <w:pPr>
                            <w:pStyle w:val="Datainformacjisygnalnej"/>
                          </w:pPr>
                          <w:r>
                            <w:t>27.07.2023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14:paraId="71967FEA" w14:textId="17751DD8" w:rsidR="00A7005B" w:rsidRPr="00A01B40" w:rsidRDefault="00A7005B" w:rsidP="00F049AB">
                    <w:pPr>
                      <w:pStyle w:val="Datainformacjisygnalnej"/>
                    </w:pPr>
                    <w:r>
                      <w:t>27.07.2023 r.</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A7005B" w:rsidRDefault="00A7005B">
    <w:pPr>
      <w:pStyle w:val="Nagwek"/>
    </w:pPr>
  </w:p>
  <w:p w14:paraId="0738E4E9" w14:textId="77777777" w:rsidR="00A7005B" w:rsidRDefault="00A7005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4pt;visibility:visible;mso-wrap-style:square" o:bullet="t">
        <v:imagedata r:id="rId1" o:title=""/>
      </v:shape>
    </w:pict>
  </w:numPicBullet>
  <w:numPicBullet w:numPicBulletId="1">
    <w:pict>
      <v:shape id="_x0000_i1027" type="#_x0000_t75" style="width:124.2pt;height:125.4pt;visibility:visible;mso-wrap-style:square" o:bullet="t">
        <v:imagedata r:id="rId2" o:title=""/>
      </v:shape>
    </w:pict>
  </w:numPicBullet>
  <w:numPicBullet w:numPicBulletId="2">
    <w:pict>
      <v:shape id="_x0000_i1028" type="#_x0000_t75" style="width:19.2pt;height:22.8pt;visibility:visible;mso-wrap-style:square" o:bullet="t">
        <v:imagedata r:id="rId3" o:title=""/>
      </v:shape>
    </w:pict>
  </w:numPicBullet>
  <w:numPicBullet w:numPicBulletId="3">
    <w:pict>
      <v:shape id="_x0000_i1029" type="#_x0000_t75" style="width:19.2pt;height:22.8pt;visibility:visible;mso-wrap-style:square" o:bullet="t">
        <v:imagedata r:id="rId4" o:title=""/>
      </v:shape>
    </w:pict>
  </w:numPicBullet>
  <w:abstractNum w:abstractNumId="0" w15:restartNumberingAfterBreak="0">
    <w:nsid w:val="01EF5BFD"/>
    <w:multiLevelType w:val="hybridMultilevel"/>
    <w:tmpl w:val="AD366132"/>
    <w:lvl w:ilvl="0" w:tplc="04150003">
      <w:start w:val="1"/>
      <w:numFmt w:val="bullet"/>
      <w:lvlText w:val="o"/>
      <w:lvlJc w:val="left"/>
      <w:pPr>
        <w:ind w:left="1353" w:hanging="360"/>
      </w:pPr>
      <w:rPr>
        <w:rFonts w:ascii="Courier New" w:hAnsi="Courier New" w:cs="Courier New"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AE3F67"/>
    <w:multiLevelType w:val="hybridMultilevel"/>
    <w:tmpl w:val="0DDC2870"/>
    <w:lvl w:ilvl="0" w:tplc="04150003">
      <w:start w:val="1"/>
      <w:numFmt w:val="bullet"/>
      <w:lvlText w:val="o"/>
      <w:lvlJc w:val="left"/>
      <w:pPr>
        <w:ind w:left="1128" w:hanging="360"/>
      </w:pPr>
      <w:rPr>
        <w:rFonts w:ascii="Courier New" w:hAnsi="Courier New" w:cs="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7D325F4"/>
    <w:multiLevelType w:val="hybridMultilevel"/>
    <w:tmpl w:val="4DECD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BD3927"/>
    <w:multiLevelType w:val="hybridMultilevel"/>
    <w:tmpl w:val="9664F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7D586A"/>
    <w:multiLevelType w:val="hybridMultilevel"/>
    <w:tmpl w:val="84D07F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69B4BA7"/>
    <w:multiLevelType w:val="hybridMultilevel"/>
    <w:tmpl w:val="BF88490E"/>
    <w:lvl w:ilvl="0" w:tplc="B980EE60">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AF7714"/>
    <w:multiLevelType w:val="hybridMultilevel"/>
    <w:tmpl w:val="180E3DD8"/>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num w:numId="1">
    <w:abstractNumId w:val="7"/>
  </w:num>
  <w:num w:numId="2">
    <w:abstractNumId w:val="2"/>
  </w:num>
  <w:num w:numId="3">
    <w:abstractNumId w:val="4"/>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 w:numId="9">
    <w:abstractNumId w:val="11"/>
  </w:num>
  <w:num w:numId="10">
    <w:abstractNumId w:val="3"/>
  </w:num>
  <w:num w:numId="11">
    <w:abstractNumId w:val="1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1E8"/>
    <w:rsid w:val="00003437"/>
    <w:rsid w:val="0000709F"/>
    <w:rsid w:val="000108B8"/>
    <w:rsid w:val="000152F5"/>
    <w:rsid w:val="0004582E"/>
    <w:rsid w:val="000470AA"/>
    <w:rsid w:val="00057CA1"/>
    <w:rsid w:val="00062438"/>
    <w:rsid w:val="000647A9"/>
    <w:rsid w:val="000662E2"/>
    <w:rsid w:val="00066883"/>
    <w:rsid w:val="00071B39"/>
    <w:rsid w:val="00074DD8"/>
    <w:rsid w:val="00075759"/>
    <w:rsid w:val="00075BD4"/>
    <w:rsid w:val="00077FD0"/>
    <w:rsid w:val="000806F7"/>
    <w:rsid w:val="0009456F"/>
    <w:rsid w:val="00097840"/>
    <w:rsid w:val="000B0727"/>
    <w:rsid w:val="000B1FEE"/>
    <w:rsid w:val="000C135D"/>
    <w:rsid w:val="000D1D43"/>
    <w:rsid w:val="000D225C"/>
    <w:rsid w:val="000D2A5C"/>
    <w:rsid w:val="000D39F0"/>
    <w:rsid w:val="000E0918"/>
    <w:rsid w:val="000E79A9"/>
    <w:rsid w:val="000F092A"/>
    <w:rsid w:val="000F1313"/>
    <w:rsid w:val="001011C3"/>
    <w:rsid w:val="0010137A"/>
    <w:rsid w:val="00106DA3"/>
    <w:rsid w:val="00110214"/>
    <w:rsid w:val="00110D87"/>
    <w:rsid w:val="00111CF4"/>
    <w:rsid w:val="00112399"/>
    <w:rsid w:val="0011428A"/>
    <w:rsid w:val="00114DB9"/>
    <w:rsid w:val="00115B0B"/>
    <w:rsid w:val="00116087"/>
    <w:rsid w:val="00117711"/>
    <w:rsid w:val="00130296"/>
    <w:rsid w:val="00131058"/>
    <w:rsid w:val="00133E7B"/>
    <w:rsid w:val="00134145"/>
    <w:rsid w:val="00136736"/>
    <w:rsid w:val="00136740"/>
    <w:rsid w:val="00136D67"/>
    <w:rsid w:val="00140A26"/>
    <w:rsid w:val="00141975"/>
    <w:rsid w:val="001423B6"/>
    <w:rsid w:val="001448A7"/>
    <w:rsid w:val="00146621"/>
    <w:rsid w:val="001507FD"/>
    <w:rsid w:val="001617E3"/>
    <w:rsid w:val="00162325"/>
    <w:rsid w:val="00191A68"/>
    <w:rsid w:val="001951DA"/>
    <w:rsid w:val="001B053D"/>
    <w:rsid w:val="001B47A5"/>
    <w:rsid w:val="001C3269"/>
    <w:rsid w:val="001D06BD"/>
    <w:rsid w:val="001D19B6"/>
    <w:rsid w:val="001D1DB4"/>
    <w:rsid w:val="001D23F1"/>
    <w:rsid w:val="001D25F9"/>
    <w:rsid w:val="001D61ED"/>
    <w:rsid w:val="001D7411"/>
    <w:rsid w:val="001E59AC"/>
    <w:rsid w:val="001E5B2D"/>
    <w:rsid w:val="0020156C"/>
    <w:rsid w:val="00216634"/>
    <w:rsid w:val="00220B5F"/>
    <w:rsid w:val="00223EFE"/>
    <w:rsid w:val="00224BA0"/>
    <w:rsid w:val="002352C4"/>
    <w:rsid w:val="002356B0"/>
    <w:rsid w:val="00240FD5"/>
    <w:rsid w:val="00242D31"/>
    <w:rsid w:val="00253AB6"/>
    <w:rsid w:val="0025481E"/>
    <w:rsid w:val="002574F9"/>
    <w:rsid w:val="00262B61"/>
    <w:rsid w:val="00262CC6"/>
    <w:rsid w:val="00263E08"/>
    <w:rsid w:val="002762FD"/>
    <w:rsid w:val="00276811"/>
    <w:rsid w:val="00282699"/>
    <w:rsid w:val="00286D0A"/>
    <w:rsid w:val="00291082"/>
    <w:rsid w:val="002926DF"/>
    <w:rsid w:val="00296697"/>
    <w:rsid w:val="002B0472"/>
    <w:rsid w:val="002B6B12"/>
    <w:rsid w:val="002C21F0"/>
    <w:rsid w:val="002D01DF"/>
    <w:rsid w:val="002D17A5"/>
    <w:rsid w:val="002E3EB3"/>
    <w:rsid w:val="002E6140"/>
    <w:rsid w:val="002E6985"/>
    <w:rsid w:val="002E71B6"/>
    <w:rsid w:val="002F35F6"/>
    <w:rsid w:val="002F77C8"/>
    <w:rsid w:val="002F7CBF"/>
    <w:rsid w:val="0030481A"/>
    <w:rsid w:val="00304F22"/>
    <w:rsid w:val="00306C7C"/>
    <w:rsid w:val="00312C1B"/>
    <w:rsid w:val="00313535"/>
    <w:rsid w:val="00313F5C"/>
    <w:rsid w:val="00314F86"/>
    <w:rsid w:val="00317F4D"/>
    <w:rsid w:val="00321B6B"/>
    <w:rsid w:val="00322A1C"/>
    <w:rsid w:val="00322EDD"/>
    <w:rsid w:val="003309FA"/>
    <w:rsid w:val="00331135"/>
    <w:rsid w:val="00332320"/>
    <w:rsid w:val="00340F5D"/>
    <w:rsid w:val="00347D72"/>
    <w:rsid w:val="00353F45"/>
    <w:rsid w:val="00357611"/>
    <w:rsid w:val="0036432A"/>
    <w:rsid w:val="00364AF9"/>
    <w:rsid w:val="00367237"/>
    <w:rsid w:val="0037077F"/>
    <w:rsid w:val="00372411"/>
    <w:rsid w:val="00373882"/>
    <w:rsid w:val="0038248A"/>
    <w:rsid w:val="003843DB"/>
    <w:rsid w:val="00385C91"/>
    <w:rsid w:val="00393761"/>
    <w:rsid w:val="003937A5"/>
    <w:rsid w:val="00394E26"/>
    <w:rsid w:val="00396691"/>
    <w:rsid w:val="00397D18"/>
    <w:rsid w:val="003A1B36"/>
    <w:rsid w:val="003B1454"/>
    <w:rsid w:val="003B18B6"/>
    <w:rsid w:val="003C161B"/>
    <w:rsid w:val="003C59E0"/>
    <w:rsid w:val="003C6C8D"/>
    <w:rsid w:val="003D2656"/>
    <w:rsid w:val="003D4F95"/>
    <w:rsid w:val="003D5F42"/>
    <w:rsid w:val="003D60A9"/>
    <w:rsid w:val="003E4367"/>
    <w:rsid w:val="003F0BD9"/>
    <w:rsid w:val="003F1616"/>
    <w:rsid w:val="003F4C97"/>
    <w:rsid w:val="003F666D"/>
    <w:rsid w:val="003F7FE6"/>
    <w:rsid w:val="00400193"/>
    <w:rsid w:val="00416EAF"/>
    <w:rsid w:val="004212E7"/>
    <w:rsid w:val="00423C88"/>
    <w:rsid w:val="0042446D"/>
    <w:rsid w:val="00427BF8"/>
    <w:rsid w:val="00431C02"/>
    <w:rsid w:val="00437395"/>
    <w:rsid w:val="00445047"/>
    <w:rsid w:val="00445A82"/>
    <w:rsid w:val="00446749"/>
    <w:rsid w:val="00453EB7"/>
    <w:rsid w:val="00463E39"/>
    <w:rsid w:val="004657FC"/>
    <w:rsid w:val="004733F6"/>
    <w:rsid w:val="00474E69"/>
    <w:rsid w:val="00483E9F"/>
    <w:rsid w:val="00485A2C"/>
    <w:rsid w:val="0049621B"/>
    <w:rsid w:val="00497B87"/>
    <w:rsid w:val="004A1D19"/>
    <w:rsid w:val="004B4292"/>
    <w:rsid w:val="004C1895"/>
    <w:rsid w:val="004C6D40"/>
    <w:rsid w:val="004E6AA8"/>
    <w:rsid w:val="004F0C3C"/>
    <w:rsid w:val="004F2280"/>
    <w:rsid w:val="004F23BB"/>
    <w:rsid w:val="004F5635"/>
    <w:rsid w:val="004F63FC"/>
    <w:rsid w:val="004F6DD0"/>
    <w:rsid w:val="00505A92"/>
    <w:rsid w:val="005203F1"/>
    <w:rsid w:val="00521BC3"/>
    <w:rsid w:val="00531873"/>
    <w:rsid w:val="00533632"/>
    <w:rsid w:val="00534013"/>
    <w:rsid w:val="00540C5C"/>
    <w:rsid w:val="00541E6E"/>
    <w:rsid w:val="0054251F"/>
    <w:rsid w:val="005520D8"/>
    <w:rsid w:val="00553507"/>
    <w:rsid w:val="00555CFB"/>
    <w:rsid w:val="00556ADB"/>
    <w:rsid w:val="00556CF1"/>
    <w:rsid w:val="005762A7"/>
    <w:rsid w:val="00587CEE"/>
    <w:rsid w:val="005916D7"/>
    <w:rsid w:val="0059427F"/>
    <w:rsid w:val="005A698C"/>
    <w:rsid w:val="005B0BBF"/>
    <w:rsid w:val="005B60D8"/>
    <w:rsid w:val="005C0CAC"/>
    <w:rsid w:val="005D062E"/>
    <w:rsid w:val="005D2F6B"/>
    <w:rsid w:val="005D334E"/>
    <w:rsid w:val="005E0799"/>
    <w:rsid w:val="005E10F9"/>
    <w:rsid w:val="005E1200"/>
    <w:rsid w:val="005E1EF6"/>
    <w:rsid w:val="005F45EE"/>
    <w:rsid w:val="005F5A80"/>
    <w:rsid w:val="005F7611"/>
    <w:rsid w:val="00602DDA"/>
    <w:rsid w:val="006044FF"/>
    <w:rsid w:val="00607CC5"/>
    <w:rsid w:val="0061179B"/>
    <w:rsid w:val="006125F9"/>
    <w:rsid w:val="00633014"/>
    <w:rsid w:val="0063437B"/>
    <w:rsid w:val="0063660D"/>
    <w:rsid w:val="0064017E"/>
    <w:rsid w:val="00654BB6"/>
    <w:rsid w:val="006673CA"/>
    <w:rsid w:val="00671B3B"/>
    <w:rsid w:val="00673C26"/>
    <w:rsid w:val="00674DE5"/>
    <w:rsid w:val="00676601"/>
    <w:rsid w:val="00677ACA"/>
    <w:rsid w:val="0068081A"/>
    <w:rsid w:val="006812AF"/>
    <w:rsid w:val="0068327D"/>
    <w:rsid w:val="006875FB"/>
    <w:rsid w:val="00691534"/>
    <w:rsid w:val="00693880"/>
    <w:rsid w:val="00694AF0"/>
    <w:rsid w:val="006A4686"/>
    <w:rsid w:val="006A61DD"/>
    <w:rsid w:val="006B0E9E"/>
    <w:rsid w:val="006B486D"/>
    <w:rsid w:val="006B5AE4"/>
    <w:rsid w:val="006D1507"/>
    <w:rsid w:val="006D1608"/>
    <w:rsid w:val="006D4054"/>
    <w:rsid w:val="006D562B"/>
    <w:rsid w:val="006D7409"/>
    <w:rsid w:val="006E02EC"/>
    <w:rsid w:val="006E3C4F"/>
    <w:rsid w:val="006E6F41"/>
    <w:rsid w:val="006E73E6"/>
    <w:rsid w:val="006F67D7"/>
    <w:rsid w:val="00710768"/>
    <w:rsid w:val="00710E54"/>
    <w:rsid w:val="00711B3F"/>
    <w:rsid w:val="007211B1"/>
    <w:rsid w:val="007277DA"/>
    <w:rsid w:val="00731D27"/>
    <w:rsid w:val="007357EB"/>
    <w:rsid w:val="00746187"/>
    <w:rsid w:val="00753863"/>
    <w:rsid w:val="0076254F"/>
    <w:rsid w:val="007801F5"/>
    <w:rsid w:val="00783CA4"/>
    <w:rsid w:val="007842FB"/>
    <w:rsid w:val="00786124"/>
    <w:rsid w:val="0079514B"/>
    <w:rsid w:val="00795252"/>
    <w:rsid w:val="007A2DC1"/>
    <w:rsid w:val="007B70AE"/>
    <w:rsid w:val="007C0B1C"/>
    <w:rsid w:val="007C56ED"/>
    <w:rsid w:val="007D0869"/>
    <w:rsid w:val="007D14C4"/>
    <w:rsid w:val="007D16EC"/>
    <w:rsid w:val="007D3319"/>
    <w:rsid w:val="007D335D"/>
    <w:rsid w:val="007D605C"/>
    <w:rsid w:val="007E3314"/>
    <w:rsid w:val="007E3514"/>
    <w:rsid w:val="007E4B03"/>
    <w:rsid w:val="007F02A5"/>
    <w:rsid w:val="007F324B"/>
    <w:rsid w:val="0080409A"/>
    <w:rsid w:val="0080553C"/>
    <w:rsid w:val="00805B46"/>
    <w:rsid w:val="00805DB4"/>
    <w:rsid w:val="00806025"/>
    <w:rsid w:val="00814CEC"/>
    <w:rsid w:val="00823593"/>
    <w:rsid w:val="00825DC2"/>
    <w:rsid w:val="00834AD3"/>
    <w:rsid w:val="00843795"/>
    <w:rsid w:val="00847F0F"/>
    <w:rsid w:val="00852448"/>
    <w:rsid w:val="00866422"/>
    <w:rsid w:val="0087670E"/>
    <w:rsid w:val="00877F6C"/>
    <w:rsid w:val="0088258A"/>
    <w:rsid w:val="00886332"/>
    <w:rsid w:val="00887F0B"/>
    <w:rsid w:val="008925F0"/>
    <w:rsid w:val="008938CA"/>
    <w:rsid w:val="0089448A"/>
    <w:rsid w:val="00897877"/>
    <w:rsid w:val="008A26D9"/>
    <w:rsid w:val="008A7B5B"/>
    <w:rsid w:val="008B12D2"/>
    <w:rsid w:val="008B2B97"/>
    <w:rsid w:val="008C0C29"/>
    <w:rsid w:val="008D02DA"/>
    <w:rsid w:val="008D76BC"/>
    <w:rsid w:val="008E7DBA"/>
    <w:rsid w:val="008F0829"/>
    <w:rsid w:val="008F1DB3"/>
    <w:rsid w:val="008F3638"/>
    <w:rsid w:val="008F4441"/>
    <w:rsid w:val="008F6B20"/>
    <w:rsid w:val="008F6E4E"/>
    <w:rsid w:val="008F6F31"/>
    <w:rsid w:val="008F74DF"/>
    <w:rsid w:val="00902274"/>
    <w:rsid w:val="009127BA"/>
    <w:rsid w:val="00920AAE"/>
    <w:rsid w:val="009227A6"/>
    <w:rsid w:val="00933EC1"/>
    <w:rsid w:val="009417A0"/>
    <w:rsid w:val="00943EC8"/>
    <w:rsid w:val="009446AD"/>
    <w:rsid w:val="009530DB"/>
    <w:rsid w:val="00953676"/>
    <w:rsid w:val="00956F30"/>
    <w:rsid w:val="00960ED2"/>
    <w:rsid w:val="009664F7"/>
    <w:rsid w:val="00966C9A"/>
    <w:rsid w:val="00967527"/>
    <w:rsid w:val="009705EE"/>
    <w:rsid w:val="009769F0"/>
    <w:rsid w:val="00977927"/>
    <w:rsid w:val="0098135C"/>
    <w:rsid w:val="0098156A"/>
    <w:rsid w:val="00991077"/>
    <w:rsid w:val="00991BAC"/>
    <w:rsid w:val="009A0EFF"/>
    <w:rsid w:val="009A6EA0"/>
    <w:rsid w:val="009B2A4A"/>
    <w:rsid w:val="009B7102"/>
    <w:rsid w:val="009C1335"/>
    <w:rsid w:val="009C1AB2"/>
    <w:rsid w:val="009C7251"/>
    <w:rsid w:val="009D0892"/>
    <w:rsid w:val="009E2E91"/>
    <w:rsid w:val="00A01B40"/>
    <w:rsid w:val="00A139F5"/>
    <w:rsid w:val="00A32E16"/>
    <w:rsid w:val="00A365F4"/>
    <w:rsid w:val="00A460CD"/>
    <w:rsid w:val="00A47D80"/>
    <w:rsid w:val="00A52D8F"/>
    <w:rsid w:val="00A53132"/>
    <w:rsid w:val="00A563F2"/>
    <w:rsid w:val="00A566E8"/>
    <w:rsid w:val="00A61BBA"/>
    <w:rsid w:val="00A66347"/>
    <w:rsid w:val="00A678E0"/>
    <w:rsid w:val="00A7005B"/>
    <w:rsid w:val="00A810F9"/>
    <w:rsid w:val="00A82D31"/>
    <w:rsid w:val="00A85E7E"/>
    <w:rsid w:val="00A86ECC"/>
    <w:rsid w:val="00A86FCC"/>
    <w:rsid w:val="00A90A6D"/>
    <w:rsid w:val="00A90DD5"/>
    <w:rsid w:val="00A92B87"/>
    <w:rsid w:val="00A933B7"/>
    <w:rsid w:val="00A971E5"/>
    <w:rsid w:val="00AA710D"/>
    <w:rsid w:val="00AB1F20"/>
    <w:rsid w:val="00AB45A4"/>
    <w:rsid w:val="00AB64F3"/>
    <w:rsid w:val="00AB6D25"/>
    <w:rsid w:val="00AC7AA0"/>
    <w:rsid w:val="00AD0E56"/>
    <w:rsid w:val="00AE229B"/>
    <w:rsid w:val="00AE2D4B"/>
    <w:rsid w:val="00AE4F99"/>
    <w:rsid w:val="00AE5AC9"/>
    <w:rsid w:val="00B11B69"/>
    <w:rsid w:val="00B12B37"/>
    <w:rsid w:val="00B14614"/>
    <w:rsid w:val="00B14952"/>
    <w:rsid w:val="00B15CEB"/>
    <w:rsid w:val="00B16871"/>
    <w:rsid w:val="00B25B45"/>
    <w:rsid w:val="00B31E5A"/>
    <w:rsid w:val="00B42E13"/>
    <w:rsid w:val="00B47359"/>
    <w:rsid w:val="00B653AB"/>
    <w:rsid w:val="00B65F9E"/>
    <w:rsid w:val="00B66B19"/>
    <w:rsid w:val="00B7386E"/>
    <w:rsid w:val="00B75A65"/>
    <w:rsid w:val="00B84C43"/>
    <w:rsid w:val="00B914E9"/>
    <w:rsid w:val="00B956EE"/>
    <w:rsid w:val="00B9744D"/>
    <w:rsid w:val="00BA2BA1"/>
    <w:rsid w:val="00BA3447"/>
    <w:rsid w:val="00BA3562"/>
    <w:rsid w:val="00BB4F09"/>
    <w:rsid w:val="00BB54B5"/>
    <w:rsid w:val="00BD4E33"/>
    <w:rsid w:val="00BE6C3F"/>
    <w:rsid w:val="00C030DE"/>
    <w:rsid w:val="00C051A8"/>
    <w:rsid w:val="00C22105"/>
    <w:rsid w:val="00C244B6"/>
    <w:rsid w:val="00C27BF1"/>
    <w:rsid w:val="00C310E6"/>
    <w:rsid w:val="00C3702F"/>
    <w:rsid w:val="00C43BC6"/>
    <w:rsid w:val="00C4500A"/>
    <w:rsid w:val="00C62238"/>
    <w:rsid w:val="00C64A37"/>
    <w:rsid w:val="00C7158E"/>
    <w:rsid w:val="00C7250B"/>
    <w:rsid w:val="00C7346B"/>
    <w:rsid w:val="00C763C3"/>
    <w:rsid w:val="00C77C0E"/>
    <w:rsid w:val="00C91687"/>
    <w:rsid w:val="00C924A8"/>
    <w:rsid w:val="00C945FE"/>
    <w:rsid w:val="00C96FAA"/>
    <w:rsid w:val="00C97A04"/>
    <w:rsid w:val="00CA107B"/>
    <w:rsid w:val="00CA2619"/>
    <w:rsid w:val="00CA484D"/>
    <w:rsid w:val="00CA4FB6"/>
    <w:rsid w:val="00CB0BC5"/>
    <w:rsid w:val="00CB2F90"/>
    <w:rsid w:val="00CB6AD4"/>
    <w:rsid w:val="00CC739E"/>
    <w:rsid w:val="00CD1EBB"/>
    <w:rsid w:val="00CD28CF"/>
    <w:rsid w:val="00CD58B7"/>
    <w:rsid w:val="00CD7967"/>
    <w:rsid w:val="00CE0204"/>
    <w:rsid w:val="00CE6A09"/>
    <w:rsid w:val="00CF18EE"/>
    <w:rsid w:val="00CF30BD"/>
    <w:rsid w:val="00CF4099"/>
    <w:rsid w:val="00D00796"/>
    <w:rsid w:val="00D261A2"/>
    <w:rsid w:val="00D616D2"/>
    <w:rsid w:val="00D61C50"/>
    <w:rsid w:val="00D63B5F"/>
    <w:rsid w:val="00D70EF7"/>
    <w:rsid w:val="00D816F4"/>
    <w:rsid w:val="00D8397C"/>
    <w:rsid w:val="00D83E67"/>
    <w:rsid w:val="00D92D32"/>
    <w:rsid w:val="00D94EED"/>
    <w:rsid w:val="00D96026"/>
    <w:rsid w:val="00D972F6"/>
    <w:rsid w:val="00DA331D"/>
    <w:rsid w:val="00DA7C1C"/>
    <w:rsid w:val="00DB147A"/>
    <w:rsid w:val="00DB1B7A"/>
    <w:rsid w:val="00DB706E"/>
    <w:rsid w:val="00DC6708"/>
    <w:rsid w:val="00DD011A"/>
    <w:rsid w:val="00DE2400"/>
    <w:rsid w:val="00DE2D09"/>
    <w:rsid w:val="00DE58F1"/>
    <w:rsid w:val="00DE6B58"/>
    <w:rsid w:val="00DF5E32"/>
    <w:rsid w:val="00E01436"/>
    <w:rsid w:val="00E03E79"/>
    <w:rsid w:val="00E045BD"/>
    <w:rsid w:val="00E04D6C"/>
    <w:rsid w:val="00E0739E"/>
    <w:rsid w:val="00E16D33"/>
    <w:rsid w:val="00E17B77"/>
    <w:rsid w:val="00E231AB"/>
    <w:rsid w:val="00E23337"/>
    <w:rsid w:val="00E259EA"/>
    <w:rsid w:val="00E25D33"/>
    <w:rsid w:val="00E263FB"/>
    <w:rsid w:val="00E2752C"/>
    <w:rsid w:val="00E32061"/>
    <w:rsid w:val="00E33F48"/>
    <w:rsid w:val="00E42FF9"/>
    <w:rsid w:val="00E44790"/>
    <w:rsid w:val="00E4714C"/>
    <w:rsid w:val="00E5178D"/>
    <w:rsid w:val="00E51AEB"/>
    <w:rsid w:val="00E522A7"/>
    <w:rsid w:val="00E5349E"/>
    <w:rsid w:val="00E54452"/>
    <w:rsid w:val="00E63B0C"/>
    <w:rsid w:val="00E648F6"/>
    <w:rsid w:val="00E664C5"/>
    <w:rsid w:val="00E671A2"/>
    <w:rsid w:val="00E76D26"/>
    <w:rsid w:val="00E76EE5"/>
    <w:rsid w:val="00E77D2D"/>
    <w:rsid w:val="00E8407C"/>
    <w:rsid w:val="00E9214F"/>
    <w:rsid w:val="00E95036"/>
    <w:rsid w:val="00E95B8E"/>
    <w:rsid w:val="00E96A19"/>
    <w:rsid w:val="00EB1390"/>
    <w:rsid w:val="00EB2C71"/>
    <w:rsid w:val="00EB3333"/>
    <w:rsid w:val="00EB4340"/>
    <w:rsid w:val="00EB556D"/>
    <w:rsid w:val="00EB5A7D"/>
    <w:rsid w:val="00ED55C0"/>
    <w:rsid w:val="00ED682B"/>
    <w:rsid w:val="00EE41D5"/>
    <w:rsid w:val="00EF2A19"/>
    <w:rsid w:val="00F0166F"/>
    <w:rsid w:val="00F037A4"/>
    <w:rsid w:val="00F03D62"/>
    <w:rsid w:val="00F049AB"/>
    <w:rsid w:val="00F142DB"/>
    <w:rsid w:val="00F27C8F"/>
    <w:rsid w:val="00F32749"/>
    <w:rsid w:val="00F37172"/>
    <w:rsid w:val="00F37727"/>
    <w:rsid w:val="00F4477E"/>
    <w:rsid w:val="00F46269"/>
    <w:rsid w:val="00F60BA8"/>
    <w:rsid w:val="00F61E6A"/>
    <w:rsid w:val="00F65A5A"/>
    <w:rsid w:val="00F67D8F"/>
    <w:rsid w:val="00F802BE"/>
    <w:rsid w:val="00F80E93"/>
    <w:rsid w:val="00F86024"/>
    <w:rsid w:val="00F8611A"/>
    <w:rsid w:val="00FA3E6A"/>
    <w:rsid w:val="00FA5128"/>
    <w:rsid w:val="00FB42D4"/>
    <w:rsid w:val="00FB5906"/>
    <w:rsid w:val="00FB7150"/>
    <w:rsid w:val="00FB762F"/>
    <w:rsid w:val="00FC068D"/>
    <w:rsid w:val="00FC2AED"/>
    <w:rsid w:val="00FD08AE"/>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link w:val="BezodstpwZnak"/>
    <w:uiPriority w:val="1"/>
    <w:qFormat/>
    <w:rsid w:val="00223EFE"/>
    <w:pPr>
      <w:spacing w:after="0" w:line="240" w:lineRule="auto"/>
    </w:pPr>
    <w:rPr>
      <w:rFonts w:eastAsiaTheme="minorEastAsia"/>
    </w:rPr>
  </w:style>
  <w:style w:type="character" w:customStyle="1" w:styleId="BezodstpwZnak">
    <w:name w:val="Bez odstępów Znak"/>
    <w:basedOn w:val="Domylnaczcionkaakapitu"/>
    <w:link w:val="Bezodstpw"/>
    <w:uiPriority w:val="1"/>
    <w:rsid w:val="00223EFE"/>
    <w:rPr>
      <w:rFonts w:eastAsiaTheme="minorEastAsia"/>
    </w:rPr>
  </w:style>
  <w:style w:type="table" w:customStyle="1" w:styleId="Tabela-Siatka1">
    <w:name w:val="Tabela - Siatka1"/>
    <w:basedOn w:val="Standardowy"/>
    <w:next w:val="Tabela-Siatka"/>
    <w:uiPriority w:val="59"/>
    <w:rsid w:val="00062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7C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E648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header" Target="header3.xml"/><Relationship Id="rId39" Type="http://schemas.openxmlformats.org/officeDocument/2006/relationships/hyperlink" Target="https://stat.gov.pl/metainformacje/slownik-pojec/pojecia-stosowane-w-statystyce-publicznej/1951,pojecie.html" TargetMode="External"/><Relationship Id="rId21" Type="http://schemas.openxmlformats.org/officeDocument/2006/relationships/hyperlink" Target="https://sip.legalis.pl/document-view.seam?documentId=mfrxilrtg4ytqnzygyzdcltqmfyc4nrxgyztaojsgu" TargetMode="External"/><Relationship Id="rId34" Type="http://schemas.openxmlformats.org/officeDocument/2006/relationships/image" Target="media/image18.png"/><Relationship Id="rId42" Type="http://schemas.openxmlformats.org/officeDocument/2006/relationships/hyperlink" Target="https://stat.gov.pl/metainformacje/slownik-pojec/pojecia-stosowane-w-statystyce-publicznej/896,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wskazniki-makroekonomiczne/"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image" Target="media/image16.png"/><Relationship Id="rId37" Type="http://schemas.openxmlformats.org/officeDocument/2006/relationships/hyperlink" Target="https://ec.europa.eu/eurostat/web/products-manuals-and-guidelines/-/ks-05-19-103" TargetMode="External"/><Relationship Id="rId40" Type="http://schemas.openxmlformats.org/officeDocument/2006/relationships/hyperlink" Target="https://stat.gov.pl/metainformacje/slownik-pojec/pojecia-stosowane-w-statystyce-publicznej/3908,pojecie.html"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hyperlink" Target="mailto:obslugaprasowa@stat.gov.pl" TargetMode="External"/><Relationship Id="rId36" Type="http://schemas.openxmlformats.org/officeDocument/2006/relationships/hyperlink" Target="https://stat.gov.pl/sygnalne/komunikaty-i-obwieszczenia/lista-komunikatow-i-obwieszczen/obwieszczenie-w-sprawie-narodowego-rachunku-zdrowia-za-2020-rok,283,9.html" TargetMode="External"/><Relationship Id="rId10" Type="http://schemas.openxmlformats.org/officeDocument/2006/relationships/hyperlink" Target="https://stat.gov.pl/wskazniki-makroekonomiczne/" TargetMode="External"/><Relationship Id="rId19" Type="http://schemas.openxmlformats.org/officeDocument/2006/relationships/hyperlink" Target="https://sip.legalis.pl/document-view.seam?documentId=mfrxilrtg4ytoobqgyztcltqmfyc4nruguztonbtha" TargetMode="External"/><Relationship Id="rId31" Type="http://schemas.openxmlformats.org/officeDocument/2006/relationships/image" Target="media/image15.png"/><Relationship Id="rId44"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14.png"/><Relationship Id="rId35" Type="http://schemas.openxmlformats.org/officeDocument/2006/relationships/hyperlink" Target="https://stat.gov.pl/obszary-tematyczne/zdrowie/zdrowie/zdrowie-i-ochrona-zdrowia-w-2021-roku,1,12.html" TargetMode="External"/><Relationship Id="rId43" Type="http://schemas.openxmlformats.org/officeDocument/2006/relationships/header" Target="header4.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image" Target="media/image17.png"/><Relationship Id="rId38" Type="http://schemas.openxmlformats.org/officeDocument/2006/relationships/hyperlink" Target="https://stats.oecd.org/" TargetMode="External"/><Relationship Id="rId46" Type="http://schemas.openxmlformats.org/officeDocument/2006/relationships/theme" Target="theme/theme1.xml"/><Relationship Id="rId20" Type="http://schemas.openxmlformats.org/officeDocument/2006/relationships/hyperlink" Target="https://sip.legalis.pl/document-view.seam?documentId=mfrxilrtg4ytqnzygyzdcltqmfyc4nrxgyztcmrzge" TargetMode="External"/><Relationship Id="rId41" Type="http://schemas.openxmlformats.org/officeDocument/2006/relationships/hyperlink" Target="https://stat.gov.pl/metainformacje/slownik-pojec/pojecia-stosowane-w-statystyce-publicznej/3161,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uytcnrwgq4c44dboaxdcmbug43domrx" TargetMode="External"/><Relationship Id="rId1" Type="http://schemas.openxmlformats.org/officeDocument/2006/relationships/hyperlink" Target="https://stat.gov.pl/download/gfx/portalinformacyjny/pl/defaultstronaopisowa/1772/2/1/roczne_wskazniki_makroekonomiczne_cz_iii.xls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Wydatki_na_ochrone_zdrowia_w_latach_2020-2022.docx</NazwaPliku>
    <Osoba xmlns="AD3641B4-23D9-4536-AF9E-7D0EADDEB824">STAT\LysonP</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infopath/2007/PartnerControls"/>
    <ds:schemaRef ds:uri="http://schemas.openxmlformats.org/package/2006/metadata/core-properties"/>
    <ds:schemaRef ds:uri="http://purl.org/dc/dcmitype/"/>
    <ds:schemaRef ds:uri="http://purl.org/dc/elements/1.1/"/>
    <ds:schemaRef ds:uri="AD3641B4-23D9-4536-AF9E-7D0EADDEB824"/>
    <ds:schemaRef ds:uri="http://purl.org/dc/terms/"/>
    <ds:schemaRef ds:uri="http://schemas.microsoft.com/sharepoint/v3"/>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7B7D3AE-29B6-4643-9A09-AE73C313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8BCA3-473C-4EAE-B6E9-FE9DF2D35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3293</Words>
  <Characters>19762</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2023-07-25T08:04:00Z</dcterms:created>
  <dcterms:modified xsi:type="dcterms:W3CDTF">2023-07-25T08:04:00Z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2023-164884</vt:lpwstr>
  </property>
  <property fmtid="{D5CDD505-2E9C-101B-9397-08002B2CF9AE}" pid="5" name="ZnakSprawy">
    <vt:lpwstr/>
  </property>
  <property fmtid="{D5CDD505-2E9C-101B-9397-08002B2CF9AE}" pid="6" name="ZnakSprawyPrzedPrzeniesieniem">
    <vt:lpwstr/>
  </property>
  <property fmtid="{D5CDD505-2E9C-101B-9397-08002B2CF9AE}" pid="7" name="Autor">
    <vt:lpwstr>Salwa Urszula</vt:lpwstr>
  </property>
  <property fmtid="{D5CDD505-2E9C-101B-9397-08002B2CF9AE}" pid="8" name="AutorInicjaly">
    <vt:lpwstr>US</vt:lpwstr>
  </property>
  <property fmtid="{D5CDD505-2E9C-101B-9397-08002B2CF9AE}" pid="9" name="AutorNrTelefonu">
    <vt:lpwstr>22 608 3294</vt:lpwstr>
  </property>
  <property fmtid="{D5CDD505-2E9C-101B-9397-08002B2CF9AE}" pid="10" name="Stanowisko">
    <vt:lpwstr>naczelnik wydziału</vt:lpwstr>
  </property>
  <property fmtid="{D5CDD505-2E9C-101B-9397-08002B2CF9AE}" pid="11" name="OpisPisma">
    <vt:lpwstr>informacja sygnalna Wydatki na ochronę zdrowia w latach 2020-2022</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2023-07-25</vt:lpwstr>
  </property>
  <property fmtid="{D5CDD505-2E9C-101B-9397-08002B2CF9AE}" pid="15" name="Wydzial">
    <vt:lpwstr>Wydział Statystyki Zdrowia</vt:lpwstr>
  </property>
  <property fmtid="{D5CDD505-2E9C-101B-9397-08002B2CF9AE}" pid="16" name="KodWydzialu">
    <vt:lpwstr>SP-02</vt:lpwstr>
  </property>
  <property fmtid="{D5CDD505-2E9C-101B-9397-08002B2CF9AE}" pid="17" name="ZaakceptowanePrzez">
    <vt:lpwstr>n/d</vt:lpwstr>
  </property>
  <property fmtid="{D5CDD505-2E9C-101B-9397-08002B2CF9AE}" pid="18" name="PrzekazanieDo">
    <vt:lpwstr>Wydział Statystyki Zdrowia(SP-02)</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