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444BF403" w:rsidR="00393761" w:rsidRPr="00B16183" w:rsidRDefault="00B92773" w:rsidP="00F049AB">
      <w:pPr>
        <w:pStyle w:val="Tytuinfomacjisygnalnej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13E4517">
                <wp:simplePos x="0" y="0"/>
                <wp:positionH relativeFrom="margin">
                  <wp:posOffset>-15240</wp:posOffset>
                </wp:positionH>
                <wp:positionV relativeFrom="paragraph">
                  <wp:posOffset>1038860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2,2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1DA5B24"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654C2A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AD13F43"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2,2% rok do roku przeciętnego zatrudnienia w sektorze przedsiębiorstw" style="position:absolute;margin-left:-1.2pt;margin-top:81.8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" fillcolor="#001d77" stroked="f">
                <v:stroke joinstyle="miter"/>
                <v:textbox>
                  <w:txbxContent>
                    <w:p w14:paraId="56D1096E" w14:textId="21DA5B24"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654C2A" w:rsidRPr="00B16183">
                        <w:rPr>
                          <w:rStyle w:val="WartowskanikaZnak"/>
                          <w:sz w:val="72"/>
                          <w:szCs w:val="72"/>
                        </w:rPr>
                        <w:t>2,2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AD13F43"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196BB9" w:rsidRPr="00B16183">
        <w:t xml:space="preserve"> i wynagrodzenie w sektorze przedsiębiorstw w </w:t>
      </w:r>
      <w:r w:rsidRPr="00B16183">
        <w:t>grudniu</w:t>
      </w:r>
      <w:r w:rsidR="00196BB9" w:rsidRPr="00B16183">
        <w:t xml:space="preserve"> 2022 r.</w:t>
      </w:r>
      <w:r w:rsidR="00364AF9" w:rsidRPr="00B16183">
        <w:rPr>
          <w:sz w:val="32"/>
        </w:rPr>
        <w:tab/>
      </w:r>
    </w:p>
    <w:p w14:paraId="666C5FAC" w14:textId="03DDC1AE" w:rsidR="006D7409" w:rsidRPr="00B16183" w:rsidRDefault="00196BB9" w:rsidP="006D7409">
      <w:pPr>
        <w:pStyle w:val="Lead"/>
        <w:rPr>
          <w:noProof w:val="0"/>
        </w:rPr>
      </w:pPr>
      <w:r w:rsidRPr="00B16183">
        <w:rPr>
          <w:noProof w:val="0"/>
        </w:rPr>
        <w:t xml:space="preserve">W </w:t>
      </w:r>
      <w:r w:rsidR="00654C2A" w:rsidRPr="00B16183">
        <w:rPr>
          <w:noProof w:val="0"/>
        </w:rPr>
        <w:t>grudniu</w:t>
      </w:r>
      <w:r w:rsidRPr="00B16183">
        <w:rPr>
          <w:noProof w:val="0"/>
        </w:rPr>
        <w:t xml:space="preserve"> 2022 r. przeciętne zatrudnienie w</w:t>
      </w:r>
      <w:r w:rsidR="00BC75AE" w:rsidRPr="00B16183">
        <w:rPr>
          <w:noProof w:val="0"/>
        </w:rPr>
        <w:t> </w:t>
      </w:r>
      <w:r w:rsidRPr="00B16183">
        <w:rPr>
          <w:noProof w:val="0"/>
        </w:rPr>
        <w:t>sektorze przedsiębiorstw w porównaniu z</w:t>
      </w:r>
      <w:r w:rsidR="00BC75AE" w:rsidRPr="00B16183">
        <w:rPr>
          <w:noProof w:val="0"/>
        </w:rPr>
        <w:t> </w:t>
      </w:r>
      <w:r w:rsidR="00654C2A" w:rsidRPr="00B16183">
        <w:rPr>
          <w:noProof w:val="0"/>
        </w:rPr>
        <w:t>grudnie</w:t>
      </w:r>
      <w:r w:rsidRPr="00B16183">
        <w:rPr>
          <w:noProof w:val="0"/>
        </w:rPr>
        <w:t>m 2021 r. było wyższe o 2,</w:t>
      </w:r>
      <w:r w:rsidR="00654C2A" w:rsidRPr="00B16183">
        <w:rPr>
          <w:noProof w:val="0"/>
        </w:rPr>
        <w:t>2</w:t>
      </w:r>
      <w:r w:rsidRPr="00B16183">
        <w:rPr>
          <w:noProof w:val="0"/>
        </w:rPr>
        <w:t>% i wyniosło 650</w:t>
      </w:r>
      <w:r w:rsidR="00654C2A" w:rsidRPr="00B16183">
        <w:rPr>
          <w:noProof w:val="0"/>
        </w:rPr>
        <w:t>4</w:t>
      </w:r>
      <w:r w:rsidRPr="00B16183">
        <w:rPr>
          <w:noProof w:val="0"/>
        </w:rPr>
        <w:t>,</w:t>
      </w:r>
      <w:r w:rsidR="00654C2A" w:rsidRPr="00B16183">
        <w:rPr>
          <w:noProof w:val="0"/>
        </w:rPr>
        <w:t>7</w:t>
      </w:r>
      <w:r w:rsidRPr="00B16183">
        <w:rPr>
          <w:noProof w:val="0"/>
        </w:rPr>
        <w:t xml:space="preserve"> tys. </w:t>
      </w:r>
      <w:r w:rsidR="00654C2A" w:rsidRPr="00B16183">
        <w:rPr>
          <w:noProof w:val="0"/>
        </w:rPr>
        <w:t>e</w:t>
      </w:r>
      <w:r w:rsidRPr="00B16183">
        <w:rPr>
          <w:noProof w:val="0"/>
        </w:rPr>
        <w:t xml:space="preserve">tatów. W stosunku do poprzedniego miesiąca przeciętne zatrudnienie </w:t>
      </w:r>
      <w:r w:rsidR="00376D3E" w:rsidRPr="00B16183">
        <w:rPr>
          <w:noProof w:val="0"/>
        </w:rPr>
        <w:t>pozostało na podobnym poziomie</w:t>
      </w:r>
      <w:r w:rsidRPr="00B16183">
        <w:rPr>
          <w:noProof w:val="0"/>
        </w:rPr>
        <w:t xml:space="preserve"> (</w:t>
      </w:r>
      <w:r w:rsidR="00376D3E" w:rsidRPr="00B16183">
        <w:rPr>
          <w:noProof w:val="0"/>
        </w:rPr>
        <w:t>dynamika</w:t>
      </w:r>
      <w:r w:rsidRPr="00B16183">
        <w:rPr>
          <w:noProof w:val="0"/>
        </w:rPr>
        <w:t xml:space="preserve"> </w:t>
      </w:r>
      <w:r w:rsidR="00376D3E" w:rsidRPr="00B16183">
        <w:rPr>
          <w:noProof w:val="0"/>
        </w:rPr>
        <w:t>10</w:t>
      </w:r>
      <w:r w:rsidRPr="00B16183">
        <w:rPr>
          <w:noProof w:val="0"/>
        </w:rPr>
        <w:t>0,</w:t>
      </w:r>
      <w:r w:rsidR="00654C2A" w:rsidRPr="00B16183">
        <w:rPr>
          <w:noProof w:val="0"/>
        </w:rPr>
        <w:t>0</w:t>
      </w:r>
      <w:r w:rsidRPr="00B16183">
        <w:rPr>
          <w:noProof w:val="0"/>
        </w:rPr>
        <w:t>%)</w:t>
      </w:r>
      <w:r w:rsidR="006D7409" w:rsidRPr="00B16183">
        <w:rPr>
          <w:noProof w:val="0"/>
        </w:rPr>
        <w:t>.</w:t>
      </w:r>
    </w:p>
    <w:p w14:paraId="0A78DEC2" w14:textId="3557EEA8" w:rsidR="00BB422A" w:rsidRPr="00B16183" w:rsidRDefault="00BB422A" w:rsidP="006D7409">
      <w:pPr>
        <w:pStyle w:val="Lead"/>
        <w:rPr>
          <w:noProof w:val="0"/>
        </w:rPr>
      </w:pPr>
    </w:p>
    <w:p w14:paraId="16F4A488" w14:textId="5852AE2E" w:rsidR="00BB422A" w:rsidRPr="00B16183" w:rsidRDefault="00BB422A" w:rsidP="006D7409">
      <w:pPr>
        <w:pStyle w:val="Lead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1F71A1B1">
                <wp:simplePos x="0" y="0"/>
                <wp:positionH relativeFrom="margin">
                  <wp:posOffset>-30480</wp:posOffset>
                </wp:positionH>
                <wp:positionV relativeFrom="paragraph">
                  <wp:posOffset>86360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0,3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7D73" w14:textId="3670B090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654C2A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54C2A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48A61B" w14:textId="5B3641B0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0,3% rok do roku przeciętnego miesięcznego wynagrodzenia brutto w sektorze przedsiębiorstw" style="position:absolute;margin-left:-2.4pt;margin-top:6.8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" fillcolor="#001d77" stroked="f">
                <v:stroke joinstyle="miter"/>
                <v:textbox>
                  <w:txbxContent>
                    <w:p w14:paraId="783B7D73" w14:textId="3670B090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654C2A" w:rsidRPr="00B16183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54C2A" w:rsidRPr="00B16183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D48A61B" w14:textId="5B3641B0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6183">
        <w:rPr>
          <w:noProof w:val="0"/>
        </w:rPr>
        <w:t>Przeciętne miesięczne wynagrodzeni</w:t>
      </w:r>
      <w:r w:rsidR="00654C2A" w:rsidRPr="00B16183">
        <w:rPr>
          <w:noProof w:val="0"/>
        </w:rPr>
        <w:t>e w sektorze przedsiębiorstw w grudniu</w:t>
      </w:r>
      <w:r w:rsidRPr="00B16183">
        <w:rPr>
          <w:noProof w:val="0"/>
        </w:rPr>
        <w:t xml:space="preserve"> 2022 r. w porównaniu z</w:t>
      </w:r>
      <w:r w:rsidR="00BC75AE" w:rsidRPr="00B16183">
        <w:rPr>
          <w:noProof w:val="0"/>
        </w:rPr>
        <w:t> </w:t>
      </w:r>
      <w:r w:rsidR="00654C2A" w:rsidRPr="00B16183">
        <w:rPr>
          <w:noProof w:val="0"/>
        </w:rPr>
        <w:t>grudni</w:t>
      </w:r>
      <w:r w:rsidRPr="00B16183">
        <w:rPr>
          <w:noProof w:val="0"/>
        </w:rPr>
        <w:t>em 2021 r. było wyższe o 1</w:t>
      </w:r>
      <w:r w:rsidR="00654C2A" w:rsidRPr="00B16183">
        <w:rPr>
          <w:noProof w:val="0"/>
        </w:rPr>
        <w:t>0</w:t>
      </w:r>
      <w:r w:rsidRPr="00B16183">
        <w:rPr>
          <w:noProof w:val="0"/>
        </w:rPr>
        <w:t>,</w:t>
      </w:r>
      <w:r w:rsidR="00654C2A" w:rsidRPr="00B16183">
        <w:rPr>
          <w:noProof w:val="0"/>
        </w:rPr>
        <w:t>3</w:t>
      </w:r>
      <w:r w:rsidRPr="00B16183">
        <w:rPr>
          <w:noProof w:val="0"/>
        </w:rPr>
        <w:t xml:space="preserve">% i wyniosło </w:t>
      </w:r>
      <w:r w:rsidR="00654C2A" w:rsidRPr="00B16183">
        <w:rPr>
          <w:noProof w:val="0"/>
        </w:rPr>
        <w:t>7329,96 zł (brutto). Względem listopada</w:t>
      </w:r>
      <w:r w:rsidRPr="00B16183">
        <w:rPr>
          <w:noProof w:val="0"/>
        </w:rPr>
        <w:t xml:space="preserve"> 2022 r. przeciętne miesięczne wynagrodzenie brutto zwiększyło się o </w:t>
      </w:r>
      <w:r w:rsidR="00654C2A" w:rsidRPr="00B16183">
        <w:rPr>
          <w:noProof w:val="0"/>
        </w:rPr>
        <w:t>6</w:t>
      </w:r>
      <w:r w:rsidRPr="00B16183">
        <w:rPr>
          <w:noProof w:val="0"/>
        </w:rPr>
        <w:t>,</w:t>
      </w:r>
      <w:r w:rsidR="00654C2A" w:rsidRPr="00B16183">
        <w:rPr>
          <w:noProof w:val="0"/>
        </w:rPr>
        <w:t>9</w:t>
      </w:r>
      <w:r w:rsidRPr="00B16183">
        <w:rPr>
          <w:noProof w:val="0"/>
        </w:rPr>
        <w:t>%.</w:t>
      </w:r>
    </w:p>
    <w:p w14:paraId="3DB10F9F" w14:textId="27D1FDEA" w:rsidR="00E95B8E" w:rsidRPr="00B16183" w:rsidRDefault="00DA0DA6" w:rsidP="00FB7150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6A364F4">
                <wp:simplePos x="0" y="0"/>
                <wp:positionH relativeFrom="column">
                  <wp:posOffset>5282565</wp:posOffset>
                </wp:positionH>
                <wp:positionV relativeFrom="paragraph">
                  <wp:posOffset>501650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BD6416" w:rsidR="003D3A1C" w:rsidRPr="00B16183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B16183">
                              <w:rPr>
                                <w:b/>
                              </w:rPr>
                              <w:t>Sektor przedsiębiorstw</w:t>
                            </w:r>
                            <w:r w:rsidRPr="00B16183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5.95pt;margin-top:39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AEQb3s3wAAAAsBAAAPAAAAAAAAAAAAAAAAAOEEAABkcnMvZG93bnJldi54bWxQSwUGAAAA&#10;AAQABADzAAAA7QUAAAAA&#10;" filled="f" stroked="f">
                <v:textbox>
                  <w:txbxContent>
                    <w:p w14:paraId="66113316" w14:textId="1CBD6416" w:rsidR="003D3A1C" w:rsidRPr="00B16183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B16183">
                        <w:rPr>
                          <w:b/>
                        </w:rPr>
                        <w:t>Sektor przedsiębiorstw</w:t>
                      </w:r>
                      <w:r w:rsidRPr="00B16183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2773" w:rsidRPr="00B16183">
        <w:rPr>
          <w:rFonts w:ascii="Fira Sans" w:hAnsi="Fira Sans"/>
          <w:b/>
          <w:szCs w:val="19"/>
        </w:rPr>
        <w:br/>
      </w:r>
      <w:r w:rsidR="00B92773" w:rsidRPr="00B16183">
        <w:rPr>
          <w:rFonts w:ascii="Fira Sans" w:hAnsi="Fira Sans"/>
          <w:b/>
          <w:szCs w:val="19"/>
        </w:rPr>
        <w:br/>
      </w:r>
      <w:r w:rsidR="00196BB9" w:rsidRPr="00B16183">
        <w:rPr>
          <w:rFonts w:ascii="Fira Sans" w:hAnsi="Fira Sans"/>
          <w:b/>
          <w:szCs w:val="19"/>
        </w:rPr>
        <w:t>Rynek pracy w sektorze przedsiębiorstw</w:t>
      </w:r>
    </w:p>
    <w:p w14:paraId="6189446F" w14:textId="17C1C4C2" w:rsidR="00DE6B58" w:rsidRPr="00B16183" w:rsidRDefault="00196BB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odnoszące się do sektora przedsiębiorstw dotyczą podmiotów, w których prowadzona jest działalność gospodarcza zaklasyfikowana do </w:t>
      </w:r>
      <w:r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 i więcej osób</w:t>
      </w:r>
      <w:r w:rsidRPr="00B16183">
        <w:rPr>
          <w:rFonts w:eastAsia="Times New Roman" w:cs="Times New Roman"/>
          <w:szCs w:val="19"/>
          <w:lang w:eastAsia="pl-PL"/>
        </w:rPr>
        <w:t>. W 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 m.</w:t>
      </w:r>
      <w:r w:rsidRPr="00B16183">
        <w:rPr>
          <w:rFonts w:eastAsia="Times New Roman" w:cs="Times New Roman"/>
          <w:szCs w:val="19"/>
          <w:lang w:eastAsia="pl-PL"/>
        </w:rPr>
        <w:t>in. administracji publicznej, edukacji, opieki zdrowotnej i pomocy społecznej</w:t>
      </w:r>
      <w:r w:rsidR="00D972F6" w:rsidRPr="00B16183">
        <w:rPr>
          <w:rFonts w:eastAsia="Times New Roman" w:cs="Times New Roman"/>
          <w:szCs w:val="19"/>
          <w:lang w:eastAsia="pl-PL"/>
        </w:rPr>
        <w:t xml:space="preserve">. </w:t>
      </w:r>
    </w:p>
    <w:tbl>
      <w:tblPr>
        <w:tblpPr w:leftFromText="141" w:rightFromText="141" w:vertAnchor="text" w:horzAnchor="margin" w:tblpY="717"/>
        <w:tblW w:w="808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993"/>
        <w:gridCol w:w="1417"/>
        <w:gridCol w:w="1134"/>
      </w:tblGrid>
      <w:tr w:rsidR="00B92773" w:rsidRPr="00B16183" w14:paraId="75EC3636" w14:textId="77777777" w:rsidTr="00B92773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693A62AC" w14:textId="77777777" w:rsidR="00B92773" w:rsidRPr="00B16183" w:rsidRDefault="00B92773" w:rsidP="00B9277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E8590A" w14:textId="1CBD99A7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FACDECE" w14:textId="45881558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01-1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2022</w:t>
            </w:r>
          </w:p>
        </w:tc>
      </w:tr>
      <w:tr w:rsidR="00B92773" w:rsidRPr="00B16183" w14:paraId="334B462F" w14:textId="77777777" w:rsidTr="00B92773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E8AA5C" w14:textId="77777777" w:rsidR="00B92773" w:rsidRPr="00B16183" w:rsidRDefault="00B92773" w:rsidP="00B9277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DC3EE6" w14:textId="77777777" w:rsidR="00B92773" w:rsidRPr="00B16183" w:rsidRDefault="00B92773" w:rsidP="00B9277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65CF3A" w14:textId="00A67FE5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2022=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CBD476" w14:textId="09E3894D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7A29E64" w14:textId="77777777" w:rsidR="00B92773" w:rsidRPr="00B16183" w:rsidRDefault="00B92773" w:rsidP="00B9277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74A32EE7" w14:textId="26FEC966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01-1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B92773" w:rsidRPr="00B16183" w14:paraId="4D0669C7" w14:textId="77777777" w:rsidTr="00B92773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D05310" w14:textId="77777777" w:rsidR="00B92773" w:rsidRPr="00B16183" w:rsidRDefault="00B92773" w:rsidP="00B92773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 w tys.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0F6C6B" w14:textId="1F2A8D72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650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BF3C63" w14:textId="763DD8FB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7C4AA6" w14:textId="2449A5F1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448B45A" w14:textId="72FA3C2B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509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43B966C" w14:textId="1A8B9310" w:rsidR="00B92773" w:rsidRPr="00B16183" w:rsidRDefault="00B92773" w:rsidP="00654C2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654C2A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B92773" w:rsidRPr="00B16183" w14:paraId="1EB70209" w14:textId="77777777" w:rsidTr="00B92773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14C825" w14:textId="77777777" w:rsidR="00B92773" w:rsidRPr="00B16183" w:rsidRDefault="00B92773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4EE68B" w14:textId="2A5DFFE2" w:rsidR="00B92773" w:rsidRPr="00B16183" w:rsidRDefault="00B00CF4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7329</w:t>
            </w:r>
            <w:r w:rsidR="00B9277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,96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EF37B1" w14:textId="7BC93845" w:rsidR="00B92773" w:rsidRPr="00B16183" w:rsidRDefault="00B92773" w:rsidP="00B00CF4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B00CF4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B00CF4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3848EF" w14:textId="4FE8EB97" w:rsidR="00B92773" w:rsidRPr="00B16183" w:rsidRDefault="00B92773" w:rsidP="00B00CF4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B00CF4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B00CF4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52C52E" w14:textId="0CBB76E0" w:rsidR="00B92773" w:rsidRPr="00B16183" w:rsidRDefault="00B92773" w:rsidP="00B00CF4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B00CF4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B00CF4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3632CB5" w14:textId="445B09C4" w:rsidR="00B92773" w:rsidRPr="00B16183" w:rsidRDefault="00B92773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B00CF4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13,0</w:t>
            </w:r>
          </w:p>
        </w:tc>
      </w:tr>
      <w:tr w:rsidR="00B92773" w:rsidRPr="00B16183" w14:paraId="2B87337B" w14:textId="77777777" w:rsidTr="00B92773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D5C46C" w14:textId="77777777" w:rsidR="00B92773" w:rsidRPr="00B16183" w:rsidRDefault="00B92773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DD4311" w14:textId="5117BDB9" w:rsidR="00B92773" w:rsidRPr="00B16183" w:rsidRDefault="00E961D8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7329,88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62C94E" w14:textId="503191AD" w:rsidR="00B92773" w:rsidRPr="00B16183" w:rsidRDefault="00E961D8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D17EEA" w14:textId="28F34A33" w:rsidR="00B92773" w:rsidRPr="00B16183" w:rsidRDefault="00E961D8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0EFEBF16" w14:textId="39EED2C6" w:rsidR="00B92773" w:rsidRPr="00B16183" w:rsidRDefault="00E961D8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6652,73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5DF56DEE" w14:textId="2C0A1589" w:rsidR="00B92773" w:rsidRPr="00B16183" w:rsidRDefault="00E961D8" w:rsidP="00B9277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113,0</w:t>
            </w:r>
          </w:p>
        </w:tc>
      </w:tr>
    </w:tbl>
    <w:p w14:paraId="7CD434A6" w14:textId="7882B0E2" w:rsidR="00B92773" w:rsidRPr="00B16183" w:rsidRDefault="00B92773" w:rsidP="005B1B2C">
      <w:pPr>
        <w:pStyle w:val="Tytutablicy"/>
        <w:suppressAutoHyphens/>
        <w:spacing w:before="240"/>
      </w:pPr>
      <w:r w:rsidRPr="00B16183">
        <w:t>Tablica 1. Przeciętne zatrudnienie i przeciętne miesięczne wynagrodzenia w sektorze przedsiębiorstw</w:t>
      </w:r>
    </w:p>
    <w:p w14:paraId="040434D8" w14:textId="306C0229" w:rsidR="00B92773" w:rsidRPr="00B16183" w:rsidRDefault="00B92773" w:rsidP="00B92773">
      <w:pPr>
        <w:pStyle w:val="Tablicanotka"/>
        <w:rPr>
          <w:noProof w:val="0"/>
        </w:rPr>
      </w:pPr>
      <w:r w:rsidRPr="00B16183">
        <w:rPr>
          <w:noProof w:val="0"/>
        </w:rPr>
        <w:t xml:space="preserve"> </w:t>
      </w:r>
      <w:r w:rsidRPr="00B16183">
        <w:rPr>
          <w:noProof w:val="0"/>
        </w:rPr>
        <w:br w:type="page"/>
      </w:r>
    </w:p>
    <w:p w14:paraId="512A5A5F" w14:textId="0E88C91C" w:rsidR="00D972F6" w:rsidRPr="00B16183" w:rsidRDefault="00B73B99" w:rsidP="00D972F6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lastRenderedPageBreak/>
        <w:t xml:space="preserve">W </w:t>
      </w:r>
      <w:r w:rsidR="0029730C" w:rsidRPr="00B16183">
        <w:rPr>
          <w:shd w:val="clear" w:color="auto" w:fill="FFFFFF"/>
        </w:rPr>
        <w:t>grudniu</w:t>
      </w:r>
      <w:r w:rsidRPr="00B16183">
        <w:rPr>
          <w:shd w:val="clear" w:color="auto" w:fill="FFFFFF"/>
        </w:rPr>
        <w:t xml:space="preserve"> 2022 r. </w:t>
      </w:r>
      <w:r w:rsidRPr="00B16183">
        <w:rPr>
          <w:b/>
          <w:shd w:val="clear" w:color="auto" w:fill="FFFFFF"/>
        </w:rPr>
        <w:t>przeciętne zatrudnienie w sektorze przedsiębiorstw</w:t>
      </w:r>
      <w:r w:rsidRPr="00B16183">
        <w:rPr>
          <w:shd w:val="clear" w:color="auto" w:fill="FFFFFF"/>
        </w:rPr>
        <w:t xml:space="preserve"> </w:t>
      </w:r>
      <w:r w:rsidR="00376D3E" w:rsidRPr="00B16183">
        <w:rPr>
          <w:shd w:val="clear" w:color="auto" w:fill="FFFFFF"/>
        </w:rPr>
        <w:t>pozostało na poziom</w:t>
      </w:r>
      <w:r w:rsidR="00211BA9" w:rsidRPr="00B16183">
        <w:rPr>
          <w:shd w:val="clear" w:color="auto" w:fill="FFFFFF"/>
        </w:rPr>
        <w:t>i</w:t>
      </w:r>
      <w:r w:rsidR="00376D3E" w:rsidRPr="00B16183">
        <w:rPr>
          <w:shd w:val="clear" w:color="auto" w:fill="FFFFFF"/>
        </w:rPr>
        <w:t>e zbliżonym</w:t>
      </w:r>
      <w:r w:rsidRPr="00B16183">
        <w:rPr>
          <w:shd w:val="clear" w:color="auto" w:fill="FFFFFF"/>
        </w:rPr>
        <w:t xml:space="preserve"> </w:t>
      </w:r>
      <w:r w:rsidR="00376D3E" w:rsidRPr="00B16183">
        <w:rPr>
          <w:shd w:val="clear" w:color="auto" w:fill="FFFFFF"/>
        </w:rPr>
        <w:t>do odnotowanego w listopadzie 202</w:t>
      </w:r>
      <w:r w:rsidR="00021B99">
        <w:rPr>
          <w:shd w:val="clear" w:color="auto" w:fill="FFFFFF"/>
        </w:rPr>
        <w:t>2</w:t>
      </w:r>
      <w:r w:rsidR="00376D3E" w:rsidRPr="00B16183">
        <w:rPr>
          <w:shd w:val="clear" w:color="auto" w:fill="FFFFFF"/>
        </w:rPr>
        <w:t xml:space="preserve"> r., podczas gdy w listopadzie 2022 r. względem października 2022 r. zaobserwowano jego minimalny wzrost o 0,1%.</w:t>
      </w:r>
    </w:p>
    <w:p w14:paraId="3DA9CE31" w14:textId="16735BB9" w:rsidR="00A3623D" w:rsidRPr="00B16183" w:rsidRDefault="0029730C" w:rsidP="00A3623D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t>Porównując grudzień</w:t>
      </w:r>
      <w:r w:rsidR="00B73B99" w:rsidRPr="00B16183">
        <w:rPr>
          <w:shd w:val="clear" w:color="auto" w:fill="FFFFFF"/>
        </w:rPr>
        <w:t xml:space="preserve"> 2022 r. do </w:t>
      </w:r>
      <w:r w:rsidRPr="00B16183">
        <w:rPr>
          <w:shd w:val="clear" w:color="auto" w:fill="FFFFFF"/>
        </w:rPr>
        <w:t>grudni</w:t>
      </w:r>
      <w:r w:rsidR="00B73B99" w:rsidRPr="00B16183">
        <w:rPr>
          <w:shd w:val="clear" w:color="auto" w:fill="FFFFFF"/>
        </w:rPr>
        <w:t>a 2021 r., przeciętne zatrudnienie w sektorze prze</w:t>
      </w:r>
      <w:r w:rsidRPr="00B16183">
        <w:rPr>
          <w:shd w:val="clear" w:color="auto" w:fill="FFFFFF"/>
        </w:rPr>
        <w:t>dsiębiorstw zwiększyło się o 2,2</w:t>
      </w:r>
      <w:r w:rsidR="00B73B99" w:rsidRPr="00B16183">
        <w:rPr>
          <w:shd w:val="clear" w:color="auto" w:fill="FFFFFF"/>
        </w:rPr>
        <w:t xml:space="preserve">%, podczas gdy w </w:t>
      </w:r>
      <w:r w:rsidR="006D6F5D" w:rsidRPr="00B16183">
        <w:rPr>
          <w:shd w:val="clear" w:color="auto" w:fill="FFFFFF"/>
        </w:rPr>
        <w:t>grudniu</w:t>
      </w:r>
      <w:r w:rsidR="00B73B99" w:rsidRPr="00B16183">
        <w:rPr>
          <w:shd w:val="clear" w:color="auto" w:fill="FFFFFF"/>
        </w:rPr>
        <w:t xml:space="preserve"> 2021 r. odnotowany w skali roku</w:t>
      </w:r>
      <w:r w:rsidR="006D6F5D" w:rsidRPr="00B16183">
        <w:rPr>
          <w:shd w:val="clear" w:color="auto" w:fill="FFFFFF"/>
        </w:rPr>
        <w:t xml:space="preserve"> wzrost był niższy i </w:t>
      </w:r>
      <w:r w:rsidR="005B1B2C">
        <w:rPr>
          <w:shd w:val="clear" w:color="auto" w:fill="FFFFFF"/>
        </w:rPr>
        <w:t>wynosił</w:t>
      </w:r>
      <w:r w:rsidR="006D6F5D" w:rsidRPr="00B16183">
        <w:rPr>
          <w:shd w:val="clear" w:color="auto" w:fill="FFFFFF"/>
        </w:rPr>
        <w:t xml:space="preserve"> 0,5</w:t>
      </w:r>
      <w:r w:rsidR="00B73B99" w:rsidRPr="00B16183">
        <w:rPr>
          <w:shd w:val="clear" w:color="auto" w:fill="FFFFFF"/>
        </w:rPr>
        <w:t>%.</w:t>
      </w:r>
    </w:p>
    <w:p w14:paraId="0DBD2B54" w14:textId="79FB7BC4" w:rsidR="00A3623D" w:rsidRPr="00B16183" w:rsidRDefault="00B16871" w:rsidP="00A3623D">
      <w:pPr>
        <w:pStyle w:val="Tytuwykresu0"/>
        <w:rPr>
          <w:rFonts w:ascii="Fira Sans" w:hAnsi="Fira Sans"/>
          <w:b w:val="0"/>
          <w:noProof w:val="0"/>
          <w:szCs w:val="19"/>
        </w:rPr>
      </w:pPr>
      <w:r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 w sektorze przedsiębiorstw</w:t>
      </w:r>
    </w:p>
    <w:p w14:paraId="5618D51A" w14:textId="09289421" w:rsidR="007B5F4A" w:rsidRPr="00B16183" w:rsidRDefault="00506079" w:rsidP="00A3623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70880" behindDoc="0" locked="1" layoutInCell="1" allowOverlap="1" wp14:anchorId="5D16F734" wp14:editId="36896932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230495" cy="3228975"/>
            <wp:effectExtent l="0" t="0" r="8255" b="9525"/>
            <wp:wrapTopAndBottom/>
            <wp:docPr id="29" name="Obraz 29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3F1A6" w14:textId="582D738F" w:rsidR="00A3623D" w:rsidRPr="00B16183" w:rsidRDefault="00A3623D" w:rsidP="00A3623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W związku z zaistniałą sytuacją epidemiczną i jej wpływem na rynek pracy, w 2020 roku obserwowano znaczące spadki w przeciętnym zatrudnieniu w sektorze </w:t>
      </w:r>
      <w:r w:rsidR="007441AA" w:rsidRPr="00B16183">
        <w:rPr>
          <w:rFonts w:eastAsia="Times New Roman" w:cs="Times New Roman"/>
          <w:szCs w:val="19"/>
          <w:lang w:eastAsia="pl-PL"/>
        </w:rPr>
        <w:t>przedsiębiorstw</w:t>
      </w:r>
      <w:r w:rsidRPr="00B16183">
        <w:rPr>
          <w:rFonts w:eastAsia="Times New Roman" w:cs="Times New Roman"/>
          <w:szCs w:val="19"/>
          <w:lang w:eastAsia="pl-PL"/>
        </w:rPr>
        <w:t>. W</w:t>
      </w:r>
      <w:r w:rsidR="0005290B" w:rsidRPr="00B16183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>kolejnym roku przeciętne zatrudnienie ulegało niewielkim wahaniom, jednakże dopiero w</w:t>
      </w:r>
      <w:r w:rsidR="0005290B" w:rsidRPr="00B16183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 xml:space="preserve">2022 roku powróciło do wartości odnotowywanych na początku 2020 r. </w:t>
      </w:r>
      <w:r w:rsidR="000A09AB" w:rsidRPr="00B16183">
        <w:rPr>
          <w:rFonts w:eastAsia="Times New Roman" w:cs="Times New Roman"/>
          <w:szCs w:val="19"/>
          <w:lang w:eastAsia="pl-PL"/>
        </w:rPr>
        <w:t>W grudniu 2022 r. w</w:t>
      </w:r>
      <w:r w:rsidR="0005290B" w:rsidRPr="00B16183">
        <w:rPr>
          <w:rFonts w:eastAsia="Times New Roman" w:cs="Times New Roman"/>
          <w:szCs w:val="19"/>
          <w:lang w:eastAsia="pl-PL"/>
        </w:rPr>
        <w:t> </w:t>
      </w:r>
      <w:r w:rsidR="000A09AB" w:rsidRPr="00B16183">
        <w:rPr>
          <w:rFonts w:eastAsia="Times New Roman" w:cs="Times New Roman"/>
          <w:szCs w:val="19"/>
          <w:lang w:eastAsia="pl-PL"/>
        </w:rPr>
        <w:t>stosunku do poprzedniego miesiąca przeciętne zatrudni</w:t>
      </w:r>
      <w:r w:rsidR="0005290B" w:rsidRPr="00B16183">
        <w:rPr>
          <w:rFonts w:eastAsia="Times New Roman" w:cs="Times New Roman"/>
          <w:szCs w:val="19"/>
          <w:lang w:eastAsia="pl-PL"/>
        </w:rPr>
        <w:t xml:space="preserve">enie pozostało na zbliżonym </w:t>
      </w:r>
      <w:r w:rsidR="007441AA" w:rsidRPr="00B16183">
        <w:rPr>
          <w:rFonts w:eastAsia="Times New Roman" w:cs="Times New Roman"/>
          <w:szCs w:val="19"/>
          <w:lang w:eastAsia="pl-PL"/>
        </w:rPr>
        <w:t>poziomie</w:t>
      </w:r>
      <w:r w:rsidR="000A09AB" w:rsidRPr="00B16183">
        <w:rPr>
          <w:rFonts w:eastAsia="Times New Roman" w:cs="Times New Roman"/>
          <w:szCs w:val="19"/>
          <w:lang w:eastAsia="pl-PL"/>
        </w:rPr>
        <w:t>, tj. nieznacznie zmniejszyło się o ok. 2,8 tys. etatów.</w:t>
      </w:r>
    </w:p>
    <w:p w14:paraId="613AD77E" w14:textId="64C66E1B" w:rsidR="000A09AB" w:rsidRPr="00B16183" w:rsidRDefault="00096CA1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152A1F4">
                <wp:simplePos x="0" y="0"/>
                <wp:positionH relativeFrom="column">
                  <wp:posOffset>5330190</wp:posOffset>
                </wp:positionH>
                <wp:positionV relativeFrom="paragraph">
                  <wp:posOffset>618490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a brutto w sektorze przedsiębiorstw obejmują wynagrodzenie zasadnicze oraz dodatkowe składowe wynagrodzeń, m.in. premie, nagrody, wynagrodzenie za płacę w godzinach nadliczbowych oraz odprawy emerytal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8D3" w14:textId="77777777"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      </w:r>
                          </w:p>
                          <w:p w14:paraId="29D2175E" w14:textId="25DA78E1"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a brutto w sektorze przedsiębiorstw obejmują wynagrodzenie zasadnicze oraz dodatkowe składowe wynagrodzeń, m.in. premie, nagrody, wynagrodzenie za płacę w godzinach nadliczbowych oraz odprawy emerytalne " style="position:absolute;margin-left:419.7pt;margin-top:48.7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" filled="f" stroked="f">
                <v:textbox>
                  <w:txbxContent>
                    <w:p w14:paraId="60F698D3" w14:textId="77777777"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</w:r>
                    </w:p>
                    <w:p w14:paraId="29D2175E" w14:textId="25DA78E1"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09AB" w:rsidRPr="00B16183">
        <w:rPr>
          <w:rFonts w:eastAsia="Times New Roman" w:cs="Times New Roman"/>
          <w:szCs w:val="19"/>
          <w:lang w:eastAsia="pl-PL"/>
        </w:rPr>
        <w:t xml:space="preserve">W okresie narastającym całego roku 2022 w porównaniu z rokiem 2021 </w:t>
      </w:r>
      <w:r w:rsidR="00894C0B" w:rsidRPr="00B16183">
        <w:rPr>
          <w:rFonts w:eastAsia="Times New Roman" w:cs="Times New Roman"/>
          <w:szCs w:val="19"/>
          <w:lang w:eastAsia="pl-PL"/>
        </w:rPr>
        <w:t xml:space="preserve">najwyższy wzrost przeciętnego zatrudnienia w sektorze przedsiębiorstw wystąpił w sekcji „Informacja i komunikacja (o 11,3%), natomiast </w:t>
      </w:r>
      <w:r w:rsidR="000A09AB" w:rsidRPr="00B16183">
        <w:rPr>
          <w:rFonts w:eastAsia="Times New Roman" w:cs="Times New Roman"/>
          <w:szCs w:val="19"/>
          <w:lang w:eastAsia="pl-PL"/>
        </w:rPr>
        <w:t>najgłębszy spadek zaobserwowano w sekcji „</w:t>
      </w:r>
      <w:r w:rsidR="00894C0B" w:rsidRPr="00B16183">
        <w:rPr>
          <w:rFonts w:eastAsia="Times New Roman" w:cs="Times New Roman"/>
          <w:szCs w:val="19"/>
          <w:lang w:eastAsia="pl-PL"/>
        </w:rPr>
        <w:t>Obsługa rynku nieruchomości</w:t>
      </w:r>
      <w:r w:rsidR="000A09AB" w:rsidRPr="00B16183">
        <w:rPr>
          <w:rFonts w:eastAsia="Times New Roman" w:cs="Times New Roman"/>
          <w:szCs w:val="19"/>
          <w:lang w:eastAsia="pl-PL"/>
        </w:rPr>
        <w:t>” (o 1,</w:t>
      </w:r>
      <w:r w:rsidR="00894C0B" w:rsidRPr="00B16183">
        <w:rPr>
          <w:rFonts w:eastAsia="Times New Roman" w:cs="Times New Roman"/>
          <w:szCs w:val="19"/>
          <w:lang w:eastAsia="pl-PL"/>
        </w:rPr>
        <w:t>2%)</w:t>
      </w:r>
      <w:r w:rsidR="00506079" w:rsidRPr="00B16183">
        <w:rPr>
          <w:rFonts w:eastAsia="Times New Roman" w:cs="Times New Roman"/>
          <w:szCs w:val="19"/>
          <w:lang w:eastAsia="pl-PL"/>
        </w:rPr>
        <w:t xml:space="preserve"> oraz „Górnictwo i wydobywanie” (o 1,1%)</w:t>
      </w:r>
      <w:r w:rsidR="000A09AB" w:rsidRPr="00B16183">
        <w:rPr>
          <w:rFonts w:eastAsia="Times New Roman" w:cs="Times New Roman"/>
          <w:szCs w:val="19"/>
          <w:lang w:eastAsia="pl-PL"/>
        </w:rPr>
        <w:t>.</w:t>
      </w:r>
    </w:p>
    <w:p w14:paraId="3CCA2B02" w14:textId="680A0DF5" w:rsidR="00A3623D" w:rsidRPr="00B16183" w:rsidRDefault="00A3623D" w:rsidP="00201A5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W </w:t>
      </w:r>
      <w:r w:rsidR="00D809DC" w:rsidRPr="00B16183">
        <w:rPr>
          <w:rFonts w:eastAsia="Times New Roman" w:cs="Times New Roman"/>
          <w:szCs w:val="19"/>
          <w:lang w:eastAsia="pl-PL"/>
        </w:rPr>
        <w:t>grudniu</w:t>
      </w:r>
      <w:r w:rsidRPr="00B16183">
        <w:rPr>
          <w:rFonts w:eastAsia="Times New Roman" w:cs="Times New Roman"/>
          <w:szCs w:val="19"/>
          <w:lang w:eastAsia="pl-PL"/>
        </w:rPr>
        <w:t xml:space="preserve"> 2022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 w 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zwiększyło się w stosunku do </w:t>
      </w:r>
      <w:r w:rsidR="00D809DC" w:rsidRPr="00B16183">
        <w:rPr>
          <w:rFonts w:eastAsia="Times New Roman" w:cs="Times New Roman"/>
          <w:szCs w:val="19"/>
          <w:lang w:eastAsia="pl-PL"/>
        </w:rPr>
        <w:t>listopada</w:t>
      </w:r>
      <w:r w:rsidRPr="00B16183">
        <w:rPr>
          <w:rFonts w:eastAsia="Times New Roman" w:cs="Times New Roman"/>
          <w:szCs w:val="19"/>
          <w:lang w:eastAsia="pl-PL"/>
        </w:rPr>
        <w:t xml:space="preserve"> 2022 r. o </w:t>
      </w:r>
      <w:r w:rsidR="00D809DC" w:rsidRPr="00B16183">
        <w:rPr>
          <w:rFonts w:eastAsia="Times New Roman" w:cs="Times New Roman"/>
          <w:szCs w:val="19"/>
          <w:lang w:eastAsia="pl-PL"/>
        </w:rPr>
        <w:t>6</w:t>
      </w:r>
      <w:r w:rsidRPr="00B16183">
        <w:rPr>
          <w:rFonts w:eastAsia="Times New Roman" w:cs="Times New Roman"/>
          <w:szCs w:val="19"/>
          <w:lang w:eastAsia="pl-PL"/>
        </w:rPr>
        <w:t>,</w:t>
      </w:r>
      <w:r w:rsidR="00D809DC" w:rsidRPr="00B16183">
        <w:rPr>
          <w:rFonts w:eastAsia="Times New Roman" w:cs="Times New Roman"/>
          <w:szCs w:val="19"/>
          <w:lang w:eastAsia="pl-PL"/>
        </w:rPr>
        <w:t>9</w:t>
      </w:r>
      <w:r w:rsidRPr="00B16183">
        <w:rPr>
          <w:rFonts w:eastAsia="Times New Roman" w:cs="Times New Roman"/>
          <w:szCs w:val="19"/>
          <w:lang w:eastAsia="pl-PL"/>
        </w:rPr>
        <w:t xml:space="preserve">%, podczas gdy w </w:t>
      </w:r>
      <w:r w:rsidR="00D809DC" w:rsidRPr="00B16183">
        <w:rPr>
          <w:rFonts w:eastAsia="Times New Roman" w:cs="Times New Roman"/>
          <w:szCs w:val="19"/>
          <w:lang w:eastAsia="pl-PL"/>
        </w:rPr>
        <w:t>grudniu 2021 r. w</w:t>
      </w:r>
      <w:r w:rsidR="0005290B" w:rsidRPr="00B16183">
        <w:rPr>
          <w:rFonts w:eastAsia="Times New Roman" w:cs="Times New Roman"/>
          <w:szCs w:val="19"/>
          <w:lang w:eastAsia="pl-PL"/>
        </w:rPr>
        <w:t> </w:t>
      </w:r>
      <w:r w:rsidR="00D809DC" w:rsidRPr="00B16183">
        <w:rPr>
          <w:rFonts w:eastAsia="Times New Roman" w:cs="Times New Roman"/>
          <w:szCs w:val="19"/>
          <w:lang w:eastAsia="pl-PL"/>
        </w:rPr>
        <w:t>porównaniu do listopada</w:t>
      </w:r>
      <w:r w:rsidRPr="00B16183">
        <w:rPr>
          <w:rFonts w:eastAsia="Times New Roman" w:cs="Times New Roman"/>
          <w:szCs w:val="19"/>
          <w:lang w:eastAsia="pl-PL"/>
        </w:rPr>
        <w:t xml:space="preserve"> 2021 r. wzrost wyniósł 1</w:t>
      </w:r>
      <w:r w:rsidR="00D809DC" w:rsidRPr="00B16183">
        <w:rPr>
          <w:rFonts w:eastAsia="Times New Roman" w:cs="Times New Roman"/>
          <w:szCs w:val="19"/>
          <w:lang w:eastAsia="pl-PL"/>
        </w:rPr>
        <w:t>0</w:t>
      </w:r>
      <w:r w:rsidRPr="00B16183">
        <w:rPr>
          <w:rFonts w:eastAsia="Times New Roman" w:cs="Times New Roman"/>
          <w:szCs w:val="19"/>
          <w:lang w:eastAsia="pl-PL"/>
        </w:rPr>
        <w:t>,</w:t>
      </w:r>
      <w:r w:rsidR="00D809DC" w:rsidRPr="00B16183">
        <w:rPr>
          <w:rFonts w:eastAsia="Times New Roman" w:cs="Times New Roman"/>
          <w:szCs w:val="19"/>
          <w:lang w:eastAsia="pl-PL"/>
        </w:rPr>
        <w:t>3</w:t>
      </w:r>
      <w:r w:rsidRPr="00B16183">
        <w:rPr>
          <w:rFonts w:eastAsia="Times New Roman" w:cs="Times New Roman"/>
          <w:szCs w:val="19"/>
          <w:lang w:eastAsia="pl-PL"/>
        </w:rPr>
        <w:t>%.</w:t>
      </w:r>
    </w:p>
    <w:p w14:paraId="323B1D0D" w14:textId="0A80F16B" w:rsidR="00A3623D" w:rsidRPr="00B16183" w:rsidRDefault="00A3623D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Wzrost przeciętnych wynagrodzeń w </w:t>
      </w:r>
      <w:r w:rsidR="00A10D7C" w:rsidRPr="00B16183">
        <w:rPr>
          <w:rFonts w:eastAsia="Times New Roman" w:cs="Times New Roman"/>
          <w:szCs w:val="19"/>
          <w:lang w:eastAsia="pl-PL"/>
        </w:rPr>
        <w:t>grudniu</w:t>
      </w:r>
      <w:r w:rsidRPr="00B16183">
        <w:rPr>
          <w:rFonts w:eastAsia="Times New Roman" w:cs="Times New Roman"/>
          <w:szCs w:val="19"/>
          <w:lang w:eastAsia="pl-PL"/>
        </w:rPr>
        <w:t xml:space="preserve"> 2022 r. względem </w:t>
      </w:r>
      <w:r w:rsidR="00A10D7C" w:rsidRPr="00B16183">
        <w:rPr>
          <w:rFonts w:eastAsia="Times New Roman" w:cs="Times New Roman"/>
          <w:szCs w:val="19"/>
          <w:lang w:eastAsia="pl-PL"/>
        </w:rPr>
        <w:t>listopad</w:t>
      </w:r>
      <w:r w:rsidRPr="00B16183">
        <w:rPr>
          <w:rFonts w:eastAsia="Times New Roman" w:cs="Times New Roman"/>
          <w:szCs w:val="19"/>
          <w:lang w:eastAsia="pl-PL"/>
        </w:rPr>
        <w:t>a 2022 r. spowodowany był wypłatami m. in. premii kwartalnych, świątecznych, nagród z okazji Dnia Górnika, nagród rocznych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 oraz</w:t>
      </w:r>
      <w:r w:rsidRPr="00B16183">
        <w:rPr>
          <w:rFonts w:eastAsia="Times New Roman" w:cs="Times New Roman"/>
          <w:szCs w:val="19"/>
          <w:lang w:eastAsia="pl-PL"/>
        </w:rPr>
        <w:t xml:space="preserve"> wypłatami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Pr="00B16183">
        <w:rPr>
          <w:rFonts w:eastAsia="Times New Roman" w:cs="Times New Roman"/>
          <w:szCs w:val="19"/>
          <w:lang w:eastAsia="pl-PL"/>
        </w:rPr>
        <w:t xml:space="preserve">). </w:t>
      </w:r>
      <w:r w:rsidR="00894C0B" w:rsidRPr="00B16183">
        <w:rPr>
          <w:rFonts w:eastAsia="Times New Roman" w:cs="Times New Roman"/>
          <w:szCs w:val="19"/>
          <w:lang w:eastAsia="pl-PL"/>
        </w:rPr>
        <w:t>Najwyższy w</w:t>
      </w:r>
      <w:r w:rsidRPr="00B16183">
        <w:rPr>
          <w:rFonts w:eastAsia="Times New Roman" w:cs="Times New Roman"/>
          <w:szCs w:val="19"/>
          <w:lang w:eastAsia="pl-PL"/>
        </w:rPr>
        <w:t>zrost przeciętnych mie</w:t>
      </w:r>
      <w:r w:rsidRPr="00B16183">
        <w:rPr>
          <w:rFonts w:eastAsia="Times New Roman" w:cs="Times New Roman"/>
          <w:szCs w:val="19"/>
          <w:lang w:eastAsia="pl-PL"/>
        </w:rPr>
        <w:lastRenderedPageBreak/>
        <w:t xml:space="preserve">sięcznych wynagrodzeń brutto odnotowano w sekcji </w:t>
      </w:r>
      <w:r w:rsidR="004F565A" w:rsidRPr="00B16183">
        <w:rPr>
          <w:rFonts w:eastAsia="Times New Roman" w:cs="Times New Roman"/>
          <w:szCs w:val="19"/>
          <w:lang w:eastAsia="pl-PL"/>
        </w:rPr>
        <w:t xml:space="preserve">„Rolnictwo, leśnictwo, łowiectwo </w:t>
      </w:r>
      <w:r w:rsidR="00CF4592" w:rsidRPr="00B16183">
        <w:rPr>
          <w:rFonts w:eastAsia="Times New Roman" w:cs="Times New Roman"/>
          <w:szCs w:val="19"/>
          <w:lang w:eastAsia="pl-PL"/>
        </w:rPr>
        <w:t>i </w:t>
      </w:r>
      <w:r w:rsidR="004F565A" w:rsidRPr="00B16183">
        <w:rPr>
          <w:rFonts w:eastAsia="Times New Roman" w:cs="Times New Roman"/>
          <w:szCs w:val="19"/>
          <w:lang w:eastAsia="pl-PL"/>
        </w:rPr>
        <w:t>rybactwo”</w:t>
      </w:r>
      <w:r w:rsidR="003047E1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4F565A" w:rsidRPr="00B16183">
        <w:rPr>
          <w:rFonts w:eastAsia="Times New Roman" w:cs="Times New Roman"/>
          <w:szCs w:val="19"/>
          <w:lang w:eastAsia="pl-PL"/>
        </w:rPr>
        <w:t xml:space="preserve"> (o 74,3%), </w:t>
      </w:r>
      <w:r w:rsidRPr="00B16183">
        <w:rPr>
          <w:rFonts w:eastAsia="Times New Roman" w:cs="Times New Roman"/>
          <w:szCs w:val="19"/>
          <w:lang w:eastAsia="pl-PL"/>
        </w:rPr>
        <w:t>gdzie wynagrodzenia zwiększyły się do 1</w:t>
      </w:r>
      <w:r w:rsidR="004F565A" w:rsidRPr="00B16183">
        <w:rPr>
          <w:rFonts w:eastAsia="Times New Roman" w:cs="Times New Roman"/>
          <w:szCs w:val="19"/>
          <w:lang w:eastAsia="pl-PL"/>
        </w:rPr>
        <w:t>5218</w:t>
      </w:r>
      <w:r w:rsidRPr="00B16183">
        <w:rPr>
          <w:rFonts w:eastAsia="Times New Roman" w:cs="Times New Roman"/>
          <w:szCs w:val="19"/>
          <w:lang w:eastAsia="pl-PL"/>
        </w:rPr>
        <w:t>,</w:t>
      </w:r>
      <w:r w:rsidR="004F565A" w:rsidRPr="00B16183">
        <w:rPr>
          <w:rFonts w:eastAsia="Times New Roman" w:cs="Times New Roman"/>
          <w:szCs w:val="19"/>
          <w:lang w:eastAsia="pl-PL"/>
        </w:rPr>
        <w:t>13</w:t>
      </w:r>
      <w:r w:rsidRPr="00B16183">
        <w:rPr>
          <w:rFonts w:eastAsia="Times New Roman" w:cs="Times New Roman"/>
          <w:szCs w:val="19"/>
          <w:lang w:eastAsia="pl-PL"/>
        </w:rPr>
        <w:t xml:space="preserve"> zł (miesiąc wcześniej wyniosły 8</w:t>
      </w:r>
      <w:r w:rsidR="004F565A" w:rsidRPr="00B16183">
        <w:rPr>
          <w:rFonts w:eastAsia="Times New Roman" w:cs="Times New Roman"/>
          <w:szCs w:val="19"/>
          <w:lang w:eastAsia="pl-PL"/>
        </w:rPr>
        <w:t>732</w:t>
      </w:r>
      <w:r w:rsidRPr="00B16183">
        <w:rPr>
          <w:rFonts w:eastAsia="Times New Roman" w:cs="Times New Roman"/>
          <w:szCs w:val="19"/>
          <w:lang w:eastAsia="pl-PL"/>
        </w:rPr>
        <w:t>,</w:t>
      </w:r>
      <w:r w:rsidR="004F565A" w:rsidRPr="00B16183">
        <w:rPr>
          <w:rFonts w:eastAsia="Times New Roman" w:cs="Times New Roman"/>
          <w:szCs w:val="19"/>
          <w:lang w:eastAsia="pl-PL"/>
        </w:rPr>
        <w:t>13</w:t>
      </w:r>
      <w:r w:rsidRPr="00B16183">
        <w:rPr>
          <w:rFonts w:eastAsia="Times New Roman" w:cs="Times New Roman"/>
          <w:szCs w:val="19"/>
          <w:lang w:eastAsia="pl-PL"/>
        </w:rPr>
        <w:t xml:space="preserve"> zł)</w:t>
      </w:r>
      <w:r w:rsidR="007668ED" w:rsidRPr="00B16183">
        <w:rPr>
          <w:rFonts w:eastAsia="Times New Roman" w:cs="Times New Roman"/>
          <w:szCs w:val="19"/>
          <w:lang w:eastAsia="pl-PL"/>
        </w:rPr>
        <w:t>,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4F565A" w:rsidRPr="00B16183">
        <w:rPr>
          <w:rFonts w:eastAsia="Times New Roman" w:cs="Times New Roman"/>
          <w:szCs w:val="19"/>
          <w:lang w:eastAsia="pl-PL"/>
        </w:rPr>
        <w:t>„Górnictwo i wydobywanie” (o 32</w:t>
      </w:r>
      <w:r w:rsidRPr="00B16183">
        <w:rPr>
          <w:rFonts w:eastAsia="Times New Roman" w:cs="Times New Roman"/>
          <w:szCs w:val="19"/>
          <w:lang w:eastAsia="pl-PL"/>
        </w:rPr>
        <w:t xml:space="preserve">,6%), gdzie wynagrodzenia wyniosły </w:t>
      </w:r>
      <w:r w:rsidR="008B4D05" w:rsidRPr="00B16183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381757E8" wp14:editId="21216A19">
                <wp:simplePos x="0" y="0"/>
                <wp:positionH relativeFrom="column">
                  <wp:posOffset>5238750</wp:posOffset>
                </wp:positionH>
                <wp:positionV relativeFrom="paragraph">
                  <wp:posOffset>0</wp:posOffset>
                </wp:positionV>
                <wp:extent cx="1725295" cy="1388745"/>
                <wp:effectExtent l="0" t="0" r="0" b="190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15" name="Pole tekstowe 15" descr="Zjawisko wzrostu płac w grudniu jest obserwowane co roku, m.in. z uwagi na wypłacane w niektórych jednostkach dodatkowe premie i nagrod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8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2CE7" w14:textId="77777777" w:rsidR="00211BA9" w:rsidRDefault="00211BA9" w:rsidP="0050607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Zjawisko wzrostu płac w grudniu jest obserwowane co roku, m.in. z uwagi na wypłacane w niektórych jednostkach dodatkowe premie i nagrody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57E8" id="Pole tekstowe 15" o:spid="_x0000_s1030" type="#_x0000_t202" alt="Zjawisko wzrostu płac w grudniu jest obserwowane co roku, m.in. z uwagi na wypłacane w niektórych jednostkach dodatkowe premie i nagrody " style="position:absolute;margin-left:412.5pt;margin-top:0;width:135.85pt;height:109.3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" filled="f" stroked="f">
                <v:textbox>
                  <w:txbxContent>
                    <w:p w14:paraId="72942CE7" w14:textId="77777777" w:rsidR="00211BA9" w:rsidRDefault="00211BA9" w:rsidP="0050607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Zjawisko wzrostu płac w grudniu jest obserwowane co roku, m.in. z uwagi na wypłacane w niektórych jednostkach dodatkowe premie i nagrody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eastAsia="Times New Roman" w:cs="Times New Roman"/>
          <w:szCs w:val="19"/>
          <w:lang w:eastAsia="pl-PL"/>
        </w:rPr>
        <w:t>1</w:t>
      </w:r>
      <w:r w:rsidR="004F565A" w:rsidRPr="00B16183">
        <w:rPr>
          <w:rFonts w:eastAsia="Times New Roman" w:cs="Times New Roman"/>
          <w:szCs w:val="19"/>
          <w:lang w:eastAsia="pl-PL"/>
        </w:rPr>
        <w:t>8800</w:t>
      </w:r>
      <w:r w:rsidRPr="00B16183">
        <w:rPr>
          <w:rFonts w:eastAsia="Times New Roman" w:cs="Times New Roman"/>
          <w:szCs w:val="19"/>
          <w:lang w:eastAsia="pl-PL"/>
        </w:rPr>
        <w:t>,</w:t>
      </w:r>
      <w:r w:rsidR="004F565A" w:rsidRPr="00B16183">
        <w:rPr>
          <w:rFonts w:eastAsia="Times New Roman" w:cs="Times New Roman"/>
          <w:szCs w:val="19"/>
          <w:lang w:eastAsia="pl-PL"/>
        </w:rPr>
        <w:t>9</w:t>
      </w:r>
      <w:r w:rsidRPr="00B16183">
        <w:rPr>
          <w:rFonts w:eastAsia="Times New Roman" w:cs="Times New Roman"/>
          <w:szCs w:val="19"/>
          <w:lang w:eastAsia="pl-PL"/>
        </w:rPr>
        <w:t xml:space="preserve">3 zł (miesiąc wcześniej </w:t>
      </w:r>
      <w:r w:rsidR="004F565A" w:rsidRPr="00B16183">
        <w:rPr>
          <w:rFonts w:eastAsia="Times New Roman" w:cs="Times New Roman"/>
          <w:szCs w:val="19"/>
          <w:lang w:eastAsia="pl-PL"/>
        </w:rPr>
        <w:t>14178</w:t>
      </w:r>
      <w:r w:rsidRPr="00B16183">
        <w:rPr>
          <w:rFonts w:eastAsia="Times New Roman" w:cs="Times New Roman"/>
          <w:szCs w:val="19"/>
          <w:lang w:eastAsia="pl-PL"/>
        </w:rPr>
        <w:t>,</w:t>
      </w:r>
      <w:r w:rsidR="004F565A" w:rsidRPr="00B16183">
        <w:rPr>
          <w:rFonts w:eastAsia="Times New Roman" w:cs="Times New Roman"/>
          <w:szCs w:val="19"/>
          <w:lang w:eastAsia="pl-PL"/>
        </w:rPr>
        <w:t>21</w:t>
      </w:r>
      <w:r w:rsidRPr="00B16183">
        <w:rPr>
          <w:rFonts w:eastAsia="Times New Roman" w:cs="Times New Roman"/>
          <w:szCs w:val="19"/>
          <w:lang w:eastAsia="pl-PL"/>
        </w:rPr>
        <w:t xml:space="preserve"> zł)</w:t>
      </w:r>
      <w:r w:rsidR="004F565A" w:rsidRPr="00B16183">
        <w:rPr>
          <w:rFonts w:eastAsia="Times New Roman" w:cs="Times New Roman"/>
          <w:szCs w:val="19"/>
          <w:lang w:eastAsia="pl-PL"/>
        </w:rPr>
        <w:t>,</w:t>
      </w:r>
      <w:r w:rsidR="004F565A" w:rsidRPr="00B16183">
        <w:t xml:space="preserve"> </w:t>
      </w:r>
      <w:r w:rsidR="004F565A" w:rsidRPr="00B16183">
        <w:rPr>
          <w:rFonts w:eastAsia="Times New Roman" w:cs="Times New Roman"/>
          <w:szCs w:val="19"/>
          <w:lang w:eastAsia="pl-PL"/>
        </w:rPr>
        <w:t xml:space="preserve">„Działalność związana z kulturą, rozrywką </w:t>
      </w:r>
      <w:r w:rsidR="00CF4592" w:rsidRPr="00B16183">
        <w:rPr>
          <w:rFonts w:eastAsia="Times New Roman" w:cs="Times New Roman"/>
          <w:szCs w:val="19"/>
          <w:lang w:eastAsia="pl-PL"/>
        </w:rPr>
        <w:t>i </w:t>
      </w:r>
      <w:r w:rsidR="004F565A" w:rsidRPr="00B16183">
        <w:rPr>
          <w:rFonts w:eastAsia="Times New Roman" w:cs="Times New Roman"/>
          <w:szCs w:val="19"/>
          <w:lang w:eastAsia="pl-PL"/>
        </w:rPr>
        <w:t>rekreacją” (o 26,5%), gdzie wynagrodzenia zwiększyły się do 7440,24 z</w:t>
      </w:r>
      <w:r w:rsidR="00096CA1">
        <w:rPr>
          <w:rFonts w:eastAsia="Times New Roman" w:cs="Times New Roman"/>
          <w:szCs w:val="19"/>
          <w:lang w:eastAsia="pl-PL"/>
        </w:rPr>
        <w:t>ł (miesiąc wcześniej wyniosły 58</w:t>
      </w:r>
      <w:r w:rsidR="004F565A" w:rsidRPr="00B16183">
        <w:rPr>
          <w:rFonts w:eastAsia="Times New Roman" w:cs="Times New Roman"/>
          <w:szCs w:val="19"/>
          <w:lang w:eastAsia="pl-PL"/>
        </w:rPr>
        <w:t>82,86 zł).</w:t>
      </w:r>
    </w:p>
    <w:p w14:paraId="239F6252" w14:textId="0DCA4667" w:rsidR="008B4D05" w:rsidRPr="00B16183" w:rsidRDefault="008B4D05" w:rsidP="00201A5E">
      <w:pPr>
        <w:pStyle w:val="Tytuwykresu0"/>
        <w:spacing w:before="120"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B16183">
        <w:rPr>
          <w:rFonts w:ascii="Fira Sans" w:hAnsi="Fira Sans"/>
          <w:b w:val="0"/>
          <w:bCs w:val="0"/>
          <w:noProof w:val="0"/>
          <w:szCs w:val="19"/>
        </w:rPr>
        <w:t>W skali roku (grudzień 2022 r. do grudnia 2021 r.) przeciętne miesięczne wynagrodzenie brutto wzrosło o 10,3%. Przed rokiem (grudzień 2021 r. do grudnia 2020 r.) odnotowano dynamikę wzrostu przeciętnej płacy na poziomie 11,2%.</w:t>
      </w:r>
    </w:p>
    <w:p w14:paraId="52CFA190" w14:textId="63211810" w:rsidR="00E16BA3" w:rsidRPr="00B16183" w:rsidRDefault="00E16BA3" w:rsidP="00E16BA3">
      <w:pPr>
        <w:pStyle w:val="Tytuwykresu0"/>
        <w:rPr>
          <w:noProof w:val="0"/>
        </w:rPr>
      </w:pPr>
      <w:r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4FBD6B42">
                <wp:simplePos x="0" y="0"/>
                <wp:positionH relativeFrom="column">
                  <wp:posOffset>5234305</wp:posOffset>
                </wp:positionH>
                <wp:positionV relativeFrom="paragraph">
                  <wp:posOffset>676275</wp:posOffset>
                </wp:positionV>
                <wp:extent cx="1725295" cy="1729105"/>
                <wp:effectExtent l="0" t="0" r="3175" b="444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2022 r. ustawowe minimalne wynagrodzenie za pracę wzrosło do 3010 zł, tj. o 7,5% względem roku poprzedniego, kiedy to wynosiło 2800 zł, co miało też wpływ na zmiany przeciętnych miesięcznych wynagrodzeń brutto w sektorze przedsiębiorst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2DF95" w14:textId="15F244CB" w:rsidR="00E16BA3" w:rsidRPr="00FD5ADA" w:rsidRDefault="00E16BA3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2022 r. ustawowe minimalne wynagrodzenie za </w:t>
                            </w:r>
                            <w:r w:rsidR="00506079">
                              <w:rPr>
                                <w:bCs w:val="0"/>
                              </w:rPr>
                              <w:t>pracę wzrosło do 3010 zł, tj. o </w:t>
                            </w:r>
                            <w:r>
                              <w:rPr>
                                <w:bCs w:val="0"/>
                              </w:rPr>
                              <w:t xml:space="preserve">7,5% względem roku poprzedniego, kiedy to wynosiło 2800 zł, co miało też wpływ na zmiany przeciętnych miesięcznych wynagrodzeń brutto w sektorze przedsiębiorstw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1" type="#_x0000_t202" alt="W 2022 r. ustawowe minimalne wynagrodzenie za pracę wzrosło do 3010 zł, tj. o 7,5% względem roku poprzedniego, kiedy to wynosiło 2800 zł, co miało też wpływ na zmiany przeciętnych miesięcznych wynagrodzeń brutto w sektorze przedsiębiorstw " style="position:absolute;margin-left:412.15pt;margin-top:53.25pt;width:135.85pt;height:136.1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" filled="f" stroked="f">
                <v:textbox>
                  <w:txbxContent>
                    <w:p w14:paraId="2E72DF95" w14:textId="15F244CB" w:rsidR="00E16BA3" w:rsidRPr="00FD5ADA" w:rsidRDefault="00E16BA3" w:rsidP="00E16BA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2022 r. ustawowe minimalne wynagrodzenie za </w:t>
                      </w:r>
                      <w:r w:rsidR="00506079">
                        <w:rPr>
                          <w:bCs w:val="0"/>
                        </w:rPr>
                        <w:t>pracę wzrosło do 3010 zł, tj. o </w:t>
                      </w:r>
                      <w:r>
                        <w:rPr>
                          <w:bCs w:val="0"/>
                        </w:rPr>
                        <w:t xml:space="preserve">7,5% względem roku poprzedniego, kiedy to wynosiło 2800 zł, co miało też wpływ na zmiany przeciętnych miesięcznych wynagrodzeń brutto w sektorze przedsiębiorstw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ascii="Fira Sans" w:hAnsi="Fira Sans"/>
          <w:noProof w:val="0"/>
        </w:rPr>
        <w:t xml:space="preserve">Wykres 2. Przeciętne miesięczne wynagrodzenia brutto w sektorze przedsiębiorstw  </w:t>
      </w:r>
    </w:p>
    <w:p w14:paraId="35607CB0" w14:textId="0FC9D479" w:rsidR="00B02DF9" w:rsidRPr="00B16183" w:rsidRDefault="00506079" w:rsidP="00201A5E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B16183">
        <w:rPr>
          <w:rFonts w:ascii="Fira Sans" w:hAnsi="Fira Sans"/>
          <w:b w:val="0"/>
          <w:bCs w:val="0"/>
          <w:szCs w:val="19"/>
        </w:rPr>
        <w:drawing>
          <wp:anchor distT="0" distB="0" distL="114300" distR="114300" simplePos="0" relativeHeight="251771904" behindDoc="0" locked="1" layoutInCell="1" allowOverlap="1" wp14:anchorId="5B4572D2" wp14:editId="46B8C37A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219700" cy="3023870"/>
            <wp:effectExtent l="0" t="0" r="0" b="5080"/>
            <wp:wrapTopAndBottom/>
            <wp:docPr id="30" name="Obraz 30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05" w:rsidRPr="00B16183">
        <w:rPr>
          <w:rFonts w:ascii="Fira Sans" w:hAnsi="Fira Sans"/>
          <w:b w:val="0"/>
          <w:bCs w:val="0"/>
          <w:noProof w:val="0"/>
          <w:szCs w:val="19"/>
        </w:rPr>
        <w:t>Na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rastająco w okresie całego roku 2022 przeciętne miesięczne wynagrodzenia brutto w  sektorze przedsiębiorstw w stosunku do poprzedniego roku wzrosły we wszystkich sekcjach PKD 2007 od 3,4%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Pozostała działalność usługowa”</w:t>
      </w:r>
      <w:r w:rsidR="00B02DF9" w:rsidRPr="003047E1">
        <w:rPr>
          <w:rFonts w:ascii="Fira Sans" w:hAnsi="Fira Sans"/>
          <w:b w:val="0"/>
          <w:bCs w:val="0"/>
          <w:noProof w:val="0"/>
          <w:szCs w:val="19"/>
          <w:vertAlign w:val="superscript"/>
        </w:rPr>
        <w:footnoteReference w:id="5"/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do 23,7%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Transport i gospodarka magazynowa”, co dało ogółem wzrost w sektorze przedsiębiorstw o 13,0%. Najwyższą przeciętną płacę brutto w sektorze przedsiębiorstw w okresie narastającym odnotowano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Informacja i komunikacja” w wysokości 11334,23 zł (wzrost o 12,4% względem </w:t>
      </w:r>
      <w:r w:rsidR="005B1B2C">
        <w:rPr>
          <w:rFonts w:ascii="Fira Sans" w:hAnsi="Fira Sans"/>
          <w:b w:val="0"/>
          <w:bCs w:val="0"/>
          <w:noProof w:val="0"/>
          <w:szCs w:val="19"/>
        </w:rPr>
        <w:t>2021 roku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 oraz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Górnictwo i wydobywanie” w wysokości 11173,60 zł (wzrost o 22,3% względem </w:t>
      </w:r>
      <w:r w:rsidR="005B1B2C">
        <w:rPr>
          <w:rFonts w:ascii="Fira Sans" w:hAnsi="Fira Sans"/>
          <w:b w:val="0"/>
          <w:bCs w:val="0"/>
          <w:noProof w:val="0"/>
          <w:szCs w:val="19"/>
        </w:rPr>
        <w:t>2021 roku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 , zaś najniższą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Zakwaterowanie i gastronomia” na poziomie 4746,97 zł (pomimo wzrostu w odniesieniu do sytuacji </w:t>
      </w:r>
      <w:r w:rsidR="00E81DFC">
        <w:rPr>
          <w:rFonts w:ascii="Fira Sans" w:hAnsi="Fira Sans"/>
          <w:b w:val="0"/>
          <w:bCs w:val="0"/>
          <w:noProof w:val="0"/>
          <w:szCs w:val="19"/>
        </w:rPr>
        <w:t>rok wcześniej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o 12,1%). </w:t>
      </w:r>
    </w:p>
    <w:p w14:paraId="70B6F1A0" w14:textId="77777777" w:rsidR="00B02DF9" w:rsidRPr="00B16183" w:rsidRDefault="00B02DF9" w:rsidP="003D3A1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823AA2E" w14:textId="3077EAEB" w:rsidR="00A3623D" w:rsidRPr="00B16183" w:rsidRDefault="00A3623D">
      <w:pPr>
        <w:spacing w:before="0" w:after="160" w:line="259" w:lineRule="auto"/>
        <w:rPr>
          <w:b/>
          <w:szCs w:val="19"/>
        </w:rPr>
      </w:pPr>
      <w:r w:rsidRPr="00B16183">
        <w:rPr>
          <w:b/>
          <w:szCs w:val="19"/>
        </w:rPr>
        <w:br w:type="page"/>
      </w:r>
    </w:p>
    <w:p w14:paraId="7EE5D556" w14:textId="20E8AC42" w:rsidR="007441AA" w:rsidRPr="00B16183" w:rsidRDefault="007441AA" w:rsidP="00506079">
      <w:pPr>
        <w:spacing w:before="360" w:line="240" w:lineRule="auto"/>
        <w:rPr>
          <w:rFonts w:eastAsia="Times New Roman" w:cs="Times New Roman"/>
          <w:b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lastRenderedPageBreak/>
        <w:t xml:space="preserve">Wykres 3. Przeciętne miesięczne wynagrodzenia brutto w sektorze przedsiębiorstw według </w:t>
      </w:r>
      <w:r w:rsidR="005B1B2C">
        <w:rPr>
          <w:rFonts w:eastAsia="Times New Roman" w:cs="Times New Roman"/>
          <w:b/>
          <w:szCs w:val="19"/>
          <w:lang w:eastAsia="pl-PL"/>
        </w:rPr>
        <w:t>rodzaju działalności PKD 2007</w:t>
      </w:r>
    </w:p>
    <w:p w14:paraId="46CBAC7B" w14:textId="4D021408" w:rsidR="007441AA" w:rsidRPr="00B16183" w:rsidRDefault="000C54F3" w:rsidP="007441AA">
      <w:pPr>
        <w:spacing w:after="160" w:line="259" w:lineRule="auto"/>
        <w:rPr>
          <w:rFonts w:eastAsia="Fira Sans Light" w:cs="Arial"/>
          <w:sz w:val="16"/>
          <w:szCs w:val="16"/>
        </w:rPr>
      </w:pPr>
      <w:r>
        <w:rPr>
          <w:rFonts w:eastAsia="Fira Sans Light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772928" behindDoc="0" locked="1" layoutInCell="1" allowOverlap="1" wp14:anchorId="23CA39A0" wp14:editId="37248E46">
            <wp:simplePos x="0" y="0"/>
            <wp:positionH relativeFrom="column">
              <wp:posOffset>0</wp:posOffset>
            </wp:positionH>
            <wp:positionV relativeFrom="paragraph">
              <wp:posOffset>-22860</wp:posOffset>
            </wp:positionV>
            <wp:extent cx="5187950" cy="4248150"/>
            <wp:effectExtent l="0" t="0" r="0" b="0"/>
            <wp:wrapTopAndBottom/>
            <wp:docPr id="13" name="Obraz 13" descr="Wykres 3 przedstawia przeciętne miesięczne wynagrodzenia w sektorze przedsiębiorstw w złotych według rodzaju działalności 2007 w okresie narastając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1AA" w:rsidRPr="00B16183">
        <w:rPr>
          <w:rFonts w:eastAsia="Fira Sans Light" w:cs="Arial"/>
          <w:sz w:val="16"/>
          <w:szCs w:val="16"/>
        </w:rPr>
        <w:t xml:space="preserve">W ramach sekcji "Rolnictwo, leśnictwo, łowiectwo i rybactwo" </w:t>
      </w:r>
      <w:r w:rsidR="00117A94">
        <w:rPr>
          <w:rFonts w:eastAsia="Fira Sans Light" w:cs="Arial"/>
          <w:sz w:val="16"/>
          <w:szCs w:val="16"/>
        </w:rPr>
        <w:t>badaniem objęta</w:t>
      </w:r>
      <w:r w:rsidR="007441AA" w:rsidRPr="00B16183">
        <w:rPr>
          <w:rFonts w:eastAsia="Fira Sans Light" w:cs="Arial"/>
          <w:sz w:val="16"/>
          <w:szCs w:val="16"/>
        </w:rPr>
        <w:t xml:space="preserve"> jest </w:t>
      </w:r>
      <w:r w:rsidR="00117A94">
        <w:rPr>
          <w:rFonts w:eastAsia="Fira Sans Light" w:cs="Arial"/>
          <w:sz w:val="16"/>
          <w:szCs w:val="16"/>
        </w:rPr>
        <w:t xml:space="preserve">tylko </w:t>
      </w:r>
      <w:r w:rsidR="007441AA" w:rsidRPr="00B16183">
        <w:rPr>
          <w:rFonts w:eastAsia="Fira Sans Light" w:cs="Arial"/>
          <w:sz w:val="16"/>
          <w:szCs w:val="16"/>
        </w:rPr>
        <w:t>działalność „Leśnictwo i pozyskiwanie drewna” (dział 02) oraz „Rybołówstwo w wodach morskich” (klasa 03.11); sekcja "Działalność profesjonalna, nauka i techniczna" z wyłączeniem działalności „Badania naukowe i prace rozwojowe” (dział 72) i „Działalność wet</w:t>
      </w:r>
      <w:r w:rsidR="00CE31E8">
        <w:rPr>
          <w:rFonts w:eastAsia="Fira Sans Light" w:cs="Arial"/>
          <w:sz w:val="16"/>
          <w:szCs w:val="16"/>
        </w:rPr>
        <w:t>erynaryjna” (dział 75); sekcja „</w:t>
      </w:r>
      <w:r w:rsidR="007441AA" w:rsidRPr="00B16183">
        <w:rPr>
          <w:rFonts w:eastAsia="Fira Sans Light" w:cs="Arial"/>
          <w:sz w:val="16"/>
          <w:szCs w:val="16"/>
        </w:rPr>
        <w:t>Pozostała działalność usługowa" z wyłączeniem działalności „Działalność organizacji członkowskich” (dział 94).</w:t>
      </w:r>
    </w:p>
    <w:p w14:paraId="184A8BE7" w14:textId="1FECD9E4" w:rsidR="007441AA" w:rsidRPr="00B16183" w:rsidRDefault="007441AA">
      <w:pPr>
        <w:spacing w:before="0" w:after="160" w:line="259" w:lineRule="auto"/>
        <w:rPr>
          <w:rFonts w:eastAsia="Fira Sans Light" w:cs="Arial"/>
          <w:sz w:val="16"/>
          <w:szCs w:val="16"/>
        </w:rPr>
      </w:pPr>
    </w:p>
    <w:p w14:paraId="44AE08FF" w14:textId="51FB7E31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t>Wyjaśnienia metodologiczne</w:t>
      </w:r>
    </w:p>
    <w:p w14:paraId="639BF268" w14:textId="14160C7C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 xml:space="preserve">Sektor przedsiębiorstw dotyczy podmiotów, o liczbie pracujących 10 i więcej osób, prowadzących działalność gospodarczą w zakresie: </w:t>
      </w:r>
      <w:r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17F71" w:rsidRPr="00B16183">
        <w:rPr>
          <w:rFonts w:eastAsia="Times New Roman" w:cs="Times New Roman"/>
          <w:szCs w:val="19"/>
          <w:lang w:eastAsia="pl-PL"/>
        </w:rPr>
        <w:t>i</w:t>
      </w:r>
      <w:r w:rsidRPr="00B16183">
        <w:rPr>
          <w:rFonts w:eastAsia="Times New Roman" w:cs="Times New Roman"/>
          <w:szCs w:val="19"/>
          <w:lang w:eastAsia="pl-PL"/>
        </w:rPr>
        <w:t xml:space="preserve"> pozyskiwa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nia drewna; rybołówstwa w wodach morskich; górnictwa i wydobywania; przetwórstwa przemysłowego; wytwarzania </w:t>
      </w:r>
      <w:r w:rsidR="00BC75AE" w:rsidRPr="00B16183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zaopatrywania w 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 i powietrze do układów klimatyzacyjnych; dostawy wody; gospodarowania ściekami i odpadami oraz działalności związanej z rekultywacją; budownictwa; handle hurtowego i detalicznego; naprawy pojazdów samochodowych, włączając motocykle; transport i gospodarki magazynowej; działalności związanej z zakwaterowaniem i usługami gastronomicznymi; informacji i komunikacji; działalności związanej z 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 z kulturą, rozrywką i rekreacją; naprawy i konserwacji komputerów i artykułów użytku osobistego i 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28E2344E" w14:textId="4D525E99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lastRenderedPageBreak/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 W ramach tego sprawozdania, podmioty o liczbie pracujących 50 lub więcej osób badane są metodą pełną, a 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6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4F669E63" w14:textId="2B80C42C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z rynku pracy na formularzu badania DG-1 nie obejmują osób zatrudnionych na podstawie umowy zlecenia i umowy o dzieło – szczegółowy zakres </w:t>
      </w:r>
      <w:r w:rsidR="00B16183" w:rsidRPr="00B16183">
        <w:rPr>
          <w:rFonts w:eastAsia="Times New Roman" w:cs="Times New Roman"/>
          <w:szCs w:val="19"/>
          <w:lang w:eastAsia="pl-PL"/>
        </w:rPr>
        <w:t>włączeń</w:t>
      </w:r>
      <w:r w:rsidRPr="00B16183">
        <w:rPr>
          <w:rFonts w:eastAsia="Times New Roman" w:cs="Times New Roman"/>
          <w:szCs w:val="19"/>
          <w:lang w:eastAsia="pl-PL"/>
        </w:rPr>
        <w:t xml:space="preserve"> z opisem metod obliczania zmiennych z rynku pracy znajduje się m.in. w 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7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7C966808" w14:textId="075EE715" w:rsidR="000A2012" w:rsidRPr="00B16183" w:rsidRDefault="000A2012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Ze względu na krótki termin w jakim jednostki dostarczają dane w ramach badania na formularzu DG-1, prezentowane wyniki mają charakter wstępny. W 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 w sytuacji konieczności skorygowania danych wykazywanych w poprzednich okresach, zmiany uwzględnia się wyłącznie w danych narastających.</w:t>
      </w:r>
    </w:p>
    <w:p w14:paraId="6906E19B" w14:textId="1CE62A17" w:rsidR="00DA331D" w:rsidRPr="00B16183" w:rsidRDefault="00DA331D" w:rsidP="00E95B8E">
      <w:pPr>
        <w:rPr>
          <w:sz w:val="16"/>
        </w:rPr>
      </w:pPr>
    </w:p>
    <w:p w14:paraId="4809D44B" w14:textId="52ACD0A1" w:rsidR="00694AF0" w:rsidRPr="00B16183" w:rsidRDefault="00694AF0" w:rsidP="00E76D26">
      <w:pPr>
        <w:rPr>
          <w:sz w:val="18"/>
        </w:rPr>
      </w:pPr>
    </w:p>
    <w:p w14:paraId="3C222B0C" w14:textId="77777777" w:rsidR="00DA331D" w:rsidRPr="00B16183" w:rsidRDefault="00DA331D" w:rsidP="00DA331D">
      <w:pPr>
        <w:spacing w:before="360"/>
        <w:rPr>
          <w:sz w:val="18"/>
        </w:rPr>
        <w:sectPr w:rsidR="00DA331D" w:rsidRPr="00B16183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60DB179" w:rsidR="00DE2400" w:rsidRPr="00B1618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1618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96BB9" w:rsidRPr="00B16183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41A1AE38" w14:textId="01DCED50" w:rsidR="00DE2400" w:rsidRPr="00B16183" w:rsidRDefault="00196BB9" w:rsidP="003D3A1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Dyrektor Agnieszka Zgierska</w:t>
            </w:r>
          </w:p>
          <w:p w14:paraId="5425F0B4" w14:textId="6620DEB2" w:rsidR="00DE2400" w:rsidRPr="00B16183" w:rsidRDefault="00DE2400" w:rsidP="00196BB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="00196BB9" w:rsidRPr="00B16183">
              <w:rPr>
                <w:rFonts w:ascii="Fira Sans" w:hAnsi="Fira Sans" w:cs="Arial"/>
                <w:color w:val="000000" w:themeColor="text1"/>
                <w:sz w:val="20"/>
              </w:rPr>
              <w:t> 608 30 15</w:t>
            </w:r>
          </w:p>
        </w:tc>
        <w:tc>
          <w:tcPr>
            <w:tcW w:w="4927" w:type="dxa"/>
          </w:tcPr>
          <w:p w14:paraId="4E8FFA16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7C73DA1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8" w:history="1">
              <w:r w:rsidRPr="005B1B2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229681D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58D3940" w14:textId="5B6042AA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7D9034BF" w14:textId="1334E08A" w:rsidR="00531873" w:rsidRPr="00B16183" w:rsidRDefault="00531873" w:rsidP="00531873">
            <w:pPr>
              <w:rPr>
                <w:rFonts w:cs="Times New Roman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5" w:history="1">
              <w:r w:rsidR="00196BB9" w:rsidRPr="00B16183">
                <w:rPr>
                  <w:rStyle w:val="Hipercze"/>
                </w:rPr>
                <w:t xml:space="preserve">Zatrudnienie i wynagrodzenia w gospodarce narodowej w </w:t>
              </w:r>
              <w:r w:rsidR="00F62D5E" w:rsidRPr="00B16183">
                <w:rPr>
                  <w:rStyle w:val="Hipercze"/>
                </w:rPr>
                <w:t>1-3 kwartale</w:t>
              </w:r>
              <w:r w:rsidR="00196BB9" w:rsidRPr="00B16183">
                <w:rPr>
                  <w:rStyle w:val="Hipercze"/>
                </w:rPr>
                <w:t xml:space="preserve"> 2022 roku</w:t>
              </w:r>
            </w:hyperlink>
          </w:p>
          <w:p w14:paraId="65BC75DB" w14:textId="29174FB3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"https://stat.gov.pl/obszary-tematyczne/rynek-pracy/pracujacy-zatrudnieni-wynagrodzenia-koszty-pracy/struktura-wynagrodzen-wedlug-zawodow-w-pazdzierniku-2020-roku,4,10.html"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 w październiku 2020 r.</w:t>
            </w:r>
            <w:r w:rsidR="00215D9B" w:rsidRPr="00B16183">
              <w:rPr>
                <w:rStyle w:val="Hipercze"/>
              </w:rPr>
              <w:t xml:space="preserve"> </w:t>
            </w:r>
          </w:p>
          <w:p w14:paraId="3A01882D" w14:textId="77777777" w:rsidR="00215D9B" w:rsidRPr="00B16183" w:rsidRDefault="007C171C" w:rsidP="00215D9B">
            <w:pPr>
              <w:rPr>
                <w:rStyle w:val="Hipercze"/>
              </w:rPr>
            </w:pPr>
            <w:hyperlink r:id="rId26" w:history="1">
              <w:r w:rsidR="00215D9B" w:rsidRPr="00B16183">
                <w:rPr>
                  <w:rStyle w:val="Hipercze"/>
                </w:rPr>
                <w:t>Zeszyt metodologiczny Pracujący w gospodarce narodowej</w:t>
              </w:r>
            </w:hyperlink>
          </w:p>
          <w:p w14:paraId="67D1FCBD" w14:textId="77777777" w:rsidR="00215D9B" w:rsidRPr="00B16183" w:rsidRDefault="007C171C" w:rsidP="00215D9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215D9B" w:rsidRPr="00B16183">
                <w:rPr>
                  <w:rStyle w:val="Hipercze"/>
                </w:rPr>
                <w:t>Zeszyt metodologiczny Wynagrodzenia w gospodarce narodowej</w:t>
              </w:r>
            </w:hyperlink>
          </w:p>
          <w:p w14:paraId="55DA24D0" w14:textId="14B3038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0DE1CAF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"https://bdl.stat.gov.pl/bdl/start" \o "Link do danych w bazie..."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326D6B5C" w14:textId="11AE275E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8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6EC7A51E" w14:textId="2757125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02B41A53" w:rsidR="00531873" w:rsidRPr="00B16183" w:rsidRDefault="007C171C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9" w:history="1">
              <w:r w:rsidR="00215D9B" w:rsidRPr="00B16183">
                <w:rPr>
                  <w:rStyle w:val="Hipercze"/>
                </w:rPr>
                <w:t>Sektor przedsiębiorstw w statystyce rynku pracy i wynagrodzeń</w:t>
              </w:r>
              <w:r w:rsidR="00531873" w:rsidRPr="00B16183">
                <w:rPr>
                  <w:rStyle w:val="Hipercze"/>
                </w:rPr>
                <w:t xml:space="preserve"> </w:t>
              </w:r>
            </w:hyperlink>
            <w:r w:rsidR="00531873" w:rsidRPr="00B16183">
              <w:rPr>
                <w:rStyle w:val="Hipercze"/>
              </w:rPr>
              <w:t xml:space="preserve"> </w:t>
            </w:r>
          </w:p>
          <w:p w14:paraId="037E4B21" w14:textId="4AF1B8CE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"https://stat.gov.pl/metainformacje/slownik-pojec/pojecia-stosowane-w-statystyce-publicznej/376,pojecie.html"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Pr="00B16183">
              <w:rPr>
                <w:rStyle w:val="Hipercze"/>
              </w:rPr>
              <w:t xml:space="preserve">  </w:t>
            </w:r>
          </w:p>
          <w:p w14:paraId="1F14F0C1" w14:textId="4B7A23FA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"https://stat.gov.pl/metainformacje/slownik-pojec/pojecia-stosowane-w-statystyce-publicznej/742,pojecie.html"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32159E9A" w14:textId="5BDB716F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</w:p>
          <w:p w14:paraId="74120B68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B16183" w:rsidRDefault="000470AA" w:rsidP="000470AA">
      <w:pPr>
        <w:rPr>
          <w:sz w:val="18"/>
        </w:rPr>
      </w:pPr>
    </w:p>
    <w:p w14:paraId="1B68E34A" w14:textId="77777777" w:rsidR="000470AA" w:rsidRPr="00B16183" w:rsidRDefault="000470AA" w:rsidP="000470AA">
      <w:pPr>
        <w:rPr>
          <w:sz w:val="20"/>
        </w:rPr>
      </w:pPr>
    </w:p>
    <w:p w14:paraId="21E45930" w14:textId="77777777" w:rsidR="000470AA" w:rsidRPr="00B16183" w:rsidRDefault="000470AA" w:rsidP="000470AA">
      <w:pPr>
        <w:rPr>
          <w:sz w:val="18"/>
        </w:rPr>
      </w:pPr>
    </w:p>
    <w:p w14:paraId="7C19EFAE" w14:textId="7E9678C1" w:rsidR="00D261A2" w:rsidRPr="005B1B2C" w:rsidRDefault="00D261A2" w:rsidP="00AD0E56">
      <w:pPr>
        <w:rPr>
          <w:sz w:val="18"/>
        </w:rPr>
      </w:pPr>
    </w:p>
    <w:sectPr w:rsidR="00D261A2" w:rsidRPr="005B1B2C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BAA81" w14:textId="77777777" w:rsidR="007C171C" w:rsidRDefault="007C171C" w:rsidP="000662E2">
      <w:pPr>
        <w:spacing w:after="0" w:line="240" w:lineRule="auto"/>
      </w:pPr>
      <w:r>
        <w:separator/>
      </w:r>
    </w:p>
  </w:endnote>
  <w:endnote w:type="continuationSeparator" w:id="0">
    <w:p w14:paraId="1119330C" w14:textId="77777777" w:rsidR="007C171C" w:rsidRDefault="007C17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D9D6B24-0C78-499A-9089-90BD5864BC29}"/>
    <w:embedBold r:id="rId2" w:fontKey="{36B1192E-7F71-46E7-8CB3-41A8EC7345A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E55D017-41FB-4AF7-98C2-2CF13AC1EB3E}"/>
    <w:embedBold r:id="rId4" w:fontKey="{FCC6E21B-743A-4D9E-A319-0A5D0A25E76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8185516-B4FC-46DB-9116-E6BE0FE55676}"/>
    <w:embedBold r:id="rId6" w:fontKey="{163D0B3D-F0E3-4F44-B409-86EEC5F332B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BEC7BAD-6E2D-406F-8B8F-EB67CF2807ED}"/>
    <w:embedItalic r:id="rId8" w:fontKey="{A55790BF-3672-4073-87B7-77BB482938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9E48661-0236-4F6F-925C-08451A917E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15180EE-50C9-44EF-A2AE-3732A4A585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07EB209-9DBA-4FEE-BAEA-D35FD9D316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0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0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C0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A6A98" w14:textId="77777777" w:rsidR="007C171C" w:rsidRDefault="007C171C" w:rsidP="000662E2">
      <w:pPr>
        <w:spacing w:after="0" w:line="240" w:lineRule="auto"/>
      </w:pPr>
      <w:r>
        <w:separator/>
      </w:r>
    </w:p>
  </w:footnote>
  <w:footnote w:type="continuationSeparator" w:id="0">
    <w:p w14:paraId="58DE67BB" w14:textId="77777777" w:rsidR="007C171C" w:rsidRDefault="007C171C" w:rsidP="000662E2">
      <w:pPr>
        <w:spacing w:after="0" w:line="240" w:lineRule="auto"/>
      </w:pPr>
      <w:r>
        <w:continuationSeparator/>
      </w:r>
    </w:p>
  </w:footnote>
  <w:footnote w:id="1">
    <w:p w14:paraId="577A4DA5" w14:textId="15F383D6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FA5F980" w14:textId="0F217EB1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Opis działalności zaliczanych do sektora przedsiębiorstw zamieszczono na str. 4.</w:t>
      </w:r>
    </w:p>
  </w:footnote>
  <w:footnote w:id="3">
    <w:p w14:paraId="63C86620" w14:textId="2F804DB3"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="007C78B0" w:rsidRPr="007C78B0">
        <w:rPr>
          <w:rStyle w:val="Hipercze"/>
          <w:color w:val="auto"/>
          <w:sz w:val="19"/>
          <w:szCs w:val="19"/>
          <w:u w:val="none"/>
        </w:rPr>
        <w:t>.</w:t>
      </w:r>
    </w:p>
  </w:footnote>
  <w:footnote w:id="4">
    <w:p w14:paraId="0252922D" w14:textId="2245FDD8" w:rsidR="003047E1" w:rsidRPr="004E273C" w:rsidRDefault="003047E1">
      <w:pPr>
        <w:pStyle w:val="Tekstprzypisudolnego"/>
        <w:rPr>
          <w:sz w:val="19"/>
          <w:szCs w:val="19"/>
        </w:rPr>
      </w:pPr>
      <w:r w:rsidRPr="004E273C">
        <w:rPr>
          <w:rStyle w:val="Odwoanieprzypisudolnego"/>
          <w:sz w:val="19"/>
          <w:szCs w:val="19"/>
        </w:rPr>
        <w:footnoteRef/>
      </w:r>
      <w:r w:rsidRPr="004E273C">
        <w:rPr>
          <w:sz w:val="19"/>
          <w:szCs w:val="19"/>
        </w:rPr>
        <w:t xml:space="preserve"> W ramach sektora przedsiębiorstw sekcja ta obejmuje tylko działalność „Leśnictwo i pozyskiwanie drewna” (dział 02) oraz „Rybołówstwo w wodach morskich” (klasa 03.11).</w:t>
      </w:r>
    </w:p>
  </w:footnote>
  <w:footnote w:id="5">
    <w:p w14:paraId="519C45A0" w14:textId="77777777" w:rsidR="00B02DF9" w:rsidRDefault="00B02DF9" w:rsidP="00B02DF9">
      <w:pPr>
        <w:pStyle w:val="Tekstprzypisudolnego"/>
      </w:pPr>
      <w:r w:rsidRPr="004E273C">
        <w:rPr>
          <w:rStyle w:val="Odwoanieprzypisudolnego"/>
          <w:sz w:val="19"/>
          <w:szCs w:val="19"/>
        </w:rPr>
        <w:footnoteRef/>
      </w:r>
      <w:r w:rsidRPr="004E273C">
        <w:rPr>
          <w:sz w:val="19"/>
          <w:szCs w:val="19"/>
        </w:rPr>
        <w:t xml:space="preserve"> W ramach sektora przedsiębiorstw, sekcja ta nie bada </w:t>
      </w:r>
      <w:r w:rsidRPr="004E273C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6">
    <w:p w14:paraId="5DFC2E25" w14:textId="112D6749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7">
    <w:p w14:paraId="05F28F93" w14:textId="3242D296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hyperlink r:id="rId3" w:history="1">
        <w:r w:rsidRPr="00E16BA3">
          <w:rPr>
            <w:rFonts w:cs="Times New Roman"/>
            <w:color w:val="0000FF"/>
            <w:u w:val="single"/>
          </w:rPr>
          <w:t>http://form.stat.gov.pl/formularze/2022/passive/DG-1.pdf</w:t>
        </w:r>
      </w:hyperlink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67F0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512267F0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3A1D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3D3A1C" w:rsidRDefault="003D3A1C">
    <w:pPr>
      <w:pStyle w:val="Nagwek"/>
      <w:rPr>
        <w:noProof/>
        <w:lang w:eastAsia="pl-PL"/>
      </w:rPr>
    </w:pPr>
  </w:p>
  <w:p w14:paraId="45C1A999" w14:textId="77777777" w:rsidR="003D3A1C" w:rsidRDefault="003D3A1C">
    <w:pPr>
      <w:pStyle w:val="Nagwek"/>
      <w:rPr>
        <w:noProof/>
        <w:lang w:eastAsia="pl-PL"/>
      </w:rPr>
    </w:pPr>
  </w:p>
  <w:p w14:paraId="3194277A" w14:textId="5E6F66AE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3F6A55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B9BC831"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20.01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: 20.01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mv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fJJPJ0VezIibRHl760vs8myx&#10;Txg+wIA2SVJ5+wh864mBu46Zjbh1DvpOsAbpTWNldlE64vgIUvdfoME52S5AAhpap6P2qCZBdFzz&#10;4bxaMQTCY8v5rCiWM0o45mazq8X1MrVg5anaOh8+CdAkBhV1aJ2EzvaPPsRpWHn6JDYz8CCVSvZR&#10;hvQVXS6KRSq4yGgZ0N1KapQ3j7/Rb5HkR9Ok4sCkGmNsoMyRdSQ6Ug5DPaT9FCcxa2gOKIOD0cz4&#10;+DDowL1S0qORK+p/7pgTlKjPBqVcTufz6Px0mS/eF3hxl5n6MsMMR6iKBkrG8C6k1zJSvkXJW5n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HOiJrz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4B9BC831" w:rsidR="003D3A1C" w:rsidRPr="00A01B40" w:rsidRDefault="00B92773" w:rsidP="00F049AB">
                    <w:pPr>
                      <w:pStyle w:val="Datainformacjisygnalnej"/>
                    </w:pPr>
                    <w:r>
                      <w:t>20.01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3D3A1C" w:rsidRDefault="003D3A1C">
    <w:pPr>
      <w:pStyle w:val="Nagwek"/>
    </w:pPr>
  </w:p>
  <w:p w14:paraId="0738E4E9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4.2pt;height:124.8pt;visibility:visible;mso-wrap-style:square" o:bullet="t">
        <v:imagedata r:id="rId2" o:title=""/>
      </v:shape>
    </w:pict>
  </w:numPicBullet>
  <w:numPicBullet w:numPicBulletId="2">
    <w:pict>
      <v:shape id="_x0000_i1032" type="#_x0000_t75" style="width:19.2pt;height:22.8pt;visibility:visible;mso-wrap-style:square" o:bullet="t">
        <v:imagedata r:id="rId3" o:title=""/>
      </v:shape>
    </w:pict>
  </w:numPicBullet>
  <w:numPicBullet w:numPicBulletId="3">
    <w:pict>
      <v:shape id="_x0000_i1033" type="#_x0000_t75" style="width:19.2pt;height:22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52F5"/>
    <w:rsid w:val="00017F71"/>
    <w:rsid w:val="00021B99"/>
    <w:rsid w:val="0004582E"/>
    <w:rsid w:val="000470AA"/>
    <w:rsid w:val="0005290B"/>
    <w:rsid w:val="00057CA1"/>
    <w:rsid w:val="000647A9"/>
    <w:rsid w:val="000662E2"/>
    <w:rsid w:val="00066883"/>
    <w:rsid w:val="00071B39"/>
    <w:rsid w:val="00074D66"/>
    <w:rsid w:val="00074DD8"/>
    <w:rsid w:val="00075759"/>
    <w:rsid w:val="00075BD4"/>
    <w:rsid w:val="000806F7"/>
    <w:rsid w:val="00094A47"/>
    <w:rsid w:val="00096CA1"/>
    <w:rsid w:val="00097840"/>
    <w:rsid w:val="000A09AB"/>
    <w:rsid w:val="000A2012"/>
    <w:rsid w:val="000B0727"/>
    <w:rsid w:val="000C135D"/>
    <w:rsid w:val="000C54F3"/>
    <w:rsid w:val="000D1D43"/>
    <w:rsid w:val="000D225C"/>
    <w:rsid w:val="000D2A5C"/>
    <w:rsid w:val="000D39F0"/>
    <w:rsid w:val="000D5778"/>
    <w:rsid w:val="000E0918"/>
    <w:rsid w:val="000E79A9"/>
    <w:rsid w:val="000F357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17A94"/>
    <w:rsid w:val="00130296"/>
    <w:rsid w:val="00133E7B"/>
    <w:rsid w:val="00134145"/>
    <w:rsid w:val="00136736"/>
    <w:rsid w:val="00136740"/>
    <w:rsid w:val="00136D67"/>
    <w:rsid w:val="0013709D"/>
    <w:rsid w:val="001423B6"/>
    <w:rsid w:val="00142EC9"/>
    <w:rsid w:val="001448A7"/>
    <w:rsid w:val="00146621"/>
    <w:rsid w:val="001617E3"/>
    <w:rsid w:val="00162325"/>
    <w:rsid w:val="001951DA"/>
    <w:rsid w:val="00196BB9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01A5E"/>
    <w:rsid w:val="00211BA9"/>
    <w:rsid w:val="00215D9B"/>
    <w:rsid w:val="00216634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9730C"/>
    <w:rsid w:val="002A4F22"/>
    <w:rsid w:val="002B0472"/>
    <w:rsid w:val="002B6B12"/>
    <w:rsid w:val="002C21F0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77C8"/>
    <w:rsid w:val="002F7CBF"/>
    <w:rsid w:val="003047E1"/>
    <w:rsid w:val="00304F22"/>
    <w:rsid w:val="00306C7C"/>
    <w:rsid w:val="00313122"/>
    <w:rsid w:val="00313F5C"/>
    <w:rsid w:val="00314F86"/>
    <w:rsid w:val="00317F4D"/>
    <w:rsid w:val="00322EDD"/>
    <w:rsid w:val="003309FA"/>
    <w:rsid w:val="00331135"/>
    <w:rsid w:val="00332320"/>
    <w:rsid w:val="00340F5D"/>
    <w:rsid w:val="00347D72"/>
    <w:rsid w:val="00353F45"/>
    <w:rsid w:val="00355C07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3A1C"/>
    <w:rsid w:val="003D4F95"/>
    <w:rsid w:val="003D5F42"/>
    <w:rsid w:val="003D60A9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4B9"/>
    <w:rsid w:val="004733F6"/>
    <w:rsid w:val="00474E69"/>
    <w:rsid w:val="00483E9F"/>
    <w:rsid w:val="00485A2C"/>
    <w:rsid w:val="00491556"/>
    <w:rsid w:val="0049621B"/>
    <w:rsid w:val="004A1D19"/>
    <w:rsid w:val="004B4292"/>
    <w:rsid w:val="004C1895"/>
    <w:rsid w:val="004C6D40"/>
    <w:rsid w:val="004D59A6"/>
    <w:rsid w:val="004E273C"/>
    <w:rsid w:val="004E6AA8"/>
    <w:rsid w:val="004F0C3C"/>
    <w:rsid w:val="004F2280"/>
    <w:rsid w:val="004F23BB"/>
    <w:rsid w:val="004F565A"/>
    <w:rsid w:val="004F63FC"/>
    <w:rsid w:val="00505A92"/>
    <w:rsid w:val="00506079"/>
    <w:rsid w:val="005203F1"/>
    <w:rsid w:val="00521BC3"/>
    <w:rsid w:val="005261DF"/>
    <w:rsid w:val="00531873"/>
    <w:rsid w:val="00533632"/>
    <w:rsid w:val="00534013"/>
    <w:rsid w:val="00540C5C"/>
    <w:rsid w:val="00541E6E"/>
    <w:rsid w:val="0054251F"/>
    <w:rsid w:val="005520D8"/>
    <w:rsid w:val="00553103"/>
    <w:rsid w:val="00553507"/>
    <w:rsid w:val="00555CFB"/>
    <w:rsid w:val="00556ADB"/>
    <w:rsid w:val="00556CF1"/>
    <w:rsid w:val="005762A7"/>
    <w:rsid w:val="005826A7"/>
    <w:rsid w:val="00587CEE"/>
    <w:rsid w:val="005916D7"/>
    <w:rsid w:val="0059427F"/>
    <w:rsid w:val="005A698C"/>
    <w:rsid w:val="005B1B2C"/>
    <w:rsid w:val="005B404C"/>
    <w:rsid w:val="005B58E2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54C2A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6F5D"/>
    <w:rsid w:val="006D7409"/>
    <w:rsid w:val="006E02EC"/>
    <w:rsid w:val="006E3C4F"/>
    <w:rsid w:val="006E6F41"/>
    <w:rsid w:val="006E73E6"/>
    <w:rsid w:val="006F67D7"/>
    <w:rsid w:val="00710E54"/>
    <w:rsid w:val="007211B1"/>
    <w:rsid w:val="007277DA"/>
    <w:rsid w:val="00731D27"/>
    <w:rsid w:val="007357EB"/>
    <w:rsid w:val="007441AA"/>
    <w:rsid w:val="00746187"/>
    <w:rsid w:val="0076254F"/>
    <w:rsid w:val="007668ED"/>
    <w:rsid w:val="007801F5"/>
    <w:rsid w:val="00783A43"/>
    <w:rsid w:val="00783CA4"/>
    <w:rsid w:val="007842FB"/>
    <w:rsid w:val="00786124"/>
    <w:rsid w:val="00787300"/>
    <w:rsid w:val="0079514B"/>
    <w:rsid w:val="00795252"/>
    <w:rsid w:val="007A2DC1"/>
    <w:rsid w:val="007B516E"/>
    <w:rsid w:val="007B5F4A"/>
    <w:rsid w:val="007C171C"/>
    <w:rsid w:val="007C78B0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35C16"/>
    <w:rsid w:val="00843795"/>
    <w:rsid w:val="00847F0F"/>
    <w:rsid w:val="00852448"/>
    <w:rsid w:val="00863DD1"/>
    <w:rsid w:val="00877F6C"/>
    <w:rsid w:val="0088258A"/>
    <w:rsid w:val="00886332"/>
    <w:rsid w:val="008925F0"/>
    <w:rsid w:val="008938CA"/>
    <w:rsid w:val="0089448A"/>
    <w:rsid w:val="00894C0B"/>
    <w:rsid w:val="00897877"/>
    <w:rsid w:val="008A26D9"/>
    <w:rsid w:val="008A7B5B"/>
    <w:rsid w:val="008B12D2"/>
    <w:rsid w:val="008B4D05"/>
    <w:rsid w:val="008C0C29"/>
    <w:rsid w:val="008D02DA"/>
    <w:rsid w:val="008D030A"/>
    <w:rsid w:val="008D76BC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412AF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91BAC"/>
    <w:rsid w:val="00995D80"/>
    <w:rsid w:val="009A6EA0"/>
    <w:rsid w:val="009B2A4A"/>
    <w:rsid w:val="009C1335"/>
    <w:rsid w:val="009C1AB2"/>
    <w:rsid w:val="009C2D75"/>
    <w:rsid w:val="009C7251"/>
    <w:rsid w:val="009D0892"/>
    <w:rsid w:val="009E2E91"/>
    <w:rsid w:val="009E6C5F"/>
    <w:rsid w:val="00A01B40"/>
    <w:rsid w:val="00A10D7C"/>
    <w:rsid w:val="00A139F5"/>
    <w:rsid w:val="00A32E16"/>
    <w:rsid w:val="00A3623D"/>
    <w:rsid w:val="00A365F4"/>
    <w:rsid w:val="00A460CD"/>
    <w:rsid w:val="00A47D80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D0E56"/>
    <w:rsid w:val="00AE229B"/>
    <w:rsid w:val="00AE2D4B"/>
    <w:rsid w:val="00AE4F99"/>
    <w:rsid w:val="00B00CF4"/>
    <w:rsid w:val="00B02DF9"/>
    <w:rsid w:val="00B11B69"/>
    <w:rsid w:val="00B13BC2"/>
    <w:rsid w:val="00B14952"/>
    <w:rsid w:val="00B16183"/>
    <w:rsid w:val="00B16871"/>
    <w:rsid w:val="00B25B45"/>
    <w:rsid w:val="00B31E5A"/>
    <w:rsid w:val="00B47359"/>
    <w:rsid w:val="00B653AB"/>
    <w:rsid w:val="00B65F9E"/>
    <w:rsid w:val="00B66B19"/>
    <w:rsid w:val="00B7386E"/>
    <w:rsid w:val="00B73B99"/>
    <w:rsid w:val="00B84C43"/>
    <w:rsid w:val="00B914E9"/>
    <w:rsid w:val="00B92773"/>
    <w:rsid w:val="00B956EE"/>
    <w:rsid w:val="00BA2BA1"/>
    <w:rsid w:val="00BA3447"/>
    <w:rsid w:val="00BA3562"/>
    <w:rsid w:val="00BA7954"/>
    <w:rsid w:val="00BB422A"/>
    <w:rsid w:val="00BB4F09"/>
    <w:rsid w:val="00BB54B5"/>
    <w:rsid w:val="00BC75AE"/>
    <w:rsid w:val="00BD4E33"/>
    <w:rsid w:val="00C030DE"/>
    <w:rsid w:val="00C051A8"/>
    <w:rsid w:val="00C22105"/>
    <w:rsid w:val="00C244B6"/>
    <w:rsid w:val="00C27BF1"/>
    <w:rsid w:val="00C310E6"/>
    <w:rsid w:val="00C32B14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31E8"/>
    <w:rsid w:val="00CE6A09"/>
    <w:rsid w:val="00CF18EE"/>
    <w:rsid w:val="00CF30BD"/>
    <w:rsid w:val="00CF4099"/>
    <w:rsid w:val="00CF4592"/>
    <w:rsid w:val="00CF5D36"/>
    <w:rsid w:val="00D00796"/>
    <w:rsid w:val="00D261A2"/>
    <w:rsid w:val="00D44CCE"/>
    <w:rsid w:val="00D616D2"/>
    <w:rsid w:val="00D63B5F"/>
    <w:rsid w:val="00D70732"/>
    <w:rsid w:val="00D70EF7"/>
    <w:rsid w:val="00D7255A"/>
    <w:rsid w:val="00D809DC"/>
    <w:rsid w:val="00D8397C"/>
    <w:rsid w:val="00D86BFD"/>
    <w:rsid w:val="00D87DE6"/>
    <w:rsid w:val="00D94EED"/>
    <w:rsid w:val="00D96026"/>
    <w:rsid w:val="00D972F6"/>
    <w:rsid w:val="00DA0DA6"/>
    <w:rsid w:val="00DA331D"/>
    <w:rsid w:val="00DA4475"/>
    <w:rsid w:val="00DA5D0F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44FA"/>
    <w:rsid w:val="00DF5E32"/>
    <w:rsid w:val="00E01436"/>
    <w:rsid w:val="00E03646"/>
    <w:rsid w:val="00E03E79"/>
    <w:rsid w:val="00E045BD"/>
    <w:rsid w:val="00E04D6C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1DFC"/>
    <w:rsid w:val="00E95036"/>
    <w:rsid w:val="00E95B8E"/>
    <w:rsid w:val="00E961D8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7E"/>
    <w:rsid w:val="00F46269"/>
    <w:rsid w:val="00F60BA8"/>
    <w:rsid w:val="00F62D5E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B42D4"/>
    <w:rsid w:val="00FB5906"/>
    <w:rsid w:val="00FB7150"/>
    <w:rsid w:val="00FB762F"/>
    <w:rsid w:val="00FC2AED"/>
    <w:rsid w:val="00FD08AE"/>
    <w:rsid w:val="00FD5EA7"/>
    <w:rsid w:val="00FE2EFA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rynek-pracy/pracujacy-zatrudnieni-wynagrodzenia-koszty-pracy/zatrudnienie-i-wynagrodzenia-w-gospodarce-narodowej-w-1-3-kwartale-2022-roku,1,48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461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yperlink" Target="https://bdm.stat.gov.pl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2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E0E636-2381-4539-BB0F-C5F8BC66C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1464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grudniu 2022 r</dc:title>
  <dc:subject/>
  <dc:creator>Główny Urząd Statystyczny</dc:creator>
  <cp:keywords/>
  <dc:description/>
  <cp:lastModifiedBy>Maciejska Agnieszka</cp:lastModifiedBy>
  <cp:revision>3</cp:revision>
  <cp:lastPrinted>2023-01-17T13:11:00Z</cp:lastPrinted>
  <dcterms:created xsi:type="dcterms:W3CDTF">2023-01-17T13:34:00Z</dcterms:created>
  <dcterms:modified xsi:type="dcterms:W3CDTF">2023-01-20T07:20:00Z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