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63F9C98D" w:rsidR="00393761" w:rsidRPr="00001C5B" w:rsidRDefault="00CF3D9C" w:rsidP="00184C3A">
      <w:pPr>
        <w:pStyle w:val="tytuinformacji"/>
        <w:spacing w:after="600"/>
        <w:rPr>
          <w:sz w:val="32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747EBA">
        <w:rPr>
          <w:shd w:val="clear" w:color="auto" w:fill="FFFFFF"/>
        </w:rPr>
        <w:t>2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113AF4">
        <w:rPr>
          <w:shd w:val="clear" w:color="auto" w:fill="FFFFFF"/>
        </w:rPr>
        <w:t>3</w:t>
      </w:r>
      <w:r w:rsidR="00BF0C5F" w:rsidRPr="00BF0C5F">
        <w:rPr>
          <w:shd w:val="clear" w:color="auto" w:fill="FFFFFF"/>
        </w:rPr>
        <w:t xml:space="preserve"> r.</w:t>
      </w:r>
    </w:p>
    <w:p w14:paraId="27715824" w14:textId="180035FC" w:rsidR="00BD5E55" w:rsidRPr="00BD5E55" w:rsidRDefault="00CB1421" w:rsidP="007A6021">
      <w:pPr>
        <w:pStyle w:val="LID"/>
        <w:rPr>
          <w:b w:val="0"/>
          <w:bCs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550A4100">
                <wp:simplePos x="0" y="0"/>
                <wp:positionH relativeFrom="margin">
                  <wp:posOffset>0</wp:posOffset>
                </wp:positionH>
                <wp:positionV relativeFrom="paragraph">
                  <wp:posOffset>73229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artość wskaźnika 7,0%&#10;Wzrost cen lokali mieszkalnych w porównaniu z 2 kwar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6641FD2B" w:rsidR="00CB1421" w:rsidRPr="00AE12EF" w:rsidRDefault="00CB1421" w:rsidP="00CB14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51552">
                              <w:rPr>
                                <w:rStyle w:val="WartowskanikaZnak"/>
                              </w:rPr>
                              <w:t>7,0</w:t>
                            </w:r>
                            <w:r w:rsidR="00D4174E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295CE1BB" w14:textId="72C07B74" w:rsidR="00CB1421" w:rsidRPr="007D605C" w:rsidRDefault="00CB1421" w:rsidP="00CB142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w porównaniu z </w:t>
                            </w:r>
                            <w:r w:rsidR="00F95B2C">
                              <w:t>2</w:t>
                            </w:r>
                            <w:r w:rsidRPr="00AE12EF">
                              <w:t xml:space="preserve"> kwartałem 202</w:t>
                            </w:r>
                            <w:r w:rsidR="00F95B2C">
                              <w:t>2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B4A5952" id="Pole tekstowe 2" o:spid="_x0000_s1026" alt="Wartość wskaźnika 7,0%&#10;Wzrost cen lokali mieszkalnych w porównaniu z 2 kwartałem 2022 r." style="position:absolute;margin-left:0;margin-top:5.75pt;width:173.55pt;height:83.4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" fillcolor="#001d77" stroked="f">
                <v:stroke joinstyle="miter"/>
                <v:textbox>
                  <w:txbxContent>
                    <w:p w14:paraId="40FF9DFE" w14:textId="6641FD2B" w:rsidR="00CB1421" w:rsidRPr="00AE12EF" w:rsidRDefault="00CB1421" w:rsidP="00CB14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51552">
                        <w:rPr>
                          <w:rStyle w:val="WartowskanikaZnak"/>
                        </w:rPr>
                        <w:t>7,0</w:t>
                      </w:r>
                      <w:r w:rsidR="00D4174E">
                        <w:rPr>
                          <w:rStyle w:val="WartowskanikaZnak"/>
                        </w:rPr>
                        <w:t>%</w:t>
                      </w:r>
                    </w:p>
                    <w:p w14:paraId="295CE1BB" w14:textId="72C07B74" w:rsidR="00CB1421" w:rsidRPr="007D605C" w:rsidRDefault="00CB1421" w:rsidP="00CB142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w porównaniu z </w:t>
                      </w:r>
                      <w:r w:rsidR="00F95B2C">
                        <w:t>2</w:t>
                      </w:r>
                      <w:r w:rsidRPr="00AE12EF">
                        <w:t xml:space="preserve"> kwartałem 202</w:t>
                      </w:r>
                      <w:r w:rsidR="00F95B2C">
                        <w:t>2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747EBA">
        <w:t>2</w:t>
      </w:r>
      <w:r w:rsidR="006B220B">
        <w:t xml:space="preserve"> kwartale </w:t>
      </w:r>
      <w:r w:rsidR="00BC4844">
        <w:t>202</w:t>
      </w:r>
      <w:r w:rsidR="00113AF4">
        <w:t>3</w:t>
      </w:r>
      <w:r w:rsidR="00B73097">
        <w:t xml:space="preserve"> r.</w:t>
      </w:r>
      <w:r w:rsidR="007068CE" w:rsidRPr="007068CE">
        <w:t xml:space="preserve"> </w:t>
      </w:r>
      <w:r w:rsidR="00EF3E9F">
        <w:t>wzros</w:t>
      </w:r>
      <w:r w:rsidR="00113AF4">
        <w:t>ły</w:t>
      </w:r>
      <w:r w:rsidR="00BD5E55">
        <w:t xml:space="preserve"> o </w:t>
      </w:r>
      <w:r w:rsidR="00EF3E9F">
        <w:t>3,2</w:t>
      </w:r>
      <w:r w:rsidR="008B15C2">
        <w:t xml:space="preserve">% w stosunku do </w:t>
      </w:r>
      <w:r w:rsidR="00747EBA">
        <w:t>1</w:t>
      </w:r>
      <w:r w:rsidR="00EC1EE7">
        <w:t xml:space="preserve"> kwarta</w:t>
      </w:r>
      <w:r w:rsidR="00EB5BF9">
        <w:t>ł</w:t>
      </w:r>
      <w:r w:rsidR="00EC1EE7">
        <w:t>u 20</w:t>
      </w:r>
      <w:r w:rsidR="00606999">
        <w:t>2</w:t>
      </w:r>
      <w:r w:rsidR="00747EBA">
        <w:t>3</w:t>
      </w:r>
      <w:r w:rsidR="00EC1EE7">
        <w:t xml:space="preserve"> r.</w:t>
      </w:r>
      <w:r w:rsidR="007346E8">
        <w:t>,</w:t>
      </w:r>
      <w:r w:rsidR="00EC1EE7">
        <w:t xml:space="preserve"> </w:t>
      </w:r>
      <w:r w:rsidR="008B15C2">
        <w:t xml:space="preserve"> </w:t>
      </w:r>
      <w:r w:rsidR="00F47FA5">
        <w:t>przy wzroście</w:t>
      </w:r>
      <w:r w:rsidR="00A5578E">
        <w:t xml:space="preserve"> cen</w:t>
      </w:r>
      <w:r w:rsidR="00EF5B0C">
        <w:t xml:space="preserve"> </w:t>
      </w:r>
      <w:r w:rsidR="00EC1EE7">
        <w:t>na rynku pierwotnym</w:t>
      </w:r>
      <w:r w:rsidR="00EF3E9F">
        <w:t xml:space="preserve"> </w:t>
      </w:r>
      <w:r w:rsidR="00EF5B0C">
        <w:t>(o 3,3%)</w:t>
      </w:r>
      <w:r w:rsidR="00EF3E9F">
        <w:t xml:space="preserve"> </w:t>
      </w:r>
      <w:r w:rsidR="00113AF4">
        <w:t xml:space="preserve"> i</w:t>
      </w:r>
      <w:r w:rsidR="007614DC">
        <w:t> </w:t>
      </w:r>
      <w:r w:rsidR="00EC1EE7">
        <w:t>na rynku wtórnym</w:t>
      </w:r>
      <w:r w:rsidR="00EF3E9F">
        <w:t xml:space="preserve"> </w:t>
      </w:r>
      <w:r w:rsidR="00EF5B0C">
        <w:t>(</w:t>
      </w:r>
      <w:r w:rsidR="00EF3E9F">
        <w:t>o 3,2%</w:t>
      </w:r>
      <w:r w:rsidR="00EF5B0C">
        <w:t>)</w:t>
      </w:r>
      <w:r w:rsidR="00EC1EE7">
        <w:t>.</w:t>
      </w:r>
      <w:r w:rsidR="00302288">
        <w:t xml:space="preserve"> </w:t>
      </w:r>
      <w:r w:rsidR="008B15C2">
        <w:t>W</w:t>
      </w:r>
      <w:r w:rsidR="007614DC">
        <w:t> </w:t>
      </w:r>
      <w:r w:rsidR="008B15C2">
        <w:t>porównaniu z</w:t>
      </w:r>
      <w:r w:rsidR="007346E8">
        <w:t> </w:t>
      </w:r>
      <w:r w:rsidR="008B15C2">
        <w:t xml:space="preserve">analogicznym </w:t>
      </w:r>
      <w:r w:rsidR="006B220B">
        <w:t xml:space="preserve">okresem </w:t>
      </w:r>
      <w:r w:rsidR="00BC4844">
        <w:t>20</w:t>
      </w:r>
      <w:r w:rsidR="00BF263D">
        <w:t>2</w:t>
      </w:r>
      <w:r w:rsidR="00113AF4">
        <w:t>2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E51552">
        <w:t>7,0</w:t>
      </w:r>
      <w:r w:rsidR="00F140E4">
        <w:t>% (</w:t>
      </w:r>
      <w:r w:rsidR="000361EC">
        <w:t xml:space="preserve">na rynku pierwotnym o </w:t>
      </w:r>
      <w:r w:rsidR="00E51552">
        <w:t>10,4</w:t>
      </w:r>
      <w:r w:rsidR="006B220B">
        <w:t>%</w:t>
      </w:r>
      <w:r w:rsidR="007346E8">
        <w:t>, a</w:t>
      </w:r>
      <w:r w:rsidR="006B220B">
        <w:t xml:space="preserve"> na rynku wtórnym </w:t>
      </w:r>
      <w:r w:rsidR="00E51552">
        <w:br/>
      </w:r>
      <w:r w:rsidR="000361EC">
        <w:t xml:space="preserve"> o </w:t>
      </w:r>
      <w:r w:rsidR="00E51552">
        <w:t>4,1</w:t>
      </w:r>
      <w:r w:rsidR="00F140E4">
        <w:t>%).</w:t>
      </w:r>
    </w:p>
    <w:p w14:paraId="424F137A" w14:textId="02F80FCE" w:rsidR="00CC7C9C" w:rsidRPr="005B724D" w:rsidRDefault="007068CE" w:rsidP="007A6021">
      <w:pPr>
        <w:pStyle w:val="Nagwek1"/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</w:pPr>
      <w:r w:rsidRPr="005B724D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Wskaźni</w:t>
      </w:r>
      <w:r w:rsidR="009C2EB1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ki cen lokali mieszkaln</w:t>
      </w:r>
      <w:r w:rsidR="006B220B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ych w </w:t>
      </w:r>
      <w:r w:rsidR="00747EBA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2</w:t>
      </w:r>
      <w:r w:rsidR="006B220B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 kwartale </w:t>
      </w:r>
      <w:r w:rsidR="00BC484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202</w:t>
      </w:r>
      <w:r w:rsidR="00113AF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>3</w:t>
      </w:r>
      <w:r w:rsidR="00F140E4" w:rsidRPr="005B724D">
        <w:rPr>
          <w:rFonts w:ascii="Fira Sans" w:hAnsi="Fira Sans"/>
          <w:b/>
          <w:color w:val="auto"/>
          <w:spacing w:val="-2"/>
          <w:sz w:val="18"/>
          <w:szCs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 przedstawiająca wskaźniki cen lokali mieszkalnych według województw w 2 kwartale 2023 r. w stosunku do: 1 kw. 2023 r., 2 kw. 2022 r. oraz do 2015."/>
      </w:tblPr>
      <w:tblGrid>
        <w:gridCol w:w="2324"/>
        <w:gridCol w:w="1653"/>
        <w:gridCol w:w="1654"/>
        <w:gridCol w:w="1654"/>
      </w:tblGrid>
      <w:tr w:rsidR="00BC4844" w:rsidRPr="00437A70" w14:paraId="3451B648" w14:textId="77777777" w:rsidTr="007143FF">
        <w:trPr>
          <w:trHeight w:val="170"/>
          <w:jc w:val="center"/>
        </w:trPr>
        <w:tc>
          <w:tcPr>
            <w:tcW w:w="2324" w:type="dxa"/>
            <w:vMerge w:val="restart"/>
            <w:vAlign w:val="center"/>
          </w:tcPr>
          <w:p w14:paraId="6EAB0436" w14:textId="77777777" w:rsidR="00BC4844" w:rsidRPr="007A6021" w:rsidRDefault="007A6021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7A60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vAlign w:val="center"/>
          </w:tcPr>
          <w:p w14:paraId="31CD841A" w14:textId="6C7A10B6" w:rsidR="00BC4844" w:rsidRPr="007A6021" w:rsidRDefault="00747EBA" w:rsidP="00113AF4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  <w:r w:rsidR="009715D7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113AF4"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</w:p>
        </w:tc>
      </w:tr>
      <w:tr w:rsidR="00BC4844" w:rsidRPr="00437A70" w14:paraId="0140FFD9" w14:textId="77777777" w:rsidTr="007143FF">
        <w:trPr>
          <w:trHeight w:val="341"/>
          <w:jc w:val="center"/>
        </w:trPr>
        <w:tc>
          <w:tcPr>
            <w:tcW w:w="2324" w:type="dxa"/>
            <w:vMerge/>
            <w:vAlign w:val="center"/>
          </w:tcPr>
          <w:p w14:paraId="3DCAC405" w14:textId="77777777" w:rsidR="00BC4844" w:rsidRPr="007A6021" w:rsidRDefault="00BC4844" w:rsidP="00184C3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26CEC1D2" w14:textId="07AAC9EF" w:rsidR="00BC4844" w:rsidRPr="007A6021" w:rsidRDefault="00747EBA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BC4844" w:rsidRPr="007A6021">
              <w:rPr>
                <w:color w:val="000000" w:themeColor="text1"/>
                <w:szCs w:val="19"/>
              </w:rPr>
              <w:t xml:space="preserve"> 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606999" w:rsidRPr="007A60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3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64EE4C22" w14:textId="0CA821E3" w:rsidR="00BC4844" w:rsidRPr="007A6021" w:rsidRDefault="00747EBA" w:rsidP="00113AF4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9715D7" w:rsidRPr="007A6021">
              <w:rPr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color w:val="000000" w:themeColor="text1"/>
                <w:szCs w:val="19"/>
              </w:rPr>
              <w:t>kw</w:t>
            </w:r>
            <w:r w:rsidR="00847702" w:rsidRPr="007A6021">
              <w:rPr>
                <w:color w:val="000000" w:themeColor="text1"/>
                <w:szCs w:val="19"/>
              </w:rPr>
              <w:t>.</w:t>
            </w:r>
            <w:r w:rsidR="00BC4844" w:rsidRPr="007A6021">
              <w:rPr>
                <w:color w:val="000000" w:themeColor="text1"/>
                <w:szCs w:val="19"/>
              </w:rPr>
              <w:t xml:space="preserve"> 20</w:t>
            </w:r>
            <w:r w:rsidR="00BF263D" w:rsidRPr="007A6021">
              <w:rPr>
                <w:color w:val="000000" w:themeColor="text1"/>
                <w:szCs w:val="19"/>
              </w:rPr>
              <w:t>2</w:t>
            </w:r>
            <w:r w:rsidR="00113AF4">
              <w:rPr>
                <w:color w:val="000000" w:themeColor="text1"/>
                <w:szCs w:val="19"/>
              </w:rPr>
              <w:t>2</w:t>
            </w:r>
            <w:r w:rsidR="00BC4844" w:rsidRPr="007A60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654" w:type="dxa"/>
            <w:vAlign w:val="center"/>
          </w:tcPr>
          <w:p w14:paraId="24EBB30F" w14:textId="77777777" w:rsidR="00BC4844" w:rsidRPr="007A6021" w:rsidRDefault="00BC4844" w:rsidP="00184C3A">
            <w:pPr>
              <w:jc w:val="center"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2015=100</w:t>
            </w:r>
          </w:p>
        </w:tc>
      </w:tr>
      <w:tr w:rsidR="00113AF4" w:rsidRPr="0051704F" w14:paraId="09C7504C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5A3E08E" w14:textId="77777777" w:rsidR="00113AF4" w:rsidRPr="007A6021" w:rsidRDefault="00113AF4" w:rsidP="00113AF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653" w:type="dxa"/>
            <w:shd w:val="clear" w:color="auto" w:fill="auto"/>
          </w:tcPr>
          <w:p w14:paraId="6AEA6E51" w14:textId="3B64E9FC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103,2</w:t>
            </w:r>
          </w:p>
        </w:tc>
        <w:tc>
          <w:tcPr>
            <w:tcW w:w="1654" w:type="dxa"/>
            <w:shd w:val="clear" w:color="auto" w:fill="auto"/>
          </w:tcPr>
          <w:p w14:paraId="3E9710B6" w14:textId="5BB62171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107,0</w:t>
            </w:r>
          </w:p>
        </w:tc>
        <w:tc>
          <w:tcPr>
            <w:tcW w:w="1654" w:type="dxa"/>
            <w:shd w:val="clear" w:color="auto" w:fill="auto"/>
          </w:tcPr>
          <w:p w14:paraId="4468F68D" w14:textId="430AB68D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175,0</w:t>
            </w:r>
          </w:p>
        </w:tc>
      </w:tr>
      <w:tr w:rsidR="00113AF4" w:rsidRPr="0051704F" w14:paraId="527494EA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3E603B9E" w14:textId="77777777" w:rsidR="00113AF4" w:rsidRPr="007A6021" w:rsidRDefault="00113AF4" w:rsidP="00113AF4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7A6021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1653" w:type="dxa"/>
            <w:shd w:val="clear" w:color="auto" w:fill="auto"/>
          </w:tcPr>
          <w:p w14:paraId="0CDBE53B" w14:textId="61F133C1" w:rsidR="00113AF4" w:rsidRPr="007A6021" w:rsidRDefault="00EF5B0C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103,3</w:t>
            </w:r>
          </w:p>
        </w:tc>
        <w:tc>
          <w:tcPr>
            <w:tcW w:w="1654" w:type="dxa"/>
            <w:shd w:val="clear" w:color="auto" w:fill="auto"/>
          </w:tcPr>
          <w:p w14:paraId="6AF5D130" w14:textId="650954AA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110,4</w:t>
            </w:r>
          </w:p>
        </w:tc>
        <w:tc>
          <w:tcPr>
            <w:tcW w:w="1654" w:type="dxa"/>
            <w:shd w:val="clear" w:color="auto" w:fill="auto"/>
          </w:tcPr>
          <w:p w14:paraId="73670696" w14:textId="04869B6F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163,4</w:t>
            </w:r>
          </w:p>
        </w:tc>
      </w:tr>
      <w:tr w:rsidR="00113AF4" w:rsidRPr="0051704F" w14:paraId="1766B1DE" w14:textId="77777777" w:rsidTr="007143FF">
        <w:trPr>
          <w:trHeight w:val="57"/>
          <w:jc w:val="center"/>
        </w:trPr>
        <w:tc>
          <w:tcPr>
            <w:tcW w:w="2324" w:type="dxa"/>
            <w:vAlign w:val="center"/>
          </w:tcPr>
          <w:p w14:paraId="5D81A88D" w14:textId="77777777" w:rsidR="00113AF4" w:rsidRPr="007A6021" w:rsidRDefault="00113AF4" w:rsidP="00113AF4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7A6021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1653" w:type="dxa"/>
            <w:shd w:val="clear" w:color="auto" w:fill="auto"/>
          </w:tcPr>
          <w:p w14:paraId="522C175E" w14:textId="1E664F2F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103,2</w:t>
            </w:r>
          </w:p>
        </w:tc>
        <w:tc>
          <w:tcPr>
            <w:tcW w:w="1654" w:type="dxa"/>
            <w:shd w:val="clear" w:color="auto" w:fill="auto"/>
          </w:tcPr>
          <w:p w14:paraId="00894B71" w14:textId="10844309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104,1</w:t>
            </w:r>
          </w:p>
        </w:tc>
        <w:tc>
          <w:tcPr>
            <w:tcW w:w="1654" w:type="dxa"/>
            <w:shd w:val="clear" w:color="auto" w:fill="auto"/>
          </w:tcPr>
          <w:p w14:paraId="2E1FDCCF" w14:textId="61DDE629" w:rsidR="00113AF4" w:rsidRPr="007A6021" w:rsidRDefault="00986549" w:rsidP="00113AF4">
            <w:pPr>
              <w:jc w:val="right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t>184,7</w:t>
            </w:r>
          </w:p>
        </w:tc>
      </w:tr>
    </w:tbl>
    <w:p w14:paraId="59C24742" w14:textId="77777777" w:rsidR="00C44EB3" w:rsidRPr="00184C3A" w:rsidRDefault="00E940FD" w:rsidP="00C72120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15E977D2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 descr="Przy obliczaniu wskaźników cen lokali mieszkalnych za 2023 r. rynkowi pierwotnemu przypisuje się wagę 51,8%, a rynkowi wtórnemu – 48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7777777" w:rsidR="00F22BD7" w:rsidRPr="00074DD8" w:rsidRDefault="00F22BD7" w:rsidP="007143FF">
                            <w:pPr>
                              <w:pStyle w:val="tekstzboku"/>
                              <w:spacing w:before="240" w:after="120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</w:t>
                            </w:r>
                            <w:r w:rsidR="00113AF4">
                              <w:t>3</w:t>
                            </w:r>
                            <w:r>
                              <w:t xml:space="preserve"> r. rynkowi </w:t>
                            </w:r>
                            <w:r w:rsidR="002A54C8">
                              <w:t xml:space="preserve">pierwotnemu </w:t>
                            </w:r>
                            <w:r w:rsidR="00E34475">
                              <w:t xml:space="preserve">przypisuje się wagę </w:t>
                            </w:r>
                            <w:r w:rsidR="00BF263D">
                              <w:t>5</w:t>
                            </w:r>
                            <w:r w:rsidR="002A54C8">
                              <w:t>1,8</w:t>
                            </w:r>
                            <w:r w:rsidR="00E34475">
                              <w:t xml:space="preserve">%, a rynkowi </w:t>
                            </w:r>
                            <w:r w:rsidR="002A54C8">
                              <w:t>wtórnemu</w:t>
                            </w:r>
                            <w:r w:rsidR="00E34475">
                              <w:t xml:space="preserve"> – </w:t>
                            </w:r>
                            <w:r w:rsidR="00BF263D">
                              <w:t>4</w:t>
                            </w:r>
                            <w:r w:rsidR="002A54C8">
                              <w:t>8</w:t>
                            </w:r>
                            <w:r w:rsidR="00891EE1">
                              <w:t>,2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3 r. rynkowi pierwotnemu przypisuje się wagę 51,8%, a rynkowi wtórnemu – 48,2%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" filled="f" stroked="f">
                <v:textbox>
                  <w:txbxContent>
                    <w:p w14:paraId="731EE102" w14:textId="77777777" w:rsidR="00F22BD7" w:rsidRPr="00074DD8" w:rsidRDefault="00F22BD7" w:rsidP="007143FF">
                      <w:pPr>
                        <w:pStyle w:val="tekstzboku"/>
                        <w:spacing w:before="240" w:after="120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</w:t>
                      </w:r>
                      <w:r w:rsidR="00113AF4">
                        <w:t>3</w:t>
                      </w:r>
                      <w:r>
                        <w:t xml:space="preserve"> r. rynkowi </w:t>
                      </w:r>
                      <w:r w:rsidR="002A54C8">
                        <w:t xml:space="preserve">pierwotnemu </w:t>
                      </w:r>
                      <w:r w:rsidR="00E34475">
                        <w:t xml:space="preserve">przypisuje się wagę </w:t>
                      </w:r>
                      <w:r w:rsidR="00BF263D">
                        <w:t>5</w:t>
                      </w:r>
                      <w:r w:rsidR="002A54C8">
                        <w:t>1,8</w:t>
                      </w:r>
                      <w:r w:rsidR="00E34475">
                        <w:t xml:space="preserve">%, a rynkowi </w:t>
                      </w:r>
                      <w:r w:rsidR="002A54C8">
                        <w:t>wtórnemu</w:t>
                      </w:r>
                      <w:r w:rsidR="00E34475">
                        <w:t xml:space="preserve"> – </w:t>
                      </w:r>
                      <w:r w:rsidR="00BF263D">
                        <w:t>4</w:t>
                      </w:r>
                      <w:r w:rsidR="002A54C8">
                        <w:t>8</w:t>
                      </w:r>
                      <w:r w:rsidR="00891EE1">
                        <w:t>,2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BC4844" w:rsidRPr="00184C3A">
        <w:rPr>
          <w:b/>
          <w:sz w:val="18"/>
          <w:szCs w:val="18"/>
        </w:rPr>
        <w:t>202</w:t>
      </w:r>
      <w:r w:rsidR="00113AF4">
        <w:rPr>
          <w:b/>
          <w:sz w:val="18"/>
          <w:szCs w:val="18"/>
        </w:rPr>
        <w:t>3</w:t>
      </w:r>
      <w:r w:rsidR="005E3B8D" w:rsidRPr="00184C3A">
        <w:rPr>
          <w:b/>
          <w:sz w:val="18"/>
          <w:szCs w:val="18"/>
        </w:rPr>
        <w:t xml:space="preserve"> r.</w:t>
      </w:r>
    </w:p>
    <w:p w14:paraId="0D349A9D" w14:textId="77777777" w:rsidR="001F4522" w:rsidRDefault="00113AF4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4DB3B263" wp14:editId="01CF5E27">
            <wp:simplePos x="0" y="0"/>
            <wp:positionH relativeFrom="column">
              <wp:posOffset>85725</wp:posOffset>
            </wp:positionH>
            <wp:positionV relativeFrom="paragraph">
              <wp:posOffset>6985</wp:posOffset>
            </wp:positionV>
            <wp:extent cx="5122545" cy="944880"/>
            <wp:effectExtent l="0" t="0" r="1905" b="7620"/>
            <wp:wrapNone/>
            <wp:docPr id="1" name="Wykres 1" descr="Wykres 1 przedstawiający system wag stosowany w obliczeniach wskaźników cen lokali mieszkalnych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C3CEC" w14:textId="77777777" w:rsidR="001F4522" w:rsidRDefault="001F4522" w:rsidP="00204445">
      <w:pPr>
        <w:spacing w:before="240"/>
        <w:rPr>
          <w:b/>
          <w:sz w:val="18"/>
        </w:rPr>
      </w:pPr>
    </w:p>
    <w:p w14:paraId="7459F2F0" w14:textId="77777777" w:rsidR="001F4522" w:rsidRDefault="001F4522" w:rsidP="00204445">
      <w:pPr>
        <w:spacing w:before="240"/>
        <w:rPr>
          <w:b/>
          <w:sz w:val="18"/>
        </w:rPr>
      </w:pPr>
    </w:p>
    <w:p w14:paraId="39C9CCC9" w14:textId="77777777" w:rsidR="006E095C" w:rsidRPr="005B724D" w:rsidRDefault="00AA6B32" w:rsidP="00C72120">
      <w:pPr>
        <w:spacing w:before="240"/>
        <w:rPr>
          <w:b/>
          <w:sz w:val="18"/>
          <w:szCs w:val="18"/>
        </w:rPr>
      </w:pPr>
      <w:r w:rsidRPr="005B724D">
        <w:rPr>
          <w:b/>
          <w:sz w:val="18"/>
          <w:szCs w:val="18"/>
        </w:rPr>
        <w:t>Wykres 2</w:t>
      </w:r>
      <w:r w:rsidR="00D24CF3" w:rsidRPr="005B724D">
        <w:rPr>
          <w:b/>
          <w:sz w:val="18"/>
          <w:szCs w:val="18"/>
        </w:rPr>
        <w:t xml:space="preserve">. </w:t>
      </w:r>
      <w:r w:rsidR="0025568B" w:rsidRPr="005B724D">
        <w:rPr>
          <w:b/>
          <w:sz w:val="18"/>
          <w:szCs w:val="18"/>
        </w:rPr>
        <w:t>Kwartalne z</w:t>
      </w:r>
      <w:r w:rsidR="003662A9" w:rsidRPr="005B724D">
        <w:rPr>
          <w:b/>
          <w:sz w:val="18"/>
          <w:szCs w:val="18"/>
        </w:rPr>
        <w:t>miany c</w:t>
      </w:r>
      <w:r w:rsidR="0025568B" w:rsidRPr="005B724D">
        <w:rPr>
          <w:b/>
          <w:sz w:val="18"/>
          <w:szCs w:val="18"/>
        </w:rPr>
        <w:t xml:space="preserve">en lokali mieszkalnych </w:t>
      </w:r>
      <w:r w:rsidR="003662A9" w:rsidRPr="005B724D">
        <w:rPr>
          <w:b/>
          <w:sz w:val="18"/>
          <w:szCs w:val="18"/>
        </w:rPr>
        <w:t xml:space="preserve">w </w:t>
      </w:r>
      <w:r w:rsidR="00D24CF3" w:rsidRPr="005B724D">
        <w:rPr>
          <w:b/>
          <w:sz w:val="18"/>
          <w:szCs w:val="18"/>
        </w:rPr>
        <w:t>stosunku do okresu</w:t>
      </w:r>
      <w:r w:rsidR="003662A9" w:rsidRPr="005B724D">
        <w:rPr>
          <w:b/>
          <w:sz w:val="18"/>
          <w:szCs w:val="18"/>
        </w:rPr>
        <w:t xml:space="preserve"> poprzedniego</w:t>
      </w:r>
    </w:p>
    <w:p w14:paraId="0DC20E91" w14:textId="2BEC6DA7" w:rsidR="00F95B2C" w:rsidRDefault="00D9341F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837626E" wp14:editId="1B9F49D0">
            <wp:extent cx="5122545" cy="2698124"/>
            <wp:effectExtent l="0" t="0" r="1905" b="6985"/>
            <wp:docPr id="32" name="Wykres 32" descr="Wykres 2 przedstawiający kwartalne zmiany cen lokali mieszkalnych w stosunku do okresu poprzedniego na rynku: ogółem, pierwotnym i wtórnym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0E2486" w14:textId="77777777" w:rsidR="00030AC9" w:rsidRDefault="00030AC9" w:rsidP="00C72120">
      <w:pPr>
        <w:spacing w:before="240" w:line="240" w:lineRule="auto"/>
        <w:ind w:left="851" w:right="-153" w:hanging="851"/>
        <w:rPr>
          <w:b/>
          <w:sz w:val="18"/>
        </w:rPr>
      </w:pPr>
    </w:p>
    <w:p w14:paraId="68B59874" w14:textId="77777777" w:rsidR="006E095C" w:rsidRPr="00184C3A" w:rsidRDefault="006E095C" w:rsidP="00C72120">
      <w:pPr>
        <w:spacing w:before="240" w:line="240" w:lineRule="auto"/>
        <w:ind w:left="851" w:right="-153" w:hanging="851"/>
        <w:rPr>
          <w:b/>
          <w:sz w:val="18"/>
        </w:rPr>
      </w:pPr>
      <w:r w:rsidRPr="00184C3A">
        <w:rPr>
          <w:b/>
          <w:sz w:val="18"/>
        </w:rPr>
        <w:lastRenderedPageBreak/>
        <w:t xml:space="preserve">Wykres 3.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Pr="00184C3A">
        <w:rPr>
          <w:b/>
          <w:sz w:val="18"/>
        </w:rPr>
        <w:t>en lokali mieszkalnych</w:t>
      </w:r>
      <w:r w:rsidR="00D309D6" w:rsidRPr="00184C3A">
        <w:rPr>
          <w:b/>
          <w:sz w:val="18"/>
        </w:rPr>
        <w:t xml:space="preserve"> </w:t>
      </w:r>
      <w:r w:rsidRPr="00184C3A">
        <w:rPr>
          <w:b/>
          <w:sz w:val="18"/>
        </w:rPr>
        <w:t>w s</w:t>
      </w:r>
      <w:r w:rsidR="00E67040" w:rsidRPr="00184C3A">
        <w:rPr>
          <w:b/>
          <w:sz w:val="18"/>
        </w:rPr>
        <w:t>tosunku do analogicznego okresu</w:t>
      </w:r>
      <w:r w:rsidR="00E61BB6" w:rsidRPr="00184C3A">
        <w:rPr>
          <w:b/>
          <w:sz w:val="18"/>
        </w:rPr>
        <w:t xml:space="preserve"> </w:t>
      </w:r>
      <w:r w:rsidR="00F413E7" w:rsidRPr="00184C3A">
        <w:rPr>
          <w:b/>
          <w:sz w:val="18"/>
        </w:rPr>
        <w:t>roku</w:t>
      </w:r>
      <w:r w:rsidR="00D309D6" w:rsidRPr="00184C3A">
        <w:rPr>
          <w:b/>
          <w:sz w:val="18"/>
        </w:rPr>
        <w:t xml:space="preserve"> </w:t>
      </w:r>
      <w:r w:rsidR="00143BE8" w:rsidRPr="00184C3A">
        <w:rPr>
          <w:b/>
          <w:sz w:val="18"/>
        </w:rPr>
        <w:br/>
      </w:r>
      <w:r w:rsidR="00D309D6" w:rsidRPr="00184C3A">
        <w:rPr>
          <w:b/>
          <w:sz w:val="18"/>
        </w:rPr>
        <w:t>poprzedniego</w:t>
      </w:r>
    </w:p>
    <w:p w14:paraId="19A69ACC" w14:textId="722FD1C2" w:rsidR="006E095C" w:rsidRDefault="00D9341F" w:rsidP="001B33E1">
      <w:pPr>
        <w:spacing w:before="0" w:after="160" w:line="259" w:lineRule="auto"/>
        <w:ind w:left="284" w:hanging="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F8EE2D5" wp14:editId="3FE204B7">
            <wp:extent cx="5122545" cy="3123126"/>
            <wp:effectExtent l="0" t="0" r="1905" b="1270"/>
            <wp:docPr id="33" name="Wykres 33" descr="Wykres 3 przedstawiający kwartalne zmiany cen lokali mieszkalnych w stosunku do analogicznego okresu roku poprzedniego na rynku: ogółem, pierwotnym i wtórnym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8D32DE" w14:textId="77777777" w:rsidR="0087115A" w:rsidRPr="00184C3A" w:rsidRDefault="00E940FD" w:rsidP="00C72120">
      <w:pPr>
        <w:spacing w:before="360" w:line="240" w:lineRule="auto"/>
        <w:rPr>
          <w:b/>
          <w:sz w:val="18"/>
        </w:rPr>
      </w:pPr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68843BEC">
                <wp:simplePos x="0" y="0"/>
                <wp:positionH relativeFrom="column">
                  <wp:posOffset>5248910</wp:posOffset>
                </wp:positionH>
                <wp:positionV relativeFrom="paragraph">
                  <wp:posOffset>86995</wp:posOffset>
                </wp:positionV>
                <wp:extent cx="1793240" cy="1504950"/>
                <wp:effectExtent l="0" t="0" r="0" b="0"/>
                <wp:wrapTight wrapText="bothSides">
                  <wp:wrapPolygon edited="0">
                    <wp:start x="688" y="0"/>
                    <wp:lineTo x="688" y="21327"/>
                    <wp:lineTo x="20881" y="21327"/>
                    <wp:lineTo x="20881" y="0"/>
                    <wp:lineTo x="688" y="0"/>
                  </wp:wrapPolygon>
                </wp:wrapTight>
                <wp:docPr id="12" name="Pole tekstowe 6" descr="W 2 kwartale 2023 r. ceny lokali mieszkalnych były o 75,0% wyższe w porównaniu ze średnią ceną dla 2015 r. (na rynku pierwotnym – o 63,4%, a na rynku wtórnym – o 84,7%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79920179" w:rsidR="00F22BD7" w:rsidRDefault="0032064E" w:rsidP="00907C44">
                            <w:pPr>
                              <w:pStyle w:val="tekstzboku"/>
                              <w:spacing w:before="240" w:after="120"/>
                            </w:pPr>
                            <w:r>
                              <w:t xml:space="preserve">W </w:t>
                            </w:r>
                            <w:r w:rsidR="00747EBA">
                              <w:t>2</w:t>
                            </w:r>
                            <w:r>
                              <w:t xml:space="preserve"> kwartale 202</w:t>
                            </w:r>
                            <w:r w:rsidR="009B6929">
                              <w:t>3</w:t>
                            </w:r>
                            <w:r>
                              <w:t xml:space="preserve">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B274DB">
                              <w:t>75,0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</w:t>
                            </w:r>
                            <w:r w:rsidR="00EA6C5E">
                              <w:t>na rynku pierwotnym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B274DB">
                              <w:t>63,4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>–</w:t>
                            </w:r>
                            <w:r w:rsidR="00D97027">
                              <w:t xml:space="preserve"> </w:t>
                            </w:r>
                            <w:r w:rsidR="00EA6C5E">
                              <w:t xml:space="preserve"> o</w:t>
                            </w:r>
                            <w:r w:rsidR="008B5DEA">
                              <w:t> </w:t>
                            </w:r>
                            <w:r w:rsidR="00B274DB">
                              <w:t>84,7</w:t>
                            </w:r>
                            <w:r w:rsidR="00F22BD7">
                              <w:t>%)</w:t>
                            </w:r>
                          </w:p>
                          <w:p w14:paraId="5744FA52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A48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2 kwartale 2023 r. ceny lokali mieszkalnych były o 75,0% wyższe w porównaniu ze średnią ceną dla 2015 r. (na rynku pierwotnym – o 63,4%, a na rynku wtórnym – o 84,7%)&#10;&#10;" style="position:absolute;margin-left:413.3pt;margin-top:6.85pt;width:141.2pt;height:118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" filled="f" stroked="f">
                <v:textbox>
                  <w:txbxContent>
                    <w:p w14:paraId="736726B6" w14:textId="79920179" w:rsidR="00F22BD7" w:rsidRDefault="0032064E" w:rsidP="00907C44">
                      <w:pPr>
                        <w:pStyle w:val="tekstzboku"/>
                        <w:spacing w:before="240" w:after="120"/>
                      </w:pPr>
                      <w:r>
                        <w:t xml:space="preserve">W </w:t>
                      </w:r>
                      <w:r w:rsidR="00747EBA">
                        <w:t>2</w:t>
                      </w:r>
                      <w:r>
                        <w:t xml:space="preserve"> kwartale 202</w:t>
                      </w:r>
                      <w:r w:rsidR="009B6929">
                        <w:t>3</w:t>
                      </w:r>
                      <w:r>
                        <w:t xml:space="preserve">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B274DB">
                        <w:t>75,0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</w:t>
                      </w:r>
                      <w:r w:rsidR="00EA6C5E">
                        <w:t>na rynku pierwotnym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B274DB">
                        <w:t>63,4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>–</w:t>
                      </w:r>
                      <w:r w:rsidR="00D97027">
                        <w:t xml:space="preserve"> </w:t>
                      </w:r>
                      <w:r w:rsidR="00EA6C5E">
                        <w:t xml:space="preserve"> o</w:t>
                      </w:r>
                      <w:r w:rsidR="008B5DEA">
                        <w:t> </w:t>
                      </w:r>
                      <w:r w:rsidR="00B274DB">
                        <w:t>84,7</w:t>
                      </w:r>
                      <w:r w:rsidR="00F22BD7">
                        <w:t>%)</w:t>
                      </w:r>
                    </w:p>
                    <w:p w14:paraId="5744FA52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 w:rsidRPr="00184C3A">
        <w:rPr>
          <w:b/>
          <w:sz w:val="18"/>
        </w:rPr>
        <w:t xml:space="preserve">Wykres 4. </w:t>
      </w:r>
      <w:r w:rsidR="0025568B" w:rsidRPr="00184C3A">
        <w:rPr>
          <w:b/>
          <w:sz w:val="18"/>
        </w:rPr>
        <w:t>Kwartalne z</w:t>
      </w:r>
      <w:r w:rsidR="00D309D6" w:rsidRPr="00184C3A">
        <w:rPr>
          <w:b/>
          <w:sz w:val="18"/>
        </w:rPr>
        <w:t>miany c</w:t>
      </w:r>
      <w:r w:rsidR="0087115A" w:rsidRPr="00184C3A">
        <w:rPr>
          <w:b/>
          <w:sz w:val="18"/>
        </w:rPr>
        <w:t>en lokali mieszkalnych w stosunku do 201</w:t>
      </w:r>
      <w:r w:rsidR="00C7541C" w:rsidRPr="00184C3A">
        <w:rPr>
          <w:b/>
          <w:sz w:val="18"/>
        </w:rPr>
        <w:t>5</w:t>
      </w:r>
      <w:r w:rsidR="0087115A" w:rsidRPr="00184C3A">
        <w:rPr>
          <w:b/>
          <w:sz w:val="18"/>
        </w:rPr>
        <w:t xml:space="preserve"> r</w:t>
      </w:r>
      <w:r w:rsidR="00C7541C" w:rsidRPr="00184C3A">
        <w:rPr>
          <w:b/>
          <w:sz w:val="18"/>
        </w:rPr>
        <w:t>.</w:t>
      </w:r>
    </w:p>
    <w:p w14:paraId="6EE52F4F" w14:textId="2B4C5978" w:rsidR="00D309D6" w:rsidRDefault="00D9341F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2B1123D7" wp14:editId="5CDBB72C">
            <wp:extent cx="5122545" cy="4475409"/>
            <wp:effectExtent l="0" t="0" r="1905" b="1905"/>
            <wp:docPr id="34" name="Wykres 34" descr="Wykres 4 przedstawiający kwartalne zmiany cen lokali mieszkalnych w stosunku do 2015 r. na rynku: ogółem, pierwotnym i wtórnym w latach 2013-2023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14:paraId="6954E089" w14:textId="4A772593" w:rsidR="00F352F0" w:rsidRPr="00C72120" w:rsidRDefault="00E940FD" w:rsidP="00854874">
      <w:pPr>
        <w:spacing w:before="240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25BA680A">
                <wp:simplePos x="0" y="0"/>
                <wp:positionH relativeFrom="column">
                  <wp:posOffset>5213837</wp:posOffset>
                </wp:positionH>
                <wp:positionV relativeFrom="paragraph">
                  <wp:posOffset>554355</wp:posOffset>
                </wp:positionV>
                <wp:extent cx="1805940" cy="1793240"/>
                <wp:effectExtent l="0" t="0" r="0" b="0"/>
                <wp:wrapTight wrapText="bothSides">
                  <wp:wrapPolygon edited="0">
                    <wp:start x="684" y="0"/>
                    <wp:lineTo x="684" y="21340"/>
                    <wp:lineTo x="20734" y="21340"/>
                    <wp:lineTo x="20734" y="0"/>
                    <wp:lineTo x="684" y="0"/>
                  </wp:wrapPolygon>
                </wp:wrapTight>
                <wp:docPr id="10" name="Pole tekstowe 6" descr="W 2 kwartale 2023 r. największy wzrost cen lokali mieszkalnych  w stosunku do poprzedniego kwartału odnotowano w województwie dolnośląskim (o 7,1%). Największy spadek cen zaobserwowano w województwie podlaskim (o 2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6D87" w14:textId="0E06310F" w:rsidR="006F5619" w:rsidRPr="00074DD8" w:rsidRDefault="006F5619" w:rsidP="006F5619">
                            <w:pPr>
                              <w:pStyle w:val="tekstzboku"/>
                              <w:ind w:right="-39"/>
                            </w:pPr>
                            <w:r>
                              <w:t>W 2</w:t>
                            </w:r>
                            <w:r w:rsidRPr="00AD1D43">
                              <w:t xml:space="preserve"> kwartale 202</w:t>
                            </w:r>
                            <w:r>
                              <w:t>3 r. n</w:t>
                            </w:r>
                            <w:r w:rsidRPr="00AD1D43">
                              <w:t xml:space="preserve">ajwiększy wzrost cen lokali mieszkalnych </w:t>
                            </w:r>
                            <w:r>
                              <w:t xml:space="preserve"> </w:t>
                            </w:r>
                            <w:r w:rsidRPr="00AD1D43">
                              <w:t xml:space="preserve">w stosunku do </w:t>
                            </w:r>
                            <w:r>
                              <w:t xml:space="preserve">poprzedniego </w:t>
                            </w:r>
                            <w:r w:rsidRPr="00AD1D43">
                              <w:t xml:space="preserve">kwartału odnotowano w województwie </w:t>
                            </w:r>
                            <w:r>
                              <w:t xml:space="preserve">dolnośląskim </w:t>
                            </w:r>
                            <w:r w:rsidRPr="00AD1D43">
                              <w:t>(o</w:t>
                            </w:r>
                            <w:r>
                              <w:t> 7,1</w:t>
                            </w:r>
                            <w:r w:rsidRPr="00AD1D43">
                              <w:t>%)</w:t>
                            </w:r>
                            <w:r>
                              <w:t xml:space="preserve">. Największy spadek cen zaobserwowano </w:t>
                            </w:r>
                            <w:r w:rsidRPr="00AD1D43">
                              <w:t>w</w:t>
                            </w:r>
                            <w:r>
                              <w:t> </w:t>
                            </w:r>
                            <w:r w:rsidRPr="00AD1D43">
                              <w:t>województw</w:t>
                            </w:r>
                            <w:r>
                              <w:t>ie podlaskim (o 2,0%)</w:t>
                            </w:r>
                          </w:p>
                          <w:p w14:paraId="58AC419C" w14:textId="77777777" w:rsidR="006F5619" w:rsidRPr="00074DD8" w:rsidRDefault="006F5619" w:rsidP="00ED4101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16017" id="_x0000_s1029" type="#_x0000_t202" alt="W 2 kwartale 2023 r. największy wzrost cen lokali mieszkalnych  w stosunku do poprzedniego kwartału odnotowano w województwie dolnośląskim (o 7,1%). Największy spadek cen zaobserwowano w województwie podlaskim (o 2,0%)" style="position:absolute;margin-left:410.55pt;margin-top:43.65pt;width:142.2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" filled="f" stroked="f">
                <v:textbox>
                  <w:txbxContent>
                    <w:p w14:paraId="41E46D87" w14:textId="0E06310F" w:rsidR="006F5619" w:rsidRPr="00074DD8" w:rsidRDefault="006F5619" w:rsidP="006F5619">
                      <w:pPr>
                        <w:pStyle w:val="tekstzboku"/>
                        <w:ind w:right="-39"/>
                      </w:pPr>
                      <w:r>
                        <w:t>W 2</w:t>
                      </w:r>
                      <w:r w:rsidRPr="00AD1D43">
                        <w:t xml:space="preserve"> kwartale 202</w:t>
                      </w:r>
                      <w:r>
                        <w:t>3 r. n</w:t>
                      </w:r>
                      <w:r w:rsidRPr="00AD1D43">
                        <w:t xml:space="preserve">ajwiększy wzrost cen lokali mieszkalnych </w:t>
                      </w:r>
                      <w:r>
                        <w:t xml:space="preserve"> </w:t>
                      </w:r>
                      <w:r w:rsidRPr="00AD1D43">
                        <w:t xml:space="preserve">w stosunku do </w:t>
                      </w:r>
                      <w:r>
                        <w:t xml:space="preserve">poprzedniego </w:t>
                      </w:r>
                      <w:r w:rsidRPr="00AD1D43">
                        <w:t xml:space="preserve">kwartału odnotowano w województwie </w:t>
                      </w:r>
                      <w:r>
                        <w:t xml:space="preserve">dolnośląskim </w:t>
                      </w:r>
                      <w:r w:rsidRPr="00AD1D43">
                        <w:t>(o</w:t>
                      </w:r>
                      <w:r>
                        <w:t> 7,1</w:t>
                      </w:r>
                      <w:r w:rsidRPr="00AD1D43">
                        <w:t>%)</w:t>
                      </w:r>
                      <w:r>
                        <w:t xml:space="preserve">. Największy spadek cen zaobserwowano </w:t>
                      </w:r>
                      <w:r w:rsidRPr="00AD1D43">
                        <w:t>w</w:t>
                      </w:r>
                      <w:r>
                        <w:t> </w:t>
                      </w:r>
                      <w:r w:rsidRPr="00AD1D43">
                        <w:t>województw</w:t>
                      </w:r>
                      <w:r>
                        <w:t>ie podlaskim (o 2,0%)</w:t>
                      </w:r>
                    </w:p>
                    <w:p w14:paraId="58AC419C" w14:textId="77777777" w:rsidR="006F5619" w:rsidRPr="00074DD8" w:rsidRDefault="006F5619" w:rsidP="00ED4101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6F5619">
        <w:rPr>
          <w:b/>
          <w:spacing w:val="-2"/>
          <w:szCs w:val="19"/>
          <w:shd w:val="clear" w:color="auto" w:fill="FFFFFF"/>
        </w:rPr>
        <w:t>2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 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2A61BC">
        <w:rPr>
          <w:b/>
          <w:spacing w:val="-2"/>
          <w:szCs w:val="19"/>
          <w:shd w:val="clear" w:color="auto" w:fill="FFFFFF"/>
        </w:rPr>
        <w:t>3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2F5496" w:themeColor="accent5" w:themeShade="BF"/>
          <w:bottom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przedstawiająca wskaźniki cen lokali mieszkalnych według województw w 2 kwartale 2023 r. w stosunku do 1 kw. 2023 r. i do 2 kw. 2022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1A44D4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0AA25E4C" w:rsidR="00F95B4F" w:rsidRPr="00CB1421" w:rsidRDefault="00747EBA" w:rsidP="002A61B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2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2A61BC"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</w:p>
        </w:tc>
      </w:tr>
      <w:tr w:rsidR="00F95B4F" w:rsidRPr="00CB1421" w14:paraId="015C45F7" w14:textId="77777777" w:rsidTr="001A44D4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C7212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3D4CFF08" w:rsidR="0018393E" w:rsidRPr="00CB1421" w:rsidRDefault="00747EBA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1</w:t>
            </w:r>
            <w:r w:rsidR="00BC3205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BC3205" w:rsidRPr="00CB1421">
              <w:rPr>
                <w:color w:val="000000" w:themeColor="text1"/>
                <w:szCs w:val="19"/>
              </w:rPr>
              <w:t>2</w:t>
            </w:r>
            <w:r>
              <w:rPr>
                <w:color w:val="000000" w:themeColor="text1"/>
                <w:szCs w:val="19"/>
              </w:rPr>
              <w:t>3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29339DF4" w:rsidR="0018393E" w:rsidRPr="00CB1421" w:rsidRDefault="00747EBA" w:rsidP="002A61B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0E0158" w:rsidRPr="00CB1421">
              <w:rPr>
                <w:color w:val="000000" w:themeColor="text1"/>
                <w:szCs w:val="19"/>
              </w:rPr>
              <w:t xml:space="preserve"> 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C135F6" w:rsidRPr="00CB1421">
              <w:rPr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color w:val="000000" w:themeColor="text1"/>
                <w:szCs w:val="19"/>
              </w:rPr>
              <w:t>20</w:t>
            </w:r>
            <w:r w:rsidR="003C2736" w:rsidRPr="00CB1421">
              <w:rPr>
                <w:color w:val="000000" w:themeColor="text1"/>
                <w:szCs w:val="19"/>
              </w:rPr>
              <w:t>2</w:t>
            </w:r>
            <w:r w:rsidR="002A61BC">
              <w:rPr>
                <w:color w:val="000000" w:themeColor="text1"/>
                <w:szCs w:val="19"/>
              </w:rPr>
              <w:t>2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</w:tr>
      <w:tr w:rsidR="00FE3B6D" w:rsidRPr="00F95B4F" w14:paraId="5BCBC62D" w14:textId="77777777" w:rsidTr="005E520D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FE3B6D" w:rsidRPr="00CB1421" w:rsidRDefault="00FE3B6D" w:rsidP="00FE3B6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B1421">
              <w:rPr>
                <w:rFonts w:eastAsiaTheme="majorEastAsia" w:cstheme="majorBidi"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06C5E10C" w14:textId="4D39AAF3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2296" w:type="dxa"/>
            <w:gridSpan w:val="2"/>
            <w:tcBorders>
              <w:top w:val="single" w:sz="8" w:space="0" w:color="2F5496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70572FA5" w14:textId="59C2DCF2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FE3B6D" w:rsidRPr="00F95B4F" w14:paraId="5E8B0FFE" w14:textId="77777777" w:rsidTr="005E520D">
        <w:trPr>
          <w:trHeight w:val="57"/>
        </w:trPr>
        <w:tc>
          <w:tcPr>
            <w:tcW w:w="3494" w:type="dxa"/>
          </w:tcPr>
          <w:p w14:paraId="337E824B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175937D6" w14:textId="41103EE8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54BFD63F" w14:textId="60FF9A73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FE3B6D" w:rsidRPr="00F95B4F" w14:paraId="278ADF58" w14:textId="77777777" w:rsidTr="005E520D">
        <w:trPr>
          <w:trHeight w:val="57"/>
        </w:trPr>
        <w:tc>
          <w:tcPr>
            <w:tcW w:w="3494" w:type="dxa"/>
          </w:tcPr>
          <w:p w14:paraId="17F16CB3" w14:textId="065738D6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 w:rsidR="008B5DEA">
              <w:rPr>
                <w:szCs w:val="19"/>
              </w:rPr>
              <w:t>p</w:t>
            </w:r>
            <w:r w:rsidR="008B5DEA"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23E3D84F" w14:textId="349F8FE0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76EE1AE6" w14:textId="2BA8CCEF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FE3B6D" w:rsidRPr="00F95B4F" w14:paraId="7CB543C9" w14:textId="77777777" w:rsidTr="005E520D">
        <w:trPr>
          <w:trHeight w:val="57"/>
        </w:trPr>
        <w:tc>
          <w:tcPr>
            <w:tcW w:w="3494" w:type="dxa"/>
          </w:tcPr>
          <w:p w14:paraId="15A6FB21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41FCD164" w14:textId="4B51A62D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1AF9D035" w14:textId="1F5186C4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108,5</w:t>
            </w:r>
          </w:p>
        </w:tc>
      </w:tr>
      <w:tr w:rsidR="00FE3B6D" w:rsidRPr="00F95B4F" w14:paraId="77EB1B6C" w14:textId="77777777" w:rsidTr="005E520D">
        <w:trPr>
          <w:trHeight w:val="57"/>
        </w:trPr>
        <w:tc>
          <w:tcPr>
            <w:tcW w:w="3494" w:type="dxa"/>
          </w:tcPr>
          <w:p w14:paraId="50F6819C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1BD726CC" w14:textId="7B504AC1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27F833E2" w14:textId="02B13809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FE3B6D" w:rsidRPr="00F95B4F" w14:paraId="5686E38C" w14:textId="77777777" w:rsidTr="005E520D">
        <w:trPr>
          <w:trHeight w:val="57"/>
        </w:trPr>
        <w:tc>
          <w:tcPr>
            <w:tcW w:w="3494" w:type="dxa"/>
          </w:tcPr>
          <w:p w14:paraId="1187F287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276FD4ED" w14:textId="42185316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08483E33" w14:textId="1AEE6FD1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FE3B6D" w:rsidRPr="00F95B4F" w14:paraId="4AE035D2" w14:textId="77777777" w:rsidTr="005E520D">
        <w:trPr>
          <w:trHeight w:val="57"/>
        </w:trPr>
        <w:tc>
          <w:tcPr>
            <w:tcW w:w="3494" w:type="dxa"/>
          </w:tcPr>
          <w:p w14:paraId="0FD45478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5FB93491" w14:textId="00650014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5F22889F" w14:textId="235F82AA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FE3B6D" w:rsidRPr="00F95B4F" w14:paraId="7C60A817" w14:textId="77777777" w:rsidTr="005E520D">
        <w:trPr>
          <w:trHeight w:val="57"/>
        </w:trPr>
        <w:tc>
          <w:tcPr>
            <w:tcW w:w="3494" w:type="dxa"/>
          </w:tcPr>
          <w:p w14:paraId="167D8F03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69E411C5" w14:textId="6F253A94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6D8AAECC" w14:textId="3540E404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FE3B6D" w:rsidRPr="00F95B4F" w14:paraId="1D590170" w14:textId="77777777" w:rsidTr="005E520D">
        <w:trPr>
          <w:trHeight w:val="57"/>
        </w:trPr>
        <w:tc>
          <w:tcPr>
            <w:tcW w:w="3494" w:type="dxa"/>
          </w:tcPr>
          <w:p w14:paraId="231D6E6C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3B21E6A6" w14:textId="3F43343A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1E9A37BD" w14:textId="3A19AD25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109,2</w:t>
            </w:r>
          </w:p>
        </w:tc>
      </w:tr>
      <w:tr w:rsidR="00FE3B6D" w:rsidRPr="00F95B4F" w14:paraId="7DD98E9E" w14:textId="77777777" w:rsidTr="005E520D">
        <w:trPr>
          <w:trHeight w:val="57"/>
        </w:trPr>
        <w:tc>
          <w:tcPr>
            <w:tcW w:w="3494" w:type="dxa"/>
          </w:tcPr>
          <w:p w14:paraId="7A98ECDE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57C3EFEA" w14:textId="4FDFF643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12D7DA2C" w14:textId="717932F7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FE3B6D" w:rsidRPr="00F95B4F" w14:paraId="3645476D" w14:textId="77777777" w:rsidTr="005E520D">
        <w:trPr>
          <w:trHeight w:val="57"/>
        </w:trPr>
        <w:tc>
          <w:tcPr>
            <w:tcW w:w="3494" w:type="dxa"/>
          </w:tcPr>
          <w:p w14:paraId="1E412BED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453EE58F" w14:textId="49A93285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18F97D36" w14:textId="5F6B315A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FE3B6D" w:rsidRPr="00F95B4F" w14:paraId="43E28B7F" w14:textId="77777777" w:rsidTr="005E520D">
        <w:trPr>
          <w:trHeight w:val="57"/>
        </w:trPr>
        <w:tc>
          <w:tcPr>
            <w:tcW w:w="3494" w:type="dxa"/>
          </w:tcPr>
          <w:p w14:paraId="1AD1ED07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027EE383" w14:textId="7B0F01F4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58EAD462" w14:textId="48D40C0F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FE3B6D" w:rsidRPr="00F95B4F" w14:paraId="7A008DAE" w14:textId="77777777" w:rsidTr="005E520D">
        <w:trPr>
          <w:trHeight w:val="57"/>
        </w:trPr>
        <w:tc>
          <w:tcPr>
            <w:tcW w:w="3494" w:type="dxa"/>
          </w:tcPr>
          <w:p w14:paraId="650E5416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71BCBEBC" w14:textId="5FB4263F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70EE1DF7" w14:textId="438BDD67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FE3B6D" w:rsidRPr="00F95B4F" w14:paraId="24B6C19B" w14:textId="77777777" w:rsidTr="005E520D">
        <w:trPr>
          <w:trHeight w:val="57"/>
        </w:trPr>
        <w:tc>
          <w:tcPr>
            <w:tcW w:w="3494" w:type="dxa"/>
          </w:tcPr>
          <w:p w14:paraId="02483D48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2863AA61" w14:textId="52B73BF8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128C2010" w14:textId="292E0A7C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FE3B6D" w:rsidRPr="00F95B4F" w14:paraId="3C0BBC12" w14:textId="77777777" w:rsidTr="005E520D">
        <w:trPr>
          <w:trHeight w:val="57"/>
        </w:trPr>
        <w:tc>
          <w:tcPr>
            <w:tcW w:w="3494" w:type="dxa"/>
          </w:tcPr>
          <w:p w14:paraId="122E2F34" w14:textId="5B2C181F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 w:rsidR="008B5DEA">
              <w:rPr>
                <w:szCs w:val="19"/>
              </w:rPr>
              <w:t>m</w:t>
            </w:r>
            <w:r w:rsidR="008B5DEA"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10D593D8" w14:textId="66F19798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6C95708D" w14:textId="1CE29CAA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FE3B6D" w:rsidRPr="00F95B4F" w14:paraId="28E5FFEE" w14:textId="77777777" w:rsidTr="005E520D">
        <w:trPr>
          <w:trHeight w:val="57"/>
        </w:trPr>
        <w:tc>
          <w:tcPr>
            <w:tcW w:w="3494" w:type="dxa"/>
          </w:tcPr>
          <w:p w14:paraId="293AD947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51AE515C" w14:textId="01E002CB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277404B9" w14:textId="365C6C69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106,6</w:t>
            </w:r>
          </w:p>
        </w:tc>
      </w:tr>
      <w:tr w:rsidR="00FE3B6D" w:rsidRPr="00F95B4F" w14:paraId="22C5F771" w14:textId="77777777" w:rsidTr="005E520D">
        <w:trPr>
          <w:trHeight w:val="57"/>
        </w:trPr>
        <w:tc>
          <w:tcPr>
            <w:tcW w:w="3494" w:type="dxa"/>
          </w:tcPr>
          <w:p w14:paraId="1A981552" w14:textId="77777777" w:rsidR="00FE3B6D" w:rsidRPr="00CB1421" w:rsidRDefault="00FE3B6D" w:rsidP="00FE3B6D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2F5496"/>
              <w:right w:val="single" w:sz="8" w:space="0" w:color="2F5496"/>
            </w:tcBorders>
            <w:shd w:val="clear" w:color="auto" w:fill="auto"/>
            <w:vAlign w:val="center"/>
          </w:tcPr>
          <w:p w14:paraId="5776A5AE" w14:textId="3138A39F" w:rsidR="00FE3B6D" w:rsidRPr="00CB1421" w:rsidRDefault="00FE3B6D" w:rsidP="00FE3B6D">
            <w:pPr>
              <w:ind w:right="135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2F5496"/>
              <w:right w:val="nil"/>
            </w:tcBorders>
            <w:shd w:val="clear" w:color="auto" w:fill="auto"/>
            <w:vAlign w:val="center"/>
          </w:tcPr>
          <w:p w14:paraId="7DBEFB91" w14:textId="7AB787D7" w:rsidR="00FE3B6D" w:rsidRPr="00CB1421" w:rsidRDefault="00FE3B6D" w:rsidP="00FE3B6D">
            <w:pPr>
              <w:ind w:right="163"/>
              <w:jc w:val="right"/>
              <w:rPr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100,4</w:t>
            </w:r>
          </w:p>
        </w:tc>
      </w:tr>
    </w:tbl>
    <w:p w14:paraId="1FB27701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C8C29BF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95A0C2E" w14:textId="4D62EA49" w:rsidR="002021D2" w:rsidRDefault="002F7DBF" w:rsidP="00E76D26">
      <w:pPr>
        <w:rPr>
          <w:b/>
          <w:sz w:val="18"/>
          <w:szCs w:val="18"/>
          <w:shd w:val="clear" w:color="auto" w:fill="FFFFFF"/>
        </w:rPr>
      </w:pPr>
      <w:r w:rsidRPr="002F7DBF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92045F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2E5C63" w14:paraId="27E396CE" w14:textId="77777777" w:rsidTr="0092372C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2BE8B2D" w14:textId="77777777" w:rsidR="002E5C63" w:rsidRPr="004A1D19" w:rsidRDefault="002E5C63" w:rsidP="002E5C6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EE0EF2" w14:textId="77777777" w:rsidR="002E5C63" w:rsidRPr="008925F0" w:rsidRDefault="002E5C63" w:rsidP="002E5C6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11C02C57" w14:textId="77777777" w:rsidR="002E5C63" w:rsidRPr="00DE2400" w:rsidRDefault="002E5C63" w:rsidP="002E5C63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14:paraId="1471B197" w14:textId="29700DDC" w:rsidR="002E5C63" w:rsidRDefault="002E5C63" w:rsidP="000A349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</w:t>
            </w:r>
            <w:r w:rsidR="008B5DEA">
              <w:rPr>
                <w:rFonts w:cs="Arial"/>
                <w:color w:val="000000" w:themeColor="text1"/>
                <w:sz w:val="20"/>
                <w:lang w:val="fi-FI"/>
              </w:rPr>
              <w:t>.</w:t>
            </w: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68B6B93B" w14:textId="77777777" w:rsidR="002E5C63" w:rsidRPr="004A1D19" w:rsidRDefault="002E5C63" w:rsidP="002E5C6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ED024C" w14:textId="77777777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37DECBC" w14:textId="3DBB88C3" w:rsidR="002E5C63" w:rsidRPr="004A1D19" w:rsidRDefault="002E5C63" w:rsidP="002E5C6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8B5DEA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EFBAF2" w14:textId="77777777" w:rsidR="002E5C63" w:rsidRDefault="002E5C63" w:rsidP="002E5C63">
            <w:pPr>
              <w:rPr>
                <w:sz w:val="18"/>
              </w:rPr>
            </w:pPr>
          </w:p>
        </w:tc>
      </w:tr>
      <w:tr w:rsidR="00483238" w14:paraId="49605ED6" w14:textId="77777777" w:rsidTr="00C65D09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D1BD9" w14:textId="77777777" w:rsidR="00483238" w:rsidRPr="00C91687" w:rsidRDefault="00483238" w:rsidP="0048323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4C24AD2" w14:textId="4AD08CEF" w:rsidR="00483238" w:rsidRPr="00C91687" w:rsidRDefault="00483238" w:rsidP="0048323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8B5DEA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BD1EDA" w14:textId="77777777" w:rsidR="00483238" w:rsidRPr="0092372C" w:rsidRDefault="00483238" w:rsidP="0048323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54C6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37241E33" wp14:editId="7FA76D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3238" w14:paraId="68C93A20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230EAA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37D9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526ABC8" wp14:editId="47990B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C6E7698" w14:textId="77777777" w:rsidTr="00C65D09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7C39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2CA7CCF4" w14:textId="77777777" w:rsidR="00483238" w:rsidRDefault="00483238" w:rsidP="00483238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5523A52" wp14:editId="4E9436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3238" w14:paraId="3D94891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74C889C5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4C5A41A1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70DF0D6" wp14:editId="5CDCF7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3238" w14:paraId="57E649B7" w14:textId="77777777" w:rsidTr="00C65D09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065C1BC3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16A1CA9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408B366" wp14:editId="7CD702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3238" w14:paraId="1F87721B" w14:textId="77777777" w:rsidTr="00C65D09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38A6CE2B" w14:textId="77777777" w:rsidR="00483238" w:rsidRDefault="00483238" w:rsidP="00483238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14:paraId="7240158B" w14:textId="77777777" w:rsidR="00483238" w:rsidRPr="003D5F42" w:rsidRDefault="00483238" w:rsidP="00483238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F928B5F" wp14:editId="13F997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1CC" w14:paraId="3B712289" w14:textId="77777777" w:rsidTr="0092372C"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2BFC" w14:textId="77777777" w:rsidR="00C041CC" w:rsidRDefault="00C041CC" w:rsidP="00C041CC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693F6B3A" wp14:editId="41017F0A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203200</wp:posOffset>
                      </wp:positionV>
                      <wp:extent cx="6559550" cy="3800475"/>
                      <wp:effectExtent l="0" t="0" r="12700" b="28575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800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3750F" w14:textId="77777777" w:rsidR="00C041CC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BDE6A08" w14:textId="77777777" w:rsidR="00C041CC" w:rsidRPr="00EE456A" w:rsidRDefault="00C041CC" w:rsidP="0092372C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E96ADD6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597F163" w14:textId="4CADB77D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70C5B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"https://stat.gov.pl/sygnalne/komunikaty-i-obwieszczenia/lista-komunikatow-i-obwieszczen/komunikat-w-sprawie-ceny-1m2-powierzchni-uzytkowej-budynku-mieszkalnego-za-drugi-kwartal-2023-r-,265,39.html" \o "Link do Komunikatu w sprawie ceny 1 m2 powierzchni użytkowej budynku mieszkalnego"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14:paraId="61144C8A" w14:textId="77777777" w:rsidR="00C041CC" w:rsidRPr="00F163E2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A4501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1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62C9216C" w14:textId="77777777" w:rsidR="00C041CC" w:rsidRPr="00EE456A" w:rsidRDefault="00F163E2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14:paraId="59141D86" w14:textId="77777777" w:rsidR="00C041CC" w:rsidRPr="002940EF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73BD9018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F163E2"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14:paraId="4A4DD092" w14:textId="77777777" w:rsidR="00C041CC" w:rsidRPr="00174B78" w:rsidRDefault="00C041CC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26474197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14:paraId="16ABFB73" w14:textId="77777777" w:rsidR="00C041CC" w:rsidRDefault="00C041CC" w:rsidP="0092372C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5EDA2A17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728DA0D9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C041CC"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3E60A5A2" w14:textId="77777777" w:rsidR="00C041CC" w:rsidRPr="00174B78" w:rsidRDefault="00174B78" w:rsidP="0092372C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1CBF1AFC" w14:textId="77777777" w:rsidR="00C041CC" w:rsidRPr="00723E94" w:rsidRDefault="00D97027" w:rsidP="0092372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C041CC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93F6B3A" id="_x0000_s1030" type="#_x0000_t202" style="position:absolute;margin-left:-.5pt;margin-top:16pt;width:516.5pt;height:299.2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" fillcolor="#f2f2f2 [3052]" strokecolor="white [3212]">
                      <v:textbox>
                        <w:txbxContent>
                          <w:p w14:paraId="09F3750F" w14:textId="77777777" w:rsidR="00C041CC" w:rsidRDefault="00C041CC" w:rsidP="0092372C">
                            <w:pPr>
                              <w:rPr>
                                <w:b/>
                              </w:rPr>
                            </w:pPr>
                          </w:p>
                          <w:p w14:paraId="5BDE6A08" w14:textId="77777777" w:rsidR="00C041CC" w:rsidRPr="00EE456A" w:rsidRDefault="00C041CC" w:rsidP="0092372C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E96ADD6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A450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"https://stat.gov.pl/sygnalne/komunikaty-i-obwieszczenia/8,2023,kategoria.html"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597F163" w14:textId="4CADB77D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70C5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"https://stat.gov.pl/sygnalne/komunikaty-i-obwieszczenia/lista-komunikatow-i-obwieszczen/komunikat-w-sprawie-ceny-1m2-powierzchni-uzytkowej-budynku-mieszkalnego-za-drugi-kwartal-2023-r-,265,39.html" \o "Link do Komunikatu w sprawie ceny 1 m2 powierzchni użytkowej budynku mieszkalnego"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61144C8A" w14:textId="77777777" w:rsidR="00C041CC" w:rsidRPr="00F163E2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1A4501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"https://stat.gov.pl/obszary-tematyczne/infrastruktura-komunalna-nieruchomosci/nieruchomosci-budynki-infrastruktura-komunalna/obrot-nieruchomosciami-w-2021-roku,4,19.html" \o "Link do publikacji \"Obrót nieruchomościami w 2021 r.\" "</w:instrText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A450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62C9216C" w14:textId="77777777" w:rsidR="00C041CC" w:rsidRPr="00EE456A" w:rsidRDefault="00F163E2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59141D86" w14:textId="77777777" w:rsidR="00C041CC" w:rsidRPr="002940EF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BD9018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63E2"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14:paraId="4A4DD092" w14:textId="77777777" w:rsidR="00C041CC" w:rsidRPr="00174B78" w:rsidRDefault="00C041CC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26474197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6ABFB73" w14:textId="77777777" w:rsidR="00C041CC" w:rsidRDefault="00C041CC" w:rsidP="0092372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EDA2A17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728DA0D9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041CC"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3E60A5A2" w14:textId="77777777" w:rsidR="00C041CC" w:rsidRPr="00174B78" w:rsidRDefault="00174B78" w:rsidP="0092372C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1CBF1AFC" w14:textId="77777777" w:rsidR="00C041CC" w:rsidRPr="00723E94" w:rsidRDefault="008B5DEA" w:rsidP="0092372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8" w:tooltip="Link do pojęcia: Wskaźniki cen lokali mieszkalnych" w:history="1">
                              <w:r w:rsidR="00C041CC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7E46C040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CA031" w14:textId="77777777" w:rsidR="009E1647" w:rsidRDefault="009E1647" w:rsidP="000662E2">
      <w:pPr>
        <w:spacing w:after="0" w:line="240" w:lineRule="auto"/>
      </w:pPr>
      <w:r>
        <w:separator/>
      </w:r>
    </w:p>
  </w:endnote>
  <w:endnote w:type="continuationSeparator" w:id="0">
    <w:p w14:paraId="5102370A" w14:textId="77777777" w:rsidR="009E1647" w:rsidRDefault="009E16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70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70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970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2825B" w14:textId="77777777" w:rsidR="009E1647" w:rsidRDefault="009E1647" w:rsidP="000662E2">
      <w:pPr>
        <w:spacing w:after="0" w:line="240" w:lineRule="auto"/>
      </w:pPr>
      <w:r>
        <w:separator/>
      </w:r>
    </w:p>
  </w:footnote>
  <w:footnote w:type="continuationSeparator" w:id="0">
    <w:p w14:paraId="713525EE" w14:textId="77777777" w:rsidR="009E1647" w:rsidRDefault="009E164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732EEC3C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3.10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7BABE669" w:rsidR="00FB16F3" w:rsidRPr="007143FF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70C5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51D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13AF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3.10.2023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kET9g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7BABE669" w:rsidR="00FB16F3" w:rsidRPr="007143FF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70C5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51D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13AF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5pt;height:122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0AC9"/>
    <w:rsid w:val="00030CA6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67920"/>
    <w:rsid w:val="00074DD8"/>
    <w:rsid w:val="000806F7"/>
    <w:rsid w:val="00087F0A"/>
    <w:rsid w:val="000904CB"/>
    <w:rsid w:val="00093D21"/>
    <w:rsid w:val="000968F6"/>
    <w:rsid w:val="00097840"/>
    <w:rsid w:val="000A2B95"/>
    <w:rsid w:val="000A3496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735AB"/>
    <w:rsid w:val="00174B78"/>
    <w:rsid w:val="001829BB"/>
    <w:rsid w:val="0018393E"/>
    <w:rsid w:val="00184C3A"/>
    <w:rsid w:val="00190617"/>
    <w:rsid w:val="001951DA"/>
    <w:rsid w:val="001A297A"/>
    <w:rsid w:val="001A3839"/>
    <w:rsid w:val="001A44D4"/>
    <w:rsid w:val="001A4501"/>
    <w:rsid w:val="001B12D0"/>
    <w:rsid w:val="001B33E1"/>
    <w:rsid w:val="001C3269"/>
    <w:rsid w:val="001C4A22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87EF6"/>
    <w:rsid w:val="002917A0"/>
    <w:rsid w:val="002926DF"/>
    <w:rsid w:val="002940EF"/>
    <w:rsid w:val="00296697"/>
    <w:rsid w:val="002A160D"/>
    <w:rsid w:val="002A453B"/>
    <w:rsid w:val="002A530F"/>
    <w:rsid w:val="002A54C8"/>
    <w:rsid w:val="002A61BC"/>
    <w:rsid w:val="002B0472"/>
    <w:rsid w:val="002B382F"/>
    <w:rsid w:val="002B3B27"/>
    <w:rsid w:val="002B6B12"/>
    <w:rsid w:val="002C2CAC"/>
    <w:rsid w:val="002D2069"/>
    <w:rsid w:val="002D2BEB"/>
    <w:rsid w:val="002D384D"/>
    <w:rsid w:val="002D5D8C"/>
    <w:rsid w:val="002E46B7"/>
    <w:rsid w:val="002E596C"/>
    <w:rsid w:val="002E5C63"/>
    <w:rsid w:val="002E6140"/>
    <w:rsid w:val="002E6985"/>
    <w:rsid w:val="002E717E"/>
    <w:rsid w:val="002E71B6"/>
    <w:rsid w:val="002F5A84"/>
    <w:rsid w:val="002F77C8"/>
    <w:rsid w:val="002F7DBF"/>
    <w:rsid w:val="00302288"/>
    <w:rsid w:val="0030246A"/>
    <w:rsid w:val="00304F22"/>
    <w:rsid w:val="00306C7C"/>
    <w:rsid w:val="00313F1B"/>
    <w:rsid w:val="0032064E"/>
    <w:rsid w:val="00322EDD"/>
    <w:rsid w:val="00332320"/>
    <w:rsid w:val="00333542"/>
    <w:rsid w:val="00344C07"/>
    <w:rsid w:val="00347D72"/>
    <w:rsid w:val="003508C3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2736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724D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214C4"/>
    <w:rsid w:val="006254B7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E01B6"/>
    <w:rsid w:val="006E02EC"/>
    <w:rsid w:val="006E095C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430F3"/>
    <w:rsid w:val="00743605"/>
    <w:rsid w:val="00746187"/>
    <w:rsid w:val="00746E58"/>
    <w:rsid w:val="00747143"/>
    <w:rsid w:val="00747EBA"/>
    <w:rsid w:val="00755AF9"/>
    <w:rsid w:val="007572E3"/>
    <w:rsid w:val="007614DC"/>
    <w:rsid w:val="0076254F"/>
    <w:rsid w:val="00763779"/>
    <w:rsid w:val="00765F0D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3E4D"/>
    <w:rsid w:val="0079514B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E2C09"/>
    <w:rsid w:val="007E3314"/>
    <w:rsid w:val="007E4B03"/>
    <w:rsid w:val="007E650D"/>
    <w:rsid w:val="007F324B"/>
    <w:rsid w:val="00801052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702"/>
    <w:rsid w:val="00847F0F"/>
    <w:rsid w:val="00852448"/>
    <w:rsid w:val="00852ED6"/>
    <w:rsid w:val="00854874"/>
    <w:rsid w:val="00855753"/>
    <w:rsid w:val="00863B87"/>
    <w:rsid w:val="00865B28"/>
    <w:rsid w:val="0086619F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A080B"/>
    <w:rsid w:val="008A26D9"/>
    <w:rsid w:val="008A6DEF"/>
    <w:rsid w:val="008B15C2"/>
    <w:rsid w:val="008B5D9F"/>
    <w:rsid w:val="008B5DEA"/>
    <w:rsid w:val="008B63C3"/>
    <w:rsid w:val="008B6C72"/>
    <w:rsid w:val="008C0BE2"/>
    <w:rsid w:val="008C0C29"/>
    <w:rsid w:val="008C3AD3"/>
    <w:rsid w:val="008D058D"/>
    <w:rsid w:val="008D0769"/>
    <w:rsid w:val="008D1A46"/>
    <w:rsid w:val="008D670A"/>
    <w:rsid w:val="008F3638"/>
    <w:rsid w:val="008F4441"/>
    <w:rsid w:val="008F6F31"/>
    <w:rsid w:val="008F74DF"/>
    <w:rsid w:val="0090392A"/>
    <w:rsid w:val="00907C44"/>
    <w:rsid w:val="00907E1E"/>
    <w:rsid w:val="009127BA"/>
    <w:rsid w:val="00914BE5"/>
    <w:rsid w:val="009174B3"/>
    <w:rsid w:val="00921153"/>
    <w:rsid w:val="009227A6"/>
    <w:rsid w:val="009227D1"/>
    <w:rsid w:val="0092372C"/>
    <w:rsid w:val="00923C49"/>
    <w:rsid w:val="00925DF7"/>
    <w:rsid w:val="00933EC1"/>
    <w:rsid w:val="00935F55"/>
    <w:rsid w:val="00936261"/>
    <w:rsid w:val="009530DB"/>
    <w:rsid w:val="00953676"/>
    <w:rsid w:val="0096551C"/>
    <w:rsid w:val="009705EE"/>
    <w:rsid w:val="009715D7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B6929"/>
    <w:rsid w:val="009C1335"/>
    <w:rsid w:val="009C1AB2"/>
    <w:rsid w:val="009C2EB1"/>
    <w:rsid w:val="009C7251"/>
    <w:rsid w:val="009D3957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A078B3"/>
    <w:rsid w:val="00A1305E"/>
    <w:rsid w:val="00A139F5"/>
    <w:rsid w:val="00A32458"/>
    <w:rsid w:val="00A365F4"/>
    <w:rsid w:val="00A36A68"/>
    <w:rsid w:val="00A42229"/>
    <w:rsid w:val="00A42BEF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1D43"/>
    <w:rsid w:val="00AD25B8"/>
    <w:rsid w:val="00AD3EDF"/>
    <w:rsid w:val="00AD70D1"/>
    <w:rsid w:val="00AE2D4B"/>
    <w:rsid w:val="00AE3070"/>
    <w:rsid w:val="00AE4F99"/>
    <w:rsid w:val="00AF2A58"/>
    <w:rsid w:val="00AF77EA"/>
    <w:rsid w:val="00B0437F"/>
    <w:rsid w:val="00B05AE7"/>
    <w:rsid w:val="00B06DAC"/>
    <w:rsid w:val="00B0739B"/>
    <w:rsid w:val="00B07D64"/>
    <w:rsid w:val="00B11B69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66C5"/>
    <w:rsid w:val="00B653AB"/>
    <w:rsid w:val="00B65F9E"/>
    <w:rsid w:val="00B66B19"/>
    <w:rsid w:val="00B73097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172A"/>
    <w:rsid w:val="00BF263D"/>
    <w:rsid w:val="00BF5920"/>
    <w:rsid w:val="00C02346"/>
    <w:rsid w:val="00C030DE"/>
    <w:rsid w:val="00C041CC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6FAA"/>
    <w:rsid w:val="00C97A04"/>
    <w:rsid w:val="00CA107B"/>
    <w:rsid w:val="00CA484D"/>
    <w:rsid w:val="00CA4FB6"/>
    <w:rsid w:val="00CA7351"/>
    <w:rsid w:val="00CB142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341F"/>
    <w:rsid w:val="00D94EE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5CD1"/>
    <w:rsid w:val="00DF6047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6F28"/>
    <w:rsid w:val="00E4714C"/>
    <w:rsid w:val="00E47437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3DC7"/>
    <w:rsid w:val="00EF3E9F"/>
    <w:rsid w:val="00EF5B0C"/>
    <w:rsid w:val="00EF7A0C"/>
    <w:rsid w:val="00F027BB"/>
    <w:rsid w:val="00F037A4"/>
    <w:rsid w:val="00F111EF"/>
    <w:rsid w:val="00F11DE6"/>
    <w:rsid w:val="00F140E4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47FA5"/>
    <w:rsid w:val="00F50698"/>
    <w:rsid w:val="00F52823"/>
    <w:rsid w:val="00F52BA1"/>
    <w:rsid w:val="00F626FF"/>
    <w:rsid w:val="00F63B01"/>
    <w:rsid w:val="00F655C8"/>
    <w:rsid w:val="00F6670A"/>
    <w:rsid w:val="00F67D8F"/>
    <w:rsid w:val="00F70A90"/>
    <w:rsid w:val="00F70C5B"/>
    <w:rsid w:val="00F73A03"/>
    <w:rsid w:val="00F777C1"/>
    <w:rsid w:val="00F802BE"/>
    <w:rsid w:val="00F80E93"/>
    <w:rsid w:val="00F81081"/>
    <w:rsid w:val="00F83BF4"/>
    <w:rsid w:val="00F83F80"/>
    <w:rsid w:val="00F859AE"/>
    <w:rsid w:val="00F86024"/>
    <w:rsid w:val="00F8611A"/>
    <w:rsid w:val="00F94B6A"/>
    <w:rsid w:val="00F95B2C"/>
    <w:rsid w:val="00F95B4F"/>
    <w:rsid w:val="00FA5128"/>
    <w:rsid w:val="00FA6812"/>
    <w:rsid w:val="00FB16F3"/>
    <w:rsid w:val="00FB42D4"/>
    <w:rsid w:val="00FB5906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9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gus09\hu\W8_Nieruchomo&#347;ci\9_Informacje_sygnalne\Wska&#378;niki_cen_lokali_mieszkalnych\2023\2023_1kw\Wykresy_do_info_syg_1_kw_2023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3\2023_2kw\Wykresy_do_informacji_sygnalnej_w_2_kwartale_2023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hu\W8_Nieruchomo&#347;ci\9_Informacje_sygnalne\Wska&#378;niki_cen_lokali_mieszkalnych\2023\2023_2kw\Wykresy_do_informacji_sygnalnej_w_2_kwartale_202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hu\W8_Nieruchomo&#347;ci\9_Informacje_sygnalne\Wska&#378;niki_cen_lokali_mieszkalnych\2023\2023_2kw\Wykresy_do_informacji_sygnalnej_w_2_kwartale_2023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764044425313142E-2"/>
          <c:y val="0.16949167622374325"/>
          <c:w val="0.66287743246443076"/>
          <c:h val="0.7514122082051766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0.51800000000000002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20-45F3-A627-8982F594F8DC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0.48199999999999998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20-45F3-A627-8982F594F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70599280"/>
        <c:axId val="-2070602544"/>
      </c:barChart>
      <c:catAx>
        <c:axId val="-20705992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2070602544"/>
        <c:crosses val="autoZero"/>
        <c:auto val="1"/>
        <c:lblAlgn val="ctr"/>
        <c:lblOffset val="100"/>
        <c:noMultiLvlLbl val="0"/>
      </c:catAx>
      <c:valAx>
        <c:axId val="-2070602544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207059928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9.1202712714090368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3983647626376021"/>
          <c:h val="0.6690766062174239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wykres_2!$M$9:$BD$9</c:f>
              <c:numCache>
                <c:formatCode>General</c:formatCode>
                <c:ptCount val="44"/>
                <c:pt idx="0">
                  <c:v>-2.5999999999999899</c:v>
                </c:pt>
                <c:pt idx="1">
                  <c:v>-0.20000000000000301</c:v>
                </c:pt>
                <c:pt idx="2">
                  <c:v>-9.9999999999994302E-2</c:v>
                </c:pt>
                <c:pt idx="3">
                  <c:v>9.9999999999994302E-2</c:v>
                </c:pt>
                <c:pt idx="4">
                  <c:v>-0.29999999999999699</c:v>
                </c:pt>
                <c:pt idx="5">
                  <c:v>2.2000000000000002</c:v>
                </c:pt>
                <c:pt idx="6">
                  <c:v>-0.59999999999999398</c:v>
                </c:pt>
                <c:pt idx="7">
                  <c:v>0.20000000000000301</c:v>
                </c:pt>
                <c:pt idx="8">
                  <c:v>0.20000000000000301</c:v>
                </c:pt>
                <c:pt idx="9">
                  <c:v>1.4000000000000099</c:v>
                </c:pt>
                <c:pt idx="10">
                  <c:v>0.20000000000000301</c:v>
                </c:pt>
                <c:pt idx="11">
                  <c:v>-0.70000000000000295</c:v>
                </c:pt>
                <c:pt idx="12">
                  <c:v>9.9999999999994302E-2</c:v>
                </c:pt>
                <c:pt idx="13">
                  <c:v>0.79999999999999705</c:v>
                </c:pt>
                <c:pt idx="14">
                  <c:v>1.9000000000000099</c:v>
                </c:pt>
                <c:pt idx="15">
                  <c:v>1.0999999999999901</c:v>
                </c:pt>
                <c:pt idx="16">
                  <c:v>-0.5</c:v>
                </c:pt>
                <c:pt idx="17">
                  <c:v>2</c:v>
                </c:pt>
                <c:pt idx="18">
                  <c:v>1</c:v>
                </c:pt>
                <c:pt idx="19">
                  <c:v>1.3</c:v>
                </c:pt>
                <c:pt idx="20">
                  <c:v>1.5</c:v>
                </c:pt>
                <c:pt idx="21">
                  <c:v>2.2999999999999998</c:v>
                </c:pt>
                <c:pt idx="22">
                  <c:v>1.3</c:v>
                </c:pt>
                <c:pt idx="23">
                  <c:v>2.4000000000000101</c:v>
                </c:pt>
                <c:pt idx="24">
                  <c:v>1.9000000000000099</c:v>
                </c:pt>
                <c:pt idx="25">
                  <c:v>2.2999999999999998</c:v>
                </c:pt>
                <c:pt idx="26">
                  <c:v>2.0999999999999899</c:v>
                </c:pt>
                <c:pt idx="27">
                  <c:v>2.8</c:v>
                </c:pt>
                <c:pt idx="28">
                  <c:v>3.5999999999999899</c:v>
                </c:pt>
                <c:pt idx="29" formatCode="0.0">
                  <c:v>2</c:v>
                </c:pt>
                <c:pt idx="30" formatCode="0.0">
                  <c:v>2</c:v>
                </c:pt>
                <c:pt idx="31" formatCode="0.0">
                  <c:v>1</c:v>
                </c:pt>
                <c:pt idx="32" formatCode="0.0">
                  <c:v>2</c:v>
                </c:pt>
                <c:pt idx="33" formatCode="0.0">
                  <c:v>3.1</c:v>
                </c:pt>
                <c:pt idx="34" formatCode="0.0">
                  <c:v>2.6</c:v>
                </c:pt>
                <c:pt idx="35" formatCode="0.0">
                  <c:v>3.9</c:v>
                </c:pt>
                <c:pt idx="36" formatCode="0.0">
                  <c:v>3.3</c:v>
                </c:pt>
                <c:pt idx="37" formatCode="0.0">
                  <c:v>2</c:v>
                </c:pt>
                <c:pt idx="38" formatCode="0.0">
                  <c:v>2.4</c:v>
                </c:pt>
                <c:pt idx="39" formatCode="0.0">
                  <c:v>1.4</c:v>
                </c:pt>
                <c:pt idx="40" formatCode="0.0">
                  <c:v>-0.1</c:v>
                </c:pt>
                <c:pt idx="41" formatCode="0.0">
                  <c:v>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931-4DA9-878D-860597597800}"/>
            </c:ext>
          </c:extLst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wykres_2!$M$10:$BD$10</c:f>
              <c:numCache>
                <c:formatCode>General</c:formatCode>
                <c:ptCount val="44"/>
                <c:pt idx="0">
                  <c:v>-3.2</c:v>
                </c:pt>
                <c:pt idx="1">
                  <c:v>-0.90000000000000602</c:v>
                </c:pt>
                <c:pt idx="2">
                  <c:v>-1.3</c:v>
                </c:pt>
                <c:pt idx="3">
                  <c:v>-9.9999999999994302E-2</c:v>
                </c:pt>
                <c:pt idx="4">
                  <c:v>-0.79999999999999705</c:v>
                </c:pt>
                <c:pt idx="5">
                  <c:v>3.2</c:v>
                </c:pt>
                <c:pt idx="6">
                  <c:v>-0.70000000000000295</c:v>
                </c:pt>
                <c:pt idx="7">
                  <c:v>0.79999999999999705</c:v>
                </c:pt>
                <c:pt idx="8">
                  <c:v>0.5</c:v>
                </c:pt>
                <c:pt idx="9">
                  <c:v>1.5</c:v>
                </c:pt>
                <c:pt idx="10">
                  <c:v>0.40000000000000602</c:v>
                </c:pt>
                <c:pt idx="11">
                  <c:v>-1</c:v>
                </c:pt>
                <c:pt idx="12">
                  <c:v>0.59999999999999398</c:v>
                </c:pt>
                <c:pt idx="13">
                  <c:v>-1</c:v>
                </c:pt>
                <c:pt idx="14">
                  <c:v>1.9000000000000099</c:v>
                </c:pt>
                <c:pt idx="15">
                  <c:v>1.9000000000000099</c:v>
                </c:pt>
                <c:pt idx="16">
                  <c:v>-0.90000000000000602</c:v>
                </c:pt>
                <c:pt idx="17">
                  <c:v>1.5</c:v>
                </c:pt>
                <c:pt idx="18">
                  <c:v>1</c:v>
                </c:pt>
                <c:pt idx="19">
                  <c:v>1.4000000000000099</c:v>
                </c:pt>
                <c:pt idx="20">
                  <c:v>1.4000000000000099</c:v>
                </c:pt>
                <c:pt idx="21">
                  <c:v>1.5</c:v>
                </c:pt>
                <c:pt idx="22">
                  <c:v>0.29999999999999699</c:v>
                </c:pt>
                <c:pt idx="23">
                  <c:v>3</c:v>
                </c:pt>
                <c:pt idx="24">
                  <c:v>1.5999999999999901</c:v>
                </c:pt>
                <c:pt idx="25">
                  <c:v>1.5999999999999901</c:v>
                </c:pt>
                <c:pt idx="26">
                  <c:v>0.40000000000000602</c:v>
                </c:pt>
                <c:pt idx="27">
                  <c:v>2.8</c:v>
                </c:pt>
                <c:pt idx="28">
                  <c:v>1.5999999999999901</c:v>
                </c:pt>
                <c:pt idx="29" formatCode="0.0">
                  <c:v>0.4</c:v>
                </c:pt>
                <c:pt idx="30" formatCode="0.0">
                  <c:v>2.2000000000000002</c:v>
                </c:pt>
                <c:pt idx="31" formatCode="0.0">
                  <c:v>1.7</c:v>
                </c:pt>
                <c:pt idx="32" formatCode="0.0">
                  <c:v>2.1</c:v>
                </c:pt>
                <c:pt idx="33" formatCode="0.0">
                  <c:v>2.5</c:v>
                </c:pt>
                <c:pt idx="34" formatCode="0.0">
                  <c:v>2.8</c:v>
                </c:pt>
                <c:pt idx="35" formatCode="0.0">
                  <c:v>4.2</c:v>
                </c:pt>
                <c:pt idx="36" formatCode="0.0">
                  <c:v>3.3</c:v>
                </c:pt>
                <c:pt idx="37" formatCode="0.0">
                  <c:v>0.2</c:v>
                </c:pt>
                <c:pt idx="38" formatCode="0.0">
                  <c:v>4.5</c:v>
                </c:pt>
                <c:pt idx="39" formatCode="0.0">
                  <c:v>2.1</c:v>
                </c:pt>
                <c:pt idx="40" formatCode="0.0">
                  <c:v>0.1</c:v>
                </c:pt>
                <c:pt idx="41" formatCode="0.0">
                  <c:v>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931-4DA9-878D-860597597800}"/>
            </c:ext>
          </c:extLst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wykres_2!$M$7:$BD$8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wykres_2!$M$11:$BD$11</c:f>
              <c:numCache>
                <c:formatCode>General</c:formatCode>
                <c:ptCount val="44"/>
                <c:pt idx="0">
                  <c:v>-2.0999999999999899</c:v>
                </c:pt>
                <c:pt idx="1">
                  <c:v>0.29999999999999699</c:v>
                </c:pt>
                <c:pt idx="2">
                  <c:v>0.79999999999999705</c:v>
                </c:pt>
                <c:pt idx="3">
                  <c:v>9.9999999999994302E-2</c:v>
                </c:pt>
                <c:pt idx="4">
                  <c:v>0</c:v>
                </c:pt>
                <c:pt idx="5">
                  <c:v>1.4000000000000099</c:v>
                </c:pt>
                <c:pt idx="6">
                  <c:v>-0.59999999999999398</c:v>
                </c:pt>
                <c:pt idx="7">
                  <c:v>-0.29999999999999699</c:v>
                </c:pt>
                <c:pt idx="8">
                  <c:v>-9.9999999999994302E-2</c:v>
                </c:pt>
                <c:pt idx="9">
                  <c:v>1.3</c:v>
                </c:pt>
                <c:pt idx="10">
                  <c:v>9.9999999999994302E-2</c:v>
                </c:pt>
                <c:pt idx="11">
                  <c:v>-0.5</c:v>
                </c:pt>
                <c:pt idx="12">
                  <c:v>-0.29999999999999699</c:v>
                </c:pt>
                <c:pt idx="13">
                  <c:v>2.5</c:v>
                </c:pt>
                <c:pt idx="14">
                  <c:v>1.8</c:v>
                </c:pt>
                <c:pt idx="15">
                  <c:v>0.40000000000000602</c:v>
                </c:pt>
                <c:pt idx="16">
                  <c:v>-9.9999999999994302E-2</c:v>
                </c:pt>
                <c:pt idx="17">
                  <c:v>2.5</c:v>
                </c:pt>
                <c:pt idx="18">
                  <c:v>1</c:v>
                </c:pt>
                <c:pt idx="19">
                  <c:v>1.0999999999999901</c:v>
                </c:pt>
                <c:pt idx="20">
                  <c:v>1.5999999999999901</c:v>
                </c:pt>
                <c:pt idx="21">
                  <c:v>2.9000000000000101</c:v>
                </c:pt>
                <c:pt idx="22">
                  <c:v>2.0999999999999899</c:v>
                </c:pt>
                <c:pt idx="23">
                  <c:v>1.8</c:v>
                </c:pt>
                <c:pt idx="24">
                  <c:v>2.2000000000000002</c:v>
                </c:pt>
                <c:pt idx="25">
                  <c:v>3</c:v>
                </c:pt>
                <c:pt idx="26">
                  <c:v>3.5</c:v>
                </c:pt>
                <c:pt idx="27">
                  <c:v>2.8</c:v>
                </c:pt>
                <c:pt idx="28">
                  <c:v>5.0999999999999899</c:v>
                </c:pt>
                <c:pt idx="29" formatCode="0.0">
                  <c:v>3.2</c:v>
                </c:pt>
                <c:pt idx="30" formatCode="0.0">
                  <c:v>2</c:v>
                </c:pt>
                <c:pt idx="31" formatCode="0.0">
                  <c:v>0.5</c:v>
                </c:pt>
                <c:pt idx="32" formatCode="0.0">
                  <c:v>1.9</c:v>
                </c:pt>
                <c:pt idx="33" formatCode="0.0">
                  <c:v>3.6</c:v>
                </c:pt>
                <c:pt idx="34" formatCode="0.0">
                  <c:v>2.5</c:v>
                </c:pt>
                <c:pt idx="35" formatCode="0.0">
                  <c:v>3.7</c:v>
                </c:pt>
                <c:pt idx="36" formatCode="0.0">
                  <c:v>3.3</c:v>
                </c:pt>
                <c:pt idx="37" formatCode="0.0">
                  <c:v>3.6</c:v>
                </c:pt>
                <c:pt idx="38" formatCode="0.0">
                  <c:v>0.5</c:v>
                </c:pt>
                <c:pt idx="39" formatCode="0.0">
                  <c:v>0.7</c:v>
                </c:pt>
                <c:pt idx="40" formatCode="0.0">
                  <c:v>-0.3</c:v>
                </c:pt>
                <c:pt idx="41" formatCode="0.0">
                  <c:v>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931-4DA9-878D-860597597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0601456"/>
        <c:axId val="-2070602000"/>
      </c:lineChart>
      <c:catAx>
        <c:axId val="-207060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0602000"/>
        <c:crosses val="autoZero"/>
        <c:auto val="0"/>
        <c:lblAlgn val="ctr"/>
        <c:lblOffset val="100"/>
        <c:noMultiLvlLbl val="0"/>
      </c:catAx>
      <c:valAx>
        <c:axId val="-207060200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06014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4426735147"/>
          <c:y val="0.92085585677408122"/>
          <c:w val="0.55162908984203063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6756574691619641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wykres_3!$J$9:$BA$9</c:f>
              <c:numCache>
                <c:formatCode>General</c:formatCode>
                <c:ptCount val="44"/>
                <c:pt idx="0">
                  <c:v>-5.7</c:v>
                </c:pt>
                <c:pt idx="1">
                  <c:v>-5.2</c:v>
                </c:pt>
                <c:pt idx="2">
                  <c:v>-4</c:v>
                </c:pt>
                <c:pt idx="3">
                  <c:v>-2.8</c:v>
                </c:pt>
                <c:pt idx="4">
                  <c:v>-0.5</c:v>
                </c:pt>
                <c:pt idx="5">
                  <c:v>1.9000000000000099</c:v>
                </c:pt>
                <c:pt idx="6">
                  <c:v>1.4000000000000099</c:v>
                </c:pt>
                <c:pt idx="7">
                  <c:v>1.5</c:v>
                </c:pt>
                <c:pt idx="8">
                  <c:v>2</c:v>
                </c:pt>
                <c:pt idx="9">
                  <c:v>1.2</c:v>
                </c:pt>
                <c:pt idx="10">
                  <c:v>2</c:v>
                </c:pt>
                <c:pt idx="11">
                  <c:v>1.0999999999999901</c:v>
                </c:pt>
                <c:pt idx="12">
                  <c:v>1</c:v>
                </c:pt>
                <c:pt idx="13">
                  <c:v>0.40000000000000602</c:v>
                </c:pt>
                <c:pt idx="14">
                  <c:v>2.0999999999999899</c:v>
                </c:pt>
                <c:pt idx="15">
                  <c:v>3.9000000000000101</c:v>
                </c:pt>
                <c:pt idx="16">
                  <c:v>3.3</c:v>
                </c:pt>
                <c:pt idx="17">
                  <c:v>4.5999999999999899</c:v>
                </c:pt>
                <c:pt idx="18">
                  <c:v>3.5999999999999899</c:v>
                </c:pt>
                <c:pt idx="19">
                  <c:v>3.8</c:v>
                </c:pt>
                <c:pt idx="20">
                  <c:v>5.9000000000000101</c:v>
                </c:pt>
                <c:pt idx="21">
                  <c:v>6.2</c:v>
                </c:pt>
                <c:pt idx="22">
                  <c:v>6.5999999999999899</c:v>
                </c:pt>
                <c:pt idx="23">
                  <c:v>7.7</c:v>
                </c:pt>
                <c:pt idx="24">
                  <c:v>8.0999999999999908</c:v>
                </c:pt>
                <c:pt idx="25">
                  <c:v>8.0999999999999908</c:v>
                </c:pt>
                <c:pt idx="26" formatCode="0.0">
                  <c:v>9</c:v>
                </c:pt>
                <c:pt idx="27" formatCode="0.0">
                  <c:v>9.4</c:v>
                </c:pt>
                <c:pt idx="28">
                  <c:v>11.3</c:v>
                </c:pt>
                <c:pt idx="29">
                  <c:v>10.9</c:v>
                </c:pt>
                <c:pt idx="30" formatCode="0.0">
                  <c:v>10.9</c:v>
                </c:pt>
                <c:pt idx="31" formatCode="0.0">
                  <c:v>8.9</c:v>
                </c:pt>
                <c:pt idx="32" formatCode="0.0">
                  <c:v>7.2</c:v>
                </c:pt>
                <c:pt idx="33" formatCode="0.0">
                  <c:v>8.3000000000000007</c:v>
                </c:pt>
                <c:pt idx="34" formatCode="0.0">
                  <c:v>8.9</c:v>
                </c:pt>
                <c:pt idx="35" formatCode="0.0">
                  <c:v>12.1</c:v>
                </c:pt>
                <c:pt idx="36" formatCode="0.0">
                  <c:v>13.6</c:v>
                </c:pt>
                <c:pt idx="37" formatCode="0.0">
                  <c:v>12.4</c:v>
                </c:pt>
                <c:pt idx="38" formatCode="0.0">
                  <c:v>12.1</c:v>
                </c:pt>
                <c:pt idx="39" formatCode="0.0">
                  <c:v>9.3000000000000007</c:v>
                </c:pt>
                <c:pt idx="40" formatCode="0.0">
                  <c:v>5.8</c:v>
                </c:pt>
                <c:pt idx="41" formatCode="0.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1E-400A-B4DA-49F671152E63}"/>
            </c:ext>
          </c:extLst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wykres_3!$J$10:$BA$10</c:f>
              <c:numCache>
                <c:formatCode>General</c:formatCode>
                <c:ptCount val="44"/>
                <c:pt idx="0">
                  <c:v>-4.5</c:v>
                </c:pt>
                <c:pt idx="1">
                  <c:v>-4.7</c:v>
                </c:pt>
                <c:pt idx="2">
                  <c:v>-5.2</c:v>
                </c:pt>
                <c:pt idx="3">
                  <c:v>-5.4000000000000101</c:v>
                </c:pt>
                <c:pt idx="4">
                  <c:v>-3.0999999999999899</c:v>
                </c:pt>
                <c:pt idx="5">
                  <c:v>0.90000000000000602</c:v>
                </c:pt>
                <c:pt idx="6">
                  <c:v>1.5999999999999901</c:v>
                </c:pt>
                <c:pt idx="7">
                  <c:v>2.5</c:v>
                </c:pt>
                <c:pt idx="8">
                  <c:v>3.8</c:v>
                </c:pt>
                <c:pt idx="9">
                  <c:v>2.0999999999999899</c:v>
                </c:pt>
                <c:pt idx="10">
                  <c:v>3.2</c:v>
                </c:pt>
                <c:pt idx="11">
                  <c:v>1.4000000000000099</c:v>
                </c:pt>
                <c:pt idx="12">
                  <c:v>1.5</c:v>
                </c:pt>
                <c:pt idx="13">
                  <c:v>-1</c:v>
                </c:pt>
                <c:pt idx="14">
                  <c:v>0.5</c:v>
                </c:pt>
                <c:pt idx="15">
                  <c:v>3.4000000000000101</c:v>
                </c:pt>
                <c:pt idx="16">
                  <c:v>1.9000000000000099</c:v>
                </c:pt>
                <c:pt idx="17">
                  <c:v>4.4000000000000101</c:v>
                </c:pt>
                <c:pt idx="18">
                  <c:v>3.5</c:v>
                </c:pt>
                <c:pt idx="19">
                  <c:v>3</c:v>
                </c:pt>
                <c:pt idx="20">
                  <c:v>5.4000000000000101</c:v>
                </c:pt>
                <c:pt idx="21">
                  <c:v>5.4000000000000101</c:v>
                </c:pt>
                <c:pt idx="22">
                  <c:v>4.7</c:v>
                </c:pt>
                <c:pt idx="23">
                  <c:v>6.3</c:v>
                </c:pt>
                <c:pt idx="24">
                  <c:v>6.5</c:v>
                </c:pt>
                <c:pt idx="25">
                  <c:v>6.5999999999999899</c:v>
                </c:pt>
                <c:pt idx="26">
                  <c:v>6.7</c:v>
                </c:pt>
                <c:pt idx="27">
                  <c:v>6.5</c:v>
                </c:pt>
                <c:pt idx="28">
                  <c:v>6.5</c:v>
                </c:pt>
                <c:pt idx="29">
                  <c:v>5.3</c:v>
                </c:pt>
                <c:pt idx="30" formatCode="0.0">
                  <c:v>7.2</c:v>
                </c:pt>
                <c:pt idx="31" formatCode="0.0">
                  <c:v>6</c:v>
                </c:pt>
                <c:pt idx="32" formatCode="0.0">
                  <c:v>6.5</c:v>
                </c:pt>
                <c:pt idx="33" formatCode="0.0">
                  <c:v>8.6</c:v>
                </c:pt>
                <c:pt idx="34" formatCode="0.0">
                  <c:v>9.4</c:v>
                </c:pt>
                <c:pt idx="35" formatCode="0.0">
                  <c:v>11.9</c:v>
                </c:pt>
                <c:pt idx="36" formatCode="0.0">
                  <c:v>13.3</c:v>
                </c:pt>
                <c:pt idx="37" formatCode="0.0">
                  <c:v>10.9</c:v>
                </c:pt>
                <c:pt idx="38" formatCode="0.0">
                  <c:v>12.8</c:v>
                </c:pt>
                <c:pt idx="39" formatCode="0.0">
                  <c:v>10.5</c:v>
                </c:pt>
                <c:pt idx="40" formatCode="0.0">
                  <c:v>7</c:v>
                </c:pt>
                <c:pt idx="41" formatCode="0.0">
                  <c:v>10.4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1E-400A-B4DA-49F671152E63}"/>
            </c:ext>
          </c:extLst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wykres_3!$J$7:$BA$8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wykres_3!$J$11:$BA$11</c:f>
              <c:numCache>
                <c:formatCode>General</c:formatCode>
                <c:ptCount val="44"/>
                <c:pt idx="0">
                  <c:v>-6.2</c:v>
                </c:pt>
                <c:pt idx="1">
                  <c:v>-5.2</c:v>
                </c:pt>
                <c:pt idx="2">
                  <c:v>-2.8</c:v>
                </c:pt>
                <c:pt idx="3">
                  <c:v>-0.90000000000000602</c:v>
                </c:pt>
                <c:pt idx="4">
                  <c:v>1.2</c:v>
                </c:pt>
                <c:pt idx="5">
                  <c:v>2.2999999999999998</c:v>
                </c:pt>
                <c:pt idx="6">
                  <c:v>0.90000000000000602</c:v>
                </c:pt>
                <c:pt idx="7">
                  <c:v>0.5</c:v>
                </c:pt>
                <c:pt idx="8">
                  <c:v>0.40000000000000602</c:v>
                </c:pt>
                <c:pt idx="9">
                  <c:v>0.29999999999999699</c:v>
                </c:pt>
                <c:pt idx="10">
                  <c:v>1</c:v>
                </c:pt>
                <c:pt idx="11">
                  <c:v>0.79999999999999705</c:v>
                </c:pt>
                <c:pt idx="12">
                  <c:v>0.59999999999999398</c:v>
                </c:pt>
                <c:pt idx="13">
                  <c:v>1.8</c:v>
                </c:pt>
                <c:pt idx="14">
                  <c:v>3.5</c:v>
                </c:pt>
                <c:pt idx="15">
                  <c:v>4.4000000000000101</c:v>
                </c:pt>
                <c:pt idx="16">
                  <c:v>4.7</c:v>
                </c:pt>
                <c:pt idx="17">
                  <c:v>4.7</c:v>
                </c:pt>
                <c:pt idx="18">
                  <c:v>3.8</c:v>
                </c:pt>
                <c:pt idx="19">
                  <c:v>4.5999999999999899</c:v>
                </c:pt>
                <c:pt idx="20">
                  <c:v>6.3</c:v>
                </c:pt>
                <c:pt idx="21">
                  <c:v>6.8</c:v>
                </c:pt>
                <c:pt idx="22">
                  <c:v>7.9000000000000101</c:v>
                </c:pt>
                <c:pt idx="23">
                  <c:v>8.6999999999999993</c:v>
                </c:pt>
                <c:pt idx="24">
                  <c:v>9.3000000000000007</c:v>
                </c:pt>
                <c:pt idx="25">
                  <c:v>9.4000000000000092</c:v>
                </c:pt>
                <c:pt idx="26">
                  <c:v>10.9</c:v>
                </c:pt>
                <c:pt idx="27" formatCode="0.0">
                  <c:v>12</c:v>
                </c:pt>
                <c:pt idx="28">
                  <c:v>15.2</c:v>
                </c:pt>
                <c:pt idx="29">
                  <c:v>15.4</c:v>
                </c:pt>
                <c:pt idx="30" formatCode="0.0">
                  <c:v>13.7</c:v>
                </c:pt>
                <c:pt idx="31" formatCode="0.0">
                  <c:v>11.2</c:v>
                </c:pt>
                <c:pt idx="32" formatCode="0.0">
                  <c:v>7.8</c:v>
                </c:pt>
                <c:pt idx="33" formatCode="0.0">
                  <c:v>8.3000000000000007</c:v>
                </c:pt>
                <c:pt idx="34" formatCode="0.0">
                  <c:v>8.6999999999999993</c:v>
                </c:pt>
                <c:pt idx="35" formatCode="0.0">
                  <c:v>12.2</c:v>
                </c:pt>
                <c:pt idx="36" formatCode="0.0">
                  <c:v>13.8</c:v>
                </c:pt>
                <c:pt idx="37" formatCode="0.0">
                  <c:v>13.7</c:v>
                </c:pt>
                <c:pt idx="38" formatCode="0.0">
                  <c:v>11.6</c:v>
                </c:pt>
                <c:pt idx="39" formatCode="0.0">
                  <c:v>8.3000000000000007</c:v>
                </c:pt>
                <c:pt idx="40" formatCode="0.0">
                  <c:v>4.5</c:v>
                </c:pt>
                <c:pt idx="41" formatCode="0.0">
                  <c:v>4.0999999999999996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701E-400A-B4DA-49F671152E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5057504"/>
        <c:axId val="-2075056960"/>
      </c:lineChart>
      <c:catAx>
        <c:axId val="-207505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5056960"/>
        <c:crosses val="autoZero"/>
        <c:auto val="0"/>
        <c:lblAlgn val="ctr"/>
        <c:lblOffset val="100"/>
        <c:noMultiLvlLbl val="0"/>
      </c:catAx>
      <c:valAx>
        <c:axId val="-2075056960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6.5358137410213091E-3"/>
              <c:y val="8.56087072076543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50575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4.9793608450487015E-3"/>
          <c:y val="5.676174258549737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4572471919270962"/>
          <c:h val="0.74605992899281304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wykres_4!$N$9:$BE$9</c:f>
              <c:numCache>
                <c:formatCode>0.0</c:formatCode>
                <c:ptCount val="44"/>
                <c:pt idx="0">
                  <c:v>-2.2999999999999998</c:v>
                </c:pt>
                <c:pt idx="1">
                  <c:v>-2.5</c:v>
                </c:pt>
                <c:pt idx="2">
                  <c:v>-2.6</c:v>
                </c:pt>
                <c:pt idx="3">
                  <c:v>-2.5</c:v>
                </c:pt>
                <c:pt idx="4">
                  <c:v>-2.8</c:v>
                </c:pt>
                <c:pt idx="5">
                  <c:v>-0.7</c:v>
                </c:pt>
                <c:pt idx="6">
                  <c:v>-1.3</c:v>
                </c:pt>
                <c:pt idx="7">
                  <c:v>-1.1000000000000001</c:v>
                </c:pt>
                <c:pt idx="8">
                  <c:v>-0.9</c:v>
                </c:pt>
                <c:pt idx="9">
                  <c:v>0.4</c:v>
                </c:pt>
                <c:pt idx="10">
                  <c:v>0.6</c:v>
                </c:pt>
                <c:pt idx="11">
                  <c:v>-0.1</c:v>
                </c:pt>
                <c:pt idx="12">
                  <c:v>0</c:v>
                </c:pt>
                <c:pt idx="13">
                  <c:v>0.8</c:v>
                </c:pt>
                <c:pt idx="14">
                  <c:v>2.7</c:v>
                </c:pt>
                <c:pt idx="15">
                  <c:v>3.9</c:v>
                </c:pt>
                <c:pt idx="16">
                  <c:v>3.3</c:v>
                </c:pt>
                <c:pt idx="17">
                  <c:v>5.4</c:v>
                </c:pt>
                <c:pt idx="18">
                  <c:v>6.5</c:v>
                </c:pt>
                <c:pt idx="19">
                  <c:v>7.9</c:v>
                </c:pt>
                <c:pt idx="20">
                  <c:v>9.5</c:v>
                </c:pt>
                <c:pt idx="21">
                  <c:v>12</c:v>
                </c:pt>
                <c:pt idx="22">
                  <c:v>13.4</c:v>
                </c:pt>
                <c:pt idx="23">
                  <c:v>16.100000000000001</c:v>
                </c:pt>
                <c:pt idx="24" formatCode="General">
                  <c:v>18.3</c:v>
                </c:pt>
                <c:pt idx="25">
                  <c:v>21.1</c:v>
                </c:pt>
                <c:pt idx="26">
                  <c:v>23.6</c:v>
                </c:pt>
                <c:pt idx="27">
                  <c:v>27.1</c:v>
                </c:pt>
                <c:pt idx="28" formatCode="General">
                  <c:v>31.7</c:v>
                </c:pt>
                <c:pt idx="29" formatCode="General">
                  <c:v>34.299999999999997</c:v>
                </c:pt>
                <c:pt idx="30" formatCode="General">
                  <c:v>37.1</c:v>
                </c:pt>
                <c:pt idx="31" formatCode="General">
                  <c:v>38.4</c:v>
                </c:pt>
                <c:pt idx="32">
                  <c:v>41.2</c:v>
                </c:pt>
                <c:pt idx="33">
                  <c:v>45.5</c:v>
                </c:pt>
                <c:pt idx="34">
                  <c:v>49.3</c:v>
                </c:pt>
                <c:pt idx="35">
                  <c:v>55.2</c:v>
                </c:pt>
                <c:pt idx="36">
                  <c:v>60.3</c:v>
                </c:pt>
                <c:pt idx="37">
                  <c:v>63.5</c:v>
                </c:pt>
                <c:pt idx="38">
                  <c:v>67.400000000000006</c:v>
                </c:pt>
                <c:pt idx="39">
                  <c:v>69.599999999999994</c:v>
                </c:pt>
                <c:pt idx="40">
                  <c:v>69.5</c:v>
                </c:pt>
                <c:pt idx="41">
                  <c:v>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291-4688-9163-6240417374FE}"/>
            </c:ext>
          </c:extLst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wykres_4!$N$10:$BE$10</c:f>
              <c:numCache>
                <c:formatCode>0.0</c:formatCode>
                <c:ptCount val="44"/>
                <c:pt idx="0">
                  <c:v>-1.8</c:v>
                </c:pt>
                <c:pt idx="1">
                  <c:v>-2.6</c:v>
                </c:pt>
                <c:pt idx="2">
                  <c:v>-3.9</c:v>
                </c:pt>
                <c:pt idx="3">
                  <c:v>-3.9</c:v>
                </c:pt>
                <c:pt idx="4">
                  <c:v>-4.7</c:v>
                </c:pt>
                <c:pt idx="5">
                  <c:v>-1.6</c:v>
                </c:pt>
                <c:pt idx="6">
                  <c:v>-2.2999999999999998</c:v>
                </c:pt>
                <c:pt idx="7">
                  <c:v>-1.5</c:v>
                </c:pt>
                <c:pt idx="8">
                  <c:v>-1</c:v>
                </c:pt>
                <c:pt idx="9">
                  <c:v>0.5</c:v>
                </c:pt>
                <c:pt idx="10">
                  <c:v>0.8</c:v>
                </c:pt>
                <c:pt idx="11">
                  <c:v>-0.2</c:v>
                </c:pt>
                <c:pt idx="12">
                  <c:v>0.4</c:v>
                </c:pt>
                <c:pt idx="13">
                  <c:v>-0.6</c:v>
                </c:pt>
                <c:pt idx="14">
                  <c:v>1.3</c:v>
                </c:pt>
                <c:pt idx="15">
                  <c:v>3.2</c:v>
                </c:pt>
                <c:pt idx="16">
                  <c:v>2.2999999999999998</c:v>
                </c:pt>
                <c:pt idx="17">
                  <c:v>3.8</c:v>
                </c:pt>
                <c:pt idx="18">
                  <c:v>4.9000000000000004</c:v>
                </c:pt>
                <c:pt idx="19">
                  <c:v>6.3</c:v>
                </c:pt>
                <c:pt idx="20">
                  <c:v>7.8</c:v>
                </c:pt>
                <c:pt idx="21">
                  <c:v>9.4</c:v>
                </c:pt>
                <c:pt idx="22">
                  <c:v>9.8000000000000007</c:v>
                </c:pt>
                <c:pt idx="23">
                  <c:v>13.1</c:v>
                </c:pt>
                <c:pt idx="24" formatCode="General">
                  <c:v>15</c:v>
                </c:pt>
                <c:pt idx="25">
                  <c:v>16.8</c:v>
                </c:pt>
                <c:pt idx="26">
                  <c:v>17.2</c:v>
                </c:pt>
                <c:pt idx="27">
                  <c:v>20.5</c:v>
                </c:pt>
                <c:pt idx="28" formatCode="General">
                  <c:v>22.5</c:v>
                </c:pt>
                <c:pt idx="29" formatCode="General">
                  <c:v>22.9</c:v>
                </c:pt>
                <c:pt idx="30" formatCode="General">
                  <c:v>25.6</c:v>
                </c:pt>
                <c:pt idx="31" formatCode="General">
                  <c:v>27.7</c:v>
                </c:pt>
                <c:pt idx="32">
                  <c:v>30.3</c:v>
                </c:pt>
                <c:pt idx="33">
                  <c:v>33.5</c:v>
                </c:pt>
                <c:pt idx="34">
                  <c:v>37.200000000000003</c:v>
                </c:pt>
                <c:pt idx="35">
                  <c:v>43</c:v>
                </c:pt>
                <c:pt idx="36">
                  <c:v>47.7</c:v>
                </c:pt>
                <c:pt idx="37">
                  <c:v>48</c:v>
                </c:pt>
                <c:pt idx="38">
                  <c:v>54.7</c:v>
                </c:pt>
                <c:pt idx="39">
                  <c:v>57.9</c:v>
                </c:pt>
                <c:pt idx="40">
                  <c:v>58.2</c:v>
                </c:pt>
                <c:pt idx="41">
                  <c:v>63.4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291-4688-9163-6240417374FE}"/>
            </c:ext>
          </c:extLst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wykres_4!$N$7:$BE$8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  <c:pt idx="8">
                    <c:v>2015</c:v>
                  </c:pt>
                  <c:pt idx="12">
                    <c:v>2016</c:v>
                  </c:pt>
                  <c:pt idx="16">
                    <c:v>2017</c:v>
                  </c:pt>
                  <c:pt idx="20">
                    <c:v>2018</c:v>
                  </c:pt>
                  <c:pt idx="24">
                    <c:v>2019</c:v>
                  </c:pt>
                  <c:pt idx="28">
                    <c:v>2020</c:v>
                  </c:pt>
                  <c:pt idx="32">
                    <c:v>2021</c:v>
                  </c:pt>
                  <c:pt idx="36">
                    <c:v>2022</c:v>
                  </c:pt>
                  <c:pt idx="40">
                    <c:v>2023</c:v>
                  </c:pt>
                </c:lvl>
              </c:multiLvlStrCache>
            </c:multiLvlStrRef>
          </c:cat>
          <c:val>
            <c:numRef>
              <c:f>wykres_4!$N$11:$BE$11</c:f>
              <c:numCache>
                <c:formatCode>0.0</c:formatCode>
                <c:ptCount val="44"/>
                <c:pt idx="0">
                  <c:v>-2.6</c:v>
                </c:pt>
                <c:pt idx="1">
                  <c:v>-2.2999999999999998</c:v>
                </c:pt>
                <c:pt idx="2">
                  <c:v>-1.5</c:v>
                </c:pt>
                <c:pt idx="3">
                  <c:v>-1.3</c:v>
                </c:pt>
                <c:pt idx="4">
                  <c:v>-1.4</c:v>
                </c:pt>
                <c:pt idx="5">
                  <c:v>0.1</c:v>
                </c:pt>
                <c:pt idx="6">
                  <c:v>-0.5</c:v>
                </c:pt>
                <c:pt idx="7">
                  <c:v>-0.8</c:v>
                </c:pt>
                <c:pt idx="8">
                  <c:v>-0.9</c:v>
                </c:pt>
                <c:pt idx="9">
                  <c:v>0.4</c:v>
                </c:pt>
                <c:pt idx="10">
                  <c:v>0.5</c:v>
                </c:pt>
                <c:pt idx="11">
                  <c:v>0</c:v>
                </c:pt>
                <c:pt idx="12">
                  <c:v>-0.4</c:v>
                </c:pt>
                <c:pt idx="13">
                  <c:v>2.1</c:v>
                </c:pt>
                <c:pt idx="14">
                  <c:v>4</c:v>
                </c:pt>
                <c:pt idx="15">
                  <c:v>4.4000000000000004</c:v>
                </c:pt>
                <c:pt idx="16">
                  <c:v>4.3</c:v>
                </c:pt>
                <c:pt idx="17">
                  <c:v>7</c:v>
                </c:pt>
                <c:pt idx="18">
                  <c:v>8</c:v>
                </c:pt>
                <c:pt idx="19">
                  <c:v>9.1999999999999993</c:v>
                </c:pt>
                <c:pt idx="20">
                  <c:v>11</c:v>
                </c:pt>
                <c:pt idx="21">
                  <c:v>14.2</c:v>
                </c:pt>
                <c:pt idx="22">
                  <c:v>16.7</c:v>
                </c:pt>
                <c:pt idx="23">
                  <c:v>18.8</c:v>
                </c:pt>
                <c:pt idx="24" formatCode="General">
                  <c:v>21.3</c:v>
                </c:pt>
                <c:pt idx="25">
                  <c:v>25</c:v>
                </c:pt>
                <c:pt idx="26">
                  <c:v>29.4</c:v>
                </c:pt>
                <c:pt idx="27">
                  <c:v>33</c:v>
                </c:pt>
                <c:pt idx="28" formatCode="General">
                  <c:v>39.700000000000003</c:v>
                </c:pt>
                <c:pt idx="29" formatCode="General">
                  <c:v>44.2</c:v>
                </c:pt>
                <c:pt idx="30">
                  <c:v>47</c:v>
                </c:pt>
                <c:pt idx="31">
                  <c:v>47.8</c:v>
                </c:pt>
                <c:pt idx="32">
                  <c:v>50.6</c:v>
                </c:pt>
                <c:pt idx="33">
                  <c:v>56.1</c:v>
                </c:pt>
                <c:pt idx="34">
                  <c:v>59.9</c:v>
                </c:pt>
                <c:pt idx="35">
                  <c:v>65.8</c:v>
                </c:pt>
                <c:pt idx="36">
                  <c:v>71.400000000000006</c:v>
                </c:pt>
                <c:pt idx="37">
                  <c:v>77.5</c:v>
                </c:pt>
                <c:pt idx="38">
                  <c:v>78.400000000000006</c:v>
                </c:pt>
                <c:pt idx="39">
                  <c:v>79.7</c:v>
                </c:pt>
                <c:pt idx="40">
                  <c:v>79.099999999999994</c:v>
                </c:pt>
                <c:pt idx="41">
                  <c:v>84.7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291-4688-9163-624041737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5062400"/>
        <c:axId val="-2075055872"/>
      </c:lineChart>
      <c:catAx>
        <c:axId val="-207506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5055872"/>
        <c:crosses val="autoZero"/>
        <c:auto val="0"/>
        <c:lblAlgn val="ctr"/>
        <c:lblOffset val="100"/>
        <c:noMultiLvlLbl val="0"/>
      </c:catAx>
      <c:valAx>
        <c:axId val="-2075055872"/>
        <c:scaling>
          <c:orientation val="minMax"/>
          <c:max val="9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506240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wskazniki_cen_lokali_mieszkalnych_w_2_kwartale_2023_roku_informacja_sygnalna.docx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D083-A74C-4156-860A-461BDB7ABB61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D9F9A143-1267-4437-BDE3-F05A9B41BC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329</Words>
  <Characters>1980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Printed>2023-07-03T12:58:00Z</cp:lastPrinted>
  <dcterms:created xsi:type="dcterms:W3CDTF">2023-10-02T09:13:00Z</dcterms:created>
  <dcterms:modified xsi:type="dcterms:W3CDTF">2023-10-02T09:13:00Z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