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F4571" w14:textId="3F3E0C8B" w:rsidR="00393761" w:rsidRPr="00001C5B" w:rsidRDefault="00CF3D9C" w:rsidP="00184C3A">
      <w:pPr>
        <w:pStyle w:val="tytuinformacji"/>
        <w:spacing w:after="600"/>
        <w:rPr>
          <w:sz w:val="32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5057AD">
        <w:rPr>
          <w:shd w:val="clear" w:color="auto" w:fill="FFFFFF"/>
        </w:rPr>
        <w:t>3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891EE1">
        <w:rPr>
          <w:shd w:val="clear" w:color="auto" w:fill="FFFFFF"/>
        </w:rPr>
        <w:t>2</w:t>
      </w:r>
      <w:r w:rsidR="00BF0C5F" w:rsidRPr="00BF0C5F">
        <w:rPr>
          <w:shd w:val="clear" w:color="auto" w:fill="FFFFFF"/>
        </w:rPr>
        <w:t xml:space="preserve"> r.</w:t>
      </w:r>
    </w:p>
    <w:p w14:paraId="24D34DC5" w14:textId="0C6FBFAA" w:rsidR="00BD5E55" w:rsidRDefault="00CB1421" w:rsidP="004D0541">
      <w:pPr>
        <w:pStyle w:val="LID"/>
        <w:spacing w:after="0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14BA17B" wp14:editId="0FD83194">
                <wp:simplePos x="0" y="0"/>
                <wp:positionH relativeFrom="margin">
                  <wp:posOffset>0</wp:posOffset>
                </wp:positionH>
                <wp:positionV relativeFrom="paragraph">
                  <wp:posOffset>5291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artość wskaźnika 12,1%&#10;Wzrost cen lokali mieszkalnych w porównaniu z 3 kwartałem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3957" w14:textId="69B244D3" w:rsidR="00CB1421" w:rsidRPr="00AE12EF" w:rsidRDefault="00CB1421" w:rsidP="00CB142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AE12E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866F5">
                              <w:rPr>
                                <w:rStyle w:val="WartowskanikaZnak"/>
                              </w:rPr>
                              <w:t>12,</w:t>
                            </w:r>
                            <w:r w:rsidR="005057AD">
                              <w:rPr>
                                <w:rStyle w:val="WartowskanikaZnak"/>
                              </w:rPr>
                              <w:t>1</w:t>
                            </w:r>
                            <w:r w:rsidR="00D4174E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4308064" w14:textId="6E33768A" w:rsidR="00CB1421" w:rsidRPr="007D605C" w:rsidRDefault="00CB1421" w:rsidP="00CB1421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AE12EF">
                              <w:t>Wzrost cen lokali mieszka</w:t>
                            </w:r>
                            <w:r>
                              <w:t>l</w:t>
                            </w:r>
                            <w:r w:rsidRPr="00AE12EF">
                              <w:t xml:space="preserve">nych w porównaniu z </w:t>
                            </w:r>
                            <w:r w:rsidR="005057AD">
                              <w:t>3</w:t>
                            </w:r>
                            <w:r w:rsidRPr="00AE12EF">
                              <w:t xml:space="preserve"> kwartałem 202</w:t>
                            </w:r>
                            <w:r w:rsidR="00891EE1">
                              <w:t>1</w:t>
                            </w:r>
                            <w:r w:rsidRPr="00AE12E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BA17B" id="Pole tekstowe 2" o:spid="_x0000_s1026" alt="Wartość wskaźnika 12,1%&#10;Wzrost cen lokali mieszkalnych w porównaniu z 3 kwartałem 2021 r." style="position:absolute;margin-left:0;margin-top:.4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" fillcolor="#001d77" stroked="f">
                <v:stroke joinstyle="miter"/>
                <v:textbox>
                  <w:txbxContent>
                    <w:p w14:paraId="21FC3957" w14:textId="69B244D3" w:rsidR="00CB1421" w:rsidRPr="00AE12EF" w:rsidRDefault="00CB1421" w:rsidP="00CB142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AE12E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866F5">
                        <w:rPr>
                          <w:rStyle w:val="WartowskanikaZnak"/>
                        </w:rPr>
                        <w:t>12,</w:t>
                      </w:r>
                      <w:r w:rsidR="005057AD">
                        <w:rPr>
                          <w:rStyle w:val="WartowskanikaZnak"/>
                        </w:rPr>
                        <w:t>1</w:t>
                      </w:r>
                      <w:r w:rsidR="00D4174E">
                        <w:rPr>
                          <w:rStyle w:val="WartowskanikaZnak"/>
                        </w:rPr>
                        <w:t>%</w:t>
                      </w:r>
                    </w:p>
                    <w:p w14:paraId="64308064" w14:textId="6E33768A" w:rsidR="00CB1421" w:rsidRPr="007D605C" w:rsidRDefault="00CB1421" w:rsidP="00CB1421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AE12EF">
                        <w:t>Wzrost cen lokali mieszka</w:t>
                      </w:r>
                      <w:r>
                        <w:t>l</w:t>
                      </w:r>
                      <w:r w:rsidRPr="00AE12EF">
                        <w:t xml:space="preserve">nych w porównaniu z </w:t>
                      </w:r>
                      <w:r w:rsidR="005057AD">
                        <w:t>3</w:t>
                      </w:r>
                      <w:r w:rsidRPr="00AE12EF">
                        <w:t xml:space="preserve"> kwartałem 202</w:t>
                      </w:r>
                      <w:r w:rsidR="00891EE1">
                        <w:t>1</w:t>
                      </w:r>
                      <w:r w:rsidRPr="00AE12E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5057AD">
        <w:t>3</w:t>
      </w:r>
      <w:r w:rsidR="006B220B">
        <w:t xml:space="preserve"> kwartale </w:t>
      </w:r>
      <w:r w:rsidR="00BC4844">
        <w:t>202</w:t>
      </w:r>
      <w:r w:rsidR="00891EE1">
        <w:t>2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5057AD">
        <w:t>2,4</w:t>
      </w:r>
      <w:r w:rsidR="008B15C2">
        <w:t xml:space="preserve">% w stosunku do </w:t>
      </w:r>
      <w:r w:rsidR="005057AD">
        <w:t>2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D866F5">
        <w:t>2</w:t>
      </w:r>
      <w:r w:rsidR="00EC1EE7">
        <w:t xml:space="preserve"> r. </w:t>
      </w:r>
      <w:r w:rsidR="008B15C2">
        <w:t xml:space="preserve"> </w:t>
      </w:r>
      <w:r w:rsidR="00D866F5">
        <w:t xml:space="preserve">(w tym na rynku pierwotnym – o </w:t>
      </w:r>
      <w:r w:rsidR="005057AD">
        <w:t>4,5</w:t>
      </w:r>
      <w:r w:rsidR="00D866F5">
        <w:t xml:space="preserve">% i na rynku wtórnym – o </w:t>
      </w:r>
      <w:r w:rsidR="005057AD">
        <w:t>0,5</w:t>
      </w:r>
      <w:r w:rsidR="00D866F5">
        <w:t xml:space="preserve">%).  </w:t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BF263D">
        <w:t>2</w:t>
      </w:r>
      <w:r w:rsidR="00891EE1">
        <w:t>1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D866F5">
        <w:t>12,</w:t>
      </w:r>
      <w:r w:rsidR="005057AD">
        <w:t>1</w:t>
      </w:r>
      <w:r w:rsidR="00F140E4">
        <w:t>% (w</w:t>
      </w:r>
      <w:r w:rsidR="000361EC">
        <w:t xml:space="preserve"> tym na rynku pierwotnym – o </w:t>
      </w:r>
      <w:r w:rsidR="005057AD">
        <w:t>12,8</w:t>
      </w:r>
      <w:r w:rsidR="006B220B">
        <w:t xml:space="preserve">% </w:t>
      </w:r>
      <w:r w:rsidR="004D0541">
        <w:br/>
      </w:r>
      <w:r w:rsidR="006B220B">
        <w:t xml:space="preserve">i na rynku wtórnym </w:t>
      </w:r>
      <w:r w:rsidR="000361EC">
        <w:t xml:space="preserve">– o </w:t>
      </w:r>
      <w:r w:rsidR="005057AD">
        <w:t>11,6</w:t>
      </w:r>
      <w:r w:rsidR="00F140E4">
        <w:t>%).</w:t>
      </w:r>
    </w:p>
    <w:p w14:paraId="4C41731C" w14:textId="77777777" w:rsidR="004D0541" w:rsidRPr="00BD5E55" w:rsidRDefault="004D0541" w:rsidP="004D0541">
      <w:pPr>
        <w:pStyle w:val="LID"/>
        <w:spacing w:after="0"/>
        <w:rPr>
          <w:b w:val="0"/>
          <w:bCs/>
        </w:rPr>
      </w:pPr>
    </w:p>
    <w:p w14:paraId="595B33D7" w14:textId="66942E0F" w:rsidR="00CC7C9C" w:rsidRPr="007A6021" w:rsidRDefault="007068CE" w:rsidP="004D0541">
      <w:pPr>
        <w:pStyle w:val="Nagwek1"/>
        <w:spacing w:before="120"/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</w:pPr>
      <w:r w:rsidRPr="007A6021">
        <w:rPr>
          <w:rFonts w:ascii="Fira Sans" w:hAnsi="Fira Sans"/>
          <w:b/>
          <w:color w:val="auto"/>
          <w:szCs w:val="19"/>
        </w:rPr>
        <w:t xml:space="preserve">Tablica 1. 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Wskaźni</w:t>
      </w:r>
      <w:r w:rsidR="009C2EB1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ki cen lokali mieszkaln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ych w </w:t>
      </w:r>
      <w:r w:rsidR="005057AD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3</w:t>
      </w:r>
      <w:r w:rsidR="006B220B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kwartale </w:t>
      </w:r>
      <w:r w:rsidR="00BC484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202</w:t>
      </w:r>
      <w:r w:rsidR="00891EE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>2</w:t>
      </w:r>
      <w:r w:rsidR="00F140E4" w:rsidRPr="007A6021">
        <w:rPr>
          <w:rFonts w:ascii="Fira Sans" w:hAnsi="Fira Sans"/>
          <w:b/>
          <w:color w:val="auto"/>
          <w:spacing w:val="-2"/>
          <w:szCs w:val="19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single" w:sz="4" w:space="0" w:color="001D77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001D77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 przedstawiająca wskaźniki cen lokali mieszkalnych według województw w 3 kwartale 2022 r. w stosunku do: 2 kw. 2022, 3 kw. 2021 oraz do 2015.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7143FF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69923BD9" w:rsidR="00BC4844" w:rsidRPr="007A6021" w:rsidRDefault="007A6021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7A60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14:paraId="362FE3E3" w14:textId="46E1FB6E" w:rsidR="00BC4844" w:rsidRPr="007A6021" w:rsidRDefault="005057AD" w:rsidP="00184C3A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3</w:t>
            </w:r>
            <w:r w:rsidR="009715D7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>kw</w:t>
            </w:r>
            <w:r w:rsidR="00847702" w:rsidRPr="007A6021">
              <w:rPr>
                <w:rFonts w:eastAsiaTheme="majorEastAsia" w:cstheme="majorBidi"/>
                <w:color w:val="000000" w:themeColor="text1"/>
                <w:szCs w:val="19"/>
              </w:rPr>
              <w:t>.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202</w:t>
            </w:r>
            <w:r w:rsidR="00891EE1">
              <w:rPr>
                <w:rFonts w:eastAsiaTheme="majorEastAsia" w:cstheme="majorBidi"/>
                <w:color w:val="000000" w:themeColor="text1"/>
                <w:szCs w:val="19"/>
              </w:rPr>
              <w:t>2</w:t>
            </w:r>
          </w:p>
        </w:tc>
      </w:tr>
      <w:tr w:rsidR="00BC4844" w:rsidRPr="00437A70" w14:paraId="53E39A7F" w14:textId="77777777" w:rsidTr="007143FF">
        <w:trPr>
          <w:trHeight w:val="341"/>
          <w:jc w:val="center"/>
        </w:trPr>
        <w:tc>
          <w:tcPr>
            <w:tcW w:w="2324" w:type="dxa"/>
            <w:vMerge/>
            <w:vAlign w:val="center"/>
          </w:tcPr>
          <w:p w14:paraId="32DEC789" w14:textId="77777777" w:rsidR="00BC4844" w:rsidRPr="007A6021" w:rsidRDefault="00BC4844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4C0CDF07" w14:textId="705ACF1B" w:rsidR="00BC4844" w:rsidRPr="007A6021" w:rsidRDefault="005057AD" w:rsidP="00D866F5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 xml:space="preserve"> 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606999" w:rsidRPr="007A6021">
              <w:rPr>
                <w:color w:val="000000" w:themeColor="text1"/>
                <w:szCs w:val="19"/>
              </w:rPr>
              <w:t>2</w:t>
            </w:r>
            <w:r w:rsidR="00D866F5"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1627107E" w14:textId="79227DE6" w:rsidR="00BC4844" w:rsidRPr="007A6021" w:rsidRDefault="005057AD" w:rsidP="00891EE1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3</w:t>
            </w:r>
            <w:r w:rsidR="009715D7" w:rsidRPr="007A6021">
              <w:rPr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color w:val="000000" w:themeColor="text1"/>
                <w:szCs w:val="19"/>
              </w:rPr>
              <w:t>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BF263D" w:rsidRPr="007A6021">
              <w:rPr>
                <w:color w:val="000000" w:themeColor="text1"/>
                <w:szCs w:val="19"/>
              </w:rPr>
              <w:t>2</w:t>
            </w:r>
            <w:r w:rsidR="00891EE1">
              <w:rPr>
                <w:color w:val="000000" w:themeColor="text1"/>
                <w:szCs w:val="19"/>
              </w:rPr>
              <w:t>1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73B07774" w14:textId="77777777" w:rsidR="00BC4844" w:rsidRPr="007A6021" w:rsidRDefault="00BC4844" w:rsidP="00184C3A">
            <w:pPr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2015=100</w:t>
            </w:r>
          </w:p>
        </w:tc>
      </w:tr>
      <w:tr w:rsidR="005057AD" w:rsidRPr="0051704F" w14:paraId="3FE70845" w14:textId="77777777" w:rsidTr="00B6649F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4709F566" w:rsidR="005057AD" w:rsidRPr="007A6021" w:rsidRDefault="005057AD" w:rsidP="005057AD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1653" w:type="dxa"/>
            <w:shd w:val="clear" w:color="auto" w:fill="auto"/>
          </w:tcPr>
          <w:p w14:paraId="7CEC36FD" w14:textId="2B649723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102,4</w:t>
            </w:r>
          </w:p>
        </w:tc>
        <w:tc>
          <w:tcPr>
            <w:tcW w:w="1654" w:type="dxa"/>
            <w:shd w:val="clear" w:color="auto" w:fill="auto"/>
          </w:tcPr>
          <w:p w14:paraId="0D069082" w14:textId="1A481379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112,1</w:t>
            </w:r>
          </w:p>
        </w:tc>
        <w:tc>
          <w:tcPr>
            <w:tcW w:w="1654" w:type="dxa"/>
            <w:shd w:val="clear" w:color="auto" w:fill="auto"/>
          </w:tcPr>
          <w:p w14:paraId="4FE283CC" w14:textId="1194DD15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167,4</w:t>
            </w:r>
          </w:p>
        </w:tc>
      </w:tr>
      <w:tr w:rsidR="005057AD" w:rsidRPr="0051704F" w14:paraId="74EAB253" w14:textId="77777777" w:rsidTr="00B6649F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617A3C79" w:rsidR="005057AD" w:rsidRPr="007A6021" w:rsidRDefault="005057AD" w:rsidP="005057AD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1653" w:type="dxa"/>
            <w:shd w:val="clear" w:color="auto" w:fill="auto"/>
          </w:tcPr>
          <w:p w14:paraId="1737A2E8" w14:textId="6FD5190F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104,5</w:t>
            </w:r>
          </w:p>
        </w:tc>
        <w:tc>
          <w:tcPr>
            <w:tcW w:w="1654" w:type="dxa"/>
            <w:shd w:val="clear" w:color="auto" w:fill="auto"/>
          </w:tcPr>
          <w:p w14:paraId="4C7160BE" w14:textId="396B7C82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112,8</w:t>
            </w:r>
          </w:p>
        </w:tc>
        <w:tc>
          <w:tcPr>
            <w:tcW w:w="1654" w:type="dxa"/>
            <w:shd w:val="clear" w:color="auto" w:fill="auto"/>
          </w:tcPr>
          <w:p w14:paraId="34993749" w14:textId="32B944C0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154,7</w:t>
            </w:r>
          </w:p>
        </w:tc>
      </w:tr>
      <w:tr w:rsidR="005057AD" w:rsidRPr="0051704F" w14:paraId="1CFC42D5" w14:textId="77777777" w:rsidTr="00B6649F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11F381DD" w:rsidR="005057AD" w:rsidRPr="007A6021" w:rsidRDefault="005057AD" w:rsidP="005057AD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1653" w:type="dxa"/>
            <w:shd w:val="clear" w:color="auto" w:fill="auto"/>
          </w:tcPr>
          <w:p w14:paraId="17A55DE2" w14:textId="17D7A3BA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100,5</w:t>
            </w:r>
          </w:p>
        </w:tc>
        <w:tc>
          <w:tcPr>
            <w:tcW w:w="1654" w:type="dxa"/>
            <w:shd w:val="clear" w:color="auto" w:fill="auto"/>
          </w:tcPr>
          <w:p w14:paraId="3E0F62F8" w14:textId="1CBC408A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111,6</w:t>
            </w:r>
          </w:p>
        </w:tc>
        <w:tc>
          <w:tcPr>
            <w:tcW w:w="1654" w:type="dxa"/>
            <w:shd w:val="clear" w:color="auto" w:fill="auto"/>
          </w:tcPr>
          <w:p w14:paraId="6F54A2F3" w14:textId="37CC776B" w:rsidR="005057AD" w:rsidRPr="007A6021" w:rsidRDefault="005057AD" w:rsidP="005057A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933F76">
              <w:t>178,4</w:t>
            </w:r>
          </w:p>
        </w:tc>
      </w:tr>
    </w:tbl>
    <w:p w14:paraId="149CB747" w14:textId="407C47BA" w:rsidR="00C44EB3" w:rsidRPr="00184C3A" w:rsidRDefault="00E940FD" w:rsidP="00C72120">
      <w:pPr>
        <w:spacing w:before="240" w:line="240" w:lineRule="auto"/>
        <w:rPr>
          <w:b/>
          <w:sz w:val="18"/>
          <w:szCs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5D45D9DF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 descr="Przy obliczaniu wskaźników cen lokali mieszkalnych za 2022 r. rynkowi wtórnemu przypisuje się wagę 52,8%, a rynkowi pierwotnemu – 47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1A8AF7E2" w:rsidR="00F22BD7" w:rsidRPr="00074DD8" w:rsidRDefault="00F22BD7" w:rsidP="007143FF">
                            <w:pPr>
                              <w:pStyle w:val="tekstzboku"/>
                              <w:spacing w:before="240" w:after="120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891EE1">
                              <w:t>2</w:t>
                            </w:r>
                            <w:r>
                              <w:t xml:space="preserve"> r. rynkowi w</w:t>
                            </w:r>
                            <w:r w:rsidR="00E34475">
                              <w:t xml:space="preserve">tórnemu przypisuje się wagę </w:t>
                            </w:r>
                            <w:r w:rsidR="00BF263D">
                              <w:t>52,</w:t>
                            </w:r>
                            <w:r w:rsidR="00891EE1">
                              <w:t>8</w:t>
                            </w:r>
                            <w:r w:rsidR="00E34475">
                              <w:t xml:space="preserve">%, a rynkowi pierwotnemu – </w:t>
                            </w:r>
                            <w:r w:rsidR="00BF263D">
                              <w:t>4</w:t>
                            </w:r>
                            <w:r w:rsidR="00891EE1">
                              <w:t>7,2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DF4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Przy obliczaniu wskaźników cen lokali mieszkalnych za 2022 r. rynkowi wtórnemu przypisuje się wagę 52,8%, a rynkowi pierwotnemu – 47,2%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" filled="f" stroked="f">
                <v:textbox>
                  <w:txbxContent>
                    <w:p w14:paraId="3A5FFA49" w14:textId="1A8AF7E2" w:rsidR="00F22BD7" w:rsidRPr="00074DD8" w:rsidRDefault="00F22BD7" w:rsidP="007143FF">
                      <w:pPr>
                        <w:pStyle w:val="tekstzboku"/>
                        <w:spacing w:before="240" w:after="120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891EE1">
                        <w:t>2</w:t>
                      </w:r>
                      <w:r>
                        <w:t xml:space="preserve"> r. rynkowi w</w:t>
                      </w:r>
                      <w:r w:rsidR="00E34475">
                        <w:t xml:space="preserve">tórnemu przypisuje się wagę </w:t>
                      </w:r>
                      <w:r w:rsidR="00BF263D">
                        <w:t>52,</w:t>
                      </w:r>
                      <w:r w:rsidR="00891EE1">
                        <w:t>8</w:t>
                      </w:r>
                      <w:r w:rsidR="00E34475">
                        <w:t xml:space="preserve">%, a rynkowi pierwotnemu – </w:t>
                      </w:r>
                      <w:r w:rsidR="00BF263D">
                        <w:t>4</w:t>
                      </w:r>
                      <w:r w:rsidR="00891EE1">
                        <w:t>7,2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 w:rsidRPr="00184C3A">
        <w:rPr>
          <w:b/>
          <w:sz w:val="18"/>
          <w:szCs w:val="18"/>
        </w:rPr>
        <w:t xml:space="preserve">Wykres 1. System wag stosowany w obliczeniach wskaźników cen </w:t>
      </w:r>
      <w:r w:rsidR="00C135F6" w:rsidRPr="00184C3A">
        <w:rPr>
          <w:b/>
          <w:sz w:val="18"/>
          <w:szCs w:val="18"/>
        </w:rPr>
        <w:t xml:space="preserve">lokali mieszkalnych w </w:t>
      </w:r>
      <w:r w:rsidR="00BC4844" w:rsidRPr="00184C3A">
        <w:rPr>
          <w:b/>
          <w:sz w:val="18"/>
          <w:szCs w:val="18"/>
        </w:rPr>
        <w:t>202</w:t>
      </w:r>
      <w:r w:rsidR="00891EE1">
        <w:rPr>
          <w:b/>
          <w:sz w:val="18"/>
          <w:szCs w:val="18"/>
        </w:rPr>
        <w:t>2</w:t>
      </w:r>
      <w:r w:rsidR="005E3B8D" w:rsidRPr="00184C3A">
        <w:rPr>
          <w:b/>
          <w:sz w:val="18"/>
          <w:szCs w:val="18"/>
        </w:rPr>
        <w:t xml:space="preserve"> r.</w:t>
      </w:r>
    </w:p>
    <w:p w14:paraId="5B2FE6B9" w14:textId="7AD87678" w:rsidR="001F4522" w:rsidRDefault="00631685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 wp14:anchorId="1060AC69" wp14:editId="0FF87183">
            <wp:simplePos x="0" y="0"/>
            <wp:positionH relativeFrom="column">
              <wp:posOffset>97155</wp:posOffset>
            </wp:positionH>
            <wp:positionV relativeFrom="paragraph">
              <wp:posOffset>3175</wp:posOffset>
            </wp:positionV>
            <wp:extent cx="5122545" cy="948690"/>
            <wp:effectExtent l="0" t="0" r="1905" b="3810"/>
            <wp:wrapNone/>
            <wp:docPr id="5" name="Obraz 2" descr="Wykres 1 przedstawiający system wag stosowany w obliczeniach wskaźników cen lokali mieszkalnych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32F6E" w14:textId="653413D4" w:rsidR="001F4522" w:rsidRDefault="001F4522" w:rsidP="00204445">
      <w:pPr>
        <w:spacing w:before="240"/>
        <w:rPr>
          <w:b/>
          <w:sz w:val="18"/>
        </w:rPr>
      </w:pPr>
    </w:p>
    <w:p w14:paraId="102F8234" w14:textId="605A5DB8" w:rsidR="001F4522" w:rsidRDefault="001F4522" w:rsidP="00204445">
      <w:pPr>
        <w:spacing w:before="240"/>
        <w:rPr>
          <w:b/>
          <w:sz w:val="18"/>
        </w:rPr>
      </w:pPr>
    </w:p>
    <w:p w14:paraId="449E67C4" w14:textId="7EC05AC4" w:rsidR="006E095C" w:rsidRDefault="00AA6B32" w:rsidP="00C72120">
      <w:pPr>
        <w:spacing w:before="240"/>
        <w:rPr>
          <w:b/>
          <w:sz w:val="18"/>
        </w:rPr>
      </w:pPr>
      <w:r w:rsidRPr="00184C3A">
        <w:rPr>
          <w:b/>
          <w:sz w:val="18"/>
        </w:rPr>
        <w:t>Wykres 2</w:t>
      </w:r>
      <w:r w:rsidR="00D24CF3" w:rsidRPr="00184C3A">
        <w:rPr>
          <w:b/>
          <w:sz w:val="18"/>
        </w:rPr>
        <w:t xml:space="preserve">. </w:t>
      </w:r>
      <w:r w:rsidR="0025568B" w:rsidRPr="00184C3A">
        <w:rPr>
          <w:b/>
          <w:sz w:val="18"/>
        </w:rPr>
        <w:t>Kwartalne z</w:t>
      </w:r>
      <w:r w:rsidR="003662A9" w:rsidRPr="00184C3A">
        <w:rPr>
          <w:b/>
          <w:sz w:val="18"/>
        </w:rPr>
        <w:t>miany c</w:t>
      </w:r>
      <w:r w:rsidR="0025568B" w:rsidRPr="00184C3A">
        <w:rPr>
          <w:b/>
          <w:sz w:val="18"/>
        </w:rPr>
        <w:t xml:space="preserve">en lokali mieszkalnych </w:t>
      </w:r>
      <w:r w:rsidR="003662A9" w:rsidRPr="00184C3A">
        <w:rPr>
          <w:b/>
          <w:sz w:val="18"/>
        </w:rPr>
        <w:t xml:space="preserve">w </w:t>
      </w:r>
      <w:r w:rsidR="00D24CF3" w:rsidRPr="00184C3A">
        <w:rPr>
          <w:b/>
          <w:sz w:val="18"/>
        </w:rPr>
        <w:t>stosunku do okresu</w:t>
      </w:r>
      <w:r w:rsidR="003662A9" w:rsidRPr="00184C3A">
        <w:rPr>
          <w:b/>
          <w:sz w:val="18"/>
        </w:rPr>
        <w:t xml:space="preserve"> poprzedniego</w:t>
      </w:r>
    </w:p>
    <w:p w14:paraId="203E0D06" w14:textId="39807123" w:rsidR="00030AC9" w:rsidRPr="00184C3A" w:rsidRDefault="00A31FF0" w:rsidP="00C72120">
      <w:pPr>
        <w:spacing w:before="240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56F5C9A1" wp14:editId="0F0ACDE4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5122545" cy="2933700"/>
            <wp:effectExtent l="0" t="0" r="1905" b="0"/>
            <wp:wrapNone/>
            <wp:docPr id="11" name="Obraz 1" descr="Wykres 2 przedstawiający kwartalne zmiany cen lokali mieszkalnych w stosunku do okresu poprzedniego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FFA458" w14:textId="25409427" w:rsidR="006755C8" w:rsidRDefault="006755C8" w:rsidP="00442CBE">
      <w:pPr>
        <w:tabs>
          <w:tab w:val="left" w:pos="851"/>
        </w:tabs>
        <w:spacing w:before="0" w:after="160" w:line="259" w:lineRule="auto"/>
        <w:ind w:left="142"/>
        <w:rPr>
          <w:b/>
          <w:sz w:val="18"/>
        </w:rPr>
      </w:pPr>
    </w:p>
    <w:p w14:paraId="068F667A" w14:textId="4514485C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465B0A9F" w14:textId="336C181E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2DB3475C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51C566D8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1D073ED1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3A01A34E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BE2B6D5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738CFEDD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031A5D4C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9508B26" w14:textId="1245838F" w:rsidR="006E095C" w:rsidRPr="00184C3A" w:rsidRDefault="006E095C" w:rsidP="00C72120">
      <w:pPr>
        <w:spacing w:before="240" w:line="240" w:lineRule="auto"/>
        <w:ind w:left="851" w:right="-153" w:hanging="851"/>
        <w:rPr>
          <w:b/>
          <w:sz w:val="18"/>
        </w:rPr>
      </w:pPr>
      <w:r w:rsidRPr="00184C3A">
        <w:rPr>
          <w:b/>
          <w:sz w:val="18"/>
        </w:rPr>
        <w:lastRenderedPageBreak/>
        <w:t xml:space="preserve">Wykres 3.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Pr="00184C3A">
        <w:rPr>
          <w:b/>
          <w:sz w:val="18"/>
        </w:rPr>
        <w:t>en lokali mieszkalnych</w:t>
      </w:r>
      <w:r w:rsidR="00D309D6" w:rsidRPr="00184C3A">
        <w:rPr>
          <w:b/>
          <w:sz w:val="18"/>
        </w:rPr>
        <w:t xml:space="preserve"> </w:t>
      </w:r>
      <w:r w:rsidRPr="00184C3A">
        <w:rPr>
          <w:b/>
          <w:sz w:val="18"/>
        </w:rPr>
        <w:t>w s</w:t>
      </w:r>
      <w:r w:rsidR="00E67040" w:rsidRPr="00184C3A">
        <w:rPr>
          <w:b/>
          <w:sz w:val="18"/>
        </w:rPr>
        <w:t>tosunku do analogicznego okresu</w:t>
      </w:r>
      <w:r w:rsidR="00E61BB6" w:rsidRPr="00184C3A">
        <w:rPr>
          <w:b/>
          <w:sz w:val="18"/>
        </w:rPr>
        <w:t xml:space="preserve"> </w:t>
      </w:r>
      <w:r w:rsidR="00F413E7" w:rsidRPr="00184C3A">
        <w:rPr>
          <w:b/>
          <w:sz w:val="18"/>
        </w:rPr>
        <w:t>roku</w:t>
      </w:r>
      <w:r w:rsidR="00D309D6" w:rsidRPr="00184C3A">
        <w:rPr>
          <w:b/>
          <w:sz w:val="18"/>
        </w:rPr>
        <w:t xml:space="preserve"> </w:t>
      </w:r>
      <w:r w:rsidR="00143BE8" w:rsidRPr="00184C3A">
        <w:rPr>
          <w:b/>
          <w:sz w:val="18"/>
        </w:rPr>
        <w:br/>
      </w:r>
      <w:r w:rsidR="00D309D6" w:rsidRPr="00184C3A">
        <w:rPr>
          <w:b/>
          <w:sz w:val="18"/>
        </w:rPr>
        <w:t>poprzedniego</w:t>
      </w:r>
    </w:p>
    <w:p w14:paraId="51F72013" w14:textId="6849F02F" w:rsidR="006E095C" w:rsidRDefault="00A31FF0" w:rsidP="00D866F5">
      <w:pPr>
        <w:tabs>
          <w:tab w:val="left" w:pos="142"/>
        </w:tabs>
        <w:spacing w:before="0" w:after="160" w:line="259" w:lineRule="auto"/>
        <w:ind w:left="284" w:right="129" w:hanging="284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77902253" wp14:editId="3C301344">
            <wp:extent cx="5122545" cy="3933825"/>
            <wp:effectExtent l="0" t="0" r="1905" b="9525"/>
            <wp:docPr id="20" name="Obraz 3" descr="Wykres 3 przedstawiający kwartalne zmiany cen lokali mieszkalnych w stosunku do analogicznego okresu roku poprzedniego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648A1" w14:textId="77777777" w:rsidR="0087115A" w:rsidRPr="00184C3A" w:rsidRDefault="00E940FD" w:rsidP="00C72120">
      <w:pPr>
        <w:spacing w:before="360" w:line="240" w:lineRule="auto"/>
        <w:rPr>
          <w:b/>
          <w:sz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432912FE">
                <wp:simplePos x="0" y="0"/>
                <wp:positionH relativeFrom="column">
                  <wp:posOffset>5248275</wp:posOffset>
                </wp:positionH>
                <wp:positionV relativeFrom="paragraph">
                  <wp:posOffset>89535</wp:posOffset>
                </wp:positionV>
                <wp:extent cx="1762125" cy="1504950"/>
                <wp:effectExtent l="0" t="0" r="0" b="0"/>
                <wp:wrapTight wrapText="bothSides">
                  <wp:wrapPolygon edited="0">
                    <wp:start x="701" y="0"/>
                    <wp:lineTo x="701" y="21327"/>
                    <wp:lineTo x="20783" y="21327"/>
                    <wp:lineTo x="20783" y="0"/>
                    <wp:lineTo x="701" y="0"/>
                  </wp:wrapPolygon>
                </wp:wrapTight>
                <wp:docPr id="12" name="Pole tekstowe 6" descr="W 3 kwartale 2022 r. ceny lokali mieszkalnych były o 67,4% wyższe w porównaniu ze średnią ceną dla 2015 r. (w tym na rynku pierwotnym – o 54,7%, a na rynku wtórnym – o 78,4%)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031666F5" w:rsidR="00F22BD7" w:rsidRDefault="0032064E" w:rsidP="00907C44">
                            <w:pPr>
                              <w:pStyle w:val="tekstzboku"/>
                              <w:spacing w:before="240" w:after="120"/>
                            </w:pPr>
                            <w:r>
                              <w:t xml:space="preserve">W </w:t>
                            </w:r>
                            <w:r w:rsidR="00B20844">
                              <w:t>3</w:t>
                            </w:r>
                            <w:r>
                              <w:t xml:space="preserve"> kwartale 202</w:t>
                            </w:r>
                            <w:r w:rsidR="0087357C">
                              <w:t>2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B20844">
                              <w:t>67,4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B20844">
                              <w:t>54,7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B20844">
                              <w:t>78,4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AFC7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W 3 kwartale 2022 r. ceny lokali mieszkalnych były o 67,4% wyższe w porównaniu ze średnią ceną dla 2015 r. (w tym na rynku pierwotnym – o 54,7%, a na rynku wtórnym – o 78,4%)&#10;&#10;" style="position:absolute;margin-left:413.25pt;margin-top:7.05pt;width:138.75pt;height:118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" filled="f" stroked="f">
                <v:textbox>
                  <w:txbxContent>
                    <w:p w14:paraId="2FB9DD57" w14:textId="031666F5" w:rsidR="00F22BD7" w:rsidRDefault="0032064E" w:rsidP="00907C44">
                      <w:pPr>
                        <w:pStyle w:val="tekstzboku"/>
                        <w:spacing w:before="240" w:after="120"/>
                      </w:pPr>
                      <w:r>
                        <w:t xml:space="preserve">W </w:t>
                      </w:r>
                      <w:r w:rsidR="00B20844">
                        <w:t>3</w:t>
                      </w:r>
                      <w:r>
                        <w:t xml:space="preserve"> kwartale 202</w:t>
                      </w:r>
                      <w:r w:rsidR="0087357C">
                        <w:t>2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B20844">
                        <w:t>67,4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B20844">
                        <w:t>54,7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B20844">
                        <w:t>78,4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 w:rsidRPr="00184C3A">
        <w:rPr>
          <w:b/>
          <w:sz w:val="18"/>
        </w:rPr>
        <w:t xml:space="preserve">Wykres 4.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="0087115A" w:rsidRPr="00184C3A">
        <w:rPr>
          <w:b/>
          <w:sz w:val="18"/>
        </w:rPr>
        <w:t>en lokali mieszkalnych w stosunku do 201</w:t>
      </w:r>
      <w:r w:rsidR="00C7541C" w:rsidRPr="00184C3A">
        <w:rPr>
          <w:b/>
          <w:sz w:val="18"/>
        </w:rPr>
        <w:t>5</w:t>
      </w:r>
      <w:r w:rsidR="0087115A" w:rsidRPr="00184C3A">
        <w:rPr>
          <w:b/>
          <w:sz w:val="18"/>
        </w:rPr>
        <w:t xml:space="preserve"> r</w:t>
      </w:r>
      <w:r w:rsidR="00C7541C" w:rsidRPr="00184C3A">
        <w:rPr>
          <w:b/>
          <w:sz w:val="18"/>
        </w:rPr>
        <w:t>.</w:t>
      </w:r>
    </w:p>
    <w:p w14:paraId="2191F2D1" w14:textId="7A9E6681" w:rsidR="00D309D6" w:rsidRDefault="00A31FF0">
      <w:pPr>
        <w:spacing w:before="0" w:after="160" w:line="259" w:lineRule="auto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9CF5EF2" wp14:editId="4C7DB172">
            <wp:extent cx="5122545" cy="4933950"/>
            <wp:effectExtent l="0" t="0" r="1905" b="0"/>
            <wp:docPr id="25" name="Obraz 2" descr="Wykres 4 przedstawiający kwartalne zmiany cen lokali mieszkalnych w stosunku do 2015 r. na rynku: ogółem, pierwotnym i wtórnym w latach 2012-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CFE16" w14:textId="633CA6A3" w:rsidR="00F352F0" w:rsidRPr="00C72120" w:rsidRDefault="00E940FD" w:rsidP="00854874">
      <w:pPr>
        <w:spacing w:before="240"/>
        <w:rPr>
          <w:b/>
          <w:szCs w:val="19"/>
        </w:rPr>
      </w:pPr>
      <w:r w:rsidRPr="00C72120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19CA65BB">
                <wp:simplePos x="0" y="0"/>
                <wp:positionH relativeFrom="column">
                  <wp:posOffset>5286375</wp:posOffset>
                </wp:positionH>
                <wp:positionV relativeFrom="paragraph">
                  <wp:posOffset>504825</wp:posOffset>
                </wp:positionV>
                <wp:extent cx="1743075" cy="1793240"/>
                <wp:effectExtent l="0" t="0" r="0" b="0"/>
                <wp:wrapTight wrapText="bothSides">
                  <wp:wrapPolygon edited="0">
                    <wp:start x="708" y="0"/>
                    <wp:lineTo x="708" y="21340"/>
                    <wp:lineTo x="20774" y="21340"/>
                    <wp:lineTo x="20774" y="0"/>
                    <wp:lineTo x="708" y="0"/>
                  </wp:wrapPolygon>
                </wp:wrapTight>
                <wp:docPr id="10" name="Pole tekstowe 6" descr="W 3 kwartale 2022 r. największy wzrost cen lokali mieszkalnych  w stosunku do poprzedniego kwartału odnotowano w województwie wielkopolskim (o 7,4%). Spadek cen zaobserwowano w województwach: zachodniopomorskim (o 1,6%) i pomorskim (o 0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177B68DE" w:rsidR="00D309D6" w:rsidRPr="00074DD8" w:rsidRDefault="003B2FEB" w:rsidP="003B2FEB">
                            <w:pPr>
                              <w:pStyle w:val="tekstzboku"/>
                              <w:ind w:right="-39"/>
                            </w:pPr>
                            <w:r>
                              <w:t>W 3</w:t>
                            </w:r>
                            <w:r w:rsidRPr="00AD1D43">
                              <w:t xml:space="preserve"> kwartale 202</w:t>
                            </w:r>
                            <w:r>
                              <w:t>2 r. n</w:t>
                            </w:r>
                            <w:r w:rsidRPr="00AD1D43">
                              <w:t xml:space="preserve">ajwiększy wzrost cen lokali mieszkalnych </w:t>
                            </w:r>
                            <w:r>
                              <w:t xml:space="preserve"> </w:t>
                            </w:r>
                            <w:r w:rsidR="00AD1D43" w:rsidRPr="00AD1D43">
                              <w:t xml:space="preserve">w stosunku do </w:t>
                            </w:r>
                            <w:r>
                              <w:t xml:space="preserve">poprzedniego </w:t>
                            </w:r>
                            <w:r w:rsidR="00AD1D43" w:rsidRPr="00AD1D43">
                              <w:t xml:space="preserve">kwartału odnotowano w województwie </w:t>
                            </w:r>
                            <w:r w:rsidR="00B20844">
                              <w:t>wielkopolskim</w:t>
                            </w:r>
                            <w:r w:rsidR="0087357C">
                              <w:t xml:space="preserve"> </w:t>
                            </w:r>
                            <w:r w:rsidR="00AD1D43" w:rsidRPr="00AD1D43">
                              <w:t>(o</w:t>
                            </w:r>
                            <w:r>
                              <w:t> </w:t>
                            </w:r>
                            <w:r w:rsidR="00B20844">
                              <w:t>7,4</w:t>
                            </w:r>
                            <w:r w:rsidR="00AD1D43" w:rsidRPr="00AD1D43">
                              <w:t>%)</w:t>
                            </w:r>
                            <w:r>
                              <w:t xml:space="preserve">. Spadek cen zaobserwowano </w:t>
                            </w:r>
                            <w:r w:rsidR="00AD1D43" w:rsidRPr="00AD1D43">
                              <w:t>w województw</w:t>
                            </w:r>
                            <w:r w:rsidR="00B20844">
                              <w:t xml:space="preserve">ach: zachodniopomorskim (o 1,6%) i pomorskim </w:t>
                            </w:r>
                            <w:r w:rsidR="00AD1D43" w:rsidRPr="00AD1D43">
                              <w:t>(o</w:t>
                            </w:r>
                            <w:r w:rsidR="00174B78">
                              <w:t> </w:t>
                            </w:r>
                            <w:r w:rsidR="00B20844">
                              <w:t>0</w:t>
                            </w:r>
                            <w:r w:rsidR="005611E1">
                              <w:t>,3</w:t>
                            </w:r>
                            <w:r w:rsidR="00AD1D43" w:rsidRPr="00AD1D43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3C9D" id="_x0000_s1029" type="#_x0000_t202" alt="W 3 kwartale 2022 r. największy wzrost cen lokali mieszkalnych  w stosunku do poprzedniego kwartału odnotowano w województwie wielkopolskim (o 7,4%). Spadek cen zaobserwowano w województwach: zachodniopomorskim (o 1,6%) i pomorskim (o 0,3%)" style="position:absolute;margin-left:416.25pt;margin-top:39.75pt;width:137.2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" filled="f" stroked="f">
                <v:textbox>
                  <w:txbxContent>
                    <w:p w14:paraId="690D4656" w14:textId="177B68DE" w:rsidR="00D309D6" w:rsidRPr="00074DD8" w:rsidRDefault="003B2FEB" w:rsidP="003B2FEB">
                      <w:pPr>
                        <w:pStyle w:val="tekstzboku"/>
                        <w:ind w:right="-39"/>
                      </w:pPr>
                      <w:r>
                        <w:t>W 3</w:t>
                      </w:r>
                      <w:r w:rsidRPr="00AD1D43">
                        <w:t xml:space="preserve"> kwartale 202</w:t>
                      </w:r>
                      <w:r>
                        <w:t>2 r. n</w:t>
                      </w:r>
                      <w:r w:rsidRPr="00AD1D43">
                        <w:t xml:space="preserve">ajwiększy wzrost cen lokali mieszkalnych </w:t>
                      </w:r>
                      <w:r>
                        <w:t xml:space="preserve"> </w:t>
                      </w:r>
                      <w:r w:rsidR="00AD1D43" w:rsidRPr="00AD1D43">
                        <w:t xml:space="preserve">w stosunku do </w:t>
                      </w:r>
                      <w:r>
                        <w:t xml:space="preserve">poprzedniego </w:t>
                      </w:r>
                      <w:r w:rsidR="00AD1D43" w:rsidRPr="00AD1D43">
                        <w:t xml:space="preserve">kwartału odnotowano w województwie </w:t>
                      </w:r>
                      <w:r w:rsidR="00B20844">
                        <w:t>wielkopolskim</w:t>
                      </w:r>
                      <w:r w:rsidR="0087357C">
                        <w:t xml:space="preserve"> </w:t>
                      </w:r>
                      <w:r w:rsidR="00AD1D43" w:rsidRPr="00AD1D43">
                        <w:t>(o</w:t>
                      </w:r>
                      <w:r>
                        <w:t> </w:t>
                      </w:r>
                      <w:r w:rsidR="00B20844">
                        <w:t>7,4</w:t>
                      </w:r>
                      <w:r w:rsidR="00AD1D43" w:rsidRPr="00AD1D43">
                        <w:t>%)</w:t>
                      </w:r>
                      <w:r>
                        <w:t xml:space="preserve">. Spadek cen zaobserwowano </w:t>
                      </w:r>
                      <w:r w:rsidR="00AD1D43" w:rsidRPr="00AD1D43">
                        <w:t>w województw</w:t>
                      </w:r>
                      <w:r w:rsidR="00B20844">
                        <w:t xml:space="preserve">ach: zachodniopomorskim (o 1,6%) i pomorskim </w:t>
                      </w:r>
                      <w:r w:rsidR="00AD1D43" w:rsidRPr="00AD1D43">
                        <w:t>(o</w:t>
                      </w:r>
                      <w:r w:rsidR="00174B78">
                        <w:t> </w:t>
                      </w:r>
                      <w:r w:rsidR="00B20844">
                        <w:t>0</w:t>
                      </w:r>
                      <w:r w:rsidR="005611E1">
                        <w:t>,3</w:t>
                      </w:r>
                      <w:r w:rsidR="00AD1D43" w:rsidRPr="00AD1D43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 w:rsidRPr="00C72120">
        <w:rPr>
          <w:b/>
          <w:szCs w:val="19"/>
        </w:rPr>
        <w:t xml:space="preserve">Tablica 2. </w:t>
      </w:r>
      <w:r w:rsidR="009E181A" w:rsidRPr="00C72120">
        <w:rPr>
          <w:b/>
          <w:spacing w:val="-2"/>
          <w:szCs w:val="19"/>
          <w:shd w:val="clear" w:color="auto" w:fill="FFFFFF"/>
        </w:rPr>
        <w:t>Wskaźniki cen lokali mieszkalnych w</w:t>
      </w:r>
      <w:r w:rsidR="00F95B4F" w:rsidRPr="00C72120">
        <w:rPr>
          <w:b/>
          <w:spacing w:val="-2"/>
          <w:szCs w:val="19"/>
          <w:shd w:val="clear" w:color="auto" w:fill="FFFFFF"/>
        </w:rPr>
        <w:t>edłu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g województw w </w:t>
      </w:r>
      <w:r w:rsidR="00B20844">
        <w:rPr>
          <w:b/>
          <w:spacing w:val="-2"/>
          <w:szCs w:val="19"/>
          <w:shd w:val="clear" w:color="auto" w:fill="FFFFFF"/>
        </w:rPr>
        <w:t>3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 kwartale </w:t>
      </w:r>
      <w:r w:rsidR="00BC4844" w:rsidRPr="00C72120">
        <w:rPr>
          <w:b/>
          <w:spacing w:val="-2"/>
          <w:szCs w:val="19"/>
          <w:shd w:val="clear" w:color="auto" w:fill="FFFFFF"/>
        </w:rPr>
        <w:t>202</w:t>
      </w:r>
      <w:r w:rsidR="0087357C">
        <w:rPr>
          <w:b/>
          <w:spacing w:val="-2"/>
          <w:szCs w:val="19"/>
          <w:shd w:val="clear" w:color="auto" w:fill="FFFFFF"/>
        </w:rPr>
        <w:t>2</w:t>
      </w:r>
      <w:r w:rsidR="009E181A" w:rsidRPr="00C72120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2 przedstawiająca wskaźniki cen lokali mieszkalnych według województw w 3 kwartale 2022 r. w stosunku do 2 kw. 2022 r. i do 3 kw. 2021 r.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1A44D4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19B85735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CB1421"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64533B30" w:rsidR="00F95B4F" w:rsidRPr="00CB1421" w:rsidRDefault="00B20844" w:rsidP="0087357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19"/>
              </w:rPr>
              <w:t>3</w:t>
            </w:r>
            <w:r w:rsidR="000E0158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.</w:t>
            </w:r>
            <w:r w:rsidR="00C135F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202</w:t>
            </w:r>
            <w:r w:rsidR="0087357C">
              <w:rPr>
                <w:rFonts w:eastAsiaTheme="majorEastAsia" w:cstheme="majorBidi"/>
                <w:bCs/>
                <w:color w:val="000000" w:themeColor="text1"/>
                <w:szCs w:val="19"/>
              </w:rPr>
              <w:t>2</w:t>
            </w:r>
          </w:p>
        </w:tc>
      </w:tr>
      <w:tr w:rsidR="00F95B4F" w:rsidRPr="00CB1421" w14:paraId="36C3EE7D" w14:textId="77777777" w:rsidTr="001A44D4">
        <w:trPr>
          <w:gridAfter w:val="1"/>
          <w:wAfter w:w="18" w:type="dxa"/>
          <w:trHeight w:val="57"/>
        </w:trPr>
        <w:tc>
          <w:tcPr>
            <w:tcW w:w="3494" w:type="dxa"/>
            <w:vMerge/>
            <w:vAlign w:val="center"/>
          </w:tcPr>
          <w:p w14:paraId="3B57EAE5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278" w:type="dxa"/>
            <w:vAlign w:val="center"/>
          </w:tcPr>
          <w:p w14:paraId="36DB1581" w14:textId="3F4BB92E" w:rsidR="0018393E" w:rsidRPr="00CB1421" w:rsidRDefault="00B20844" w:rsidP="005611E1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</w:t>
            </w:r>
            <w:r w:rsidR="00BC3205" w:rsidRPr="00CB1421">
              <w:rPr>
                <w:color w:val="000000" w:themeColor="text1"/>
                <w:szCs w:val="19"/>
              </w:rPr>
              <w:t xml:space="preserve"> </w:t>
            </w:r>
            <w:r w:rsidR="00117A64" w:rsidRPr="00CB1421">
              <w:rPr>
                <w:color w:val="000000" w:themeColor="text1"/>
                <w:szCs w:val="19"/>
              </w:rPr>
              <w:t>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117A64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BC3205" w:rsidRPr="00CB1421">
              <w:rPr>
                <w:color w:val="000000" w:themeColor="text1"/>
                <w:szCs w:val="19"/>
              </w:rPr>
              <w:t>2</w:t>
            </w:r>
            <w:r w:rsidR="005611E1">
              <w:rPr>
                <w:color w:val="000000" w:themeColor="text1"/>
                <w:szCs w:val="19"/>
              </w:rPr>
              <w:t>2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2A35FC58" w:rsidR="0018393E" w:rsidRPr="00CB1421" w:rsidRDefault="00B20844" w:rsidP="00B07D6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3</w:t>
            </w:r>
            <w:r w:rsidR="000E0158" w:rsidRPr="00CB1421">
              <w:rPr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C135F6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3C2736" w:rsidRPr="00CB1421">
              <w:rPr>
                <w:color w:val="000000" w:themeColor="text1"/>
                <w:szCs w:val="19"/>
              </w:rPr>
              <w:t>2</w:t>
            </w:r>
            <w:r w:rsidR="0087357C">
              <w:rPr>
                <w:color w:val="000000" w:themeColor="text1"/>
                <w:szCs w:val="19"/>
              </w:rPr>
              <w:t>1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</w:tr>
      <w:tr w:rsidR="00B20844" w:rsidRPr="00F95B4F" w14:paraId="69853D86" w14:textId="77777777" w:rsidTr="001A44D4">
        <w:trPr>
          <w:trHeight w:val="359"/>
        </w:trPr>
        <w:tc>
          <w:tcPr>
            <w:tcW w:w="3494" w:type="dxa"/>
            <w:vAlign w:val="center"/>
          </w:tcPr>
          <w:p w14:paraId="15A0FD17" w14:textId="33C98F82" w:rsidR="00B20844" w:rsidRPr="00CB1421" w:rsidRDefault="00B20844" w:rsidP="00B20844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color w:val="000000" w:themeColor="text1"/>
                <w:szCs w:val="19"/>
              </w:rPr>
              <w:t>Polska</w:t>
            </w:r>
          </w:p>
        </w:tc>
        <w:tc>
          <w:tcPr>
            <w:tcW w:w="2278" w:type="dxa"/>
          </w:tcPr>
          <w:p w14:paraId="5C1A205D" w14:textId="53AFC1B2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102,4</w:t>
            </w:r>
          </w:p>
        </w:tc>
        <w:tc>
          <w:tcPr>
            <w:tcW w:w="2296" w:type="dxa"/>
            <w:gridSpan w:val="2"/>
          </w:tcPr>
          <w:p w14:paraId="715874C9" w14:textId="4B6E2273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112,1</w:t>
            </w:r>
          </w:p>
        </w:tc>
      </w:tr>
      <w:tr w:rsidR="00B20844" w:rsidRPr="00F95B4F" w14:paraId="4B587F64" w14:textId="77777777" w:rsidTr="001A44D4">
        <w:trPr>
          <w:trHeight w:val="57"/>
        </w:trPr>
        <w:tc>
          <w:tcPr>
            <w:tcW w:w="3494" w:type="dxa"/>
          </w:tcPr>
          <w:p w14:paraId="37963D49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532A4D6A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101,7</w:t>
            </w:r>
          </w:p>
        </w:tc>
        <w:tc>
          <w:tcPr>
            <w:tcW w:w="2296" w:type="dxa"/>
            <w:gridSpan w:val="2"/>
          </w:tcPr>
          <w:p w14:paraId="09E5AE33" w14:textId="333420FD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111,5</w:t>
            </w:r>
          </w:p>
        </w:tc>
      </w:tr>
      <w:tr w:rsidR="00B20844" w:rsidRPr="00F95B4F" w14:paraId="10DE9790" w14:textId="77777777" w:rsidTr="001A44D4">
        <w:trPr>
          <w:trHeight w:val="57"/>
        </w:trPr>
        <w:tc>
          <w:tcPr>
            <w:tcW w:w="3494" w:type="dxa"/>
          </w:tcPr>
          <w:p w14:paraId="1D1C0742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113CBAEA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102,3</w:t>
            </w:r>
          </w:p>
        </w:tc>
        <w:tc>
          <w:tcPr>
            <w:tcW w:w="2296" w:type="dxa"/>
            <w:gridSpan w:val="2"/>
          </w:tcPr>
          <w:p w14:paraId="118AB215" w14:textId="36412857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109,3</w:t>
            </w:r>
          </w:p>
        </w:tc>
      </w:tr>
      <w:tr w:rsidR="00B20844" w:rsidRPr="00F95B4F" w14:paraId="7722E079" w14:textId="77777777" w:rsidTr="001A44D4">
        <w:trPr>
          <w:trHeight w:val="57"/>
        </w:trPr>
        <w:tc>
          <w:tcPr>
            <w:tcW w:w="3494" w:type="dxa"/>
          </w:tcPr>
          <w:p w14:paraId="4669312D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56E20658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100,8</w:t>
            </w:r>
          </w:p>
        </w:tc>
        <w:tc>
          <w:tcPr>
            <w:tcW w:w="2296" w:type="dxa"/>
            <w:gridSpan w:val="2"/>
          </w:tcPr>
          <w:p w14:paraId="58956A7B" w14:textId="6206C46B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111,2</w:t>
            </w:r>
          </w:p>
        </w:tc>
      </w:tr>
      <w:tr w:rsidR="00B20844" w:rsidRPr="00F95B4F" w14:paraId="0B547942" w14:textId="77777777" w:rsidTr="001A44D4">
        <w:trPr>
          <w:trHeight w:val="57"/>
        </w:trPr>
        <w:tc>
          <w:tcPr>
            <w:tcW w:w="3494" w:type="dxa"/>
          </w:tcPr>
          <w:p w14:paraId="100A8276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74E79FBA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104,1</w:t>
            </w:r>
          </w:p>
        </w:tc>
        <w:tc>
          <w:tcPr>
            <w:tcW w:w="2296" w:type="dxa"/>
            <w:gridSpan w:val="2"/>
          </w:tcPr>
          <w:p w14:paraId="52E08B7F" w14:textId="75DAD1FC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114,0</w:t>
            </w:r>
          </w:p>
        </w:tc>
      </w:tr>
      <w:tr w:rsidR="00B20844" w:rsidRPr="00F95B4F" w14:paraId="430CA45B" w14:textId="77777777" w:rsidTr="001A44D4">
        <w:trPr>
          <w:trHeight w:val="57"/>
        </w:trPr>
        <w:tc>
          <w:tcPr>
            <w:tcW w:w="3494" w:type="dxa"/>
          </w:tcPr>
          <w:p w14:paraId="42BC7E97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06772C3B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103,4</w:t>
            </w:r>
          </w:p>
        </w:tc>
        <w:tc>
          <w:tcPr>
            <w:tcW w:w="2296" w:type="dxa"/>
            <w:gridSpan w:val="2"/>
          </w:tcPr>
          <w:p w14:paraId="4D39F22E" w14:textId="05B21FA9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110,3</w:t>
            </w:r>
          </w:p>
        </w:tc>
      </w:tr>
      <w:tr w:rsidR="00B20844" w:rsidRPr="00F95B4F" w14:paraId="126B8827" w14:textId="77777777" w:rsidTr="001A44D4">
        <w:trPr>
          <w:trHeight w:val="57"/>
        </w:trPr>
        <w:tc>
          <w:tcPr>
            <w:tcW w:w="3494" w:type="dxa"/>
          </w:tcPr>
          <w:p w14:paraId="570A0223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35F934B2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102,5</w:t>
            </w:r>
          </w:p>
        </w:tc>
        <w:tc>
          <w:tcPr>
            <w:tcW w:w="2296" w:type="dxa"/>
            <w:gridSpan w:val="2"/>
          </w:tcPr>
          <w:p w14:paraId="58A022FF" w14:textId="7D28D725" w:rsidR="00B20844" w:rsidRPr="00CB1421" w:rsidRDefault="00B20844" w:rsidP="00B20844">
            <w:pPr>
              <w:jc w:val="right"/>
              <w:rPr>
                <w:szCs w:val="19"/>
              </w:rPr>
            </w:pPr>
            <w:bookmarkStart w:id="0" w:name="_GoBack"/>
            <w:bookmarkEnd w:id="0"/>
            <w:r w:rsidRPr="0043119D">
              <w:t>111,5</w:t>
            </w:r>
          </w:p>
        </w:tc>
      </w:tr>
      <w:tr w:rsidR="00B20844" w:rsidRPr="00F95B4F" w14:paraId="1EEA786D" w14:textId="77777777" w:rsidTr="001A44D4">
        <w:trPr>
          <w:trHeight w:val="57"/>
        </w:trPr>
        <w:tc>
          <w:tcPr>
            <w:tcW w:w="3494" w:type="dxa"/>
          </w:tcPr>
          <w:p w14:paraId="4252E8C7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070AB136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104,4</w:t>
            </w:r>
          </w:p>
        </w:tc>
        <w:tc>
          <w:tcPr>
            <w:tcW w:w="2296" w:type="dxa"/>
            <w:gridSpan w:val="2"/>
          </w:tcPr>
          <w:p w14:paraId="320FB048" w14:textId="02DAC202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113,7</w:t>
            </w:r>
          </w:p>
        </w:tc>
      </w:tr>
      <w:tr w:rsidR="00B20844" w:rsidRPr="00F95B4F" w14:paraId="14115158" w14:textId="77777777" w:rsidTr="001A44D4">
        <w:trPr>
          <w:trHeight w:val="57"/>
        </w:trPr>
        <w:tc>
          <w:tcPr>
            <w:tcW w:w="3494" w:type="dxa"/>
          </w:tcPr>
          <w:p w14:paraId="241AB5E8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57DE64AE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102,4</w:t>
            </w:r>
          </w:p>
        </w:tc>
        <w:tc>
          <w:tcPr>
            <w:tcW w:w="2296" w:type="dxa"/>
            <w:gridSpan w:val="2"/>
          </w:tcPr>
          <w:p w14:paraId="244C0966" w14:textId="0892243E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116,2</w:t>
            </w:r>
          </w:p>
        </w:tc>
      </w:tr>
      <w:tr w:rsidR="00B20844" w:rsidRPr="00F95B4F" w14:paraId="1F5A0997" w14:textId="77777777" w:rsidTr="001A44D4">
        <w:trPr>
          <w:trHeight w:val="57"/>
        </w:trPr>
        <w:tc>
          <w:tcPr>
            <w:tcW w:w="3494" w:type="dxa"/>
          </w:tcPr>
          <w:p w14:paraId="776A54CA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3315C465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103,6</w:t>
            </w:r>
          </w:p>
        </w:tc>
        <w:tc>
          <w:tcPr>
            <w:tcW w:w="2296" w:type="dxa"/>
            <w:gridSpan w:val="2"/>
          </w:tcPr>
          <w:p w14:paraId="50B3DE0A" w14:textId="037EFA1A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107,6</w:t>
            </w:r>
          </w:p>
        </w:tc>
      </w:tr>
      <w:tr w:rsidR="00B20844" w:rsidRPr="00F95B4F" w14:paraId="7109224B" w14:textId="77777777" w:rsidTr="001A44D4">
        <w:trPr>
          <w:trHeight w:val="57"/>
        </w:trPr>
        <w:tc>
          <w:tcPr>
            <w:tcW w:w="3494" w:type="dxa"/>
          </w:tcPr>
          <w:p w14:paraId="5C2EA52B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6AACAA29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100,7</w:t>
            </w:r>
          </w:p>
        </w:tc>
        <w:tc>
          <w:tcPr>
            <w:tcW w:w="2296" w:type="dxa"/>
            <w:gridSpan w:val="2"/>
          </w:tcPr>
          <w:p w14:paraId="3C7F0C56" w14:textId="596E3D90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108,2</w:t>
            </w:r>
          </w:p>
        </w:tc>
      </w:tr>
      <w:tr w:rsidR="00B20844" w:rsidRPr="00F95B4F" w14:paraId="5487201E" w14:textId="77777777" w:rsidTr="001A44D4">
        <w:trPr>
          <w:trHeight w:val="57"/>
        </w:trPr>
        <w:tc>
          <w:tcPr>
            <w:tcW w:w="3494" w:type="dxa"/>
          </w:tcPr>
          <w:p w14:paraId="06759C66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3353E440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99,7</w:t>
            </w:r>
          </w:p>
        </w:tc>
        <w:tc>
          <w:tcPr>
            <w:tcW w:w="2296" w:type="dxa"/>
            <w:gridSpan w:val="2"/>
          </w:tcPr>
          <w:p w14:paraId="64EF89D2" w14:textId="1EBC5A34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110,2</w:t>
            </w:r>
          </w:p>
        </w:tc>
      </w:tr>
      <w:tr w:rsidR="00B20844" w:rsidRPr="00F95B4F" w14:paraId="24F16BEC" w14:textId="77777777" w:rsidTr="001A44D4">
        <w:trPr>
          <w:trHeight w:val="57"/>
        </w:trPr>
        <w:tc>
          <w:tcPr>
            <w:tcW w:w="3494" w:type="dxa"/>
          </w:tcPr>
          <w:p w14:paraId="5EE80F24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543904F0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100,9</w:t>
            </w:r>
          </w:p>
        </w:tc>
        <w:tc>
          <w:tcPr>
            <w:tcW w:w="2296" w:type="dxa"/>
            <w:gridSpan w:val="2"/>
          </w:tcPr>
          <w:p w14:paraId="2EDB0F94" w14:textId="71485B0A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109,0</w:t>
            </w:r>
          </w:p>
        </w:tc>
      </w:tr>
      <w:tr w:rsidR="00B20844" w:rsidRPr="00F95B4F" w14:paraId="0788DFEC" w14:textId="77777777" w:rsidTr="001A44D4">
        <w:trPr>
          <w:trHeight w:val="57"/>
        </w:trPr>
        <w:tc>
          <w:tcPr>
            <w:tcW w:w="3494" w:type="dxa"/>
          </w:tcPr>
          <w:p w14:paraId="5CC5F754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53DCEC71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101,9</w:t>
            </w:r>
          </w:p>
        </w:tc>
        <w:tc>
          <w:tcPr>
            <w:tcW w:w="2296" w:type="dxa"/>
            <w:gridSpan w:val="2"/>
          </w:tcPr>
          <w:p w14:paraId="020150E4" w14:textId="6A3C0FA6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112,4</w:t>
            </w:r>
          </w:p>
        </w:tc>
      </w:tr>
      <w:tr w:rsidR="00B20844" w:rsidRPr="00F95B4F" w14:paraId="57C742BF" w14:textId="77777777" w:rsidTr="001A44D4">
        <w:trPr>
          <w:trHeight w:val="57"/>
        </w:trPr>
        <w:tc>
          <w:tcPr>
            <w:tcW w:w="3494" w:type="dxa"/>
          </w:tcPr>
          <w:p w14:paraId="290310D8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06A8878F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100,2</w:t>
            </w:r>
          </w:p>
        </w:tc>
        <w:tc>
          <w:tcPr>
            <w:tcW w:w="2296" w:type="dxa"/>
            <w:gridSpan w:val="2"/>
          </w:tcPr>
          <w:p w14:paraId="1286C885" w14:textId="6837CE51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109,2</w:t>
            </w:r>
          </w:p>
        </w:tc>
      </w:tr>
      <w:tr w:rsidR="00B20844" w:rsidRPr="00F95B4F" w14:paraId="308925BE" w14:textId="77777777" w:rsidTr="00F50698">
        <w:trPr>
          <w:trHeight w:val="57"/>
        </w:trPr>
        <w:tc>
          <w:tcPr>
            <w:tcW w:w="3494" w:type="dxa"/>
          </w:tcPr>
          <w:p w14:paraId="12588E94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64FE0293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107,4</w:t>
            </w:r>
          </w:p>
        </w:tc>
        <w:tc>
          <w:tcPr>
            <w:tcW w:w="2296" w:type="dxa"/>
            <w:gridSpan w:val="2"/>
          </w:tcPr>
          <w:p w14:paraId="5F03D181" w14:textId="797278C1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119,4</w:t>
            </w:r>
          </w:p>
        </w:tc>
      </w:tr>
      <w:tr w:rsidR="00B20844" w:rsidRPr="00F95B4F" w14:paraId="131A1419" w14:textId="77777777" w:rsidTr="001A44D4">
        <w:trPr>
          <w:trHeight w:val="57"/>
        </w:trPr>
        <w:tc>
          <w:tcPr>
            <w:tcW w:w="3494" w:type="dxa"/>
          </w:tcPr>
          <w:p w14:paraId="1879C8BC" w14:textId="77777777" w:rsidR="00B20844" w:rsidRPr="00CB1421" w:rsidRDefault="00B20844" w:rsidP="00B20844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185DE2F8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98,4</w:t>
            </w:r>
          </w:p>
        </w:tc>
        <w:tc>
          <w:tcPr>
            <w:tcW w:w="2296" w:type="dxa"/>
            <w:gridSpan w:val="2"/>
          </w:tcPr>
          <w:p w14:paraId="65CD6149" w14:textId="72B28CCE" w:rsidR="00B20844" w:rsidRPr="00CB1421" w:rsidRDefault="00B20844" w:rsidP="00B20844">
            <w:pPr>
              <w:jc w:val="right"/>
              <w:rPr>
                <w:szCs w:val="19"/>
              </w:rPr>
            </w:pPr>
            <w:r w:rsidRPr="0043119D">
              <w:t>114,8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2E5C63" w14:paraId="4469D348" w14:textId="77777777" w:rsidTr="0092372C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25454F" w14:textId="77777777" w:rsidR="002E5C63" w:rsidRPr="004A1D19" w:rsidRDefault="002E5C63" w:rsidP="002E5C6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FE0D159" w14:textId="77777777" w:rsidR="002E5C63" w:rsidRPr="008925F0" w:rsidRDefault="002E5C63" w:rsidP="002E5C6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4ECC21AB" w14:textId="64C99262" w:rsidR="002E5C63" w:rsidRPr="00DE2400" w:rsidRDefault="002E5C63" w:rsidP="002E5C63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14:paraId="5C802B31" w14:textId="08346AE7" w:rsidR="002E5C63" w:rsidRDefault="002E5C63" w:rsidP="000A349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DF5C1DC" w14:textId="77777777" w:rsidR="002E5C63" w:rsidRPr="004A1D19" w:rsidRDefault="002E5C63" w:rsidP="002E5C6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381AF9A0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DE74DC2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AE4BE6A" w14:textId="77777777" w:rsidR="002E5C63" w:rsidRDefault="002E5C63" w:rsidP="002E5C63">
            <w:pPr>
              <w:rPr>
                <w:sz w:val="18"/>
              </w:rPr>
            </w:pPr>
          </w:p>
        </w:tc>
      </w:tr>
      <w:tr w:rsidR="00483238" w14:paraId="317BE9C1" w14:textId="77777777" w:rsidTr="00C65D09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43B1E" w14:textId="77777777" w:rsidR="00483238" w:rsidRPr="00C91687" w:rsidRDefault="00483238" w:rsidP="00483238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55C9576" w14:textId="77777777" w:rsidR="00483238" w:rsidRPr="00C91687" w:rsidRDefault="00483238" w:rsidP="00483238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ADB44C7" w14:textId="6BDEA61B" w:rsidR="00483238" w:rsidRPr="0092372C" w:rsidRDefault="00483238" w:rsidP="00483238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D5D2B" w14:textId="6121D2BF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99EE637" wp14:editId="0FF2BD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3238" w14:paraId="0A7FD495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4E40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3E67" w14:textId="13D0AA6E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726E872" wp14:editId="3AB036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2EEBCCDB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AFF77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3A281649" w14:textId="5A19DA74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CDE86DB" wp14:editId="6FE85CE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069237CD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7F0A90D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020B4CE9" w14:textId="2D4A7CE6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DA643FF" wp14:editId="0E8B49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3238" w14:paraId="71A6B1BF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736CF2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2D31FC3E" w14:textId="3B94C1D6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54DCFF10" wp14:editId="3D31FE3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7" name="Obraz 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3238" w14:paraId="0C88E4CA" w14:textId="77777777" w:rsidTr="00C65D09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2FDDF11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DE670F8" w14:textId="192604C3" w:rsidR="00483238" w:rsidRPr="003D5F42" w:rsidRDefault="00483238" w:rsidP="00483238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62916B7A" wp14:editId="7FD521D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5" name="Obraz 1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1CC" w14:paraId="33A25FF3" w14:textId="77777777" w:rsidTr="0092372C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6D190" w14:textId="01C733D4" w:rsidR="00C041CC" w:rsidRDefault="00C041CC" w:rsidP="00C041CC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0EAA5143" wp14:editId="21F3566D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203200</wp:posOffset>
                      </wp:positionV>
                      <wp:extent cx="6559550" cy="3800475"/>
                      <wp:effectExtent l="0" t="0" r="12700" b="2857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800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73D94" w14:textId="77777777" w:rsidR="00C041CC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30210FD" w14:textId="77777777" w:rsidR="00C041CC" w:rsidRPr="00EE456A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14:paraId="0152728F" w14:textId="35E7D332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B20844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14:paraId="530197B7" w14:textId="368CBB4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405586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"https://stat.gov.pl/sygnalne/komunikaty-i-obwieszczenia/lista-komunikatow-i-obwieszczen/komunikat-w-sprawie-ceny-1-m2-powierzchni-uzytkowej-budynku-mieszkalnego-za-trzeci-kwartal-2022-r-,265,36.html" \o "Link do Komunikatu w sprawie ceny 1 m2 powierzchni użytkowej budynku mieszkalnego za 3 kwartał 2022 r."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14:paraId="7F26280E" w14:textId="0C8B232E" w:rsidR="00C041CC" w:rsidRPr="00F163E2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 w:rsidR="009B0BD8"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</w:t>
                                  </w:r>
                                  <w:r w:rsidR="009B0BD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1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14:paraId="75DB9359" w14:textId="5B609A77" w:rsidR="00C041CC" w:rsidRPr="00EE456A" w:rsidRDefault="00F163E2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14:paraId="03B0BDB0" w14:textId="77777777" w:rsidR="00C041CC" w:rsidRPr="002940EF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14:paraId="2E69C242" w14:textId="481FB895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14:paraId="2A4E3618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14:paraId="157E0193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14:paraId="1E0F297D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14:paraId="46B76605" w14:textId="6604678C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14:paraId="04D19DD8" w14:textId="62046BE2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14:paraId="78A11AA4" w14:textId="41E0770F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r:id="rId25" w:tooltip="Link do pojęcia: Lokal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14:paraId="5788081A" w14:textId="06A8919B" w:rsidR="00C041CC" w:rsidRPr="00723E94" w:rsidRDefault="00E1158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6" w:tooltip="Link do pojęcia: Wskaźniki cen lokali mieszkalnych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A5143" id="_x0000_s1030" type="#_x0000_t202" style="position:absolute;margin-left:-.5pt;margin-top:16pt;width:516.5pt;height:299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" fillcolor="#f2f2f2 [3052]" strokecolor="white [3212]">
                      <v:textbox>
                        <w:txbxContent>
                          <w:p w14:paraId="17F73D94" w14:textId="77777777" w:rsidR="00C041CC" w:rsidRDefault="00C041CC" w:rsidP="0092372C">
                            <w:pPr>
                              <w:rPr>
                                <w:b/>
                              </w:rPr>
                            </w:pPr>
                          </w:p>
                          <w:p w14:paraId="030210FD" w14:textId="77777777" w:rsidR="00C041CC" w:rsidRPr="00EE456A" w:rsidRDefault="00C041CC" w:rsidP="0092372C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152728F" w14:textId="35E7D332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B20844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"https://stat.gov.pl/sygnalne/komunikaty-i-obwieszczenia/8,2023,kategoria.html" \o "Link do Obwieszczenia w sprawie wskaźników zmian cen dla lokali mieszkalnych z podziałem na województwa"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</w:t>
                            </w:r>
                            <w:bookmarkStart w:id="1" w:name="_GoBack"/>
                            <w:bookmarkEnd w:id="1"/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w sprawie wskaźników zmian cen dla lokali mieszkalnych z podziałem na województwa</w:t>
                            </w:r>
                          </w:p>
                          <w:p w14:paraId="530197B7" w14:textId="368CBB4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05586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"https://stat.gov.pl/sygnalne/komunikaty-i-obwieszczenia/lista-komunikatow-i-obwieszczen/komunikat-w-sprawie-ceny-1-m2-powierzchni-uzytkowej-budynku-mieszkalnego-za-trzeci-kwartal-2022-r-,265,36.html" \o "Link do Komunikatu w sprawie ceny 1 m2 powierzchni użytkowej budynku mieszkalnego za 3 kwartał 2022 r."</w:instrText>
                            </w:r>
                            <w:r w:rsidR="00405586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7F26280E" w14:textId="0C8B232E" w:rsidR="00C041CC" w:rsidRPr="00F163E2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 w:rsidR="009B0BD8"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"https://stat.gov.pl/obszary-tematyczne/infrastruktura-komunalna-nieruchomosci/nieruchomosci-budynki-infrastruktura-komunalna/obrot-nieruchomosciami-w-2021-roku,4,19.html" \o "Link do publikacji \"Obrót nieruchomościami w 2021 r.\" "</w:instrText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 202</w:t>
                            </w:r>
                            <w:r w:rsidR="009B0BD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1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14:paraId="75DB9359" w14:textId="5B609A77" w:rsidR="00C041CC" w:rsidRPr="00EE456A" w:rsidRDefault="00F163E2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14:paraId="03B0BDB0" w14:textId="77777777" w:rsidR="00C041CC" w:rsidRPr="002940EF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69C242" w14:textId="481FB895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Dziedzinowa 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aza Wiedzy (DBW) Ceny</w:t>
                            </w:r>
                          </w:p>
                          <w:p w14:paraId="2A4E3618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– Rynek nie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uchomości</w:t>
                            </w:r>
                          </w:p>
                          <w:p w14:paraId="157E0193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E0F297D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6B76605" w14:textId="6604678C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</w:t>
                            </w:r>
                          </w:p>
                          <w:p w14:paraId="04D19DD8" w14:textId="62046BE2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Nieruchomości (RCN)</w:t>
                            </w:r>
                          </w:p>
                          <w:p w14:paraId="78A11AA4" w14:textId="41E0770F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tooltip="Link do pojęcia: Lokal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788081A" w14:textId="06A8919B" w:rsidR="00C041CC" w:rsidRPr="00723E94" w:rsidRDefault="008E2CC2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8" w:tooltip="Link do pojęcia: Wskaźniki cen lokali mieszkalnych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a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źniki cen lokali mieszkalnych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8F6C843" w14:textId="521BF7FF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8DFE" w14:textId="77777777" w:rsidR="00DC2BF2" w:rsidRDefault="00DC2BF2" w:rsidP="000662E2">
      <w:pPr>
        <w:spacing w:after="0" w:line="240" w:lineRule="auto"/>
      </w:pPr>
      <w:r>
        <w:separator/>
      </w:r>
    </w:p>
  </w:endnote>
  <w:endnote w:type="continuationSeparator" w:id="0">
    <w:p w14:paraId="029AB7C5" w14:textId="77777777" w:rsidR="00DC2BF2" w:rsidRDefault="00DC2B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115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115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115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F8445" w14:textId="77777777" w:rsidR="00DC2BF2" w:rsidRDefault="00DC2BF2" w:rsidP="000662E2">
      <w:pPr>
        <w:spacing w:after="0" w:line="240" w:lineRule="auto"/>
      </w:pPr>
      <w:r>
        <w:separator/>
      </w:r>
    </w:p>
  </w:footnote>
  <w:footnote w:type="continuationSeparator" w:id="0">
    <w:p w14:paraId="156F2C7C" w14:textId="77777777" w:rsidR="00DC2BF2" w:rsidRDefault="00DC2B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45DEECFA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 descr="Data publikacji informacji sygnalnej: 05.01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34E7C9FA" w:rsidR="00FB16F3" w:rsidRPr="007143FF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C2CAC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057A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7572E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5057A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B16F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: 05.01.2023 r.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" filled="f" stroked="f">
              <v:textbox>
                <w:txbxContent>
                  <w:p w14:paraId="751B759E" w14:textId="34E7C9FA" w:rsidR="00FB16F3" w:rsidRPr="007143FF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C2CAC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057A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7572E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5057A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B16F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5989C2">
          <wp:extent cx="1219200" cy="677383"/>
          <wp:effectExtent l="0" t="0" r="0" b="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57E610D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4B024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MN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8OIX11UuKiw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CwR2MN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973F9F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5F3CA11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F08FF2" id="_x0000_s1033" type="#_x0000_t202" alt="Napis &quot;Informacja sygnalna&quot;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" filled="f" stroked="f">
              <v:textbox>
                <w:txbxContent>
                  <w:p w14:paraId="05758F0E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65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0AC9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0A9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A3496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74B78"/>
    <w:rsid w:val="001829BB"/>
    <w:rsid w:val="0018393E"/>
    <w:rsid w:val="00184C3A"/>
    <w:rsid w:val="00190617"/>
    <w:rsid w:val="001951DA"/>
    <w:rsid w:val="001A297A"/>
    <w:rsid w:val="001A3839"/>
    <w:rsid w:val="001A44D4"/>
    <w:rsid w:val="001B12D0"/>
    <w:rsid w:val="001B33E1"/>
    <w:rsid w:val="001C3269"/>
    <w:rsid w:val="001C4A22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26FF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C2CAC"/>
    <w:rsid w:val="002D2069"/>
    <w:rsid w:val="002D2BEB"/>
    <w:rsid w:val="002D384D"/>
    <w:rsid w:val="002D5D8C"/>
    <w:rsid w:val="002E46B7"/>
    <w:rsid w:val="002E596C"/>
    <w:rsid w:val="002E5C63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08C3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044B"/>
    <w:rsid w:val="003843DB"/>
    <w:rsid w:val="00393761"/>
    <w:rsid w:val="00397D18"/>
    <w:rsid w:val="003A1B36"/>
    <w:rsid w:val="003A2B59"/>
    <w:rsid w:val="003B1454"/>
    <w:rsid w:val="003B18B6"/>
    <w:rsid w:val="003B2FEB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05586"/>
    <w:rsid w:val="00405F9F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2CBE"/>
    <w:rsid w:val="00445047"/>
    <w:rsid w:val="00462BE1"/>
    <w:rsid w:val="00463E39"/>
    <w:rsid w:val="004657FC"/>
    <w:rsid w:val="004733F6"/>
    <w:rsid w:val="00474E69"/>
    <w:rsid w:val="00480C23"/>
    <w:rsid w:val="00483238"/>
    <w:rsid w:val="004922E6"/>
    <w:rsid w:val="0049621B"/>
    <w:rsid w:val="004A28D9"/>
    <w:rsid w:val="004A3D09"/>
    <w:rsid w:val="004A5625"/>
    <w:rsid w:val="004C03B9"/>
    <w:rsid w:val="004C1895"/>
    <w:rsid w:val="004C4F6A"/>
    <w:rsid w:val="004C6A44"/>
    <w:rsid w:val="004C6D40"/>
    <w:rsid w:val="004D0541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7AD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11E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1685"/>
    <w:rsid w:val="00633014"/>
    <w:rsid w:val="0063437B"/>
    <w:rsid w:val="00643EC7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143FF"/>
    <w:rsid w:val="007211B1"/>
    <w:rsid w:val="00721227"/>
    <w:rsid w:val="00722B9E"/>
    <w:rsid w:val="00723E94"/>
    <w:rsid w:val="007306DB"/>
    <w:rsid w:val="00731E9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A602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4874"/>
    <w:rsid w:val="00855753"/>
    <w:rsid w:val="00863B87"/>
    <w:rsid w:val="00865B28"/>
    <w:rsid w:val="0087115A"/>
    <w:rsid w:val="0087357C"/>
    <w:rsid w:val="0088088D"/>
    <w:rsid w:val="0088258A"/>
    <w:rsid w:val="0088490C"/>
    <w:rsid w:val="00885566"/>
    <w:rsid w:val="0088593D"/>
    <w:rsid w:val="00886332"/>
    <w:rsid w:val="008916D9"/>
    <w:rsid w:val="00891EE1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E2CC2"/>
    <w:rsid w:val="008F3638"/>
    <w:rsid w:val="008F4441"/>
    <w:rsid w:val="008F6F31"/>
    <w:rsid w:val="008F74DF"/>
    <w:rsid w:val="0090392A"/>
    <w:rsid w:val="00907C44"/>
    <w:rsid w:val="00907E1E"/>
    <w:rsid w:val="009127BA"/>
    <w:rsid w:val="00914BE5"/>
    <w:rsid w:val="009174B3"/>
    <w:rsid w:val="00921153"/>
    <w:rsid w:val="009227A6"/>
    <w:rsid w:val="009227D1"/>
    <w:rsid w:val="0092372C"/>
    <w:rsid w:val="00923C49"/>
    <w:rsid w:val="00925DF7"/>
    <w:rsid w:val="00933EC1"/>
    <w:rsid w:val="00935F55"/>
    <w:rsid w:val="00936261"/>
    <w:rsid w:val="00942842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0BD8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078B3"/>
    <w:rsid w:val="00A1305E"/>
    <w:rsid w:val="00A139F5"/>
    <w:rsid w:val="00A31FF0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578E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1D43"/>
    <w:rsid w:val="00AD25B8"/>
    <w:rsid w:val="00AD3EDF"/>
    <w:rsid w:val="00AD70D1"/>
    <w:rsid w:val="00AE2D4B"/>
    <w:rsid w:val="00AE3070"/>
    <w:rsid w:val="00AE4F99"/>
    <w:rsid w:val="00AF2A58"/>
    <w:rsid w:val="00AF77EA"/>
    <w:rsid w:val="00B0437F"/>
    <w:rsid w:val="00B05AE7"/>
    <w:rsid w:val="00B06DAC"/>
    <w:rsid w:val="00B0739B"/>
    <w:rsid w:val="00B07D64"/>
    <w:rsid w:val="00B11B69"/>
    <w:rsid w:val="00B14952"/>
    <w:rsid w:val="00B1589F"/>
    <w:rsid w:val="00B16640"/>
    <w:rsid w:val="00B20844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263D"/>
    <w:rsid w:val="00BF5920"/>
    <w:rsid w:val="00C02346"/>
    <w:rsid w:val="00C030DE"/>
    <w:rsid w:val="00C041CC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120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4EAC"/>
    <w:rsid w:val="00C96FAA"/>
    <w:rsid w:val="00C97A04"/>
    <w:rsid w:val="00CA107B"/>
    <w:rsid w:val="00CA484D"/>
    <w:rsid w:val="00CA4FB6"/>
    <w:rsid w:val="00CA7351"/>
    <w:rsid w:val="00CB142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3346"/>
    <w:rsid w:val="00CE4556"/>
    <w:rsid w:val="00CF38F2"/>
    <w:rsid w:val="00CF3D9C"/>
    <w:rsid w:val="00CF4099"/>
    <w:rsid w:val="00D00796"/>
    <w:rsid w:val="00D0243D"/>
    <w:rsid w:val="00D039C0"/>
    <w:rsid w:val="00D24CF3"/>
    <w:rsid w:val="00D261A2"/>
    <w:rsid w:val="00D309D6"/>
    <w:rsid w:val="00D30B17"/>
    <w:rsid w:val="00D3255C"/>
    <w:rsid w:val="00D340FA"/>
    <w:rsid w:val="00D346A4"/>
    <w:rsid w:val="00D347CE"/>
    <w:rsid w:val="00D4174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866F5"/>
    <w:rsid w:val="00D90B91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D7CC2"/>
    <w:rsid w:val="00DE0F55"/>
    <w:rsid w:val="00DE5CD1"/>
    <w:rsid w:val="00DF6047"/>
    <w:rsid w:val="00DF664F"/>
    <w:rsid w:val="00E01393"/>
    <w:rsid w:val="00E01436"/>
    <w:rsid w:val="00E025F8"/>
    <w:rsid w:val="00E045BD"/>
    <w:rsid w:val="00E07DBA"/>
    <w:rsid w:val="00E11588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7A0C"/>
    <w:rsid w:val="00F027BB"/>
    <w:rsid w:val="00F037A4"/>
    <w:rsid w:val="00F111EF"/>
    <w:rsid w:val="00F11DE6"/>
    <w:rsid w:val="00F140E4"/>
    <w:rsid w:val="00F163E2"/>
    <w:rsid w:val="00F17A07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47FA5"/>
    <w:rsid w:val="00F50698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59AE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69C0"/>
    <w:rsid w:val="00FB762F"/>
    <w:rsid w:val="00FC00DC"/>
    <w:rsid w:val="00FC05C1"/>
    <w:rsid w:val="00FC2AED"/>
    <w:rsid w:val="00FC370E"/>
    <w:rsid w:val="00FC4E4F"/>
    <w:rsid w:val="00FC5121"/>
    <w:rsid w:val="00FD22C1"/>
    <w:rsid w:val="00FD360D"/>
    <w:rsid w:val="00FD5EA7"/>
    <w:rsid w:val="00FE029C"/>
    <w:rsid w:val="00FE1D60"/>
    <w:rsid w:val="00FE2E9B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B142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B142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B142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B1421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A2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410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198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wskazniki_cen_lokali_mieszkalnych_w_3_kwartale_2022_roku_informacja_sygnalna.docx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FA8D-33EC-4B9B-BD40-5A5CD96E94BA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F8F40BBD-A6CA-4E6D-9F9C-30C8D6BA39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lokali mieszkalnych w 3 kwartale 2022 roku</dc:title>
  <dc:subject>Wskaźniki cen lokali mieszkalnych w 3 kwartale 2022 roku</dc:subject>
  <dc:creator>Główny Urząd Statystyczny</dc:creator>
  <cp:lastPrinted>2023-01-04T08:16:00Z</cp:lastPrinted>
  <dcterms:created xsi:type="dcterms:W3CDTF">2022-04-05T10:02:00Z</dcterms:created>
  <dcterms:modified xsi:type="dcterms:W3CDTF">2023-01-04T10:48:00Z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