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021F" w14:textId="6A4B3D4C" w:rsidR="00393761" w:rsidRPr="0000577E" w:rsidRDefault="009B4EE7" w:rsidP="00F049AB">
      <w:pPr>
        <w:pStyle w:val="Tytuinfomacjisygnalnej"/>
      </w:pPr>
      <w:r w:rsidRPr="00B855AF">
        <w:t>Szybki szacunek wskaźnika cen towarów i usług konsumpcyjnych w</w:t>
      </w:r>
      <w:r>
        <w:t xml:space="preserve"> marcu 2022</w:t>
      </w:r>
      <w:r w:rsidRPr="00B855AF">
        <w:t xml:space="preserve"> r.</w:t>
      </w:r>
      <w:r w:rsidR="00364AF9" w:rsidRPr="0000577E">
        <w:rPr>
          <w:sz w:val="32"/>
        </w:rPr>
        <w:tab/>
      </w:r>
    </w:p>
    <w:p w14:paraId="295E4260" w14:textId="77777777" w:rsidR="00E13990" w:rsidRDefault="00731D27" w:rsidP="009B4EE7">
      <w:pPr>
        <w:pStyle w:val="Lead"/>
        <w:contextualSpacing/>
        <w:rPr>
          <w:color w:val="001D77"/>
        </w:rPr>
      </w:pPr>
      <w:r w:rsidRPr="0000577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B9DDAB6" wp14:editId="7C9E1B8B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113155"/>
                <wp:effectExtent l="0" t="0" r="5715" b="0"/>
                <wp:wrapSquare wrapText="bothSides"/>
                <wp:docPr id="6" name="Pole tekstowe 2" descr="wzrost o 10,9% w porównaniu z analogicznym miesiącem poprzedniego rok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13183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72350" w14:textId="4AFC7B6A" w:rsidR="008955F2" w:rsidRPr="00E13990" w:rsidRDefault="008955F2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60BEF">
                              <w:rPr>
                                <w:rStyle w:val="WartowskanikaZnak"/>
                              </w:rPr>
                              <w:t>10,9</w:t>
                            </w:r>
                            <w:r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3E928B94" w14:textId="77777777" w:rsidR="008955F2" w:rsidRDefault="008955F2" w:rsidP="008E360B">
                            <w:pPr>
                              <w:pStyle w:val="Opiswskanika"/>
                            </w:pPr>
                            <w:r>
                              <w:t xml:space="preserve">wzrost w porównaniu </w:t>
                            </w:r>
                          </w:p>
                          <w:p w14:paraId="17018C9A" w14:textId="77777777" w:rsidR="008955F2" w:rsidRDefault="008955F2" w:rsidP="008E360B">
                            <w:pPr>
                              <w:pStyle w:val="Opiswskanika"/>
                            </w:pPr>
                            <w:r>
                              <w:t xml:space="preserve">z analogicznym miesiącem </w:t>
                            </w:r>
                          </w:p>
                          <w:p w14:paraId="317BAFA3" w14:textId="77777777" w:rsidR="008955F2" w:rsidRPr="007D605C" w:rsidRDefault="008955F2" w:rsidP="008E360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DDAB6" id="Pole tekstowe 2" o:spid="_x0000_s1026" alt="wzrost o 10,9% w porównaniu z analogicznym miesiącem poprzedniego roku&#10;" style="position:absolute;margin-left:0;margin-top:3.6pt;width:173.55pt;height:87.6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" fillcolor="#001d77" stroked="f">
                <v:stroke joinstyle="miter"/>
                <v:textbox>
                  <w:txbxContent>
                    <w:p w14:paraId="5D772350" w14:textId="4AFC7B6A" w:rsidR="008955F2" w:rsidRPr="00E13990" w:rsidRDefault="008955F2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60BEF">
                        <w:rPr>
                          <w:rStyle w:val="WartowskanikaZnak"/>
                        </w:rPr>
                        <w:t>10,9</w:t>
                      </w:r>
                      <w:r>
                        <w:rPr>
                          <w:rStyle w:val="WartowskanikaZnak"/>
                        </w:rPr>
                        <w:t>%</w:t>
                      </w:r>
                    </w:p>
                    <w:p w14:paraId="3E928B94" w14:textId="77777777" w:rsidR="008955F2" w:rsidRDefault="008955F2" w:rsidP="008E360B">
                      <w:pPr>
                        <w:pStyle w:val="Opiswskanika"/>
                      </w:pPr>
                      <w:r>
                        <w:t xml:space="preserve">wzrost w porównaniu </w:t>
                      </w:r>
                    </w:p>
                    <w:p w14:paraId="17018C9A" w14:textId="77777777" w:rsidR="008955F2" w:rsidRDefault="008955F2" w:rsidP="008E360B">
                      <w:pPr>
                        <w:pStyle w:val="Opiswskanika"/>
                      </w:pPr>
                      <w:r>
                        <w:t xml:space="preserve">z analogicznym miesiącem </w:t>
                      </w:r>
                    </w:p>
                    <w:p w14:paraId="317BAFA3" w14:textId="77777777" w:rsidR="008955F2" w:rsidRPr="007D605C" w:rsidRDefault="008955F2" w:rsidP="008E360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poprzedniego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1966911" w14:textId="49FD72EC" w:rsidR="00ED030A" w:rsidRPr="00E13990" w:rsidRDefault="009B4EE7" w:rsidP="009B4EE7">
      <w:pPr>
        <w:pStyle w:val="Lead"/>
        <w:contextualSpacing/>
      </w:pPr>
      <w:r w:rsidRPr="00E13990">
        <w:rPr>
          <w:spacing w:val="4"/>
        </w:rPr>
        <w:t>Ceny towarów i usług konsumpcyjnych według</w:t>
      </w:r>
      <w:r w:rsidR="00E13990">
        <w:rPr>
          <w:spacing w:val="4"/>
        </w:rPr>
        <w:t> </w:t>
      </w:r>
      <w:r w:rsidRPr="00E13990">
        <w:rPr>
          <w:spacing w:val="4"/>
        </w:rPr>
        <w:t>szy</w:t>
      </w:r>
      <w:r w:rsidR="00E13990" w:rsidRPr="00E13990">
        <w:rPr>
          <w:spacing w:val="4"/>
        </w:rPr>
        <w:t>bkiego szacunku w marcu 2022 r. w</w:t>
      </w:r>
      <w:r w:rsidR="00E13990">
        <w:rPr>
          <w:spacing w:val="2"/>
        </w:rPr>
        <w:t> </w:t>
      </w:r>
      <w:r w:rsidRPr="00E13990">
        <w:rPr>
          <w:spacing w:val="2"/>
        </w:rPr>
        <w:t>porównaniu</w:t>
      </w:r>
      <w:r w:rsidRPr="00E13990">
        <w:rPr>
          <w:spacing w:val="-4"/>
        </w:rPr>
        <w:t xml:space="preserve"> </w:t>
      </w:r>
      <w:r w:rsidRPr="00E13990">
        <w:t>z analogicznym miesiącem ub.</w:t>
      </w:r>
      <w:r w:rsidR="00E13990">
        <w:t> </w:t>
      </w:r>
      <w:r w:rsidR="00E13990" w:rsidRPr="00E13990">
        <w:t>roku wzrosły o </w:t>
      </w:r>
      <w:r w:rsidR="00160BEF" w:rsidRPr="00E13990">
        <w:t>10,9</w:t>
      </w:r>
      <w:r w:rsidRPr="00E13990">
        <w:t xml:space="preserve">% (wskaźnik cen </w:t>
      </w:r>
      <w:r w:rsidR="00160BEF" w:rsidRPr="00E13990">
        <w:t>110,9</w:t>
      </w:r>
      <w:r w:rsidR="00E13990">
        <w:t>), a </w:t>
      </w:r>
      <w:r w:rsidR="00E13990" w:rsidRPr="00E13990">
        <w:t>w stosunku do </w:t>
      </w:r>
      <w:r w:rsidRPr="00E13990">
        <w:t xml:space="preserve">poprzedniego miesiąca wzrosły o </w:t>
      </w:r>
      <w:r w:rsidR="00160BEF" w:rsidRPr="00E13990">
        <w:t>3,2% (wskaźnik cen 103,2</w:t>
      </w:r>
      <w:r w:rsidRPr="00E13990">
        <w:t>).</w:t>
      </w:r>
    </w:p>
    <w:p w14:paraId="3249ACA9" w14:textId="77777777" w:rsidR="00ED030A" w:rsidRPr="0000577E" w:rsidRDefault="00ED030A" w:rsidP="00ED030A">
      <w:pPr>
        <w:pStyle w:val="Lead"/>
        <w:contextualSpacing/>
      </w:pPr>
    </w:p>
    <w:p w14:paraId="4F71900F" w14:textId="77777777" w:rsidR="00ED030A" w:rsidRPr="0000577E" w:rsidRDefault="00ED030A" w:rsidP="00ED030A">
      <w:pPr>
        <w:pStyle w:val="Lead"/>
        <w:contextualSpacing/>
      </w:pPr>
    </w:p>
    <w:p w14:paraId="43C0D266" w14:textId="191B238C" w:rsidR="009B4EE7" w:rsidRPr="0000577E" w:rsidRDefault="009B4EE7" w:rsidP="00ED030A">
      <w:pPr>
        <w:pStyle w:val="Lead"/>
        <w:contextualSpacing/>
      </w:pPr>
      <w:r w:rsidRPr="009B4EE7">
        <w:t xml:space="preserve">Tablica 1. Szybki szacunek wskaźnika cen towarów </w:t>
      </w:r>
      <w:r>
        <w:t>i usług konsumpcyjnych w marcu 2022</w:t>
      </w:r>
      <w:r w:rsidRPr="009B4EE7">
        <w:t xml:space="preserve"> r.</w:t>
      </w:r>
    </w:p>
    <w:tbl>
      <w:tblPr>
        <w:tblpPr w:leftFromText="142" w:rightFromText="142" w:vertAnchor="text" w:horzAnchor="margin" w:tblpY="58"/>
        <w:tblOverlap w:val="never"/>
        <w:tblW w:w="793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1. Szybki szacunek wskaźnika cen towarów i usług konsumpcyjnych w marcu 2022 r."/>
      </w:tblPr>
      <w:tblGrid>
        <w:gridCol w:w="4253"/>
        <w:gridCol w:w="1842"/>
        <w:gridCol w:w="1843"/>
      </w:tblGrid>
      <w:tr w:rsidR="009B4EE7" w:rsidRPr="00496F01" w14:paraId="7586FF16" w14:textId="77777777" w:rsidTr="008E0B1E">
        <w:trPr>
          <w:trHeight w:val="57"/>
        </w:trPr>
        <w:tc>
          <w:tcPr>
            <w:tcW w:w="4253" w:type="dxa"/>
            <w:vMerge w:val="restart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20635862" w14:textId="77777777" w:rsidR="009B4EE7" w:rsidRPr="009B4EE7" w:rsidRDefault="009B4EE7" w:rsidP="003423C4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/>
                <w:szCs w:val="19"/>
                <w:lang w:eastAsia="pl-PL"/>
              </w:rPr>
            </w:pPr>
            <w:r w:rsidRPr="009B4EE7">
              <w:rPr>
                <w:rFonts w:eastAsia="Times New Roman" w:cs="Arial"/>
                <w:bCs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3685" w:type="dxa"/>
            <w:gridSpan w:val="2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1E426E1D" w14:textId="06042707" w:rsidR="009B4EE7" w:rsidRPr="009B4EE7" w:rsidRDefault="009B4EE7" w:rsidP="003423C4">
            <w:pPr>
              <w:keepNext/>
              <w:keepLines/>
              <w:contextualSpacing/>
              <w:jc w:val="center"/>
              <w:outlineLvl w:val="2"/>
              <w:rPr>
                <w:rFonts w:eastAsiaTheme="majorEastAsia" w:cstheme="majorBidi"/>
                <w:color w:val="000000"/>
                <w:szCs w:val="19"/>
              </w:rPr>
            </w:pPr>
            <w:r>
              <w:rPr>
                <w:rFonts w:eastAsiaTheme="majorEastAsia" w:cstheme="majorBidi"/>
                <w:color w:val="000000"/>
                <w:szCs w:val="19"/>
              </w:rPr>
              <w:t>03 2022</w:t>
            </w:r>
          </w:p>
        </w:tc>
      </w:tr>
      <w:tr w:rsidR="009B4EE7" w:rsidRPr="00496F01" w14:paraId="5B01C2A5" w14:textId="77777777" w:rsidTr="009B4EE7">
        <w:trPr>
          <w:trHeight w:val="57"/>
        </w:trPr>
        <w:tc>
          <w:tcPr>
            <w:tcW w:w="425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14:paraId="56F4E3CE" w14:textId="77777777" w:rsidR="009B4EE7" w:rsidRPr="009B4EE7" w:rsidRDefault="009B4EE7" w:rsidP="00EA0505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Cs w:val="19"/>
                <w:lang w:eastAsia="pl-PL"/>
              </w:rPr>
            </w:pPr>
          </w:p>
        </w:tc>
        <w:tc>
          <w:tcPr>
            <w:tcW w:w="184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14:paraId="0BD43692" w14:textId="5F519131" w:rsidR="009B4EE7" w:rsidRPr="009B4EE7" w:rsidRDefault="009B4EE7" w:rsidP="003423C4">
            <w:pPr>
              <w:keepNext/>
              <w:keepLines/>
              <w:contextualSpacing/>
              <w:jc w:val="center"/>
              <w:outlineLvl w:val="2"/>
              <w:rPr>
                <w:rFonts w:eastAsiaTheme="majorEastAsia" w:cstheme="majorBidi"/>
                <w:color w:val="000000"/>
                <w:szCs w:val="19"/>
              </w:rPr>
            </w:pPr>
            <w:r>
              <w:rPr>
                <w:rFonts w:eastAsiaTheme="majorEastAsia" w:cstheme="majorBidi"/>
                <w:color w:val="000000"/>
                <w:szCs w:val="19"/>
              </w:rPr>
              <w:t>03 2021</w:t>
            </w:r>
            <w:r w:rsidRPr="009B4EE7">
              <w:rPr>
                <w:rFonts w:eastAsiaTheme="majorEastAsia" w:cstheme="majorBidi"/>
                <w:color w:val="000000"/>
                <w:szCs w:val="19"/>
              </w:rPr>
              <w:t>=100</w:t>
            </w:r>
          </w:p>
        </w:tc>
        <w:tc>
          <w:tcPr>
            <w:tcW w:w="184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14:paraId="673E459F" w14:textId="744373FD" w:rsidR="009B4EE7" w:rsidRPr="009B4EE7" w:rsidRDefault="009B4EE7" w:rsidP="003423C4">
            <w:pPr>
              <w:keepNext/>
              <w:keepLines/>
              <w:contextualSpacing/>
              <w:jc w:val="center"/>
              <w:outlineLvl w:val="2"/>
              <w:rPr>
                <w:rFonts w:eastAsiaTheme="majorEastAsia" w:cstheme="majorBidi"/>
                <w:color w:val="000000"/>
                <w:szCs w:val="19"/>
              </w:rPr>
            </w:pPr>
            <w:r>
              <w:rPr>
                <w:rFonts w:eastAsiaTheme="majorEastAsia" w:cstheme="majorBidi"/>
                <w:color w:val="000000"/>
                <w:szCs w:val="19"/>
              </w:rPr>
              <w:t>02 2022</w:t>
            </w:r>
            <w:r w:rsidRPr="009B4EE7">
              <w:rPr>
                <w:rFonts w:eastAsiaTheme="majorEastAsia" w:cstheme="majorBidi"/>
                <w:color w:val="000000"/>
                <w:szCs w:val="19"/>
              </w:rPr>
              <w:t>=100</w:t>
            </w:r>
          </w:p>
        </w:tc>
      </w:tr>
      <w:tr w:rsidR="009B4EE7" w:rsidRPr="00496F01" w14:paraId="16A12E39" w14:textId="77777777" w:rsidTr="009B4EE7">
        <w:trPr>
          <w:trHeight w:hRule="exact" w:val="397"/>
        </w:trPr>
        <w:tc>
          <w:tcPr>
            <w:tcW w:w="425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6D9524A2" w14:textId="77777777" w:rsidR="009B4EE7" w:rsidRPr="009B4EE7" w:rsidRDefault="009B4EE7" w:rsidP="003423C4">
            <w:pPr>
              <w:keepNext/>
              <w:keepLines/>
              <w:tabs>
                <w:tab w:val="right" w:leader="dot" w:pos="4156"/>
              </w:tabs>
              <w:contextualSpacing/>
              <w:outlineLvl w:val="4"/>
              <w:rPr>
                <w:rFonts w:eastAsiaTheme="majorEastAsia" w:cstheme="majorBidi"/>
                <w:color w:val="000000"/>
                <w:szCs w:val="19"/>
              </w:rPr>
            </w:pPr>
            <w:r w:rsidRPr="009B4EE7">
              <w:rPr>
                <w:rFonts w:eastAsiaTheme="majorEastAsia" w:cstheme="majorBidi"/>
                <w:color w:val="000000"/>
                <w:szCs w:val="19"/>
              </w:rPr>
              <w:t>OGÓŁEM</w:t>
            </w:r>
          </w:p>
        </w:tc>
        <w:tc>
          <w:tcPr>
            <w:tcW w:w="184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0DAB3BE3" w14:textId="2AE20309" w:rsidR="009B4EE7" w:rsidRPr="009B4EE7" w:rsidRDefault="00160BEF" w:rsidP="003423C4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110,9</w:t>
            </w:r>
          </w:p>
        </w:tc>
        <w:tc>
          <w:tcPr>
            <w:tcW w:w="184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7D252FA1" w14:textId="79FF68DE" w:rsidR="009B4EE7" w:rsidRPr="009B4EE7" w:rsidRDefault="00160BEF" w:rsidP="003423C4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103,2</w:t>
            </w:r>
          </w:p>
        </w:tc>
      </w:tr>
      <w:tr w:rsidR="009B4EE7" w:rsidRPr="00496F01" w14:paraId="7F16EFAB" w14:textId="77777777" w:rsidTr="009B4EE7">
        <w:trPr>
          <w:trHeight w:hRule="exact" w:val="397"/>
        </w:trPr>
        <w:tc>
          <w:tcPr>
            <w:tcW w:w="425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40770890" w14:textId="605AB52C" w:rsidR="009B4EE7" w:rsidRPr="009B4EE7" w:rsidRDefault="00941DC0" w:rsidP="003423C4">
            <w:pPr>
              <w:keepNext/>
              <w:keepLines/>
              <w:tabs>
                <w:tab w:val="right" w:leader="dot" w:pos="4156"/>
              </w:tabs>
              <w:contextualSpacing/>
              <w:outlineLvl w:val="8"/>
              <w:rPr>
                <w:rFonts w:eastAsiaTheme="majorEastAsia" w:cstheme="majorBidi"/>
                <w:iCs/>
                <w:color w:val="000000"/>
                <w:szCs w:val="19"/>
              </w:rPr>
            </w:pPr>
            <w:r>
              <w:rPr>
                <w:rFonts w:eastAsiaTheme="majorEastAsia" w:cstheme="majorBidi"/>
                <w:iCs/>
                <w:color w:val="000000"/>
                <w:szCs w:val="19"/>
              </w:rPr>
              <w:t>Żywność i napoje bezalkoholowe</w:t>
            </w:r>
          </w:p>
        </w:tc>
        <w:tc>
          <w:tcPr>
            <w:tcW w:w="18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31905D92" w14:textId="73381CCE" w:rsidR="009B4EE7" w:rsidRPr="009B4EE7" w:rsidRDefault="00160BEF" w:rsidP="003423C4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109,2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0A627B0A" w14:textId="7884D5A7" w:rsidR="009B4EE7" w:rsidRPr="009B4EE7" w:rsidRDefault="00160BEF" w:rsidP="003423C4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102,2</w:t>
            </w:r>
          </w:p>
        </w:tc>
      </w:tr>
      <w:tr w:rsidR="009B4EE7" w:rsidRPr="00496F01" w14:paraId="267ADB3D" w14:textId="77777777" w:rsidTr="009B4EE7">
        <w:trPr>
          <w:trHeight w:hRule="exact" w:val="397"/>
        </w:trPr>
        <w:tc>
          <w:tcPr>
            <w:tcW w:w="425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2DF56670" w14:textId="77777777" w:rsidR="009B4EE7" w:rsidRPr="009B4EE7" w:rsidRDefault="009B4EE7" w:rsidP="00EA0505">
            <w:pPr>
              <w:tabs>
                <w:tab w:val="right" w:leader="dot" w:pos="4156"/>
              </w:tabs>
              <w:contextualSpacing/>
              <w:rPr>
                <w:color w:val="000000"/>
                <w:szCs w:val="19"/>
              </w:rPr>
            </w:pPr>
            <w:r w:rsidRPr="009B4EE7">
              <w:rPr>
                <w:bCs/>
                <w:color w:val="000000"/>
                <w:szCs w:val="19"/>
              </w:rPr>
              <w:t>Nośniki energii</w:t>
            </w:r>
          </w:p>
        </w:tc>
        <w:tc>
          <w:tcPr>
            <w:tcW w:w="18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3A679F25" w14:textId="72F34EB5" w:rsidR="009B4EE7" w:rsidRPr="009B4EE7" w:rsidRDefault="00160BEF" w:rsidP="003423C4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123,9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14:paraId="34511AB8" w14:textId="55A88284" w:rsidR="009B4EE7" w:rsidRPr="009B4EE7" w:rsidRDefault="00160BEF" w:rsidP="003423C4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104,4</w:t>
            </w:r>
          </w:p>
        </w:tc>
      </w:tr>
      <w:tr w:rsidR="009B4EE7" w:rsidRPr="00496F01" w14:paraId="5EB5D198" w14:textId="77777777" w:rsidTr="008E0B1E">
        <w:trPr>
          <w:trHeight w:hRule="exact" w:val="397"/>
        </w:trPr>
        <w:tc>
          <w:tcPr>
            <w:tcW w:w="4253" w:type="dxa"/>
            <w:tcBorders>
              <w:top w:val="single" w:sz="4" w:space="0" w:color="212492"/>
              <w:bottom w:val="single" w:sz="4" w:space="0" w:color="001D77"/>
            </w:tcBorders>
            <w:shd w:val="clear" w:color="auto" w:fill="auto"/>
            <w:vAlign w:val="center"/>
          </w:tcPr>
          <w:p w14:paraId="52397732" w14:textId="77777777" w:rsidR="009B4EE7" w:rsidRPr="009B4EE7" w:rsidRDefault="009B4EE7" w:rsidP="00EA05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Cs w:val="19"/>
              </w:rPr>
            </w:pPr>
            <w:r w:rsidRPr="009B4EE7">
              <w:rPr>
                <w:rFonts w:eastAsiaTheme="majorEastAsia" w:cstheme="majorBidi"/>
                <w:color w:val="000000"/>
                <w:szCs w:val="19"/>
              </w:rPr>
              <w:t>Paliwa do prywatnych środków transportu</w:t>
            </w:r>
          </w:p>
        </w:tc>
        <w:tc>
          <w:tcPr>
            <w:tcW w:w="1842" w:type="dxa"/>
            <w:tcBorders>
              <w:top w:val="single" w:sz="4" w:space="0" w:color="212492"/>
              <w:bottom w:val="single" w:sz="4" w:space="0" w:color="001D77"/>
            </w:tcBorders>
            <w:shd w:val="clear" w:color="auto" w:fill="auto"/>
            <w:vAlign w:val="center"/>
          </w:tcPr>
          <w:p w14:paraId="019E904F" w14:textId="5B598D6B" w:rsidR="009B4EE7" w:rsidRPr="009B4EE7" w:rsidRDefault="00396D60" w:rsidP="003423C4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133,5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4" w:space="0" w:color="001D77"/>
            </w:tcBorders>
            <w:shd w:val="clear" w:color="auto" w:fill="auto"/>
            <w:vAlign w:val="center"/>
          </w:tcPr>
          <w:p w14:paraId="3B12E3B1" w14:textId="49E42043" w:rsidR="009B4EE7" w:rsidRPr="009B4EE7" w:rsidRDefault="00396D60" w:rsidP="003423C4">
            <w:pPr>
              <w:contextualSpacing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128,0</w:t>
            </w:r>
          </w:p>
        </w:tc>
      </w:tr>
    </w:tbl>
    <w:p w14:paraId="7B37E824" w14:textId="0182D1B3" w:rsidR="009B4EE7" w:rsidRDefault="009B4EE7">
      <w:pPr>
        <w:spacing w:before="0" w:after="160" w:line="259" w:lineRule="auto"/>
        <w:rPr>
          <w:shd w:val="clear" w:color="auto" w:fill="FFFFFF"/>
        </w:rPr>
      </w:pPr>
    </w:p>
    <w:p w14:paraId="4CF092EE" w14:textId="12B35EFA" w:rsidR="005F20F6" w:rsidRDefault="009C71CF" w:rsidP="00C32402">
      <w:pPr>
        <w:pStyle w:val="Tytuwykresu0"/>
        <w:spacing w:line="240" w:lineRule="exact"/>
        <w:ind w:left="822" w:hanging="822"/>
        <w:rPr>
          <w:bCs w:val="0"/>
          <w:color w:val="001D77"/>
          <w:sz w:val="18"/>
          <w:szCs w:val="18"/>
        </w:rPr>
      </w:pPr>
      <w:r>
        <w:rPr>
          <w:rFonts w:ascii="Fira Sans" w:hAnsi="Fira Sans"/>
          <w:b w:val="0"/>
          <w:sz w:val="16"/>
          <w:szCs w:val="19"/>
        </w:rPr>
        <w:drawing>
          <wp:anchor distT="0" distB="0" distL="114300" distR="114300" simplePos="0" relativeHeight="251758592" behindDoc="0" locked="0" layoutInCell="1" allowOverlap="1" wp14:anchorId="7B77AF01" wp14:editId="759D7D55">
            <wp:simplePos x="0" y="0"/>
            <wp:positionH relativeFrom="column">
              <wp:posOffset>-106878</wp:posOffset>
            </wp:positionH>
            <wp:positionV relativeFrom="paragraph">
              <wp:posOffset>479095</wp:posOffset>
            </wp:positionV>
            <wp:extent cx="5108575" cy="2578735"/>
            <wp:effectExtent l="0" t="0" r="0" b="0"/>
            <wp:wrapSquare wrapText="bothSides"/>
            <wp:docPr id="2" name="Obraz 2" descr="Wykres 1. Zmiany cen towarów i usług konsumpcyjnycha w stosunku do analogicznego okresu roku poprzedniego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EE7" w:rsidRPr="008E0B1E">
        <w:rPr>
          <w:rFonts w:ascii="Fira Sans" w:hAnsi="Fira Sans"/>
          <w:sz w:val="18"/>
          <w:szCs w:val="18"/>
        </w:rPr>
        <w:t>Wykres 1</w:t>
      </w:r>
      <w:r w:rsidR="00237030" w:rsidRPr="008E0B1E">
        <w:rPr>
          <w:rFonts w:ascii="Fira Sans" w:hAnsi="Fira Sans"/>
          <w:sz w:val="18"/>
          <w:szCs w:val="18"/>
        </w:rPr>
        <w:t xml:space="preserve">. </w:t>
      </w:r>
      <w:r w:rsidR="00305451" w:rsidRPr="008E0B1E">
        <w:rPr>
          <w:rFonts w:ascii="Fira Sans" w:hAnsi="Fira Sans"/>
          <w:sz w:val="18"/>
          <w:szCs w:val="18"/>
        </w:rPr>
        <w:t>Zmiany cen towarów i usług konsumpcyjnych</w:t>
      </w:r>
      <w:r w:rsidR="009B4EE7" w:rsidRPr="008E0B1E">
        <w:rPr>
          <w:rFonts w:ascii="Fira Sans" w:hAnsi="Fira Sans"/>
          <w:sz w:val="18"/>
          <w:szCs w:val="18"/>
          <w:vertAlign w:val="superscript"/>
        </w:rPr>
        <w:t>a</w:t>
      </w:r>
      <w:r w:rsidR="00305451" w:rsidRPr="008E0B1E">
        <w:rPr>
          <w:rFonts w:ascii="Fira Sans" w:hAnsi="Fira Sans"/>
          <w:sz w:val="18"/>
          <w:szCs w:val="18"/>
        </w:rPr>
        <w:t xml:space="preserve"> w stosunku do analogicznego okresu roku poprzedniego (w %)</w:t>
      </w:r>
    </w:p>
    <w:p w14:paraId="1B2E9331" w14:textId="43B065C7" w:rsidR="00E13990" w:rsidRDefault="00E13990" w:rsidP="00C32402">
      <w:pPr>
        <w:pStyle w:val="Tytuwykresu0"/>
        <w:spacing w:before="120" w:line="240" w:lineRule="exact"/>
        <w:ind w:left="822" w:hanging="822"/>
        <w:rPr>
          <w:rFonts w:ascii="Fira Sans" w:hAnsi="Fira Sans"/>
          <w:b w:val="0"/>
          <w:sz w:val="16"/>
          <w:szCs w:val="19"/>
        </w:rPr>
      </w:pPr>
    </w:p>
    <w:p w14:paraId="5E03DDD3" w14:textId="4B2E634B" w:rsidR="00D42DCA" w:rsidRPr="009B4EE7" w:rsidRDefault="009B4EE7" w:rsidP="00C32402">
      <w:pPr>
        <w:pStyle w:val="Tytuwykresu0"/>
        <w:spacing w:before="120" w:line="240" w:lineRule="exact"/>
        <w:ind w:left="822" w:hanging="822"/>
        <w:rPr>
          <w:rFonts w:ascii="Fira Sans" w:hAnsi="Fira Sans"/>
          <w:b w:val="0"/>
          <w:bCs w:val="0"/>
          <w:color w:val="001D77"/>
          <w:sz w:val="18"/>
          <w:szCs w:val="18"/>
        </w:rPr>
      </w:pPr>
      <w:r>
        <w:rPr>
          <w:rFonts w:ascii="Fira Sans" w:hAnsi="Fira Sans"/>
          <w:b w:val="0"/>
          <w:sz w:val="16"/>
          <w:szCs w:val="19"/>
        </w:rPr>
        <w:t>a</w:t>
      </w:r>
      <w:r w:rsidRPr="009B4EE7">
        <w:rPr>
          <w:rFonts w:ascii="Fira Sans" w:hAnsi="Fira Sans"/>
          <w:b w:val="0"/>
          <w:sz w:val="16"/>
          <w:szCs w:val="19"/>
        </w:rPr>
        <w:t xml:space="preserve"> Dane ostateczne z wyjątkiem informacji opracowanej według szybkiego szacunku w </w:t>
      </w:r>
      <w:r>
        <w:rPr>
          <w:rFonts w:ascii="Fira Sans" w:hAnsi="Fira Sans"/>
          <w:b w:val="0"/>
          <w:sz w:val="16"/>
          <w:szCs w:val="19"/>
        </w:rPr>
        <w:t>marcu 2022</w:t>
      </w:r>
      <w:r w:rsidRPr="009B4EE7">
        <w:rPr>
          <w:rFonts w:ascii="Fira Sans" w:hAnsi="Fira Sans"/>
          <w:b w:val="0"/>
          <w:sz w:val="16"/>
          <w:szCs w:val="19"/>
        </w:rPr>
        <w:t xml:space="preserve"> r.</w:t>
      </w:r>
    </w:p>
    <w:p w14:paraId="609E4974" w14:textId="53A2460A" w:rsidR="009B4EE7" w:rsidRDefault="009B4EE7" w:rsidP="00305451">
      <w:pPr>
        <w:spacing w:before="0" w:after="160" w:line="259" w:lineRule="auto"/>
        <w:rPr>
          <w:color w:val="222222"/>
          <w:szCs w:val="19"/>
        </w:rPr>
      </w:pPr>
    </w:p>
    <w:p w14:paraId="212C20A7" w14:textId="77777777" w:rsidR="00305451" w:rsidRPr="0000577E" w:rsidRDefault="00305451" w:rsidP="005E6129">
      <w:pPr>
        <w:spacing w:line="288" w:lineRule="auto"/>
        <w:rPr>
          <w:noProof/>
          <w:szCs w:val="19"/>
          <w:highlight w:val="yellow"/>
          <w:lang w:eastAsia="pl-PL"/>
        </w:rPr>
        <w:sectPr w:rsidR="00305451" w:rsidRPr="0000577E" w:rsidSect="0087759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259" w:bottom="284" w:left="720" w:header="284" w:footer="283" w:gutter="0"/>
          <w:cols w:space="708"/>
          <w:titlePg/>
          <w:docGrid w:linePitch="360"/>
        </w:sectPr>
      </w:pPr>
      <w:r w:rsidRPr="0000577E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 zamieszczenie informacji: „Opracowanie własne na podstawie danych GUS”.</w:t>
      </w:r>
    </w:p>
    <w:tbl>
      <w:tblPr>
        <w:tblW w:w="9853" w:type="dxa"/>
        <w:tblInd w:w="279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00577E" w14:paraId="632A2D5C" w14:textId="77777777" w:rsidTr="00B84C43">
        <w:trPr>
          <w:trHeight w:val="1626"/>
        </w:trPr>
        <w:tc>
          <w:tcPr>
            <w:tcW w:w="4926" w:type="dxa"/>
          </w:tcPr>
          <w:p w14:paraId="34ED5B0B" w14:textId="77777777" w:rsidR="00DE2400" w:rsidRPr="0000577E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00577E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0CA8D91" w14:textId="77777777" w:rsidR="00DE2400" w:rsidRPr="0000577E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0577E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9F24B8" w:rsidRPr="0000577E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45A59B9D" w14:textId="77777777" w:rsidR="00DE2400" w:rsidRPr="0000577E" w:rsidRDefault="009F24B8" w:rsidP="00F4524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00577E">
              <w:rPr>
                <w:b/>
                <w:sz w:val="20"/>
                <w:szCs w:val="20"/>
              </w:rPr>
              <w:t>Dyrektor Ewa Adach-Stankiewicz</w:t>
            </w:r>
          </w:p>
          <w:p w14:paraId="7D4FA8C1" w14:textId="77777777" w:rsidR="00DE2400" w:rsidRPr="0000577E" w:rsidRDefault="00DE2400" w:rsidP="00B16871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577E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9F24B8" w:rsidRPr="0000577E">
              <w:rPr>
                <w:rFonts w:ascii="Fira Sans" w:hAnsi="Fira Sans" w:cs="Arial"/>
                <w:color w:val="000000" w:themeColor="text1"/>
                <w:sz w:val="20"/>
              </w:rPr>
              <w:t>22 608 31 24</w:t>
            </w:r>
          </w:p>
        </w:tc>
        <w:tc>
          <w:tcPr>
            <w:tcW w:w="4927" w:type="dxa"/>
          </w:tcPr>
          <w:p w14:paraId="7409E254" w14:textId="77777777" w:rsidR="00DE2400" w:rsidRPr="0000577E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00577E">
              <w:rPr>
                <w:rFonts w:cs="Arial"/>
                <w:sz w:val="20"/>
              </w:rPr>
              <w:t>Rozpowszechnianie:</w:t>
            </w:r>
            <w:r w:rsidRPr="0000577E">
              <w:rPr>
                <w:rFonts w:cs="Arial"/>
                <w:sz w:val="20"/>
              </w:rPr>
              <w:br/>
            </w:r>
            <w:r w:rsidRPr="0000577E">
              <w:rPr>
                <w:rFonts w:cs="Arial"/>
                <w:b/>
                <w:sz w:val="20"/>
              </w:rPr>
              <w:t>Rzecznik Prasowy Prezesa GUS</w:t>
            </w:r>
          </w:p>
          <w:p w14:paraId="3A3CB836" w14:textId="77777777" w:rsidR="00DE2400" w:rsidRPr="0000577E" w:rsidRDefault="00DE2400" w:rsidP="00F4524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0577E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4673C7A8" w14:textId="77777777" w:rsidR="00DE2400" w:rsidRPr="0000577E" w:rsidRDefault="00DE2400" w:rsidP="00F45242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</w:rPr>
            </w:pPr>
            <w:r w:rsidRPr="0000577E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14:paraId="62BF6247" w14:textId="77777777" w:rsidR="00DE2400" w:rsidRPr="0000577E" w:rsidRDefault="00DE2400" w:rsidP="00F45242">
            <w:pPr>
              <w:rPr>
                <w:sz w:val="18"/>
              </w:rPr>
            </w:pPr>
          </w:p>
        </w:tc>
      </w:tr>
      <w:tr w:rsidR="00DE2400" w:rsidRPr="0000577E" w14:paraId="4AA858AA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641B0E04" w14:textId="77777777" w:rsidR="00DE2400" w:rsidRPr="0000577E" w:rsidRDefault="00DE2400" w:rsidP="00F45242">
            <w:pPr>
              <w:rPr>
                <w:b/>
                <w:sz w:val="20"/>
              </w:rPr>
            </w:pPr>
            <w:r w:rsidRPr="0000577E">
              <w:rPr>
                <w:b/>
                <w:sz w:val="20"/>
              </w:rPr>
              <w:t xml:space="preserve">Wydział Współpracy z Mediami </w:t>
            </w:r>
          </w:p>
          <w:p w14:paraId="7CF5A95C" w14:textId="77777777" w:rsidR="00DE2400" w:rsidRPr="0000577E" w:rsidRDefault="00DE2400" w:rsidP="00F45242">
            <w:pPr>
              <w:rPr>
                <w:sz w:val="20"/>
              </w:rPr>
            </w:pPr>
            <w:r w:rsidRPr="0000577E">
              <w:rPr>
                <w:sz w:val="20"/>
              </w:rPr>
              <w:t>Tel: 22 608 3</w:t>
            </w:r>
            <w:r w:rsidR="00E95036" w:rsidRPr="0000577E">
              <w:rPr>
                <w:sz w:val="20"/>
              </w:rPr>
              <w:t>8 04</w:t>
            </w:r>
            <w:r w:rsidRPr="0000577E">
              <w:rPr>
                <w:sz w:val="20"/>
              </w:rPr>
              <w:t xml:space="preserve"> </w:t>
            </w:r>
          </w:p>
          <w:p w14:paraId="776F1C90" w14:textId="77777777" w:rsidR="00DE2400" w:rsidRPr="009B4EE7" w:rsidRDefault="00DE2400" w:rsidP="00F45242">
            <w:pPr>
              <w:rPr>
                <w:sz w:val="18"/>
                <w:lang w:val="en-GB"/>
              </w:rPr>
            </w:pPr>
            <w:r w:rsidRPr="009B4EE7">
              <w:rPr>
                <w:b/>
                <w:sz w:val="20"/>
                <w:lang w:val="en-GB"/>
              </w:rPr>
              <w:t>e-mail:</w:t>
            </w:r>
            <w:r w:rsidRPr="009B4EE7">
              <w:rPr>
                <w:sz w:val="20"/>
                <w:lang w:val="en-GB"/>
              </w:rPr>
              <w:t xml:space="preserve"> </w:t>
            </w:r>
            <w:hyperlink r:id="rId15" w:history="1">
              <w:r w:rsidRPr="009B4EE7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CA7C11C" w14:textId="77777777" w:rsidR="00DE2400" w:rsidRPr="0000577E" w:rsidRDefault="00DE2400" w:rsidP="00F45242">
            <w:pPr>
              <w:ind w:firstLine="680"/>
              <w:rPr>
                <w:sz w:val="18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1B740DE5" wp14:editId="4E45D3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577E">
              <w:rPr>
                <w:sz w:val="20"/>
              </w:rPr>
              <w:t>www.stat.gov.pl</w:t>
            </w:r>
            <w:r w:rsidRPr="0000577E">
              <w:rPr>
                <w:sz w:val="18"/>
              </w:rPr>
              <w:t xml:space="preserve">      </w:t>
            </w:r>
          </w:p>
        </w:tc>
      </w:tr>
      <w:tr w:rsidR="00DE2400" w:rsidRPr="0000577E" w14:paraId="3CD70B82" w14:textId="77777777" w:rsidTr="00B84C43">
        <w:trPr>
          <w:trHeight w:val="418"/>
        </w:trPr>
        <w:tc>
          <w:tcPr>
            <w:tcW w:w="4926" w:type="dxa"/>
            <w:vMerge/>
          </w:tcPr>
          <w:p w14:paraId="375E5796" w14:textId="77777777" w:rsidR="00DE2400" w:rsidRPr="0000577E" w:rsidRDefault="00DE2400" w:rsidP="00F45242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952E990" w14:textId="77777777" w:rsidR="00DE2400" w:rsidRPr="0000577E" w:rsidRDefault="00531873" w:rsidP="00F45242">
            <w:pPr>
              <w:ind w:firstLine="680"/>
              <w:rPr>
                <w:sz w:val="18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7CBB549" wp14:editId="0CF6AB6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&#10;GUS (@GUS_STAT) ·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00577E">
              <w:rPr>
                <w:sz w:val="20"/>
              </w:rPr>
              <w:t>@GUS_STAT</w:t>
            </w:r>
            <w:r w:rsidR="00DE2400" w:rsidRPr="0000577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00577E" w14:paraId="5A141EAE" w14:textId="77777777" w:rsidTr="00B84C43">
        <w:trPr>
          <w:trHeight w:val="476"/>
        </w:trPr>
        <w:tc>
          <w:tcPr>
            <w:tcW w:w="4926" w:type="dxa"/>
            <w:vMerge/>
          </w:tcPr>
          <w:p w14:paraId="20E15E09" w14:textId="77777777" w:rsidR="00DE2400" w:rsidRPr="0000577E" w:rsidRDefault="00DE2400" w:rsidP="00F4524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0E130A7" w14:textId="77777777" w:rsidR="00DE2400" w:rsidRPr="0000577E" w:rsidRDefault="00531873" w:rsidP="00F45242">
            <w:pPr>
              <w:ind w:firstLine="680"/>
              <w:rPr>
                <w:sz w:val="18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6E1B62BD" wp14:editId="2BA7ED5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00577E">
              <w:rPr>
                <w:sz w:val="20"/>
              </w:rPr>
              <w:t>@GlownyUrzadStatystyczny</w:t>
            </w:r>
            <w:r w:rsidR="00DE2400" w:rsidRPr="0000577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RPr="0000577E" w14:paraId="5B19D383" w14:textId="77777777" w:rsidTr="00B84C43">
        <w:trPr>
          <w:trHeight w:val="426"/>
        </w:trPr>
        <w:tc>
          <w:tcPr>
            <w:tcW w:w="4926" w:type="dxa"/>
          </w:tcPr>
          <w:p w14:paraId="50E9D2E7" w14:textId="77777777" w:rsidR="00531873" w:rsidRPr="0000577E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54CB71E" w14:textId="77777777" w:rsidR="00531873" w:rsidRPr="0000577E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6447EB41" wp14:editId="36190A9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00577E">
              <w:rPr>
                <w:sz w:val="20"/>
              </w:rPr>
              <w:t>gus_stat</w:t>
            </w:r>
            <w:proofErr w:type="spellEnd"/>
          </w:p>
        </w:tc>
      </w:tr>
      <w:tr w:rsidR="00531873" w:rsidRPr="0000577E" w14:paraId="21FC15AF" w14:textId="77777777" w:rsidTr="00B84C43">
        <w:trPr>
          <w:trHeight w:val="504"/>
        </w:trPr>
        <w:tc>
          <w:tcPr>
            <w:tcW w:w="4926" w:type="dxa"/>
          </w:tcPr>
          <w:p w14:paraId="08D42BB9" w14:textId="77777777" w:rsidR="00531873" w:rsidRPr="0000577E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E9E1799" w14:textId="77777777" w:rsidR="00531873" w:rsidRPr="0000577E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79B8CF05" wp14:editId="41EAF68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00577E">
              <w:rPr>
                <w:sz w:val="20"/>
              </w:rPr>
              <w:t>glownyurzadstatystycznygus</w:t>
            </w:r>
            <w:proofErr w:type="spellEnd"/>
          </w:p>
        </w:tc>
      </w:tr>
      <w:tr w:rsidR="00531873" w:rsidRPr="0000577E" w14:paraId="3955053D" w14:textId="77777777" w:rsidTr="00B84C43">
        <w:trPr>
          <w:trHeight w:val="1546"/>
        </w:trPr>
        <w:tc>
          <w:tcPr>
            <w:tcW w:w="4926" w:type="dxa"/>
          </w:tcPr>
          <w:p w14:paraId="5ED8B0E4" w14:textId="77777777" w:rsidR="00531873" w:rsidRPr="0000577E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A06FE42" w14:textId="77777777" w:rsidR="00531873" w:rsidRPr="0000577E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00577E">
              <w:rPr>
                <w:noProof/>
                <w:sz w:val="20"/>
                <w:lang w:eastAsia="pl-PL"/>
              </w:rPr>
              <w:t>glownyurzadstatystyczny</w:t>
            </w:r>
            <w:r w:rsidRPr="0000577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6E00F28F" wp14:editId="35663D6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00577E" w14:paraId="388CD239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DB6D825" w14:textId="77777777" w:rsidR="00531873" w:rsidRPr="0000577E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00577E">
              <w:rPr>
                <w:b/>
              </w:rPr>
              <w:t>Powiązane opracowania</w:t>
            </w:r>
          </w:p>
          <w:p w14:paraId="3A8EB4E5" w14:textId="77777777" w:rsidR="009F24B8" w:rsidRPr="0000577E" w:rsidRDefault="00531873" w:rsidP="009F24B8">
            <w:pPr>
              <w:rPr>
                <w:rStyle w:val="Hipercze"/>
                <w:sz w:val="18"/>
              </w:rPr>
            </w:pPr>
            <w:r w:rsidRPr="0000577E">
              <w:rPr>
                <w:rFonts w:cs="Times New Roman"/>
              </w:rPr>
              <w:fldChar w:fldCharType="begin"/>
            </w:r>
            <w:r w:rsidRPr="0000577E">
              <w:rPr>
                <w:rFonts w:cs="Times New Roman"/>
              </w:rPr>
              <w:instrText xml:space="preserve"> HYPERLINK "https://stat.gov.pl/" \o "Linko do opracowania pt...." </w:instrText>
            </w:r>
            <w:r w:rsidRPr="0000577E">
              <w:rPr>
                <w:rFonts w:cs="Times New Roman"/>
              </w:rPr>
              <w:fldChar w:fldCharType="separate"/>
            </w:r>
            <w:hyperlink r:id="rId22" w:tooltip="Link do komunikatów i obwieszczeń Prezesa GUS" w:history="1">
              <w:r w:rsidR="009F24B8" w:rsidRPr="0000577E">
                <w:rPr>
                  <w:rStyle w:val="Hipercze"/>
                  <w:sz w:val="18"/>
                </w:rPr>
                <w:t>Komunikaty i obwieszczenia Prezesa GUS</w:t>
              </w:r>
            </w:hyperlink>
          </w:p>
          <w:p w14:paraId="0FBE8A8A" w14:textId="77777777" w:rsidR="009F24B8" w:rsidRPr="0000577E" w:rsidRDefault="009037FB" w:rsidP="009F24B8">
            <w:pPr>
              <w:rPr>
                <w:rStyle w:val="Hipercze"/>
                <w:sz w:val="18"/>
              </w:rPr>
            </w:pPr>
            <w:hyperlink r:id="rId23" w:tooltip="Link do informacji sygnalnych" w:history="1">
              <w:r w:rsidR="009F24B8" w:rsidRPr="0000577E">
                <w:rPr>
                  <w:rStyle w:val="Hipercze"/>
                  <w:sz w:val="18"/>
                </w:rPr>
                <w:t>Informacje sygnalne</w:t>
              </w:r>
            </w:hyperlink>
          </w:p>
          <w:p w14:paraId="1BD57F57" w14:textId="77777777" w:rsidR="00531873" w:rsidRPr="0000577E" w:rsidRDefault="00531873" w:rsidP="00531873">
            <w:pPr>
              <w:rPr>
                <w:rStyle w:val="Hipercze"/>
              </w:rPr>
            </w:pPr>
          </w:p>
          <w:p w14:paraId="6882F0B7" w14:textId="77777777" w:rsidR="00531873" w:rsidRPr="0000577E" w:rsidRDefault="00531873" w:rsidP="00027DA2">
            <w:pPr>
              <w:spacing w:before="360" w:line="240" w:lineRule="auto"/>
              <w:rPr>
                <w:b/>
                <w:color w:val="000000" w:themeColor="text1"/>
                <w:szCs w:val="24"/>
              </w:rPr>
            </w:pPr>
            <w:r w:rsidRPr="0000577E">
              <w:rPr>
                <w:rFonts w:cs="Times New Roman"/>
              </w:rPr>
              <w:fldChar w:fldCharType="end"/>
            </w:r>
            <w:r w:rsidRPr="0000577E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2597A98" w14:textId="77777777" w:rsidR="009F24B8" w:rsidRPr="0000577E" w:rsidRDefault="009037FB" w:rsidP="009F24B8">
            <w:pPr>
              <w:rPr>
                <w:rStyle w:val="Hipercze"/>
                <w:sz w:val="18"/>
              </w:rPr>
            </w:pPr>
            <w:hyperlink r:id="rId24" w:tooltip="Link do bazy danych Dziedzinowa Baza Wiedzy (DBW) Ceny" w:history="1">
              <w:r w:rsidR="009F24B8" w:rsidRPr="0000577E">
                <w:rPr>
                  <w:rStyle w:val="Hipercze"/>
                  <w:sz w:val="18"/>
                </w:rPr>
                <w:t>Dziedzinowa Baza Wiedzy (DBW) Ceny</w:t>
              </w:r>
            </w:hyperlink>
          </w:p>
          <w:p w14:paraId="3DC0D217" w14:textId="77777777" w:rsidR="009F24B8" w:rsidRPr="0000577E" w:rsidRDefault="009037FB" w:rsidP="009F24B8">
            <w:pPr>
              <w:rPr>
                <w:rStyle w:val="Hipercze"/>
                <w:sz w:val="18"/>
              </w:rPr>
            </w:pPr>
            <w:hyperlink r:id="rId25" w:tooltip="Link do bazy danych Bank Danych Makroekonomicznych (BDM)" w:history="1">
              <w:r w:rsidR="009F24B8" w:rsidRPr="0000577E">
                <w:rPr>
                  <w:rStyle w:val="Hipercze"/>
                  <w:sz w:val="18"/>
                </w:rPr>
                <w:t>Bank Danych Makroekonomicznych (BDM)</w:t>
              </w:r>
            </w:hyperlink>
          </w:p>
          <w:p w14:paraId="29489107" w14:textId="77777777" w:rsidR="009F24B8" w:rsidRPr="0000577E" w:rsidRDefault="009037FB" w:rsidP="009F24B8">
            <w:pPr>
              <w:rPr>
                <w:rStyle w:val="Hipercze"/>
                <w:sz w:val="18"/>
              </w:rPr>
            </w:pPr>
            <w:hyperlink r:id="rId26" w:tooltip="Link do bazy danych Bank Danych Lokalnych (BDL)" w:history="1">
              <w:r w:rsidR="009F24B8" w:rsidRPr="0000577E">
                <w:rPr>
                  <w:rStyle w:val="Hipercze"/>
                  <w:sz w:val="18"/>
                </w:rPr>
                <w:t>Bank Danych Lokalnych (BDL)</w:t>
              </w:r>
            </w:hyperlink>
          </w:p>
          <w:p w14:paraId="5FF08DC3" w14:textId="77777777" w:rsidR="009F24B8" w:rsidRPr="0000577E" w:rsidRDefault="009037FB" w:rsidP="009F24B8">
            <w:pPr>
              <w:rPr>
                <w:rStyle w:val="Hipercze"/>
                <w:sz w:val="18"/>
              </w:rPr>
            </w:pPr>
            <w:hyperlink r:id="rId27" w:tooltip="Link do obszaru tematycznego Wskaźniki cen w ramach obszaru Ceny. Handel" w:history="1">
              <w:r w:rsidR="009F24B8" w:rsidRPr="0000577E">
                <w:rPr>
                  <w:rStyle w:val="Hipercze"/>
                  <w:sz w:val="18"/>
                </w:rPr>
                <w:t>Wskaźniki cen (Obszary tematyczne: Ceny. Handel)</w:t>
              </w:r>
            </w:hyperlink>
          </w:p>
          <w:p w14:paraId="2A7B51F9" w14:textId="77777777" w:rsidR="009F24B8" w:rsidRPr="0000577E" w:rsidRDefault="009037FB" w:rsidP="009F24B8">
            <w:pPr>
              <w:rPr>
                <w:rStyle w:val="Hipercze"/>
              </w:rPr>
            </w:pPr>
            <w:hyperlink r:id="rId28" w:tooltip="Link do obszaru tematycznego Ceny w ramach obszaru Ceny. Handel" w:history="1">
              <w:r w:rsidR="009F24B8" w:rsidRPr="0000577E">
                <w:rPr>
                  <w:rStyle w:val="Hipercze"/>
                  <w:sz w:val="18"/>
                </w:rPr>
                <w:t>Ceny (Obszary tematyczne: Ceny. Handel)</w:t>
              </w:r>
            </w:hyperlink>
          </w:p>
          <w:p w14:paraId="58049905" w14:textId="77777777" w:rsidR="00531873" w:rsidRPr="0000577E" w:rsidRDefault="00531873" w:rsidP="009F24B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00577E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36F2D4F" w14:textId="77777777" w:rsidR="009F24B8" w:rsidRPr="0000577E" w:rsidRDefault="009037FB" w:rsidP="009F24B8">
            <w:pPr>
              <w:rPr>
                <w:rStyle w:val="Hipercze"/>
                <w:sz w:val="18"/>
              </w:rPr>
            </w:pPr>
            <w:hyperlink r:id="rId29" w:tooltip="Link do pojęcia wskaźniki cen towarów i usług konsumpcyjnych w ramach słownika pojęć" w:history="1">
              <w:r w:rsidR="009F24B8" w:rsidRPr="0000577E">
                <w:rPr>
                  <w:rStyle w:val="Hipercze"/>
                  <w:sz w:val="18"/>
                </w:rPr>
                <w:t>Wskaźnik cen towarów i usług konsumpcyjnych</w:t>
              </w:r>
            </w:hyperlink>
          </w:p>
          <w:p w14:paraId="1B29F709" w14:textId="77777777" w:rsidR="009F24B8" w:rsidRPr="0000577E" w:rsidRDefault="009037FB" w:rsidP="009F24B8">
            <w:pPr>
              <w:rPr>
                <w:rStyle w:val="Hipercze"/>
                <w:sz w:val="18"/>
              </w:rPr>
            </w:pPr>
            <w:hyperlink r:id="rId30" w:tooltip="Link do pojęcia cena detaliczna w ramach słownika pojęć" w:history="1">
              <w:r w:rsidR="009F24B8" w:rsidRPr="0000577E">
                <w:rPr>
                  <w:rStyle w:val="Hipercze"/>
                  <w:sz w:val="18"/>
                </w:rPr>
                <w:t>Cena detaliczna</w:t>
              </w:r>
            </w:hyperlink>
          </w:p>
          <w:p w14:paraId="33F6C4C0" w14:textId="77777777" w:rsidR="00531873" w:rsidRPr="0000577E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1CE6C13C" w14:textId="77777777" w:rsidR="00531873" w:rsidRPr="0000577E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5B8FD936" w14:textId="77777777" w:rsidR="00531873" w:rsidRPr="0000577E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D6993E0" w14:textId="77777777" w:rsidR="000470AA" w:rsidRPr="0000577E" w:rsidRDefault="000470AA" w:rsidP="000470AA">
      <w:pPr>
        <w:rPr>
          <w:sz w:val="18"/>
        </w:rPr>
      </w:pPr>
    </w:p>
    <w:p w14:paraId="18AAA3A3" w14:textId="77777777" w:rsidR="000470AA" w:rsidRPr="0000577E" w:rsidRDefault="000470AA" w:rsidP="000470AA">
      <w:pPr>
        <w:rPr>
          <w:sz w:val="20"/>
        </w:rPr>
      </w:pPr>
    </w:p>
    <w:p w14:paraId="6554604B" w14:textId="4EC090A2" w:rsidR="00D261A2" w:rsidRPr="0000577E" w:rsidRDefault="00D261A2" w:rsidP="008642B7">
      <w:pPr>
        <w:rPr>
          <w:sz w:val="18"/>
        </w:rPr>
      </w:pPr>
    </w:p>
    <w:sectPr w:rsidR="00D261A2" w:rsidRPr="0000577E" w:rsidSect="00027DA2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2B6E" w14:textId="77777777" w:rsidR="009037FB" w:rsidRDefault="009037FB" w:rsidP="000662E2">
      <w:pPr>
        <w:spacing w:after="0" w:line="240" w:lineRule="auto"/>
      </w:pPr>
      <w:r>
        <w:separator/>
      </w:r>
    </w:p>
  </w:endnote>
  <w:endnote w:type="continuationSeparator" w:id="0">
    <w:p w14:paraId="5A6C876C" w14:textId="77777777" w:rsidR="009037FB" w:rsidRDefault="009037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303265"/>
      <w:docPartObj>
        <w:docPartGallery w:val="Page Numbers (Bottom of Page)"/>
        <w:docPartUnique/>
      </w:docPartObj>
    </w:sdtPr>
    <w:sdtEndPr/>
    <w:sdtContent>
      <w:p w14:paraId="365B7D18" w14:textId="77777777" w:rsidR="008955F2" w:rsidRDefault="008955F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762705"/>
      <w:docPartObj>
        <w:docPartGallery w:val="Page Numbers (Bottom of Page)"/>
        <w:docPartUnique/>
      </w:docPartObj>
    </w:sdtPr>
    <w:sdtEndPr/>
    <w:sdtContent>
      <w:p w14:paraId="14B8A5BC" w14:textId="77777777" w:rsidR="008955F2" w:rsidRDefault="008955F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255972"/>
      <w:docPartObj>
        <w:docPartGallery w:val="Page Numbers (Bottom of Page)"/>
        <w:docPartUnique/>
      </w:docPartObj>
    </w:sdtPr>
    <w:sdtEndPr/>
    <w:sdtContent>
      <w:p w14:paraId="302A2D08" w14:textId="77777777" w:rsidR="008955F2" w:rsidRDefault="008955F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C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0BE2" w14:textId="77777777" w:rsidR="009037FB" w:rsidRDefault="009037FB" w:rsidP="000662E2">
      <w:pPr>
        <w:spacing w:after="0" w:line="240" w:lineRule="auto"/>
      </w:pPr>
      <w:r>
        <w:separator/>
      </w:r>
    </w:p>
  </w:footnote>
  <w:footnote w:type="continuationSeparator" w:id="0">
    <w:p w14:paraId="1B5A2B58" w14:textId="77777777" w:rsidR="009037FB" w:rsidRDefault="009037F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485D" w14:textId="77777777" w:rsidR="008955F2" w:rsidRDefault="008955F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5724B90" wp14:editId="7CC9B58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3B58D" id="Prostokąt 24" o:spid="_x0000_s1026" style="position:absolute;margin-left:410.6pt;margin-top:-14.05pt;width:147.6pt;height:1785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DB1F345" w14:textId="77777777" w:rsidR="008955F2" w:rsidRDefault="008955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7470" w14:textId="77777777" w:rsidR="008955F2" w:rsidRDefault="008955F2" w:rsidP="00CF5C2C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146745B" wp14:editId="66EA9F66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9992EA" id="Prostokąt 10" o:spid="_x0000_s1026" style="position:absolute;margin-left:409.95pt;margin-top:39.05pt;width:147.4pt;height:788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O2aBiF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1F1EBD0" wp14:editId="46F7038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3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A8223" w14:textId="77777777" w:rsidR="008955F2" w:rsidRPr="003C6C8D" w:rsidRDefault="008955F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1EBD0" id="Schemat blokowy: opóźnienie 6" o:spid="_x0000_s1027" alt="Napis &quot;Informacja sygnalna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64A8223" w14:textId="77777777" w:rsidR="008955F2" w:rsidRPr="003C6C8D" w:rsidRDefault="008955F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502F8C">
      <w:rPr>
        <w:noProof/>
        <w:lang w:eastAsia="pl-PL"/>
      </w:rPr>
      <w:drawing>
        <wp:inline distT="0" distB="0" distL="0" distR="0" wp14:anchorId="4A11CC09" wp14:editId="106F8EBC">
          <wp:extent cx="1153274" cy="720000"/>
          <wp:effectExtent l="0" t="0" r="0" b="4445"/>
          <wp:docPr id="19" name="Obraz 1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2C13E626" w14:textId="77777777" w:rsidR="008955F2" w:rsidRDefault="008955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0D1297CF" wp14:editId="5D805A0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4" name="Pole tekstowe 2" descr="1 kwietnia 2022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78905" w14:textId="771482AB" w:rsidR="008955F2" w:rsidRPr="00C97596" w:rsidRDefault="009B4EE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01.04</w:t>
                          </w:r>
                          <w:r w:rsidR="008955F2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  <w:r w:rsidR="008955F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297C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1 kwietnia 2022 roku" style="position:absolute;margin-left:411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" filled="f" stroked="f">
              <v:textbox>
                <w:txbxContent>
                  <w:p w14:paraId="3D778905" w14:textId="771482AB" w:rsidR="008955F2" w:rsidRPr="00C97596" w:rsidRDefault="009B4EE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01.04</w:t>
                    </w:r>
                    <w:r w:rsidR="008955F2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  <w:r w:rsidR="008955F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B9A1" w14:textId="77777777" w:rsidR="008955F2" w:rsidRDefault="008955F2">
    <w:pPr>
      <w:pStyle w:val="Nagwek"/>
    </w:pPr>
  </w:p>
  <w:p w14:paraId="40CA2E81" w14:textId="77777777" w:rsidR="008955F2" w:rsidRDefault="008955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pt;height:123.75pt;visibility:visible;mso-wrap-style:square" o:bullet="t">
        <v:imagedata r:id="rId1" o:title=""/>
      </v:shape>
    </w:pict>
  </w:numPicBullet>
  <w:numPicBullet w:numPicBulletId="1">
    <w:pict>
      <v:shape id="_x0000_i1053" type="#_x0000_t75" style="width:123pt;height:123.7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577E"/>
    <w:rsid w:val="0000709F"/>
    <w:rsid w:val="000108B8"/>
    <w:rsid w:val="000152F5"/>
    <w:rsid w:val="00027DA2"/>
    <w:rsid w:val="0004582E"/>
    <w:rsid w:val="000470AA"/>
    <w:rsid w:val="00057B1F"/>
    <w:rsid w:val="00057CA1"/>
    <w:rsid w:val="000647A9"/>
    <w:rsid w:val="000661B0"/>
    <w:rsid w:val="000662E2"/>
    <w:rsid w:val="00066883"/>
    <w:rsid w:val="00071B39"/>
    <w:rsid w:val="00074DD8"/>
    <w:rsid w:val="00075759"/>
    <w:rsid w:val="000806F7"/>
    <w:rsid w:val="00093719"/>
    <w:rsid w:val="000942FF"/>
    <w:rsid w:val="00097840"/>
    <w:rsid w:val="000B0727"/>
    <w:rsid w:val="000C135D"/>
    <w:rsid w:val="000C6410"/>
    <w:rsid w:val="000D1D43"/>
    <w:rsid w:val="000D225C"/>
    <w:rsid w:val="000D2A5C"/>
    <w:rsid w:val="000D39F0"/>
    <w:rsid w:val="000E0918"/>
    <w:rsid w:val="000E343E"/>
    <w:rsid w:val="000E79A9"/>
    <w:rsid w:val="00100968"/>
    <w:rsid w:val="001011C3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740"/>
    <w:rsid w:val="00136D67"/>
    <w:rsid w:val="001423B6"/>
    <w:rsid w:val="001448A7"/>
    <w:rsid w:val="00146621"/>
    <w:rsid w:val="00150717"/>
    <w:rsid w:val="00157362"/>
    <w:rsid w:val="00160BEF"/>
    <w:rsid w:val="001617E3"/>
    <w:rsid w:val="00162325"/>
    <w:rsid w:val="0017633D"/>
    <w:rsid w:val="001777A8"/>
    <w:rsid w:val="00194D81"/>
    <w:rsid w:val="001951DA"/>
    <w:rsid w:val="001B053D"/>
    <w:rsid w:val="001C3269"/>
    <w:rsid w:val="001D19B6"/>
    <w:rsid w:val="001D1DB4"/>
    <w:rsid w:val="001D23F1"/>
    <w:rsid w:val="001D25F9"/>
    <w:rsid w:val="001D61ED"/>
    <w:rsid w:val="001E1708"/>
    <w:rsid w:val="001E5B2D"/>
    <w:rsid w:val="001F7839"/>
    <w:rsid w:val="001F7FAF"/>
    <w:rsid w:val="0020156C"/>
    <w:rsid w:val="002036FA"/>
    <w:rsid w:val="00213BAD"/>
    <w:rsid w:val="00216634"/>
    <w:rsid w:val="00237030"/>
    <w:rsid w:val="00242D31"/>
    <w:rsid w:val="0025481E"/>
    <w:rsid w:val="002574F9"/>
    <w:rsid w:val="00262B61"/>
    <w:rsid w:val="00262CC6"/>
    <w:rsid w:val="00263E08"/>
    <w:rsid w:val="00276811"/>
    <w:rsid w:val="00282699"/>
    <w:rsid w:val="002926DF"/>
    <w:rsid w:val="00296697"/>
    <w:rsid w:val="002A44CD"/>
    <w:rsid w:val="002B0472"/>
    <w:rsid w:val="002B6B12"/>
    <w:rsid w:val="002B7CE6"/>
    <w:rsid w:val="002C21F0"/>
    <w:rsid w:val="002C401B"/>
    <w:rsid w:val="002C4E30"/>
    <w:rsid w:val="002D01DF"/>
    <w:rsid w:val="002D6E8F"/>
    <w:rsid w:val="002E3EB3"/>
    <w:rsid w:val="002E6140"/>
    <w:rsid w:val="002E6985"/>
    <w:rsid w:val="002E71B6"/>
    <w:rsid w:val="002F35F6"/>
    <w:rsid w:val="002F5D8F"/>
    <w:rsid w:val="002F77C8"/>
    <w:rsid w:val="00304F22"/>
    <w:rsid w:val="00305451"/>
    <w:rsid w:val="00306C7C"/>
    <w:rsid w:val="00307F9F"/>
    <w:rsid w:val="0031434B"/>
    <w:rsid w:val="00314F86"/>
    <w:rsid w:val="00317F4D"/>
    <w:rsid w:val="00322EDD"/>
    <w:rsid w:val="003309FA"/>
    <w:rsid w:val="0033158F"/>
    <w:rsid w:val="00332320"/>
    <w:rsid w:val="003358DB"/>
    <w:rsid w:val="003423C4"/>
    <w:rsid w:val="00344AB5"/>
    <w:rsid w:val="00347D72"/>
    <w:rsid w:val="00353F45"/>
    <w:rsid w:val="00357611"/>
    <w:rsid w:val="0036432A"/>
    <w:rsid w:val="00364AF9"/>
    <w:rsid w:val="00367237"/>
    <w:rsid w:val="00367D5B"/>
    <w:rsid w:val="0037077F"/>
    <w:rsid w:val="00372411"/>
    <w:rsid w:val="00373882"/>
    <w:rsid w:val="00380151"/>
    <w:rsid w:val="003843DB"/>
    <w:rsid w:val="00385F6C"/>
    <w:rsid w:val="00393761"/>
    <w:rsid w:val="00394E26"/>
    <w:rsid w:val="00396691"/>
    <w:rsid w:val="00396D60"/>
    <w:rsid w:val="00397D18"/>
    <w:rsid w:val="003A1B36"/>
    <w:rsid w:val="003B1454"/>
    <w:rsid w:val="003B18B6"/>
    <w:rsid w:val="003C161B"/>
    <w:rsid w:val="003C59E0"/>
    <w:rsid w:val="003C6C8D"/>
    <w:rsid w:val="003D2656"/>
    <w:rsid w:val="003D2EAB"/>
    <w:rsid w:val="003D4F95"/>
    <w:rsid w:val="003D5F42"/>
    <w:rsid w:val="003D60A9"/>
    <w:rsid w:val="003E4367"/>
    <w:rsid w:val="003F2E18"/>
    <w:rsid w:val="003F4C97"/>
    <w:rsid w:val="003F666D"/>
    <w:rsid w:val="003F7FE6"/>
    <w:rsid w:val="00400193"/>
    <w:rsid w:val="00416EAF"/>
    <w:rsid w:val="004212E7"/>
    <w:rsid w:val="00423C88"/>
    <w:rsid w:val="0042446D"/>
    <w:rsid w:val="00427BF8"/>
    <w:rsid w:val="00431C02"/>
    <w:rsid w:val="00437395"/>
    <w:rsid w:val="004379DD"/>
    <w:rsid w:val="00445047"/>
    <w:rsid w:val="00446749"/>
    <w:rsid w:val="00447C48"/>
    <w:rsid w:val="00453EB7"/>
    <w:rsid w:val="004610CB"/>
    <w:rsid w:val="00463E39"/>
    <w:rsid w:val="004657FC"/>
    <w:rsid w:val="004733F6"/>
    <w:rsid w:val="00474E69"/>
    <w:rsid w:val="00483E9F"/>
    <w:rsid w:val="00485A2C"/>
    <w:rsid w:val="0049621B"/>
    <w:rsid w:val="004A1D19"/>
    <w:rsid w:val="004C1895"/>
    <w:rsid w:val="004C6D40"/>
    <w:rsid w:val="004E6AA8"/>
    <w:rsid w:val="004F0C3C"/>
    <w:rsid w:val="004F2280"/>
    <w:rsid w:val="004F23BB"/>
    <w:rsid w:val="004F63FC"/>
    <w:rsid w:val="00501A62"/>
    <w:rsid w:val="00505A92"/>
    <w:rsid w:val="005203F1"/>
    <w:rsid w:val="00521BC3"/>
    <w:rsid w:val="00523550"/>
    <w:rsid w:val="005312F2"/>
    <w:rsid w:val="00531873"/>
    <w:rsid w:val="00533632"/>
    <w:rsid w:val="00534013"/>
    <w:rsid w:val="00540C5C"/>
    <w:rsid w:val="00541E6E"/>
    <w:rsid w:val="0054251F"/>
    <w:rsid w:val="005520D8"/>
    <w:rsid w:val="00555CFB"/>
    <w:rsid w:val="00556ADB"/>
    <w:rsid w:val="00556CF1"/>
    <w:rsid w:val="005762A7"/>
    <w:rsid w:val="005829A0"/>
    <w:rsid w:val="0058476D"/>
    <w:rsid w:val="00587CEE"/>
    <w:rsid w:val="005916D7"/>
    <w:rsid w:val="0059427F"/>
    <w:rsid w:val="005A698C"/>
    <w:rsid w:val="005B2172"/>
    <w:rsid w:val="005B64F8"/>
    <w:rsid w:val="005C0CAC"/>
    <w:rsid w:val="005D062E"/>
    <w:rsid w:val="005D2F6B"/>
    <w:rsid w:val="005D580C"/>
    <w:rsid w:val="005E0799"/>
    <w:rsid w:val="005E10F9"/>
    <w:rsid w:val="005E1200"/>
    <w:rsid w:val="005E4D6D"/>
    <w:rsid w:val="005E6129"/>
    <w:rsid w:val="005E783E"/>
    <w:rsid w:val="005F20F6"/>
    <w:rsid w:val="005F45EE"/>
    <w:rsid w:val="005F5A80"/>
    <w:rsid w:val="006036D3"/>
    <w:rsid w:val="006044FF"/>
    <w:rsid w:val="00605E2A"/>
    <w:rsid w:val="00607CC5"/>
    <w:rsid w:val="0061179B"/>
    <w:rsid w:val="006125F9"/>
    <w:rsid w:val="00622FE0"/>
    <w:rsid w:val="00633014"/>
    <w:rsid w:val="0063437B"/>
    <w:rsid w:val="006354A5"/>
    <w:rsid w:val="0064017E"/>
    <w:rsid w:val="00654BB6"/>
    <w:rsid w:val="006673CA"/>
    <w:rsid w:val="00673C26"/>
    <w:rsid w:val="00674DE5"/>
    <w:rsid w:val="00677ACA"/>
    <w:rsid w:val="006812AF"/>
    <w:rsid w:val="006815F3"/>
    <w:rsid w:val="0068327D"/>
    <w:rsid w:val="00690F7F"/>
    <w:rsid w:val="00691534"/>
    <w:rsid w:val="00693880"/>
    <w:rsid w:val="00694AF0"/>
    <w:rsid w:val="00697C93"/>
    <w:rsid w:val="006A4686"/>
    <w:rsid w:val="006B0E9E"/>
    <w:rsid w:val="006B486D"/>
    <w:rsid w:val="006B5AE4"/>
    <w:rsid w:val="006D1507"/>
    <w:rsid w:val="006D28B0"/>
    <w:rsid w:val="006D4054"/>
    <w:rsid w:val="006E0289"/>
    <w:rsid w:val="006E02EC"/>
    <w:rsid w:val="006E3C4F"/>
    <w:rsid w:val="006E6F41"/>
    <w:rsid w:val="006E73E6"/>
    <w:rsid w:val="00703065"/>
    <w:rsid w:val="00712AAE"/>
    <w:rsid w:val="007211B1"/>
    <w:rsid w:val="007225F0"/>
    <w:rsid w:val="00725DC0"/>
    <w:rsid w:val="007277DA"/>
    <w:rsid w:val="00731D27"/>
    <w:rsid w:val="00746187"/>
    <w:rsid w:val="0076254F"/>
    <w:rsid w:val="00762C2D"/>
    <w:rsid w:val="007801F5"/>
    <w:rsid w:val="00783CA4"/>
    <w:rsid w:val="007842FB"/>
    <w:rsid w:val="00786124"/>
    <w:rsid w:val="0079514B"/>
    <w:rsid w:val="00795252"/>
    <w:rsid w:val="007A2DC1"/>
    <w:rsid w:val="007C7D79"/>
    <w:rsid w:val="007D0869"/>
    <w:rsid w:val="007D14C4"/>
    <w:rsid w:val="007D1774"/>
    <w:rsid w:val="007D3319"/>
    <w:rsid w:val="007D335D"/>
    <w:rsid w:val="007D605C"/>
    <w:rsid w:val="007E1B56"/>
    <w:rsid w:val="007E3314"/>
    <w:rsid w:val="007E3514"/>
    <w:rsid w:val="007E4B03"/>
    <w:rsid w:val="007F324B"/>
    <w:rsid w:val="007F3EE1"/>
    <w:rsid w:val="007F432B"/>
    <w:rsid w:val="008037F0"/>
    <w:rsid w:val="0080553C"/>
    <w:rsid w:val="00805B46"/>
    <w:rsid w:val="00805DB4"/>
    <w:rsid w:val="00823593"/>
    <w:rsid w:val="00825DC2"/>
    <w:rsid w:val="00834AD3"/>
    <w:rsid w:val="00843795"/>
    <w:rsid w:val="00847F0F"/>
    <w:rsid w:val="0085191B"/>
    <w:rsid w:val="00852448"/>
    <w:rsid w:val="0086155F"/>
    <w:rsid w:val="008642B7"/>
    <w:rsid w:val="00865EA1"/>
    <w:rsid w:val="00877596"/>
    <w:rsid w:val="00877F6C"/>
    <w:rsid w:val="0088258A"/>
    <w:rsid w:val="00886332"/>
    <w:rsid w:val="008925F0"/>
    <w:rsid w:val="0089448A"/>
    <w:rsid w:val="008955F2"/>
    <w:rsid w:val="00897877"/>
    <w:rsid w:val="008A26D9"/>
    <w:rsid w:val="008A7B5B"/>
    <w:rsid w:val="008B12D2"/>
    <w:rsid w:val="008C0C29"/>
    <w:rsid w:val="008D02DA"/>
    <w:rsid w:val="008D3BAF"/>
    <w:rsid w:val="008D76BC"/>
    <w:rsid w:val="008E0B1E"/>
    <w:rsid w:val="008E360B"/>
    <w:rsid w:val="008E4E2C"/>
    <w:rsid w:val="008E7DBA"/>
    <w:rsid w:val="008F0829"/>
    <w:rsid w:val="008F3638"/>
    <w:rsid w:val="008F4441"/>
    <w:rsid w:val="008F6B20"/>
    <w:rsid w:val="008F6F31"/>
    <w:rsid w:val="008F74DF"/>
    <w:rsid w:val="00902274"/>
    <w:rsid w:val="009037FB"/>
    <w:rsid w:val="009127BA"/>
    <w:rsid w:val="00920AAE"/>
    <w:rsid w:val="00920E24"/>
    <w:rsid w:val="009227A6"/>
    <w:rsid w:val="00933EC1"/>
    <w:rsid w:val="00941DC0"/>
    <w:rsid w:val="00942235"/>
    <w:rsid w:val="009446AD"/>
    <w:rsid w:val="00952E4D"/>
    <w:rsid w:val="009530DB"/>
    <w:rsid w:val="00953676"/>
    <w:rsid w:val="00956F30"/>
    <w:rsid w:val="00964CB1"/>
    <w:rsid w:val="00966C9A"/>
    <w:rsid w:val="009705EE"/>
    <w:rsid w:val="00975594"/>
    <w:rsid w:val="00977927"/>
    <w:rsid w:val="0098135C"/>
    <w:rsid w:val="0098156A"/>
    <w:rsid w:val="009836BE"/>
    <w:rsid w:val="00991BAC"/>
    <w:rsid w:val="00995A21"/>
    <w:rsid w:val="0099757D"/>
    <w:rsid w:val="009A6EA0"/>
    <w:rsid w:val="009B4EE7"/>
    <w:rsid w:val="009B6157"/>
    <w:rsid w:val="009C1335"/>
    <w:rsid w:val="009C1AB2"/>
    <w:rsid w:val="009C71CF"/>
    <w:rsid w:val="009C7251"/>
    <w:rsid w:val="009E2E91"/>
    <w:rsid w:val="009E5F9E"/>
    <w:rsid w:val="009F24B8"/>
    <w:rsid w:val="00A01B40"/>
    <w:rsid w:val="00A02BEB"/>
    <w:rsid w:val="00A139F5"/>
    <w:rsid w:val="00A14380"/>
    <w:rsid w:val="00A32E16"/>
    <w:rsid w:val="00A365F4"/>
    <w:rsid w:val="00A47D80"/>
    <w:rsid w:val="00A53132"/>
    <w:rsid w:val="00A563F2"/>
    <w:rsid w:val="00A566E8"/>
    <w:rsid w:val="00A66347"/>
    <w:rsid w:val="00A810F9"/>
    <w:rsid w:val="00A82D31"/>
    <w:rsid w:val="00A85E7E"/>
    <w:rsid w:val="00A86ECC"/>
    <w:rsid w:val="00A86FCC"/>
    <w:rsid w:val="00A90A6D"/>
    <w:rsid w:val="00A971E5"/>
    <w:rsid w:val="00A97327"/>
    <w:rsid w:val="00AA0C21"/>
    <w:rsid w:val="00AA6DC8"/>
    <w:rsid w:val="00AA710D"/>
    <w:rsid w:val="00AB64F3"/>
    <w:rsid w:val="00AB6D25"/>
    <w:rsid w:val="00AD0E56"/>
    <w:rsid w:val="00AE229B"/>
    <w:rsid w:val="00AE2D4B"/>
    <w:rsid w:val="00AE4F99"/>
    <w:rsid w:val="00B11B69"/>
    <w:rsid w:val="00B14952"/>
    <w:rsid w:val="00B16871"/>
    <w:rsid w:val="00B25B45"/>
    <w:rsid w:val="00B31E5A"/>
    <w:rsid w:val="00B47359"/>
    <w:rsid w:val="00B653AB"/>
    <w:rsid w:val="00B65F9E"/>
    <w:rsid w:val="00B66B19"/>
    <w:rsid w:val="00B7386E"/>
    <w:rsid w:val="00B84C43"/>
    <w:rsid w:val="00B914E9"/>
    <w:rsid w:val="00B929D0"/>
    <w:rsid w:val="00B94417"/>
    <w:rsid w:val="00B956EE"/>
    <w:rsid w:val="00BA2BA1"/>
    <w:rsid w:val="00BA3447"/>
    <w:rsid w:val="00BA3562"/>
    <w:rsid w:val="00BB4F09"/>
    <w:rsid w:val="00BB54B5"/>
    <w:rsid w:val="00BD4C82"/>
    <w:rsid w:val="00BD4E33"/>
    <w:rsid w:val="00BE7F76"/>
    <w:rsid w:val="00BF7F08"/>
    <w:rsid w:val="00C030DE"/>
    <w:rsid w:val="00C051A8"/>
    <w:rsid w:val="00C22105"/>
    <w:rsid w:val="00C244B6"/>
    <w:rsid w:val="00C27BF1"/>
    <w:rsid w:val="00C31509"/>
    <w:rsid w:val="00C32402"/>
    <w:rsid w:val="00C360D0"/>
    <w:rsid w:val="00C3702F"/>
    <w:rsid w:val="00C4500A"/>
    <w:rsid w:val="00C46A7E"/>
    <w:rsid w:val="00C62238"/>
    <w:rsid w:val="00C64A37"/>
    <w:rsid w:val="00C7158E"/>
    <w:rsid w:val="00C7250B"/>
    <w:rsid w:val="00C7346B"/>
    <w:rsid w:val="00C77C0E"/>
    <w:rsid w:val="00C91687"/>
    <w:rsid w:val="00C924A8"/>
    <w:rsid w:val="00C945FE"/>
    <w:rsid w:val="00C96803"/>
    <w:rsid w:val="00C96FAA"/>
    <w:rsid w:val="00C97A04"/>
    <w:rsid w:val="00CA107B"/>
    <w:rsid w:val="00CA484D"/>
    <w:rsid w:val="00CA4FB6"/>
    <w:rsid w:val="00CB2F90"/>
    <w:rsid w:val="00CB6AD4"/>
    <w:rsid w:val="00CC6061"/>
    <w:rsid w:val="00CC739E"/>
    <w:rsid w:val="00CD1EBB"/>
    <w:rsid w:val="00CD28CF"/>
    <w:rsid w:val="00CD58B7"/>
    <w:rsid w:val="00CD7967"/>
    <w:rsid w:val="00CE3117"/>
    <w:rsid w:val="00CF090C"/>
    <w:rsid w:val="00CF18EE"/>
    <w:rsid w:val="00CF30BD"/>
    <w:rsid w:val="00CF4099"/>
    <w:rsid w:val="00CF5C2C"/>
    <w:rsid w:val="00D00796"/>
    <w:rsid w:val="00D06919"/>
    <w:rsid w:val="00D14388"/>
    <w:rsid w:val="00D261A2"/>
    <w:rsid w:val="00D27235"/>
    <w:rsid w:val="00D339B2"/>
    <w:rsid w:val="00D42DCA"/>
    <w:rsid w:val="00D52689"/>
    <w:rsid w:val="00D616D2"/>
    <w:rsid w:val="00D6266A"/>
    <w:rsid w:val="00D63B5F"/>
    <w:rsid w:val="00D65A6F"/>
    <w:rsid w:val="00D70EF7"/>
    <w:rsid w:val="00D8397C"/>
    <w:rsid w:val="00D94EED"/>
    <w:rsid w:val="00D96026"/>
    <w:rsid w:val="00D972F6"/>
    <w:rsid w:val="00DA331D"/>
    <w:rsid w:val="00DA7C1C"/>
    <w:rsid w:val="00DB147A"/>
    <w:rsid w:val="00DB1B7A"/>
    <w:rsid w:val="00DB20C5"/>
    <w:rsid w:val="00DB250B"/>
    <w:rsid w:val="00DB706E"/>
    <w:rsid w:val="00DC6708"/>
    <w:rsid w:val="00DC71B8"/>
    <w:rsid w:val="00DD011A"/>
    <w:rsid w:val="00DE2400"/>
    <w:rsid w:val="00DE5639"/>
    <w:rsid w:val="00DE58F1"/>
    <w:rsid w:val="00DE6B58"/>
    <w:rsid w:val="00DF0BF4"/>
    <w:rsid w:val="00DF5E32"/>
    <w:rsid w:val="00E01436"/>
    <w:rsid w:val="00E03E79"/>
    <w:rsid w:val="00E045BD"/>
    <w:rsid w:val="00E04D6C"/>
    <w:rsid w:val="00E13990"/>
    <w:rsid w:val="00E17B77"/>
    <w:rsid w:val="00E231AB"/>
    <w:rsid w:val="00E23337"/>
    <w:rsid w:val="00E259EA"/>
    <w:rsid w:val="00E25D33"/>
    <w:rsid w:val="00E30CAE"/>
    <w:rsid w:val="00E32061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63B0C"/>
    <w:rsid w:val="00E63C96"/>
    <w:rsid w:val="00E664C5"/>
    <w:rsid w:val="00E671A2"/>
    <w:rsid w:val="00E76D26"/>
    <w:rsid w:val="00E76EE5"/>
    <w:rsid w:val="00E95036"/>
    <w:rsid w:val="00E95B8E"/>
    <w:rsid w:val="00EA1242"/>
    <w:rsid w:val="00EA4E39"/>
    <w:rsid w:val="00EA5A0F"/>
    <w:rsid w:val="00EB0CD6"/>
    <w:rsid w:val="00EB1390"/>
    <w:rsid w:val="00EB2C71"/>
    <w:rsid w:val="00EB3333"/>
    <w:rsid w:val="00EB4340"/>
    <w:rsid w:val="00EB556D"/>
    <w:rsid w:val="00EB5A7D"/>
    <w:rsid w:val="00EC33BD"/>
    <w:rsid w:val="00ED030A"/>
    <w:rsid w:val="00ED55C0"/>
    <w:rsid w:val="00ED682B"/>
    <w:rsid w:val="00EE41D5"/>
    <w:rsid w:val="00EF2C21"/>
    <w:rsid w:val="00F0166F"/>
    <w:rsid w:val="00F037A4"/>
    <w:rsid w:val="00F049AB"/>
    <w:rsid w:val="00F142DB"/>
    <w:rsid w:val="00F21983"/>
    <w:rsid w:val="00F27C8F"/>
    <w:rsid w:val="00F32749"/>
    <w:rsid w:val="00F37172"/>
    <w:rsid w:val="00F4477E"/>
    <w:rsid w:val="00F45242"/>
    <w:rsid w:val="00F46269"/>
    <w:rsid w:val="00F60BA8"/>
    <w:rsid w:val="00F67D8F"/>
    <w:rsid w:val="00F802BE"/>
    <w:rsid w:val="00F80E93"/>
    <w:rsid w:val="00F86024"/>
    <w:rsid w:val="00F8611A"/>
    <w:rsid w:val="00FA3F8A"/>
    <w:rsid w:val="00FA5128"/>
    <w:rsid w:val="00FB42D4"/>
    <w:rsid w:val="00FB5906"/>
    <w:rsid w:val="00FB762F"/>
    <w:rsid w:val="00FC2AED"/>
    <w:rsid w:val="00FD08AE"/>
    <w:rsid w:val="00FD2B28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45044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29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BF7F08"/>
    <w:rPr>
      <w:color w:val="954F72" w:themeColor="followedHyperlink"/>
      <w:u w:val="single"/>
    </w:rPr>
  </w:style>
  <w:style w:type="table" w:customStyle="1" w:styleId="Siatkatabelijasna11">
    <w:name w:val="Siatka tabeli — jasna11"/>
    <w:basedOn w:val="Standardowy"/>
    <w:uiPriority w:val="40"/>
    <w:rsid w:val="00ED03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s://bdl.stat.gov.pl/BDL/star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://bdm.stat.gov.pl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71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sygnalne/informacje-sygnalne/" TargetMode="External"/><Relationship Id="rId28" Type="http://schemas.openxmlformats.org/officeDocument/2006/relationships/hyperlink" Target="http://stat.gov.pl/obszary-tematyczne/ceny-handel/ceny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tat.gov.pl/sygnalne/komunikaty-i-obwieszczenia/" TargetMode="External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tat.gov.pl/metainformacje/slownik-pojec/pojecia-stosowane-w-statystyce-publicznej/32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3404B-5527-40BB-8BBE-B7256C86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marcu 2022 roku</dc:title>
  <dc:subject>Szybki szacunek wskaźnika cen towarów i usług konsumpcyjnych</dc:subject>
  <dc:creator>Główny Urząd Statystyczny</dc:creator>
  <cp:keywords>inflacja; ceny konsumpcyjne; ceny towarów i usług; zmiany cen; cpi</cp:keywords>
  <dc:description/>
  <cp:lastPrinted>2022-03-30T12:17:00Z</cp:lastPrinted>
  <dcterms:created xsi:type="dcterms:W3CDTF">2022-04-01T06:08:00Z</dcterms:created>
  <dcterms:modified xsi:type="dcterms:W3CDTF">2022-04-01T06:08:00Z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