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09026F" w14:textId="04591F7A" w:rsidR="00D77F94" w:rsidRDefault="00B1364C" w:rsidP="008E3DD6">
      <w:pPr>
        <w:pStyle w:val="Tytuinfomacjisygnalnej"/>
      </w:pPr>
      <w:bookmarkStart w:id="0" w:name="_GoBack"/>
      <w:bookmarkEnd w:id="0"/>
      <w:r>
        <w:t>Rynek dzieł sztuki i antyków</w:t>
      </w:r>
      <w:r w:rsidR="00D77F94">
        <w:t xml:space="preserve"> w 2021 r.</w:t>
      </w:r>
    </w:p>
    <w:p w14:paraId="1E690351" w14:textId="48B765E0" w:rsidR="00DE58F1" w:rsidRPr="008E3DD6" w:rsidRDefault="008E3DD6" w:rsidP="007D0196">
      <w:pPr>
        <w:pStyle w:val="Lead"/>
      </w:pPr>
      <w:r w:rsidRPr="008E3DD6"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15A14F8D">
                <wp:simplePos x="0" y="0"/>
                <wp:positionH relativeFrom="margin">
                  <wp:align>left</wp:align>
                </wp:positionH>
                <wp:positionV relativeFrom="paragraph">
                  <wp:posOffset>24022</wp:posOffset>
                </wp:positionV>
                <wp:extent cx="2204085" cy="1303655"/>
                <wp:effectExtent l="0" t="0" r="5715" b="0"/>
                <wp:wrapSquare wrapText="bothSides"/>
                <wp:docPr id="6" name="Pole tekstowe 2" descr="Opis wskaźnika np. ikona strzałki skierowanej grotem w górę, oznacza wzrost..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04014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2DBC385B" w:rsidR="00587032" w:rsidRPr="00F65A5A" w:rsidRDefault="00DD06BA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D0328F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DD3052" w:rsidRPr="00D0328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</w:t>
                            </w:r>
                            <w:r w:rsidR="00AD26A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587032" w:rsidRPr="00F65A5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DD305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00E4D2" w14:textId="3F004BE0" w:rsidR="00587032" w:rsidRPr="00EA5A1D" w:rsidRDefault="004020C3" w:rsidP="004020C3">
                            <w:pPr>
                              <w:pStyle w:val="Opiswskanika"/>
                              <w:spacing w:before="120"/>
                              <w:rPr>
                                <w:szCs w:val="20"/>
                              </w:rPr>
                            </w:pPr>
                            <w:r w:rsidRPr="00EA5A1D">
                              <w:rPr>
                                <w:szCs w:val="20"/>
                              </w:rPr>
                              <w:t xml:space="preserve">Wzrost wartości sprzedaży dzieł sztuki i antyków </w:t>
                            </w:r>
                            <w:r w:rsidR="00BA7A58">
                              <w:rPr>
                                <w:szCs w:val="20"/>
                              </w:rPr>
                              <w:t>w porównaniu z 2020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Opis wskaźnika np. ikona strzałki skierowanej grotem w górę, oznacza wzrost..." style="position:absolute;margin-left:0;margin-top:1.9pt;width:173.55pt;height:102.65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" fillcolor="#001d77" stroked="f">
                <v:stroke joinstyle="miter"/>
                <v:textbox>
                  <w:txbxContent>
                    <w:p w14:paraId="5F5006A9" w14:textId="2DBC385B" w:rsidR="00587032" w:rsidRPr="00F65A5A" w:rsidRDefault="00DD06BA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D0328F">
                        <w:rPr>
                          <w:rStyle w:val="WartowskanikaZnak"/>
                        </w:rPr>
                        <w:t xml:space="preserve"> </w:t>
                      </w:r>
                      <w:r w:rsidR="00DD3052" w:rsidRPr="00D0328F">
                        <w:rPr>
                          <w:rStyle w:val="WartowskanikaZnak"/>
                          <w:sz w:val="72"/>
                          <w:szCs w:val="72"/>
                        </w:rPr>
                        <w:t>4</w:t>
                      </w:r>
                      <w:r w:rsidR="00AD26A3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587032" w:rsidRPr="00F65A5A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DD3052"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4800E4D2" w14:textId="3F004BE0" w:rsidR="00587032" w:rsidRPr="00EA5A1D" w:rsidRDefault="004020C3" w:rsidP="004020C3">
                      <w:pPr>
                        <w:pStyle w:val="Opiswskanika"/>
                        <w:spacing w:before="120"/>
                        <w:rPr>
                          <w:szCs w:val="20"/>
                        </w:rPr>
                      </w:pPr>
                      <w:r w:rsidRPr="00EA5A1D">
                        <w:rPr>
                          <w:szCs w:val="20"/>
                        </w:rPr>
                        <w:t xml:space="preserve">Wzrost wartości sprzedaży dzieł sztuki i antyków </w:t>
                      </w:r>
                      <w:r w:rsidR="00BA7A58">
                        <w:rPr>
                          <w:szCs w:val="20"/>
                        </w:rPr>
                        <w:t>w porównaniu z 2020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E5EE2">
        <w:t>W 2021 r. w</w:t>
      </w:r>
      <w:r w:rsidR="00A23B05">
        <w:t>artość sprzedaży dzieł sztuki i </w:t>
      </w:r>
      <w:r w:rsidR="00DE5EE2">
        <w:t>antyków</w:t>
      </w:r>
      <w:r w:rsidR="00DE5EE2">
        <w:rPr>
          <w:color w:val="000000" w:themeColor="text1"/>
        </w:rPr>
        <w:t xml:space="preserve"> wyniosła 591,2 mln zł i w porównaniu z</w:t>
      </w:r>
      <w:r w:rsidR="00A23B05">
        <w:rPr>
          <w:color w:val="000000" w:themeColor="text1"/>
        </w:rPr>
        <w:t> </w:t>
      </w:r>
      <w:r w:rsidR="00A94B4A">
        <w:rPr>
          <w:color w:val="000000" w:themeColor="text1"/>
        </w:rPr>
        <w:t xml:space="preserve">2020 r. </w:t>
      </w:r>
      <w:r w:rsidR="00DE5EE2">
        <w:rPr>
          <w:color w:val="000000" w:themeColor="text1"/>
        </w:rPr>
        <w:t xml:space="preserve">wzrosła o 172,8 mln zł. </w:t>
      </w:r>
      <w:r w:rsidR="004B0379" w:rsidRPr="004B0379">
        <w:rPr>
          <w:color w:val="000000" w:themeColor="text1"/>
        </w:rPr>
        <w:t>Największą wartość sprzedaży dzieł sztuki i</w:t>
      </w:r>
      <w:r w:rsidR="00314CDF">
        <w:rPr>
          <w:color w:val="000000" w:themeColor="text1"/>
        </w:rPr>
        <w:t> </w:t>
      </w:r>
      <w:r w:rsidR="004B0379" w:rsidRPr="004B0379">
        <w:rPr>
          <w:color w:val="000000" w:themeColor="text1"/>
        </w:rPr>
        <w:t>antyków podmioty uzyskały poprzez tradycyjne aukcje – 381,9 mln zł, co w porównaniu z 2020 r. stanowiło wzrost o</w:t>
      </w:r>
      <w:r w:rsidR="00A94B4A">
        <w:rPr>
          <w:color w:val="000000" w:themeColor="text1"/>
        </w:rPr>
        <w:t> </w:t>
      </w:r>
      <w:r w:rsidR="004B0379" w:rsidRPr="004B0379">
        <w:rPr>
          <w:color w:val="000000" w:themeColor="text1"/>
        </w:rPr>
        <w:t>43,2%.</w:t>
      </w:r>
    </w:p>
    <w:p w14:paraId="15B797D3" w14:textId="77777777" w:rsidR="00B93B49" w:rsidRDefault="00B93B49" w:rsidP="00B95557">
      <w:pPr>
        <w:pStyle w:val="Nagwek1"/>
        <w:spacing w:before="120"/>
        <w:rPr>
          <w:shd w:val="clear" w:color="auto" w:fill="FFFFFF"/>
        </w:rPr>
      </w:pPr>
    </w:p>
    <w:p w14:paraId="01AF08D9" w14:textId="76A60D1A" w:rsidR="002E0FA9" w:rsidRPr="008E3DD6" w:rsidRDefault="00CB6AD4" w:rsidP="00011C49">
      <w:pPr>
        <w:rPr>
          <w:rFonts w:eastAsia="Times New Roman" w:cs="Times New Roman"/>
          <w:szCs w:val="19"/>
          <w:lang w:eastAsia="pl-PL"/>
        </w:rPr>
      </w:pPr>
      <w:r w:rsidRPr="00DD518E">
        <w:rPr>
          <w:shd w:val="clear" w:color="auto" w:fill="FFFFFF"/>
        </w:rPr>
        <w:br/>
      </w:r>
      <w:r w:rsidR="00A90BBE" w:rsidRPr="008E3DD6">
        <w:rPr>
          <w:rFonts w:eastAsia="Times New Roman" w:cs="Times New Roman"/>
          <w:szCs w:val="19"/>
          <w:lang w:eastAsia="pl-PL"/>
        </w:rPr>
        <w:t>Z ogólnej liczby podmiotów (209) działających na rynku dzieł sztuki i antyków, p</w:t>
      </w:r>
      <w:r w:rsidR="005F249E" w:rsidRPr="008E3DD6">
        <w:rPr>
          <w:rFonts w:eastAsia="Times New Roman" w:cs="Times New Roman"/>
          <w:szCs w:val="19"/>
          <w:lang w:eastAsia="pl-PL"/>
        </w:rPr>
        <w:t xml:space="preserve">onad połowa </w:t>
      </w:r>
      <w:r w:rsidR="00DC5982" w:rsidRPr="008E3DD6">
        <w:rPr>
          <w:rFonts w:eastAsia="Times New Roman" w:cs="Times New Roman"/>
          <w:szCs w:val="19"/>
          <w:lang w:eastAsia="pl-PL"/>
        </w:rPr>
        <w:t>jednostek</w:t>
      </w:r>
      <w:r w:rsidR="005F249E" w:rsidRPr="008E3DD6">
        <w:rPr>
          <w:rFonts w:eastAsia="Times New Roman" w:cs="Times New Roman"/>
          <w:szCs w:val="19"/>
          <w:lang w:eastAsia="pl-PL"/>
        </w:rPr>
        <w:t xml:space="preserve"> (62,2%) zajmował</w:t>
      </w:r>
      <w:r w:rsidR="001A366E" w:rsidRPr="008E3DD6">
        <w:rPr>
          <w:rFonts w:eastAsia="Times New Roman" w:cs="Times New Roman"/>
          <w:szCs w:val="19"/>
          <w:lang w:eastAsia="pl-PL"/>
        </w:rPr>
        <w:t>a</w:t>
      </w:r>
      <w:r w:rsidR="005F249E" w:rsidRPr="008E3DD6">
        <w:rPr>
          <w:rFonts w:eastAsia="Times New Roman" w:cs="Times New Roman"/>
          <w:szCs w:val="19"/>
          <w:lang w:eastAsia="pl-PL"/>
        </w:rPr>
        <w:t xml:space="preserve"> się </w:t>
      </w:r>
      <w:r w:rsidR="002766AC" w:rsidRPr="008E3DD6">
        <w:rPr>
          <w:rFonts w:eastAsia="Times New Roman" w:cs="Times New Roman"/>
          <w:szCs w:val="19"/>
          <w:lang w:eastAsia="pl-PL"/>
        </w:rPr>
        <w:t xml:space="preserve">wyłącznie </w:t>
      </w:r>
      <w:r w:rsidR="005F249E" w:rsidRPr="008E3DD6">
        <w:rPr>
          <w:rFonts w:eastAsia="Times New Roman" w:cs="Times New Roman"/>
          <w:szCs w:val="19"/>
          <w:lang w:eastAsia="pl-PL"/>
        </w:rPr>
        <w:t>sprzedażą dzieł sztuki i antyków</w:t>
      </w:r>
      <w:r w:rsidR="00DC5982" w:rsidRPr="008E3DD6">
        <w:rPr>
          <w:rFonts w:eastAsia="Times New Roman" w:cs="Times New Roman"/>
          <w:szCs w:val="19"/>
          <w:lang w:eastAsia="pl-PL"/>
        </w:rPr>
        <w:t>,</w:t>
      </w:r>
      <w:r w:rsidR="006F601F" w:rsidRPr="008E3DD6">
        <w:rPr>
          <w:rFonts w:eastAsia="Times New Roman" w:cs="Times New Roman"/>
          <w:szCs w:val="19"/>
          <w:lang w:eastAsia="pl-PL"/>
        </w:rPr>
        <w:t xml:space="preserve"> natomiast </w:t>
      </w:r>
      <w:r w:rsidR="00B74AED" w:rsidRPr="008E3DD6">
        <w:rPr>
          <w:rFonts w:eastAsia="Times New Roman" w:cs="Times New Roman"/>
          <w:szCs w:val="19"/>
          <w:lang w:eastAsia="pl-PL"/>
        </w:rPr>
        <w:t>37,8% prowadziło sprzedaż dzieł sztuki i antyków oraz działalność wystawienniczą.</w:t>
      </w:r>
    </w:p>
    <w:p w14:paraId="612DFE4F" w14:textId="63C5B644" w:rsidR="00EB2B0B" w:rsidRPr="008E3DD6" w:rsidRDefault="00EB2B0B" w:rsidP="00EB2B0B">
      <w:pPr>
        <w:rPr>
          <w:rFonts w:eastAsia="Times New Roman" w:cs="Times New Roman"/>
          <w:szCs w:val="19"/>
          <w:lang w:eastAsia="pl-PL"/>
        </w:rPr>
      </w:pPr>
      <w:r w:rsidRPr="00DD518E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632EE308" wp14:editId="18C8A098">
                <wp:simplePos x="0" y="0"/>
                <wp:positionH relativeFrom="column">
                  <wp:posOffset>5286375</wp:posOffset>
                </wp:positionH>
                <wp:positionV relativeFrom="paragraph">
                  <wp:posOffset>15240</wp:posOffset>
                </wp:positionV>
                <wp:extent cx="1801495" cy="904875"/>
                <wp:effectExtent l="0" t="0" r="0" b="0"/>
                <wp:wrapTight wrapText="bothSides">
                  <wp:wrapPolygon edited="0">
                    <wp:start x="685" y="0"/>
                    <wp:lineTo x="685" y="20918"/>
                    <wp:lineTo x="20785" y="20918"/>
                    <wp:lineTo x="20785" y="0"/>
                    <wp:lineTo x="685" y="0"/>
                  </wp:wrapPolygon>
                </wp:wrapTight>
                <wp:docPr id="2" name="Pole tekstowe 2" descr="25,8% ogólnej liczby podmiotów zajmujących się sprzedażą dzieł sztuki i antyków funkcjonowało w województwie mazowieckim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4FAA9" w14:textId="77777777" w:rsidR="00EB2B0B" w:rsidRPr="00E11D66" w:rsidRDefault="00EB2B0B" w:rsidP="00EB2B0B">
                            <w:pPr>
                              <w:pStyle w:val="tekstzboku"/>
                              <w:spacing w:line="269" w:lineRule="auto"/>
                            </w:pPr>
                            <w:r w:rsidRPr="00612249">
                              <w:t>2</w:t>
                            </w:r>
                            <w:r>
                              <w:t>5</w:t>
                            </w:r>
                            <w:r w:rsidRPr="00612249">
                              <w:t>,</w:t>
                            </w:r>
                            <w:r>
                              <w:t>8</w:t>
                            </w:r>
                            <w:r w:rsidRPr="00612249">
                              <w:t xml:space="preserve">% ogólnej liczby podmiotów zajmujących się sprzedażą dzieł sztuki i antyków </w:t>
                            </w:r>
                            <w:r>
                              <w:t>miało siedzibę</w:t>
                            </w:r>
                            <w:r w:rsidRPr="00612249">
                              <w:t xml:space="preserve"> w województwie mazowieckim </w:t>
                            </w:r>
                          </w:p>
                          <w:p w14:paraId="1770E5D6" w14:textId="77777777" w:rsidR="00EB2B0B" w:rsidRPr="00E95B8E" w:rsidRDefault="00EB2B0B" w:rsidP="00EB2B0B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2EE30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25,8% ogólnej liczby podmiotów zajmujących się sprzedażą dzieł sztuki i antyków funkcjonowało w województwie mazowieckim " style="position:absolute;margin-left:416.25pt;margin-top:1.2pt;width:141.85pt;height:71.25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" filled="f" stroked="f">
                <v:textbox>
                  <w:txbxContent>
                    <w:p w14:paraId="1CE4FAA9" w14:textId="77777777" w:rsidR="00EB2B0B" w:rsidRPr="00E11D66" w:rsidRDefault="00EB2B0B" w:rsidP="00EB2B0B">
                      <w:pPr>
                        <w:pStyle w:val="tekstzboku"/>
                        <w:spacing w:line="269" w:lineRule="auto"/>
                      </w:pPr>
                      <w:r w:rsidRPr="00612249">
                        <w:t>2</w:t>
                      </w:r>
                      <w:r>
                        <w:t>5</w:t>
                      </w:r>
                      <w:r w:rsidRPr="00612249">
                        <w:t>,</w:t>
                      </w:r>
                      <w:r>
                        <w:t>8</w:t>
                      </w:r>
                      <w:r w:rsidRPr="00612249">
                        <w:t xml:space="preserve">% ogólnej liczby podmiotów zajmujących się sprzedażą dzieł sztuki i antyków </w:t>
                      </w:r>
                      <w:r>
                        <w:t>miało siedzibę</w:t>
                      </w:r>
                      <w:r w:rsidRPr="00612249">
                        <w:t xml:space="preserve"> w województwie mazowieckim </w:t>
                      </w:r>
                    </w:p>
                    <w:p w14:paraId="1770E5D6" w14:textId="77777777" w:rsidR="00EB2B0B" w:rsidRPr="00E95B8E" w:rsidRDefault="00EB2B0B" w:rsidP="00EB2B0B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880DF1">
        <w:rPr>
          <w:noProof/>
          <w:spacing w:val="-2"/>
          <w:szCs w:val="19"/>
          <w:lang w:eastAsia="pl-PL"/>
        </w:rPr>
        <w:t>Najwięcej</w:t>
      </w:r>
      <w:r w:rsidRPr="008E3DD6">
        <w:rPr>
          <w:rFonts w:eastAsia="Times New Roman" w:cs="Times New Roman"/>
          <w:szCs w:val="19"/>
          <w:lang w:eastAsia="pl-PL"/>
        </w:rPr>
        <w:t xml:space="preserve"> podmiotów działających na rynku dzieł sztuki i antyków </w:t>
      </w:r>
      <w:r>
        <w:rPr>
          <w:rFonts w:eastAsia="Times New Roman" w:cs="Times New Roman"/>
          <w:szCs w:val="19"/>
          <w:lang w:eastAsia="pl-PL"/>
        </w:rPr>
        <w:t>miało siedzibę</w:t>
      </w:r>
      <w:r w:rsidRPr="008E3DD6">
        <w:rPr>
          <w:rFonts w:eastAsia="Times New Roman" w:cs="Times New Roman"/>
          <w:szCs w:val="19"/>
          <w:lang w:eastAsia="pl-PL"/>
        </w:rPr>
        <w:t xml:space="preserve"> w województwie mazowieckim – 54 (25,8% ogółu podmiotów), z</w:t>
      </w:r>
      <w:r>
        <w:rPr>
          <w:rFonts w:eastAsia="Times New Roman" w:cs="Times New Roman"/>
          <w:szCs w:val="19"/>
          <w:lang w:eastAsia="pl-PL"/>
        </w:rPr>
        <w:t> czego</w:t>
      </w:r>
      <w:r w:rsidRPr="008E3DD6">
        <w:rPr>
          <w:rFonts w:eastAsia="Times New Roman" w:cs="Times New Roman"/>
          <w:szCs w:val="19"/>
          <w:lang w:eastAsia="pl-PL"/>
        </w:rPr>
        <w:t xml:space="preserve"> 46 podmiotów zajmowało się sprzedażą dzieł sztuki i antyków w Warszawie. W województwie małopolskim </w:t>
      </w:r>
      <w:r>
        <w:rPr>
          <w:rFonts w:eastAsia="Times New Roman" w:cs="Times New Roman"/>
          <w:szCs w:val="19"/>
          <w:lang w:eastAsia="pl-PL"/>
        </w:rPr>
        <w:t>funkcjonowało</w:t>
      </w:r>
      <w:r w:rsidRPr="008E3DD6">
        <w:rPr>
          <w:rFonts w:eastAsia="Times New Roman" w:cs="Times New Roman"/>
          <w:szCs w:val="19"/>
          <w:lang w:eastAsia="pl-PL"/>
        </w:rPr>
        <w:t xml:space="preserve"> 39 podmiotów (18,7%), z tego 34 prowadził</w:t>
      </w:r>
      <w:r>
        <w:rPr>
          <w:rFonts w:eastAsia="Times New Roman" w:cs="Times New Roman"/>
          <w:szCs w:val="19"/>
          <w:lang w:eastAsia="pl-PL"/>
        </w:rPr>
        <w:t>y</w:t>
      </w:r>
      <w:r w:rsidRPr="008E3DD6">
        <w:rPr>
          <w:rFonts w:eastAsia="Times New Roman" w:cs="Times New Roman"/>
          <w:szCs w:val="19"/>
          <w:lang w:eastAsia="pl-PL"/>
        </w:rPr>
        <w:t xml:space="preserve"> działalność w Krakowie. Podobnie jak w poprzednim roku, większość podmiotów (68,9%) zajmuj</w:t>
      </w:r>
      <w:r w:rsidRPr="008E3DD6">
        <w:rPr>
          <w:rFonts w:eastAsia="Times New Roman" w:cs="Times New Roman" w:hint="eastAsia"/>
          <w:szCs w:val="19"/>
          <w:lang w:eastAsia="pl-PL"/>
        </w:rPr>
        <w:t>ą</w:t>
      </w:r>
      <w:r w:rsidRPr="008E3DD6">
        <w:rPr>
          <w:rFonts w:eastAsia="Times New Roman" w:cs="Times New Roman"/>
          <w:szCs w:val="19"/>
          <w:lang w:eastAsia="pl-PL"/>
        </w:rPr>
        <w:t>cych si</w:t>
      </w:r>
      <w:r w:rsidRPr="008E3DD6">
        <w:rPr>
          <w:rFonts w:eastAsia="Times New Roman" w:cs="Times New Roman" w:hint="eastAsia"/>
          <w:szCs w:val="19"/>
          <w:lang w:eastAsia="pl-PL"/>
        </w:rPr>
        <w:t>ę</w:t>
      </w:r>
      <w:r w:rsidRPr="008E3DD6">
        <w:rPr>
          <w:rFonts w:eastAsia="Times New Roman" w:cs="Times New Roman"/>
          <w:szCs w:val="19"/>
          <w:lang w:eastAsia="pl-PL"/>
        </w:rPr>
        <w:t xml:space="preserve"> sprzeda</w:t>
      </w:r>
      <w:r w:rsidRPr="008E3DD6">
        <w:rPr>
          <w:rFonts w:eastAsia="Times New Roman" w:cs="Times New Roman" w:hint="eastAsia"/>
          <w:szCs w:val="19"/>
          <w:lang w:eastAsia="pl-PL"/>
        </w:rPr>
        <w:t>żą</w:t>
      </w:r>
      <w:r w:rsidRPr="008E3DD6">
        <w:rPr>
          <w:rFonts w:eastAsia="Times New Roman" w:cs="Times New Roman"/>
          <w:szCs w:val="19"/>
          <w:lang w:eastAsia="pl-PL"/>
        </w:rPr>
        <w:t xml:space="preserve"> dzie</w:t>
      </w:r>
      <w:r w:rsidRPr="008E3DD6">
        <w:rPr>
          <w:rFonts w:eastAsia="Times New Roman" w:cs="Times New Roman" w:hint="eastAsia"/>
          <w:szCs w:val="19"/>
          <w:lang w:eastAsia="pl-PL"/>
        </w:rPr>
        <w:t>ł</w:t>
      </w:r>
      <w:r w:rsidRPr="008E3DD6">
        <w:rPr>
          <w:rFonts w:eastAsia="Times New Roman" w:cs="Times New Roman"/>
          <w:szCs w:val="19"/>
          <w:lang w:eastAsia="pl-PL"/>
        </w:rPr>
        <w:t xml:space="preserve"> sztuki i antyk</w:t>
      </w:r>
      <w:r w:rsidRPr="008E3DD6">
        <w:rPr>
          <w:rFonts w:eastAsia="Times New Roman" w:cs="Times New Roman" w:hint="eastAsia"/>
          <w:szCs w:val="19"/>
          <w:lang w:eastAsia="pl-PL"/>
        </w:rPr>
        <w:t>ó</w:t>
      </w:r>
      <w:r w:rsidRPr="008E3DD6">
        <w:rPr>
          <w:rFonts w:eastAsia="Times New Roman" w:cs="Times New Roman"/>
          <w:szCs w:val="19"/>
          <w:lang w:eastAsia="pl-PL"/>
        </w:rPr>
        <w:t xml:space="preserve">w </w:t>
      </w:r>
      <w:r>
        <w:rPr>
          <w:rFonts w:eastAsia="Times New Roman" w:cs="Times New Roman"/>
          <w:szCs w:val="19"/>
          <w:lang w:eastAsia="pl-PL"/>
        </w:rPr>
        <w:t>miała swoje siedziby</w:t>
      </w:r>
      <w:r w:rsidRPr="008E3DD6">
        <w:rPr>
          <w:rFonts w:eastAsia="Times New Roman" w:cs="Times New Roman"/>
          <w:szCs w:val="19"/>
          <w:lang w:eastAsia="pl-PL"/>
        </w:rPr>
        <w:t xml:space="preserve"> w stolicach województw.</w:t>
      </w:r>
    </w:p>
    <w:p w14:paraId="540E619E" w14:textId="3C82060D" w:rsidR="008662CE" w:rsidRPr="008E3DD6" w:rsidRDefault="00EB2B0B" w:rsidP="00EB2B0B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Ł</w:t>
      </w:r>
      <w:r w:rsidRPr="008E3DD6">
        <w:rPr>
          <w:rFonts w:eastAsia="Times New Roman" w:cs="Times New Roman"/>
          <w:szCs w:val="19"/>
          <w:lang w:eastAsia="pl-PL"/>
        </w:rPr>
        <w:t xml:space="preserve">ączna kwota sprzedaży dzieł sztuki i antyków wyniosła 591,2 mln zł (wzrost o 41,3% w porównaniu z 2020 r.). Podobnie jak w 2020 r. największą sprzedaż dzieł sztuki i antyków zanotowano w województwie mazowieckim – 448,3 mln zł, co stanowiło 75,8% ogólnej kwoty sprzedaży dzieł sztuki i antyków. </w:t>
      </w:r>
      <w:r w:rsidR="00BA2728" w:rsidRPr="008E3DD6">
        <w:rPr>
          <w:rFonts w:eastAsia="Times New Roman" w:cs="Times New Roman"/>
          <w:szCs w:val="19"/>
          <w:lang w:eastAsia="pl-PL"/>
        </w:rPr>
        <w:t xml:space="preserve"> </w:t>
      </w:r>
    </w:p>
    <w:p w14:paraId="0F86D665" w14:textId="629264FE" w:rsidR="00C729BF" w:rsidRDefault="00EA5A1D" w:rsidP="00011C49">
      <w:pPr>
        <w:rPr>
          <w:color w:val="000000" w:themeColor="text1"/>
          <w:szCs w:val="19"/>
        </w:rPr>
      </w:pPr>
      <w:r w:rsidRPr="008E3DD6">
        <w:rPr>
          <w:rFonts w:eastAsia="Times New Roman" w:cs="Times New Roman"/>
          <w:b/>
          <w:bCs/>
          <w:noProof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4A089B75" wp14:editId="066414B8">
                <wp:simplePos x="0" y="0"/>
                <wp:positionH relativeFrom="page">
                  <wp:align>right</wp:align>
                </wp:positionH>
                <wp:positionV relativeFrom="paragraph">
                  <wp:posOffset>147068</wp:posOffset>
                </wp:positionV>
                <wp:extent cx="1858010" cy="958215"/>
                <wp:effectExtent l="0" t="0" r="0" b="0"/>
                <wp:wrapTight wrapText="bothSides">
                  <wp:wrapPolygon edited="0">
                    <wp:start x="664" y="0"/>
                    <wp:lineTo x="664" y="21042"/>
                    <wp:lineTo x="20817" y="21042"/>
                    <wp:lineTo x="20817" y="0"/>
                    <wp:lineTo x="664" y="0"/>
                  </wp:wrapPolygon>
                </wp:wrapTight>
                <wp:docPr id="18" name="Pole tekstowe 18" descr="Najwięcej dzieł sztuki i antyków z dziedziny malarstwa sprzedano w województwie mazowieckim (76,9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010" cy="958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E00BB7" w14:textId="445E2756" w:rsidR="0080576C" w:rsidRDefault="0080576C" w:rsidP="00E11D66">
                            <w:pPr>
                              <w:pStyle w:val="tekstzboku"/>
                              <w:spacing w:line="269" w:lineRule="auto"/>
                            </w:pPr>
                            <w:r w:rsidRPr="008E3DD6">
                              <w:t>Najwięcej dzieł sztuki i antyków z dziedziny malarstwa sprzedano w województwie mazowieckim (</w:t>
                            </w:r>
                            <w:r w:rsidR="00311810" w:rsidRPr="008E3DD6">
                              <w:t>7</w:t>
                            </w:r>
                            <w:r w:rsidR="001355CD" w:rsidRPr="008E3DD6">
                              <w:t>6</w:t>
                            </w:r>
                            <w:r w:rsidRPr="008E3DD6">
                              <w:t>,</w:t>
                            </w:r>
                            <w:r w:rsidR="001355CD" w:rsidRPr="008E3DD6">
                              <w:t>9</w:t>
                            </w:r>
                            <w:r w:rsidRPr="008E3DD6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89B75" id="Pole tekstowe 18" o:spid="_x0000_s1028" type="#_x0000_t202" alt="Najwięcej dzieł sztuki i antyków z dziedziny malarstwa sprzedano w województwie mazowieckim (76,9%)" style="position:absolute;margin-left:95.1pt;margin-top:11.6pt;width:146.3pt;height:75.45pt;z-index:-25152512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" filled="f" stroked="f">
                <v:textbox>
                  <w:txbxContent>
                    <w:p w14:paraId="4CE00BB7" w14:textId="445E2756" w:rsidR="0080576C" w:rsidRDefault="0080576C" w:rsidP="00E11D66">
                      <w:pPr>
                        <w:pStyle w:val="tekstzboku"/>
                        <w:spacing w:line="269" w:lineRule="auto"/>
                      </w:pPr>
                      <w:r w:rsidRPr="008E3DD6">
                        <w:t>Najwięcej dzieł sztuki i antyków z dziedziny malarstwa sprzedano w województwie mazowieckim (</w:t>
                      </w:r>
                      <w:r w:rsidR="00311810" w:rsidRPr="008E3DD6">
                        <w:t>7</w:t>
                      </w:r>
                      <w:r w:rsidR="001355CD" w:rsidRPr="008E3DD6">
                        <w:t>6</w:t>
                      </w:r>
                      <w:r w:rsidRPr="008E3DD6">
                        <w:t>,</w:t>
                      </w:r>
                      <w:r w:rsidR="001355CD" w:rsidRPr="008E3DD6">
                        <w:t>9</w:t>
                      </w:r>
                      <w:r w:rsidRPr="008E3DD6">
                        <w:t>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B02C5" w:rsidRPr="008E3DD6">
        <w:rPr>
          <w:rFonts w:eastAsia="Times New Roman" w:cs="Times New Roman"/>
          <w:szCs w:val="19"/>
          <w:lang w:eastAsia="pl-PL"/>
        </w:rPr>
        <w:t>Największą kwotę uzyskano ze sprzedaży dzieł sztuki i antyków z dziedziny malarstwa – 468,5</w:t>
      </w:r>
      <w:r w:rsidR="005B02C5">
        <w:rPr>
          <w:rFonts w:eastAsia="Times New Roman" w:cs="Times New Roman"/>
          <w:szCs w:val="19"/>
          <w:lang w:eastAsia="pl-PL"/>
        </w:rPr>
        <w:t> </w:t>
      </w:r>
      <w:r w:rsidR="005B02C5" w:rsidRPr="008E3DD6">
        <w:rPr>
          <w:rFonts w:eastAsia="Times New Roman" w:cs="Times New Roman"/>
          <w:szCs w:val="19"/>
          <w:lang w:eastAsia="pl-PL"/>
        </w:rPr>
        <w:t>mln zł (tj. 79,</w:t>
      </w:r>
      <w:r w:rsidR="005B02C5">
        <w:rPr>
          <w:rFonts w:eastAsia="Times New Roman" w:cs="Times New Roman"/>
          <w:szCs w:val="19"/>
          <w:lang w:eastAsia="pl-PL"/>
        </w:rPr>
        <w:t>3</w:t>
      </w:r>
      <w:r w:rsidR="005B02C5" w:rsidRPr="008E3DD6">
        <w:rPr>
          <w:rFonts w:eastAsia="Times New Roman" w:cs="Times New Roman"/>
          <w:szCs w:val="19"/>
          <w:lang w:eastAsia="pl-PL"/>
        </w:rPr>
        <w:t xml:space="preserve">% łącznej kwoty sprzedaży), </w:t>
      </w:r>
      <w:r w:rsidR="005B02C5">
        <w:rPr>
          <w:rFonts w:eastAsia="Times New Roman" w:cs="Times New Roman"/>
          <w:szCs w:val="19"/>
          <w:lang w:eastAsia="pl-PL"/>
        </w:rPr>
        <w:t>w tym</w:t>
      </w:r>
      <w:r w:rsidR="005B02C5" w:rsidRPr="008E3DD6">
        <w:rPr>
          <w:rFonts w:eastAsia="Times New Roman" w:cs="Times New Roman"/>
          <w:szCs w:val="19"/>
          <w:lang w:eastAsia="pl-PL"/>
        </w:rPr>
        <w:t xml:space="preserve"> sprzedaż dzieł malarstwa dawnego wyniosła 240,0 mln zł (51,2% kwoty uzyskanej ze sprzedaży malarstwa), a malarstwa współczesnego – 228,5 mln zł (48,8%). W porównaniu z 2020 r. sprzedaż dzieł sztuki z dziedziny malarstwa wzrosła o 34,7%, </w:t>
      </w:r>
      <w:r w:rsidR="005B02C5">
        <w:rPr>
          <w:rFonts w:eastAsia="Times New Roman" w:cs="Times New Roman"/>
          <w:szCs w:val="19"/>
          <w:lang w:eastAsia="pl-PL"/>
        </w:rPr>
        <w:t>przy czym</w:t>
      </w:r>
      <w:r w:rsidR="005B02C5" w:rsidRPr="008E3DD6">
        <w:rPr>
          <w:rFonts w:eastAsia="Times New Roman" w:cs="Times New Roman"/>
          <w:szCs w:val="19"/>
          <w:lang w:eastAsia="pl-PL"/>
        </w:rPr>
        <w:t xml:space="preserve"> sprzedaż dzieł malarstwa współczesnego zwiększyła się o</w:t>
      </w:r>
      <w:r w:rsidR="005B02C5">
        <w:rPr>
          <w:rFonts w:eastAsia="Times New Roman" w:cs="Times New Roman"/>
          <w:szCs w:val="19"/>
          <w:lang w:eastAsia="pl-PL"/>
        </w:rPr>
        <w:t> </w:t>
      </w:r>
      <w:r w:rsidR="005B02C5" w:rsidRPr="008E3DD6">
        <w:rPr>
          <w:rFonts w:eastAsia="Times New Roman" w:cs="Times New Roman"/>
          <w:szCs w:val="19"/>
          <w:lang w:eastAsia="pl-PL"/>
        </w:rPr>
        <w:t xml:space="preserve">38,4%, a malarstwa dawnego – o 31,2%. W województwie mazowieckim sprzedaż </w:t>
      </w:r>
      <w:r w:rsidR="00B73E44">
        <w:t>dzieł sztuki i antyków z dziedziny malarstwa</w:t>
      </w:r>
      <w:r w:rsidR="005B02C5" w:rsidRPr="008E3DD6">
        <w:rPr>
          <w:rFonts w:eastAsia="Times New Roman" w:cs="Times New Roman"/>
          <w:szCs w:val="19"/>
          <w:lang w:eastAsia="pl-PL"/>
        </w:rPr>
        <w:t xml:space="preserve"> wyniosła 360,3 mln zł, co stanowiło 76,9% ogólnej wartości sprzedaży dzieł malarstwa w Polsce</w:t>
      </w:r>
      <w:r w:rsidR="0073272D" w:rsidRPr="008E3DD6">
        <w:rPr>
          <w:rFonts w:eastAsia="Times New Roman" w:cs="Times New Roman"/>
          <w:szCs w:val="19"/>
          <w:lang w:eastAsia="pl-PL"/>
        </w:rPr>
        <w:t>.</w:t>
      </w:r>
    </w:p>
    <w:p w14:paraId="5919F7E5" w14:textId="49722BF0" w:rsidR="00C729BF" w:rsidRDefault="00EA5A1D" w:rsidP="008E3DD6">
      <w:pPr>
        <w:spacing w:before="360"/>
        <w:rPr>
          <w:rFonts w:eastAsia="Times New Roman" w:cs="Times New Roman"/>
          <w:b/>
          <w:bCs/>
          <w:noProof/>
          <w:szCs w:val="24"/>
          <w:lang w:eastAsia="pl-PL"/>
        </w:rPr>
      </w:pPr>
      <w:r>
        <w:rPr>
          <w:rFonts w:eastAsia="Times New Roman" w:cs="Times New Roman"/>
          <w:b/>
          <w:bCs/>
          <w:noProof/>
          <w:szCs w:val="24"/>
          <w:lang w:eastAsia="pl-PL"/>
        </w:rPr>
        <w:drawing>
          <wp:anchor distT="0" distB="0" distL="114300" distR="114300" simplePos="0" relativeHeight="251794432" behindDoc="0" locked="0" layoutInCell="1" allowOverlap="1" wp14:anchorId="7FDD4CC3" wp14:editId="34D19175">
            <wp:simplePos x="0" y="0"/>
            <wp:positionH relativeFrom="margin">
              <wp:align>left</wp:align>
            </wp:positionH>
            <wp:positionV relativeFrom="paragraph">
              <wp:posOffset>428768</wp:posOffset>
            </wp:positionV>
            <wp:extent cx="5078095" cy="1804670"/>
            <wp:effectExtent l="0" t="0" r="0" b="0"/>
            <wp:wrapTopAndBottom/>
            <wp:docPr id="14" name="Obraz 14" descr="Wykres słupkowy przedstawiający strukturę sprzedaży dzieł sztuki i antyków według rodzajów w 2021 r." title="Wykre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9668D">
        <w:rPr>
          <w:rFonts w:eastAsia="Times New Roman" w:cs="Times New Roman"/>
          <w:b/>
          <w:bCs/>
          <w:noProof/>
          <w:szCs w:val="24"/>
          <w:lang w:eastAsia="pl-PL"/>
        </w:rPr>
        <w:t xml:space="preserve">Wykres 1. </w:t>
      </w:r>
      <w:r w:rsidR="006D1EAB" w:rsidRPr="008E3DD6">
        <w:rPr>
          <w:rFonts w:eastAsia="Times New Roman" w:cs="Times New Roman"/>
          <w:b/>
          <w:bCs/>
          <w:noProof/>
          <w:szCs w:val="24"/>
          <w:lang w:eastAsia="pl-PL"/>
        </w:rPr>
        <w:t>Struktura sprzedaży dzieł sztuki i antyków według rodzajów w 2021 r.</w:t>
      </w:r>
    </w:p>
    <w:p w14:paraId="049332E9" w14:textId="77777777" w:rsidR="00EB2B0B" w:rsidRDefault="00EB2B0B" w:rsidP="00EB2B0B">
      <w:pPr>
        <w:spacing w:before="480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br w:type="page"/>
      </w:r>
    </w:p>
    <w:p w14:paraId="1FD067C1" w14:textId="52D78738" w:rsidR="00EB2B0B" w:rsidRPr="008E3DD6" w:rsidRDefault="00EB2B0B" w:rsidP="00EB2B0B">
      <w:pPr>
        <w:spacing w:before="480"/>
        <w:rPr>
          <w:rFonts w:eastAsia="Times New Roman" w:cs="Times New Roman"/>
          <w:szCs w:val="19"/>
          <w:lang w:eastAsia="pl-PL"/>
        </w:rPr>
      </w:pPr>
      <w:r w:rsidRPr="008E3DD6">
        <w:rPr>
          <w:rFonts w:eastAsia="Times New Roman" w:cs="Times New Roman"/>
          <w:szCs w:val="19"/>
          <w:lang w:eastAsia="pl-PL"/>
        </w:rPr>
        <w:lastRenderedPageBreak/>
        <w:t>W 2021 r. największą część łącznej warto</w:t>
      </w:r>
      <w:r w:rsidRPr="008E3DD6">
        <w:rPr>
          <w:rFonts w:eastAsia="Times New Roman" w:cs="Times New Roman" w:hint="eastAsia"/>
          <w:szCs w:val="19"/>
          <w:lang w:eastAsia="pl-PL"/>
        </w:rPr>
        <w:t>ś</w:t>
      </w:r>
      <w:r w:rsidRPr="008E3DD6">
        <w:rPr>
          <w:rFonts w:eastAsia="Times New Roman" w:cs="Times New Roman"/>
          <w:szCs w:val="19"/>
          <w:lang w:eastAsia="pl-PL"/>
        </w:rPr>
        <w:t>ci sprzeda</w:t>
      </w:r>
      <w:r w:rsidRPr="008E3DD6">
        <w:rPr>
          <w:rFonts w:eastAsia="Times New Roman" w:cs="Times New Roman" w:hint="eastAsia"/>
          <w:szCs w:val="19"/>
          <w:lang w:eastAsia="pl-PL"/>
        </w:rPr>
        <w:t>ż</w:t>
      </w:r>
      <w:r w:rsidRPr="008E3DD6">
        <w:rPr>
          <w:rFonts w:eastAsia="Times New Roman" w:cs="Times New Roman"/>
          <w:szCs w:val="19"/>
          <w:lang w:eastAsia="pl-PL"/>
        </w:rPr>
        <w:t>y dzie</w:t>
      </w:r>
      <w:r w:rsidRPr="008E3DD6">
        <w:rPr>
          <w:rFonts w:eastAsia="Times New Roman" w:cs="Times New Roman" w:hint="eastAsia"/>
          <w:szCs w:val="19"/>
          <w:lang w:eastAsia="pl-PL"/>
        </w:rPr>
        <w:t>ł</w:t>
      </w:r>
      <w:r w:rsidRPr="008E3DD6">
        <w:rPr>
          <w:rFonts w:eastAsia="Times New Roman" w:cs="Times New Roman"/>
          <w:szCs w:val="19"/>
          <w:lang w:eastAsia="pl-PL"/>
        </w:rPr>
        <w:t xml:space="preserve"> sztuki i antyk</w:t>
      </w:r>
      <w:r w:rsidRPr="008E3DD6">
        <w:rPr>
          <w:rFonts w:eastAsia="Times New Roman" w:cs="Times New Roman" w:hint="eastAsia"/>
          <w:szCs w:val="19"/>
          <w:lang w:eastAsia="pl-PL"/>
        </w:rPr>
        <w:t>ó</w:t>
      </w:r>
      <w:r w:rsidRPr="008E3DD6">
        <w:rPr>
          <w:rFonts w:eastAsia="Times New Roman" w:cs="Times New Roman"/>
          <w:szCs w:val="19"/>
          <w:lang w:eastAsia="pl-PL"/>
        </w:rPr>
        <w:t xml:space="preserve">w podmioty uzyskały </w:t>
      </w:r>
      <w:r>
        <w:rPr>
          <w:rFonts w:eastAsia="Times New Roman" w:cs="Times New Roman"/>
          <w:szCs w:val="19"/>
          <w:lang w:eastAsia="pl-PL"/>
        </w:rPr>
        <w:t>na tradycyjnych</w:t>
      </w:r>
      <w:r w:rsidRPr="008E3DD6">
        <w:rPr>
          <w:rFonts w:eastAsia="Times New Roman" w:cs="Times New Roman"/>
          <w:szCs w:val="19"/>
          <w:lang w:eastAsia="pl-PL"/>
        </w:rPr>
        <w:t xml:space="preserve"> aukcj</w:t>
      </w:r>
      <w:r>
        <w:rPr>
          <w:rFonts w:eastAsia="Times New Roman" w:cs="Times New Roman"/>
          <w:szCs w:val="19"/>
          <w:lang w:eastAsia="pl-PL"/>
        </w:rPr>
        <w:t>ach</w:t>
      </w:r>
      <w:r w:rsidRPr="008E3DD6">
        <w:rPr>
          <w:rFonts w:eastAsia="Times New Roman" w:cs="Times New Roman"/>
          <w:szCs w:val="19"/>
          <w:lang w:eastAsia="pl-PL"/>
        </w:rPr>
        <w:t xml:space="preserve"> – 381,9 mln z</w:t>
      </w:r>
      <w:r w:rsidRPr="008E3DD6">
        <w:rPr>
          <w:rFonts w:eastAsia="Times New Roman" w:cs="Times New Roman" w:hint="eastAsia"/>
          <w:szCs w:val="19"/>
          <w:lang w:eastAsia="pl-PL"/>
        </w:rPr>
        <w:t>ł</w:t>
      </w:r>
      <w:r w:rsidRPr="008E3DD6">
        <w:rPr>
          <w:rFonts w:eastAsia="Times New Roman" w:cs="Times New Roman"/>
          <w:szCs w:val="19"/>
          <w:lang w:eastAsia="pl-PL"/>
        </w:rPr>
        <w:t>, co stanowiło 64,6% og</w:t>
      </w:r>
      <w:r w:rsidRPr="008E3DD6">
        <w:rPr>
          <w:rFonts w:eastAsia="Times New Roman" w:cs="Times New Roman" w:hint="eastAsia"/>
          <w:szCs w:val="19"/>
          <w:lang w:eastAsia="pl-PL"/>
        </w:rPr>
        <w:t>ó</w:t>
      </w:r>
      <w:r w:rsidRPr="008E3DD6">
        <w:rPr>
          <w:rFonts w:eastAsia="Times New Roman" w:cs="Times New Roman"/>
          <w:szCs w:val="19"/>
          <w:lang w:eastAsia="pl-PL"/>
        </w:rPr>
        <w:t>lnej kwoty sprzeda</w:t>
      </w:r>
      <w:r w:rsidRPr="008E3DD6">
        <w:rPr>
          <w:rFonts w:eastAsia="Times New Roman" w:cs="Times New Roman" w:hint="eastAsia"/>
          <w:szCs w:val="19"/>
          <w:lang w:eastAsia="pl-PL"/>
        </w:rPr>
        <w:t>ż</w:t>
      </w:r>
      <w:r w:rsidRPr="008E3DD6">
        <w:rPr>
          <w:rFonts w:eastAsia="Times New Roman" w:cs="Times New Roman"/>
          <w:szCs w:val="19"/>
          <w:lang w:eastAsia="pl-PL"/>
        </w:rPr>
        <w:t>y. W</w:t>
      </w:r>
      <w:r>
        <w:rPr>
          <w:rFonts w:eastAsia="Times New Roman" w:cs="Times New Roman"/>
          <w:szCs w:val="19"/>
          <w:lang w:eastAsia="pl-PL"/>
        </w:rPr>
        <w:t> </w:t>
      </w:r>
      <w:r w:rsidRPr="008E3DD6">
        <w:rPr>
          <w:rFonts w:eastAsia="Times New Roman" w:cs="Times New Roman"/>
          <w:szCs w:val="19"/>
          <w:lang w:eastAsia="pl-PL"/>
        </w:rPr>
        <w:t>porównaniu z 2020 r. sprzedaż dzieł sztuki i antyków poprzez tradycyjne aukcje wzrosła o</w:t>
      </w:r>
      <w:r>
        <w:rPr>
          <w:rFonts w:eastAsia="Times New Roman" w:cs="Times New Roman"/>
          <w:szCs w:val="19"/>
          <w:lang w:eastAsia="pl-PL"/>
        </w:rPr>
        <w:t> </w:t>
      </w:r>
      <w:r w:rsidRPr="008E3DD6">
        <w:rPr>
          <w:rFonts w:eastAsia="Times New Roman" w:cs="Times New Roman"/>
          <w:szCs w:val="19"/>
          <w:lang w:eastAsia="pl-PL"/>
        </w:rPr>
        <w:t>43,2%. Sprzedaż poprzez tradycyjne aukcje w województwie mazowieckim stanowiła 84,1% (321,3 mln zł) łącznej wartości sprzedaży dzieł sztuki i antyków poprzez tradycyjne aukcje w</w:t>
      </w:r>
      <w:r>
        <w:rPr>
          <w:rFonts w:eastAsia="Times New Roman" w:cs="Times New Roman"/>
          <w:szCs w:val="19"/>
          <w:lang w:eastAsia="pl-PL"/>
        </w:rPr>
        <w:t> </w:t>
      </w:r>
      <w:r w:rsidRPr="008E3DD6">
        <w:rPr>
          <w:rFonts w:eastAsia="Times New Roman" w:cs="Times New Roman"/>
          <w:szCs w:val="19"/>
          <w:lang w:eastAsia="pl-PL"/>
        </w:rPr>
        <w:t xml:space="preserve">Polsce. </w:t>
      </w:r>
    </w:p>
    <w:p w14:paraId="2B053AF4" w14:textId="7A45745E" w:rsidR="00491BE7" w:rsidRPr="008E3DD6" w:rsidRDefault="00EB2B0B" w:rsidP="00EB2B0B">
      <w:pPr>
        <w:rPr>
          <w:rFonts w:eastAsia="Times New Roman" w:cs="Times New Roman"/>
          <w:szCs w:val="19"/>
          <w:lang w:eastAsia="pl-PL"/>
        </w:rPr>
      </w:pPr>
      <w:r>
        <w:t xml:space="preserve">Kolejnym znaczącym, pod względem łącznej wartości sprzedaży kanałem dystrybucji była sprzedaż w placówkach handlowych. Jej wartość to 141,3 mln zł, co stanowiło 23.9% ogólnej kwoty sprzedaży. </w:t>
      </w:r>
      <w:r w:rsidRPr="008E3DD6">
        <w:rPr>
          <w:rFonts w:eastAsia="Times New Roman" w:cs="Times New Roman"/>
          <w:szCs w:val="19"/>
          <w:lang w:eastAsia="pl-PL"/>
        </w:rPr>
        <w:t>Sprzedaż dzieł sztuki i antyków w</w:t>
      </w:r>
      <w:r>
        <w:rPr>
          <w:rFonts w:eastAsia="Times New Roman" w:cs="Times New Roman"/>
          <w:szCs w:val="19"/>
          <w:lang w:eastAsia="pl-PL"/>
        </w:rPr>
        <w:t> </w:t>
      </w:r>
      <w:r w:rsidRPr="008E3DD6">
        <w:rPr>
          <w:rFonts w:eastAsia="Times New Roman" w:cs="Times New Roman"/>
          <w:szCs w:val="19"/>
          <w:lang w:eastAsia="pl-PL"/>
        </w:rPr>
        <w:t>placówkach handlowych wzrosła o 59,3% w porównaniu z poprzednim rokiem. W województwie mazowieckim sprzedaż dzieł sztuki i</w:t>
      </w:r>
      <w:r>
        <w:rPr>
          <w:rFonts w:eastAsia="Times New Roman" w:cs="Times New Roman"/>
          <w:szCs w:val="19"/>
          <w:lang w:eastAsia="pl-PL"/>
        </w:rPr>
        <w:t> </w:t>
      </w:r>
      <w:r w:rsidRPr="008E3DD6">
        <w:rPr>
          <w:rFonts w:eastAsia="Times New Roman" w:cs="Times New Roman"/>
          <w:szCs w:val="19"/>
          <w:lang w:eastAsia="pl-PL"/>
        </w:rPr>
        <w:t>antyków w placówkach handlowych stanowiła 65,1% ogólnej (91,9 mln zł) wartości sprzedaży w</w:t>
      </w:r>
      <w:r>
        <w:rPr>
          <w:rFonts w:eastAsia="Times New Roman" w:cs="Times New Roman"/>
          <w:szCs w:val="19"/>
          <w:lang w:eastAsia="pl-PL"/>
        </w:rPr>
        <w:t> </w:t>
      </w:r>
      <w:r w:rsidRPr="008E3DD6">
        <w:rPr>
          <w:rFonts w:eastAsia="Times New Roman" w:cs="Times New Roman"/>
          <w:szCs w:val="19"/>
          <w:lang w:eastAsia="pl-PL"/>
        </w:rPr>
        <w:t>placówkach handlowych w Polsce.</w:t>
      </w:r>
    </w:p>
    <w:p w14:paraId="02B3688E" w14:textId="4E285DE1" w:rsidR="00491BE7" w:rsidRPr="008E3DD6" w:rsidRDefault="00491BE7" w:rsidP="00011C49">
      <w:pPr>
        <w:rPr>
          <w:rFonts w:eastAsia="Times New Roman" w:cs="Times New Roman"/>
          <w:szCs w:val="19"/>
          <w:lang w:eastAsia="pl-PL"/>
        </w:rPr>
      </w:pPr>
      <w:r w:rsidRPr="008E3DD6">
        <w:rPr>
          <w:rFonts w:eastAsia="Times New Roman" w:cs="Times New Roman"/>
          <w:szCs w:val="19"/>
          <w:lang w:eastAsia="pl-PL"/>
        </w:rPr>
        <w:t>Za po</w:t>
      </w:r>
      <w:r w:rsidRPr="008E3DD6">
        <w:rPr>
          <w:rFonts w:eastAsia="Times New Roman" w:cs="Times New Roman" w:hint="eastAsia"/>
          <w:szCs w:val="19"/>
          <w:lang w:eastAsia="pl-PL"/>
        </w:rPr>
        <w:t>ś</w:t>
      </w:r>
      <w:r w:rsidRPr="008E3DD6">
        <w:rPr>
          <w:rFonts w:eastAsia="Times New Roman" w:cs="Times New Roman"/>
          <w:szCs w:val="19"/>
          <w:lang w:eastAsia="pl-PL"/>
        </w:rPr>
        <w:t xml:space="preserve">rednictwem </w:t>
      </w:r>
      <w:r w:rsidR="005B02C5" w:rsidRPr="008E3DD6">
        <w:rPr>
          <w:rFonts w:eastAsia="Times New Roman" w:cs="Times New Roman"/>
          <w:szCs w:val="19"/>
          <w:lang w:eastAsia="pl-PL"/>
        </w:rPr>
        <w:t>Internetu</w:t>
      </w:r>
      <w:r w:rsidRPr="008E3DD6">
        <w:rPr>
          <w:rFonts w:eastAsia="Times New Roman" w:cs="Times New Roman"/>
          <w:szCs w:val="19"/>
          <w:lang w:eastAsia="pl-PL"/>
        </w:rPr>
        <w:t xml:space="preserve"> sprzedano dzie</w:t>
      </w:r>
      <w:r w:rsidRPr="008E3DD6">
        <w:rPr>
          <w:rFonts w:eastAsia="Times New Roman" w:cs="Times New Roman" w:hint="eastAsia"/>
          <w:szCs w:val="19"/>
          <w:lang w:eastAsia="pl-PL"/>
        </w:rPr>
        <w:t>ł</w:t>
      </w:r>
      <w:r w:rsidRPr="008E3DD6">
        <w:rPr>
          <w:rFonts w:eastAsia="Times New Roman" w:cs="Times New Roman"/>
          <w:szCs w:val="19"/>
          <w:lang w:eastAsia="pl-PL"/>
        </w:rPr>
        <w:t>a sztuki i antyki za kwot</w:t>
      </w:r>
      <w:r w:rsidRPr="008E3DD6">
        <w:rPr>
          <w:rFonts w:eastAsia="Times New Roman" w:cs="Times New Roman" w:hint="eastAsia"/>
          <w:szCs w:val="19"/>
          <w:lang w:eastAsia="pl-PL"/>
        </w:rPr>
        <w:t>ę</w:t>
      </w:r>
      <w:r w:rsidRPr="008E3DD6">
        <w:rPr>
          <w:rFonts w:eastAsia="Times New Roman" w:cs="Times New Roman"/>
          <w:szCs w:val="19"/>
          <w:lang w:eastAsia="pl-PL"/>
        </w:rPr>
        <w:t xml:space="preserve"> 5</w:t>
      </w:r>
      <w:r w:rsidR="007D7191" w:rsidRPr="008E3DD6">
        <w:rPr>
          <w:rFonts w:eastAsia="Times New Roman" w:cs="Times New Roman"/>
          <w:szCs w:val="19"/>
          <w:lang w:eastAsia="pl-PL"/>
        </w:rPr>
        <w:t>9</w:t>
      </w:r>
      <w:r w:rsidRPr="008E3DD6">
        <w:rPr>
          <w:rFonts w:eastAsia="Times New Roman" w:cs="Times New Roman"/>
          <w:szCs w:val="19"/>
          <w:lang w:eastAsia="pl-PL"/>
        </w:rPr>
        <w:t>,</w:t>
      </w:r>
      <w:r w:rsidR="007D7191" w:rsidRPr="008E3DD6">
        <w:rPr>
          <w:rFonts w:eastAsia="Times New Roman" w:cs="Times New Roman"/>
          <w:szCs w:val="19"/>
          <w:lang w:eastAsia="pl-PL"/>
        </w:rPr>
        <w:t>2</w:t>
      </w:r>
      <w:r w:rsidRPr="008E3DD6">
        <w:rPr>
          <w:rFonts w:eastAsia="Times New Roman" w:cs="Times New Roman"/>
          <w:szCs w:val="19"/>
          <w:lang w:eastAsia="pl-PL"/>
        </w:rPr>
        <w:t xml:space="preserve"> mln z</w:t>
      </w:r>
      <w:r w:rsidRPr="008E3DD6">
        <w:rPr>
          <w:rFonts w:eastAsia="Times New Roman" w:cs="Times New Roman" w:hint="eastAsia"/>
          <w:szCs w:val="19"/>
          <w:lang w:eastAsia="pl-PL"/>
        </w:rPr>
        <w:t>ł</w:t>
      </w:r>
      <w:r w:rsidR="009D6FDF" w:rsidRPr="008E3DD6">
        <w:rPr>
          <w:rFonts w:eastAsia="Times New Roman" w:cs="Times New Roman"/>
          <w:szCs w:val="19"/>
          <w:lang w:eastAsia="pl-PL"/>
        </w:rPr>
        <w:t xml:space="preserve"> (10,0% ogólnej wartości sprzedaży)</w:t>
      </w:r>
      <w:r w:rsidRPr="008E3DD6">
        <w:rPr>
          <w:rFonts w:eastAsia="Times New Roman" w:cs="Times New Roman"/>
          <w:szCs w:val="19"/>
          <w:lang w:eastAsia="pl-PL"/>
        </w:rPr>
        <w:t>, co w por</w:t>
      </w:r>
      <w:r w:rsidRPr="008E3DD6">
        <w:rPr>
          <w:rFonts w:eastAsia="Times New Roman" w:cs="Times New Roman" w:hint="eastAsia"/>
          <w:szCs w:val="19"/>
          <w:lang w:eastAsia="pl-PL"/>
        </w:rPr>
        <w:t>ó</w:t>
      </w:r>
      <w:r w:rsidRPr="008E3DD6">
        <w:rPr>
          <w:rFonts w:eastAsia="Times New Roman" w:cs="Times New Roman"/>
          <w:szCs w:val="19"/>
          <w:lang w:eastAsia="pl-PL"/>
        </w:rPr>
        <w:t>wnaniu z 20</w:t>
      </w:r>
      <w:r w:rsidR="007D7191" w:rsidRPr="008E3DD6">
        <w:rPr>
          <w:rFonts w:eastAsia="Times New Roman" w:cs="Times New Roman"/>
          <w:szCs w:val="19"/>
          <w:lang w:eastAsia="pl-PL"/>
        </w:rPr>
        <w:t>20</w:t>
      </w:r>
      <w:r w:rsidRPr="008E3DD6">
        <w:rPr>
          <w:rFonts w:eastAsia="Times New Roman" w:cs="Times New Roman"/>
          <w:szCs w:val="19"/>
          <w:lang w:eastAsia="pl-PL"/>
        </w:rPr>
        <w:t xml:space="preserve"> r. stanowiło wzrost o </w:t>
      </w:r>
      <w:r w:rsidR="008746F1" w:rsidRPr="008E3DD6">
        <w:rPr>
          <w:rFonts w:eastAsia="Times New Roman" w:cs="Times New Roman"/>
          <w:szCs w:val="19"/>
          <w:lang w:eastAsia="pl-PL"/>
        </w:rPr>
        <w:t>1</w:t>
      </w:r>
      <w:r w:rsidRPr="008E3DD6">
        <w:rPr>
          <w:rFonts w:eastAsia="Times New Roman" w:cs="Times New Roman"/>
          <w:szCs w:val="19"/>
          <w:lang w:eastAsia="pl-PL"/>
        </w:rPr>
        <w:t>,</w:t>
      </w:r>
      <w:r w:rsidR="008746F1" w:rsidRPr="008E3DD6">
        <w:rPr>
          <w:rFonts w:eastAsia="Times New Roman" w:cs="Times New Roman"/>
          <w:szCs w:val="19"/>
          <w:lang w:eastAsia="pl-PL"/>
        </w:rPr>
        <w:t>3</w:t>
      </w:r>
      <w:r w:rsidRPr="008E3DD6">
        <w:rPr>
          <w:rFonts w:eastAsia="Times New Roman" w:cs="Times New Roman"/>
          <w:szCs w:val="19"/>
          <w:lang w:eastAsia="pl-PL"/>
        </w:rPr>
        <w:t>%.</w:t>
      </w:r>
    </w:p>
    <w:p w14:paraId="142738F7" w14:textId="35159841" w:rsidR="00644A2E" w:rsidRDefault="005B02C5" w:rsidP="008E3DD6">
      <w:pPr>
        <w:spacing w:before="360"/>
        <w:rPr>
          <w:rFonts w:eastAsia="Times New Roman" w:cs="Times New Roman"/>
          <w:b/>
          <w:bCs/>
          <w:noProof/>
          <w:szCs w:val="24"/>
          <w:lang w:eastAsia="pl-PL"/>
        </w:rPr>
      </w:pPr>
      <w:r>
        <w:rPr>
          <w:rFonts w:eastAsia="Times New Roman" w:cs="Times New Roman"/>
          <w:b/>
          <w:bCs/>
          <w:noProof/>
          <w:szCs w:val="24"/>
          <w:lang w:eastAsia="pl-PL"/>
        </w:rPr>
        <w:drawing>
          <wp:anchor distT="0" distB="0" distL="114300" distR="114300" simplePos="0" relativeHeight="251803648" behindDoc="0" locked="0" layoutInCell="1" allowOverlap="1" wp14:anchorId="7A1AF4E5" wp14:editId="21871EF8">
            <wp:simplePos x="0" y="0"/>
            <wp:positionH relativeFrom="margin">
              <wp:align>left</wp:align>
            </wp:positionH>
            <wp:positionV relativeFrom="paragraph">
              <wp:posOffset>405130</wp:posOffset>
            </wp:positionV>
            <wp:extent cx="5090795" cy="1804670"/>
            <wp:effectExtent l="0" t="0" r="0" b="0"/>
            <wp:wrapTopAndBottom/>
            <wp:docPr id="3" name="Obraz 3" descr="Wykres słupkowy przedstawiający strukturę sprzedaży dzieł sztuki i antyków według kanałów dystrybucji w 2021 r." title="Wykre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E5EE2" w:rsidRPr="008E3DD6">
        <w:rPr>
          <w:rFonts w:eastAsia="Times New Roman" w:cs="Times New Roman"/>
          <w:b/>
          <w:bCs/>
          <w:noProof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7BEAEC2" wp14:editId="33923A99">
                <wp:simplePos x="0" y="0"/>
                <wp:positionH relativeFrom="page">
                  <wp:align>right</wp:align>
                </wp:positionH>
                <wp:positionV relativeFrom="paragraph">
                  <wp:posOffset>486650</wp:posOffset>
                </wp:positionV>
                <wp:extent cx="1858010" cy="958215"/>
                <wp:effectExtent l="0" t="0" r="0" b="0"/>
                <wp:wrapTight wrapText="bothSides">
                  <wp:wrapPolygon edited="0">
                    <wp:start x="664" y="0"/>
                    <wp:lineTo x="664" y="21042"/>
                    <wp:lineTo x="20817" y="21042"/>
                    <wp:lineTo x="20817" y="0"/>
                    <wp:lineTo x="664" y="0"/>
                  </wp:wrapPolygon>
                </wp:wrapTight>
                <wp:docPr id="38" name="Pole tekstowe 38" descr="Ponad połowa (64,6%) sprzedaży dzieł sztuki i antyków odbyła się poprzez tradycyjne aukcj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010" cy="958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A612F" w14:textId="77AFF381" w:rsidR="00491BE7" w:rsidRDefault="00CC0F1B" w:rsidP="00321ED3">
                            <w:pPr>
                              <w:spacing w:after="0" w:line="240" w:lineRule="exact"/>
                            </w:pPr>
                            <w:r w:rsidRPr="00CC0F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onad</w:t>
                            </w:r>
                            <w:r w:rsidRPr="00CC0F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połowa </w:t>
                            </w:r>
                            <w:r w:rsidR="00292E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(64,6%) </w:t>
                            </w:r>
                            <w:r w:rsidRPr="00CC0F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sprzedaży dzieł sztuki i antyków</w:t>
                            </w:r>
                            <w:r w:rsidR="008E3D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CC0F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odbyła się poprzez tradycyjne aukcje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EAEC2" id="Pole tekstowe 38" o:spid="_x0000_s1029" type="#_x0000_t202" alt="Ponad połowa (64,6%) sprzedaży dzieł sztuki i antyków odbyła się poprzez tradycyjne aukcje" style="position:absolute;margin-left:95.1pt;margin-top:38.3pt;width:146.3pt;height:75.45pt;z-index:-25152307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" filled="f" stroked="f">
                <v:textbox>
                  <w:txbxContent>
                    <w:p w14:paraId="4B5A612F" w14:textId="77AFF381" w:rsidR="00491BE7" w:rsidRDefault="00CC0F1B" w:rsidP="00321ED3">
                      <w:pPr>
                        <w:spacing w:after="0" w:line="240" w:lineRule="exact"/>
                      </w:pPr>
                      <w:r w:rsidRPr="00CC0F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onad</w:t>
                      </w:r>
                      <w:r w:rsidRPr="00CC0F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połowa </w:t>
                      </w:r>
                      <w:r w:rsidR="00292E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(64,6%) </w:t>
                      </w:r>
                      <w:r w:rsidRPr="00CC0F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sprzedaży dzieł sztuki i antyków</w:t>
                      </w:r>
                      <w:r w:rsidR="008E3D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CC0F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odbyła się poprzez tradycyjne aukcje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44A2E" w:rsidRPr="008E3DD6">
        <w:rPr>
          <w:rFonts w:eastAsia="Times New Roman" w:cs="Times New Roman"/>
          <w:b/>
          <w:bCs/>
          <w:noProof/>
          <w:szCs w:val="24"/>
          <w:lang w:eastAsia="pl-PL"/>
        </w:rPr>
        <w:t>Wykres 2. Struktura sprzedaży dzieł sztuki i antyków według kanałów dystrybucji w 202</w:t>
      </w:r>
      <w:r w:rsidR="00A46A60" w:rsidRPr="008E3DD6">
        <w:rPr>
          <w:rFonts w:eastAsia="Times New Roman" w:cs="Times New Roman"/>
          <w:b/>
          <w:bCs/>
          <w:noProof/>
          <w:szCs w:val="24"/>
          <w:lang w:eastAsia="pl-PL"/>
        </w:rPr>
        <w:t>1</w:t>
      </w:r>
      <w:r w:rsidR="00644A2E" w:rsidRPr="008E3DD6">
        <w:rPr>
          <w:rFonts w:eastAsia="Times New Roman" w:cs="Times New Roman"/>
          <w:b/>
          <w:bCs/>
          <w:noProof/>
          <w:szCs w:val="24"/>
          <w:lang w:eastAsia="pl-PL"/>
        </w:rPr>
        <w:t xml:space="preserve"> r</w:t>
      </w:r>
      <w:r w:rsidR="00A46A60" w:rsidRPr="008E3DD6">
        <w:rPr>
          <w:rFonts w:eastAsia="Times New Roman" w:cs="Times New Roman"/>
          <w:b/>
          <w:bCs/>
          <w:noProof/>
          <w:szCs w:val="24"/>
          <w:lang w:eastAsia="pl-PL"/>
        </w:rPr>
        <w:t>.</w:t>
      </w:r>
    </w:p>
    <w:p w14:paraId="7D90843D" w14:textId="070E0438" w:rsidR="004726FC" w:rsidRPr="008E3DD6" w:rsidRDefault="00334A95" w:rsidP="00DE5EE2">
      <w:pPr>
        <w:spacing w:before="360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 omawianym roku</w:t>
      </w:r>
      <w:r w:rsidRPr="008E3DD6">
        <w:rPr>
          <w:rFonts w:eastAsia="Times New Roman" w:cs="Times New Roman"/>
          <w:szCs w:val="19"/>
          <w:lang w:eastAsia="pl-PL"/>
        </w:rPr>
        <w:t xml:space="preserve"> 14,8% podmiotów działających na rynku dzieł sztuki i antyków wzięło </w:t>
      </w:r>
      <w:r>
        <w:rPr>
          <w:rFonts w:eastAsia="Times New Roman" w:cs="Times New Roman"/>
          <w:szCs w:val="19"/>
          <w:lang w:eastAsia="pl-PL"/>
        </w:rPr>
        <w:t xml:space="preserve">aktywny </w:t>
      </w:r>
      <w:r w:rsidRPr="008E3DD6">
        <w:rPr>
          <w:rFonts w:eastAsia="Times New Roman" w:cs="Times New Roman"/>
          <w:szCs w:val="19"/>
          <w:lang w:eastAsia="pl-PL"/>
        </w:rPr>
        <w:t xml:space="preserve">udział w targach sztuki. </w:t>
      </w:r>
      <w:r>
        <w:rPr>
          <w:rFonts w:eastAsia="Times New Roman" w:cs="Times New Roman"/>
          <w:szCs w:val="19"/>
          <w:lang w:eastAsia="pl-PL"/>
        </w:rPr>
        <w:t xml:space="preserve">Jedną z najważniejszych krajowych imprez kulturalnych są niezmiennie </w:t>
      </w:r>
      <w:r w:rsidRPr="008E3DD6">
        <w:rPr>
          <w:rFonts w:eastAsia="Times New Roman" w:cs="Times New Roman"/>
          <w:szCs w:val="19"/>
          <w:lang w:eastAsia="pl-PL"/>
        </w:rPr>
        <w:t>Warszawskie Targi Sztuki, w których udział wzięło 10,5% podmiotów zajmujących się sprzedażą dzieł sztuki i antyków</w:t>
      </w:r>
      <w:r w:rsidR="00AC2C93" w:rsidRPr="008E3DD6">
        <w:rPr>
          <w:rFonts w:eastAsia="Times New Roman" w:cs="Times New Roman"/>
          <w:szCs w:val="19"/>
          <w:lang w:eastAsia="pl-PL"/>
        </w:rPr>
        <w:t>.</w:t>
      </w:r>
    </w:p>
    <w:p w14:paraId="4809D44B" w14:textId="420C7C8D" w:rsidR="00694AF0" w:rsidRPr="008E3DD6" w:rsidRDefault="007D0196" w:rsidP="00DE5EE2">
      <w:pPr>
        <w:spacing w:before="4800"/>
        <w:rPr>
          <w:rFonts w:eastAsia="Times New Roman" w:cs="Times New Roman"/>
          <w:szCs w:val="19"/>
          <w:lang w:eastAsia="pl-PL"/>
        </w:rPr>
      </w:pPr>
      <w:r w:rsidRPr="008E3DD6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DD518E" w:rsidRDefault="00DA331D" w:rsidP="00DA331D">
      <w:pPr>
        <w:spacing w:before="360"/>
        <w:rPr>
          <w:sz w:val="18"/>
        </w:rPr>
        <w:sectPr w:rsidR="00DA331D" w:rsidRPr="00DD518E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8710A0" w14:paraId="2128D54C" w14:textId="77777777" w:rsidTr="00A64426">
        <w:trPr>
          <w:cantSplit/>
          <w:trHeight w:val="1626"/>
        </w:trPr>
        <w:tc>
          <w:tcPr>
            <w:tcW w:w="4926" w:type="dxa"/>
          </w:tcPr>
          <w:p w14:paraId="78195D95" w14:textId="77777777" w:rsidR="008710A0" w:rsidRPr="00220F97" w:rsidRDefault="008710A0" w:rsidP="00A64426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lastRenderedPageBreak/>
              <w:t xml:space="preserve">Opracowanie merytoryczne: </w:t>
            </w:r>
            <w:r w:rsidRPr="004A1D19">
              <w:rPr>
                <w:rFonts w:cs="Arial"/>
                <w:sz w:val="20"/>
              </w:rPr>
              <w:br/>
            </w:r>
            <w:r w:rsidRPr="00220F97">
              <w:rPr>
                <w:b/>
                <w:sz w:val="20"/>
                <w:szCs w:val="20"/>
              </w:rPr>
              <w:t>Urząd Statystyczny w Krakowie</w:t>
            </w:r>
          </w:p>
          <w:p w14:paraId="002819D0" w14:textId="77777777" w:rsidR="008710A0" w:rsidRPr="00220F97" w:rsidRDefault="008710A0" w:rsidP="00A64426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220F97">
              <w:rPr>
                <w:b/>
                <w:sz w:val="20"/>
                <w:szCs w:val="20"/>
              </w:rPr>
              <w:t>Dyrektor Agnieszka Szlubowska</w:t>
            </w:r>
          </w:p>
          <w:p w14:paraId="1D72FDA2" w14:textId="77777777" w:rsidR="008710A0" w:rsidRPr="00AB24E4" w:rsidRDefault="008710A0" w:rsidP="00A64426">
            <w:pPr>
              <w:spacing w:before="0" w:line="276" w:lineRule="auto"/>
              <w:rPr>
                <w:rFonts w:cs="Arial"/>
                <w:color w:val="000000" w:themeColor="text1"/>
                <w:lang w:val="fi-FI"/>
              </w:rPr>
            </w:pPr>
            <w:r w:rsidRPr="001F3471">
              <w:rPr>
                <w:sz w:val="20"/>
              </w:rPr>
              <w:t>Tel: 12 420 40 50</w:t>
            </w:r>
          </w:p>
        </w:tc>
        <w:tc>
          <w:tcPr>
            <w:tcW w:w="4927" w:type="dxa"/>
          </w:tcPr>
          <w:p w14:paraId="5F78E4C0" w14:textId="77777777" w:rsidR="008710A0" w:rsidRPr="004A1D19" w:rsidRDefault="008710A0" w:rsidP="00A6442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3BEC8B1E" w14:textId="77777777" w:rsidR="008710A0" w:rsidRPr="00F03D62" w:rsidRDefault="008710A0" w:rsidP="00A64426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14:paraId="7CA1D0EA" w14:textId="77777777" w:rsidR="008710A0" w:rsidRPr="00331135" w:rsidRDefault="008710A0" w:rsidP="00A6442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14:paraId="66D8AB19" w14:textId="77777777" w:rsidR="008710A0" w:rsidRDefault="008710A0" w:rsidP="00A64426">
            <w:pPr>
              <w:rPr>
                <w:sz w:val="18"/>
              </w:rPr>
            </w:pPr>
          </w:p>
        </w:tc>
      </w:tr>
      <w:tr w:rsidR="008710A0" w14:paraId="421DFDD1" w14:textId="77777777" w:rsidTr="00A64426">
        <w:trPr>
          <w:cantSplit/>
          <w:trHeight w:val="418"/>
        </w:trPr>
        <w:tc>
          <w:tcPr>
            <w:tcW w:w="4926" w:type="dxa"/>
            <w:vMerge w:val="restart"/>
          </w:tcPr>
          <w:p w14:paraId="368B77B6" w14:textId="77777777" w:rsidR="008710A0" w:rsidRPr="00C91687" w:rsidRDefault="008710A0" w:rsidP="00A6442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F7C5650" w14:textId="77777777" w:rsidR="008710A0" w:rsidRPr="00C91687" w:rsidRDefault="008710A0" w:rsidP="00A64426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000802B3" w14:textId="77777777" w:rsidR="008710A0" w:rsidRPr="00F05FC7" w:rsidRDefault="008710A0" w:rsidP="00A6442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4E5C3304" w14:textId="77777777" w:rsidR="008710A0" w:rsidRDefault="008710A0" w:rsidP="00A6442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16CCD48A" wp14:editId="4B026FB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49" name="Obraz 49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8710A0" w14:paraId="5D30B8B2" w14:textId="77777777" w:rsidTr="00A64426">
        <w:trPr>
          <w:cantSplit/>
          <w:trHeight w:val="418"/>
        </w:trPr>
        <w:tc>
          <w:tcPr>
            <w:tcW w:w="4926" w:type="dxa"/>
            <w:vMerge/>
          </w:tcPr>
          <w:p w14:paraId="139F087B" w14:textId="77777777" w:rsidR="008710A0" w:rsidRPr="00C91687" w:rsidRDefault="008710A0" w:rsidP="00A6442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7150A15" w14:textId="77777777" w:rsidR="008710A0" w:rsidRDefault="008710A0" w:rsidP="00A6442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3784F1E3" wp14:editId="024057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50" name="Obraz 5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710A0" w14:paraId="5A9741CD" w14:textId="77777777" w:rsidTr="00A64426">
        <w:trPr>
          <w:cantSplit/>
          <w:trHeight w:val="476"/>
        </w:trPr>
        <w:tc>
          <w:tcPr>
            <w:tcW w:w="4926" w:type="dxa"/>
            <w:vMerge/>
          </w:tcPr>
          <w:p w14:paraId="312A622D" w14:textId="77777777" w:rsidR="008710A0" w:rsidRPr="00C91687" w:rsidRDefault="008710A0" w:rsidP="00A6442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2052633" w14:textId="77777777" w:rsidR="008710A0" w:rsidRDefault="008710A0" w:rsidP="00A6442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796D6304" wp14:editId="747C99D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51" name="Obraz 51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710A0" w14:paraId="573CFCD8" w14:textId="77777777" w:rsidTr="00A64426">
        <w:trPr>
          <w:cantSplit/>
          <w:trHeight w:val="426"/>
        </w:trPr>
        <w:tc>
          <w:tcPr>
            <w:tcW w:w="4926" w:type="dxa"/>
          </w:tcPr>
          <w:p w14:paraId="77C4360D" w14:textId="77777777" w:rsidR="008710A0" w:rsidRPr="00C91687" w:rsidRDefault="008710A0" w:rsidP="00A6442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D5A9618" w14:textId="77777777" w:rsidR="008710A0" w:rsidRDefault="008710A0" w:rsidP="00A6442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0576" behindDoc="0" locked="0" layoutInCell="1" allowOverlap="1" wp14:anchorId="6B27F5DF" wp14:editId="7710619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8710A0" w14:paraId="3D0E07A6" w14:textId="77777777" w:rsidTr="00A64426">
        <w:trPr>
          <w:cantSplit/>
          <w:trHeight w:val="504"/>
        </w:trPr>
        <w:tc>
          <w:tcPr>
            <w:tcW w:w="4926" w:type="dxa"/>
          </w:tcPr>
          <w:p w14:paraId="59BCDA69" w14:textId="77777777" w:rsidR="008710A0" w:rsidRPr="00C91687" w:rsidRDefault="008710A0" w:rsidP="00A6442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D13D638" w14:textId="77777777" w:rsidR="008710A0" w:rsidRDefault="008710A0" w:rsidP="00A6442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4A7C1E17" wp14:editId="169B428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8710A0" w14:paraId="7BD0CF8A" w14:textId="77777777" w:rsidTr="00A64426">
        <w:trPr>
          <w:cantSplit/>
          <w:trHeight w:val="1546"/>
        </w:trPr>
        <w:tc>
          <w:tcPr>
            <w:tcW w:w="4926" w:type="dxa"/>
          </w:tcPr>
          <w:p w14:paraId="5E4834F5" w14:textId="77777777" w:rsidR="008710A0" w:rsidRPr="00C91687" w:rsidRDefault="008710A0" w:rsidP="00A6442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3248A0D" w14:textId="77777777" w:rsidR="008710A0" w:rsidRDefault="008710A0" w:rsidP="00A64426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5D541DA4" wp14:editId="7F020C4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52" name="Obraz 52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C1964" w:rsidRPr="00DD518E" w14:paraId="579E381E" w14:textId="77777777" w:rsidTr="008710A0">
        <w:trPr>
          <w:cantSplit/>
          <w:trHeight w:val="3412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3A6A50A" w14:textId="77777777" w:rsidR="009C1964" w:rsidRPr="00DD518E" w:rsidRDefault="009C1964" w:rsidP="00186769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DD518E">
              <w:rPr>
                <w:b/>
              </w:rPr>
              <w:t>Pow</w:t>
            </w:r>
            <w:r w:rsidRPr="00DD518E">
              <w:rPr>
                <w:rStyle w:val="Wyrnieniedelikatne"/>
              </w:rPr>
              <w:t>iązan</w:t>
            </w:r>
            <w:r w:rsidRPr="00DD518E">
              <w:rPr>
                <w:b/>
              </w:rPr>
              <w:t>e opracowania</w:t>
            </w:r>
          </w:p>
          <w:p w14:paraId="3892DDD9" w14:textId="454C28D0" w:rsidR="00B26AC4" w:rsidRPr="00321ED3" w:rsidRDefault="0022044D" w:rsidP="00B26AC4">
            <w:pPr>
              <w:tabs>
                <w:tab w:val="left" w:pos="2415"/>
              </w:tabs>
              <w:rPr>
                <w:rStyle w:val="Hipercze"/>
              </w:rPr>
            </w:pPr>
            <w:hyperlink r:id="rId24" w:tooltip="link do publikacji pt.&quot;Kultura w 2020 r.&quot;" w:history="1">
              <w:r w:rsidR="00B26AC4" w:rsidRPr="00321ED3">
                <w:rPr>
                  <w:rStyle w:val="Hipercze"/>
                </w:rPr>
                <w:t>Kultura w 2020 r.</w:t>
              </w:r>
            </w:hyperlink>
          </w:p>
          <w:p w14:paraId="655CA2E9" w14:textId="7A892883" w:rsidR="00C13CD1" w:rsidRPr="00C13CD1" w:rsidRDefault="0022044D" w:rsidP="00C13CD1">
            <w:hyperlink r:id="rId25" w:tooltip="link do publikacji pt. &quot;Rynek dzieł sztuki i antyków w 2020 r.&quot;" w:history="1">
              <w:r w:rsidR="00C13CD1" w:rsidRPr="00FF78A2">
                <w:rPr>
                  <w:rStyle w:val="Hipercze"/>
                </w:rPr>
                <w:t>Rynek dzieł sztuki i antyków w 2020 r.</w:t>
              </w:r>
            </w:hyperlink>
          </w:p>
          <w:p w14:paraId="4EC5970D" w14:textId="1DD6EE9E" w:rsidR="009C1964" w:rsidRPr="00DD518E" w:rsidRDefault="009C1964" w:rsidP="00A54F0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DD518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9F78806" w14:textId="25603CF4" w:rsidR="00A47858" w:rsidRPr="00321ED3" w:rsidRDefault="0022044D" w:rsidP="00A47858">
            <w:pPr>
              <w:rPr>
                <w:rStyle w:val="Hipercze"/>
              </w:rPr>
            </w:pPr>
            <w:hyperlink r:id="rId26" w:tooltip="link do pojęcia &quot;dzieła sztuki&quot;" w:history="1">
              <w:r w:rsidR="00A47858" w:rsidRPr="00FF78A2">
                <w:rPr>
                  <w:rStyle w:val="Hipercze"/>
                </w:rPr>
                <w:t>Dzieła sztuki</w:t>
              </w:r>
            </w:hyperlink>
          </w:p>
          <w:p w14:paraId="1EB90E8E" w14:textId="6C013662" w:rsidR="00D66848" w:rsidRPr="00321ED3" w:rsidRDefault="0022044D" w:rsidP="00D66848">
            <w:pPr>
              <w:rPr>
                <w:rStyle w:val="Hipercze"/>
              </w:rPr>
            </w:pPr>
            <w:hyperlink r:id="rId27" w:tooltip="link do pojęcia &quot;antyki&quot;" w:history="1">
              <w:r w:rsidR="00D66848" w:rsidRPr="00FF78A2">
                <w:rPr>
                  <w:rStyle w:val="Hipercze"/>
                </w:rPr>
                <w:t>Antyki</w:t>
              </w:r>
            </w:hyperlink>
          </w:p>
          <w:p w14:paraId="68B735F7" w14:textId="304F0CF8" w:rsidR="005F36C6" w:rsidRPr="006C6B2D" w:rsidRDefault="0022044D" w:rsidP="008E3DD6">
            <w:pPr>
              <w:rPr>
                <w:color w:val="001D77"/>
              </w:rPr>
            </w:pPr>
            <w:hyperlink r:id="rId28" w:tooltip="link do pojęcia &quot;galeria&quot;" w:history="1">
              <w:r w:rsidR="009A7D3F" w:rsidRPr="00FF78A2">
                <w:rPr>
                  <w:rStyle w:val="Hipercze"/>
                </w:rPr>
                <w:t>Galeria</w:t>
              </w:r>
            </w:hyperlink>
          </w:p>
        </w:tc>
      </w:tr>
    </w:tbl>
    <w:p w14:paraId="7C19EFAE" w14:textId="5AAD912C" w:rsidR="00D261A2" w:rsidRPr="00DD518E" w:rsidRDefault="00D261A2" w:rsidP="009C1964">
      <w:pPr>
        <w:rPr>
          <w:sz w:val="18"/>
        </w:rPr>
      </w:pPr>
    </w:p>
    <w:sectPr w:rsidR="00D261A2" w:rsidRPr="00DD518E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C4C404" w14:textId="77777777" w:rsidR="0022044D" w:rsidRDefault="0022044D" w:rsidP="000662E2">
      <w:pPr>
        <w:spacing w:after="0" w:line="240" w:lineRule="auto"/>
      </w:pPr>
      <w:r>
        <w:separator/>
      </w:r>
    </w:p>
    <w:p w14:paraId="31A0B4DB" w14:textId="77777777" w:rsidR="0022044D" w:rsidRDefault="0022044D"/>
  </w:endnote>
  <w:endnote w:type="continuationSeparator" w:id="0">
    <w:p w14:paraId="283823F9" w14:textId="77777777" w:rsidR="0022044D" w:rsidRDefault="0022044D" w:rsidP="000662E2">
      <w:pPr>
        <w:spacing w:after="0" w:line="240" w:lineRule="auto"/>
      </w:pPr>
      <w:r>
        <w:continuationSeparator/>
      </w:r>
    </w:p>
    <w:p w14:paraId="0CC8CCEB" w14:textId="77777777" w:rsidR="0022044D" w:rsidRDefault="002204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4D5FCE2-DE3E-4792-B7B5-105D2427D675}"/>
    <w:embedBold r:id="rId2" w:fontKey="{CB8C8CFE-621F-48B3-B250-CEAC1532E10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8C18905F-3DF9-49D6-896C-EF55F4A303CB}"/>
    <w:embedBold r:id="rId4" w:fontKey="{40801E14-A189-4DAB-AAE7-053847DC3BD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7435672-69B4-4DFF-B74B-3CFA415334A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82D91FA3-A246-4AFF-A181-85A54A40DBE3}"/>
    <w:embedItalic r:id="rId7" w:fontKey="{79A01257-D4FE-453F-8C0A-F5C467A8FFD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00ED39B4-B477-437A-B1E9-A5BEC870CD0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56A8E597-33BD-4FF6-B098-647D1F530307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0" w:fontKey="{B50DB95D-E1D3-4C33-BEF6-5EDDA50EF4E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2350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235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2350">
          <w:rPr>
            <w:noProof/>
          </w:rPr>
          <w:t>3</w:t>
        </w:r>
        <w:r>
          <w:fldChar w:fldCharType="end"/>
        </w:r>
      </w:p>
    </w:sdtContent>
  </w:sdt>
  <w:p w14:paraId="7283029C" w14:textId="77777777" w:rsidR="0049182E" w:rsidRDefault="0049182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4E4B8A" w14:textId="77777777" w:rsidR="0022044D" w:rsidRDefault="0022044D" w:rsidP="00A24126">
      <w:pPr>
        <w:spacing w:after="0" w:line="240" w:lineRule="auto"/>
      </w:pPr>
      <w:r>
        <w:separator/>
      </w:r>
    </w:p>
  </w:footnote>
  <w:footnote w:type="continuationSeparator" w:id="0">
    <w:p w14:paraId="1D51748B" w14:textId="77777777" w:rsidR="0022044D" w:rsidRDefault="0022044D" w:rsidP="00A24126">
      <w:pPr>
        <w:spacing w:after="0" w:line="240" w:lineRule="auto"/>
      </w:pPr>
      <w:r>
        <w:continuationSeparator/>
      </w:r>
    </w:p>
  </w:footnote>
  <w:footnote w:type="continuationNotice" w:id="1">
    <w:p w14:paraId="28B0EB34" w14:textId="77777777" w:rsidR="0022044D" w:rsidRDefault="0022044D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4F1BF4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20C34184" w:rsidR="00F32749" w:rsidRDefault="00E11D66" w:rsidP="00A24126">
    <w:pPr>
      <w:pStyle w:val="Nagwek"/>
      <w:tabs>
        <w:tab w:val="clear" w:pos="4536"/>
        <w:tab w:val="clear" w:pos="9072"/>
        <w:tab w:val="left" w:pos="4539"/>
      </w:tabs>
      <w:spacing w:before="240" w:after="40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DB5186D" wp14:editId="277705A2">
          <wp:extent cx="1073755" cy="468000"/>
          <wp:effectExtent l="0" t="0" r="0" b="8255"/>
          <wp:docPr id="48" name="Obraz 4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F434E9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667CC5A">
              <wp:simplePos x="0" y="0"/>
              <wp:positionH relativeFrom="column">
                <wp:posOffset>5287645</wp:posOffset>
              </wp:positionH>
              <wp:positionV relativeFrom="paragraph">
                <wp:posOffset>928700</wp:posOffset>
              </wp:positionV>
              <wp:extent cx="1432293" cy="336589"/>
              <wp:effectExtent l="0" t="0" r="0" b="6350"/>
              <wp:wrapNone/>
              <wp:docPr id="8" name="Pole tekstowe 2" descr="Data opublikowania informacji sygnalnej: 13.05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CFAEAB5" w:rsidR="00F37172" w:rsidRPr="00A01B40" w:rsidRDefault="004B2C7F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BB058C">
                            <w:t>3</w:t>
                          </w:r>
                          <w:r w:rsidR="00DE6B58">
                            <w:t>.</w:t>
                          </w:r>
                          <w:r>
                            <w:t>05.2022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opublikowania informacji sygnalnej: 13.05.2022 r." style="position:absolute;margin-left:416.35pt;margin-top:73.1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" filled="f" stroked="f">
              <v:textbox>
                <w:txbxContent>
                  <w:p w14:paraId="71967FEA" w14:textId="7CFAEAB5" w:rsidR="00F37172" w:rsidRPr="00A01B40" w:rsidRDefault="004B2C7F" w:rsidP="00F049AB">
                    <w:pPr>
                      <w:pStyle w:val="Datainformacjisygnalnej"/>
                    </w:pPr>
                    <w:r>
                      <w:t>1</w:t>
                    </w:r>
                    <w:r w:rsidR="00BB058C">
                      <w:t>3</w:t>
                    </w:r>
                    <w:r w:rsidR="00DE6B58">
                      <w:t>.</w:t>
                    </w:r>
                    <w:r>
                      <w:t>05.2022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A43F76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4AE5AF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CB505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8E4E9" w14:textId="77777777" w:rsidR="00607CC5" w:rsidRDefault="00607CC5">
    <w:pPr>
      <w:pStyle w:val="Nagwek"/>
    </w:pPr>
  </w:p>
  <w:p w14:paraId="3D072F83" w14:textId="77777777" w:rsidR="0049182E" w:rsidRDefault="0049182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5.4pt;height:126pt;visibility:visible;mso-wrap-style:square" o:bullet="t">
        <v:imagedata r:id="rId1" o:title=""/>
      </v:shape>
    </w:pict>
  </w:numPicBullet>
  <w:numPicBullet w:numPicBulletId="1">
    <w:pict>
      <v:shape id="_x0000_i1029" type="#_x0000_t75" style="width:125.4pt;height:12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1F19"/>
    <w:rsid w:val="00003437"/>
    <w:rsid w:val="00004950"/>
    <w:rsid w:val="000058C9"/>
    <w:rsid w:val="00006CA8"/>
    <w:rsid w:val="0000709F"/>
    <w:rsid w:val="000108B8"/>
    <w:rsid w:val="00010E99"/>
    <w:rsid w:val="00011C49"/>
    <w:rsid w:val="000152F5"/>
    <w:rsid w:val="000155A8"/>
    <w:rsid w:val="000274B9"/>
    <w:rsid w:val="00027508"/>
    <w:rsid w:val="000303B8"/>
    <w:rsid w:val="00030D3A"/>
    <w:rsid w:val="00035D11"/>
    <w:rsid w:val="00037CF6"/>
    <w:rsid w:val="00040551"/>
    <w:rsid w:val="00040745"/>
    <w:rsid w:val="000447D3"/>
    <w:rsid w:val="00044AAB"/>
    <w:rsid w:val="0004582E"/>
    <w:rsid w:val="000470AA"/>
    <w:rsid w:val="00050CDB"/>
    <w:rsid w:val="00054F00"/>
    <w:rsid w:val="00055C09"/>
    <w:rsid w:val="00057CA1"/>
    <w:rsid w:val="00062ED4"/>
    <w:rsid w:val="00063782"/>
    <w:rsid w:val="000647A9"/>
    <w:rsid w:val="00065FE1"/>
    <w:rsid w:val="000662E2"/>
    <w:rsid w:val="000664BE"/>
    <w:rsid w:val="00066883"/>
    <w:rsid w:val="00071B39"/>
    <w:rsid w:val="00074DD8"/>
    <w:rsid w:val="00075759"/>
    <w:rsid w:val="000806F7"/>
    <w:rsid w:val="00080B5A"/>
    <w:rsid w:val="0008291C"/>
    <w:rsid w:val="0008442F"/>
    <w:rsid w:val="00085C77"/>
    <w:rsid w:val="00092305"/>
    <w:rsid w:val="0009569A"/>
    <w:rsid w:val="000976CD"/>
    <w:rsid w:val="00097840"/>
    <w:rsid w:val="000A4B3D"/>
    <w:rsid w:val="000A6AC7"/>
    <w:rsid w:val="000B0727"/>
    <w:rsid w:val="000B0FBF"/>
    <w:rsid w:val="000C135D"/>
    <w:rsid w:val="000C1403"/>
    <w:rsid w:val="000C2BF9"/>
    <w:rsid w:val="000C5590"/>
    <w:rsid w:val="000C7BDB"/>
    <w:rsid w:val="000D0EDE"/>
    <w:rsid w:val="000D12D7"/>
    <w:rsid w:val="000D1D43"/>
    <w:rsid w:val="000D225C"/>
    <w:rsid w:val="000D2A5C"/>
    <w:rsid w:val="000D2CCD"/>
    <w:rsid w:val="000D39F0"/>
    <w:rsid w:val="000D6E83"/>
    <w:rsid w:val="000E0918"/>
    <w:rsid w:val="000E361C"/>
    <w:rsid w:val="000E6859"/>
    <w:rsid w:val="000E7759"/>
    <w:rsid w:val="000E79A9"/>
    <w:rsid w:val="000F70CE"/>
    <w:rsid w:val="001011C3"/>
    <w:rsid w:val="00103A16"/>
    <w:rsid w:val="00104235"/>
    <w:rsid w:val="00106818"/>
    <w:rsid w:val="00106DA3"/>
    <w:rsid w:val="00110214"/>
    <w:rsid w:val="00110D87"/>
    <w:rsid w:val="00112399"/>
    <w:rsid w:val="00114DB9"/>
    <w:rsid w:val="00115A47"/>
    <w:rsid w:val="00116087"/>
    <w:rsid w:val="001168F0"/>
    <w:rsid w:val="00117711"/>
    <w:rsid w:val="00120FFC"/>
    <w:rsid w:val="001217AD"/>
    <w:rsid w:val="00124232"/>
    <w:rsid w:val="0012588E"/>
    <w:rsid w:val="00130296"/>
    <w:rsid w:val="0013206D"/>
    <w:rsid w:val="00134145"/>
    <w:rsid w:val="001355CD"/>
    <w:rsid w:val="0013638B"/>
    <w:rsid w:val="00136736"/>
    <w:rsid w:val="00136D67"/>
    <w:rsid w:val="00136F9F"/>
    <w:rsid w:val="00137FED"/>
    <w:rsid w:val="001423B6"/>
    <w:rsid w:val="00142681"/>
    <w:rsid w:val="001448A7"/>
    <w:rsid w:val="00145A47"/>
    <w:rsid w:val="00146621"/>
    <w:rsid w:val="00147957"/>
    <w:rsid w:val="00150582"/>
    <w:rsid w:val="001519EA"/>
    <w:rsid w:val="00152145"/>
    <w:rsid w:val="00156D0E"/>
    <w:rsid w:val="00160B08"/>
    <w:rsid w:val="00161473"/>
    <w:rsid w:val="001617E3"/>
    <w:rsid w:val="00161FF9"/>
    <w:rsid w:val="00162228"/>
    <w:rsid w:val="00162325"/>
    <w:rsid w:val="0016665C"/>
    <w:rsid w:val="00166A9C"/>
    <w:rsid w:val="001671FD"/>
    <w:rsid w:val="00167388"/>
    <w:rsid w:val="00172DDA"/>
    <w:rsid w:val="0017307F"/>
    <w:rsid w:val="00173F2A"/>
    <w:rsid w:val="00176E4C"/>
    <w:rsid w:val="00183111"/>
    <w:rsid w:val="00183C9B"/>
    <w:rsid w:val="00185746"/>
    <w:rsid w:val="00186769"/>
    <w:rsid w:val="0019010E"/>
    <w:rsid w:val="00191A86"/>
    <w:rsid w:val="00194F49"/>
    <w:rsid w:val="001951DA"/>
    <w:rsid w:val="00197652"/>
    <w:rsid w:val="001A366E"/>
    <w:rsid w:val="001B053D"/>
    <w:rsid w:val="001B05E1"/>
    <w:rsid w:val="001B08EB"/>
    <w:rsid w:val="001B2FEE"/>
    <w:rsid w:val="001B482D"/>
    <w:rsid w:val="001B76F5"/>
    <w:rsid w:val="001B7829"/>
    <w:rsid w:val="001C1B70"/>
    <w:rsid w:val="001C3269"/>
    <w:rsid w:val="001C5F9C"/>
    <w:rsid w:val="001C781A"/>
    <w:rsid w:val="001D1163"/>
    <w:rsid w:val="001D19B6"/>
    <w:rsid w:val="001D1DB4"/>
    <w:rsid w:val="001D23F1"/>
    <w:rsid w:val="001D25F9"/>
    <w:rsid w:val="001D5171"/>
    <w:rsid w:val="001D61ED"/>
    <w:rsid w:val="001D6599"/>
    <w:rsid w:val="001D66D9"/>
    <w:rsid w:val="001E44A1"/>
    <w:rsid w:val="001E5B2D"/>
    <w:rsid w:val="001E6808"/>
    <w:rsid w:val="001F0F94"/>
    <w:rsid w:val="001F207C"/>
    <w:rsid w:val="001F4868"/>
    <w:rsid w:val="0020156C"/>
    <w:rsid w:val="002022A1"/>
    <w:rsid w:val="0020652E"/>
    <w:rsid w:val="00207A15"/>
    <w:rsid w:val="00211B1C"/>
    <w:rsid w:val="002129CE"/>
    <w:rsid w:val="00216082"/>
    <w:rsid w:val="00216634"/>
    <w:rsid w:val="0022044D"/>
    <w:rsid w:val="00222F28"/>
    <w:rsid w:val="002243E8"/>
    <w:rsid w:val="0022470A"/>
    <w:rsid w:val="00226A0A"/>
    <w:rsid w:val="00226AD8"/>
    <w:rsid w:val="002274CD"/>
    <w:rsid w:val="00230568"/>
    <w:rsid w:val="00232FFE"/>
    <w:rsid w:val="00233554"/>
    <w:rsid w:val="00236628"/>
    <w:rsid w:val="00240085"/>
    <w:rsid w:val="00242D31"/>
    <w:rsid w:val="00251719"/>
    <w:rsid w:val="0025481E"/>
    <w:rsid w:val="002574F9"/>
    <w:rsid w:val="00262B61"/>
    <w:rsid w:val="00262CC6"/>
    <w:rsid w:val="00263E08"/>
    <w:rsid w:val="00275B27"/>
    <w:rsid w:val="002766AC"/>
    <w:rsid w:val="00276811"/>
    <w:rsid w:val="0027681B"/>
    <w:rsid w:val="00276E2C"/>
    <w:rsid w:val="00282699"/>
    <w:rsid w:val="00283160"/>
    <w:rsid w:val="0028322E"/>
    <w:rsid w:val="0028345B"/>
    <w:rsid w:val="002926DF"/>
    <w:rsid w:val="00292E2B"/>
    <w:rsid w:val="00294EDA"/>
    <w:rsid w:val="00295C63"/>
    <w:rsid w:val="00296697"/>
    <w:rsid w:val="002971B1"/>
    <w:rsid w:val="002A15BE"/>
    <w:rsid w:val="002A220C"/>
    <w:rsid w:val="002A22B4"/>
    <w:rsid w:val="002A2E23"/>
    <w:rsid w:val="002A4E49"/>
    <w:rsid w:val="002A5594"/>
    <w:rsid w:val="002A5EB5"/>
    <w:rsid w:val="002B01EE"/>
    <w:rsid w:val="002B0472"/>
    <w:rsid w:val="002B0834"/>
    <w:rsid w:val="002B2286"/>
    <w:rsid w:val="002B698B"/>
    <w:rsid w:val="002B6B12"/>
    <w:rsid w:val="002B7C57"/>
    <w:rsid w:val="002C21F0"/>
    <w:rsid w:val="002C4011"/>
    <w:rsid w:val="002C6165"/>
    <w:rsid w:val="002D01DF"/>
    <w:rsid w:val="002D3358"/>
    <w:rsid w:val="002D3929"/>
    <w:rsid w:val="002D6D35"/>
    <w:rsid w:val="002E0FA9"/>
    <w:rsid w:val="002E2FEB"/>
    <w:rsid w:val="002E3157"/>
    <w:rsid w:val="002E33AE"/>
    <w:rsid w:val="002E3D06"/>
    <w:rsid w:val="002E3EB3"/>
    <w:rsid w:val="002E6140"/>
    <w:rsid w:val="002E6985"/>
    <w:rsid w:val="002E71B6"/>
    <w:rsid w:val="002F35F6"/>
    <w:rsid w:val="002F38E1"/>
    <w:rsid w:val="002F77C8"/>
    <w:rsid w:val="00304F22"/>
    <w:rsid w:val="00306C7C"/>
    <w:rsid w:val="00311810"/>
    <w:rsid w:val="00311EBD"/>
    <w:rsid w:val="0031403C"/>
    <w:rsid w:val="00314286"/>
    <w:rsid w:val="00314B47"/>
    <w:rsid w:val="00314CDF"/>
    <w:rsid w:val="00314F86"/>
    <w:rsid w:val="003172FD"/>
    <w:rsid w:val="00317AAF"/>
    <w:rsid w:val="00317F4D"/>
    <w:rsid w:val="00321BD4"/>
    <w:rsid w:val="00321ED3"/>
    <w:rsid w:val="00322EDD"/>
    <w:rsid w:val="0032639C"/>
    <w:rsid w:val="003309FA"/>
    <w:rsid w:val="00332320"/>
    <w:rsid w:val="00334A95"/>
    <w:rsid w:val="00336830"/>
    <w:rsid w:val="00340832"/>
    <w:rsid w:val="00344C6F"/>
    <w:rsid w:val="00347D72"/>
    <w:rsid w:val="00353F45"/>
    <w:rsid w:val="00357611"/>
    <w:rsid w:val="00361CA1"/>
    <w:rsid w:val="0036432A"/>
    <w:rsid w:val="00364AF9"/>
    <w:rsid w:val="00366234"/>
    <w:rsid w:val="00367237"/>
    <w:rsid w:val="00367C94"/>
    <w:rsid w:val="00370332"/>
    <w:rsid w:val="003706C5"/>
    <w:rsid w:val="0037077F"/>
    <w:rsid w:val="00372411"/>
    <w:rsid w:val="00372EC8"/>
    <w:rsid w:val="003731CA"/>
    <w:rsid w:val="00373882"/>
    <w:rsid w:val="003747A3"/>
    <w:rsid w:val="00374BDF"/>
    <w:rsid w:val="00375B4F"/>
    <w:rsid w:val="00380D22"/>
    <w:rsid w:val="0038138D"/>
    <w:rsid w:val="0038148E"/>
    <w:rsid w:val="00383164"/>
    <w:rsid w:val="0038416B"/>
    <w:rsid w:val="003843DB"/>
    <w:rsid w:val="00392A92"/>
    <w:rsid w:val="00393761"/>
    <w:rsid w:val="00394E26"/>
    <w:rsid w:val="00395AA9"/>
    <w:rsid w:val="00396691"/>
    <w:rsid w:val="00397D18"/>
    <w:rsid w:val="00397D9C"/>
    <w:rsid w:val="00397E86"/>
    <w:rsid w:val="003A1B36"/>
    <w:rsid w:val="003A2067"/>
    <w:rsid w:val="003A28B2"/>
    <w:rsid w:val="003A3E62"/>
    <w:rsid w:val="003A4EB4"/>
    <w:rsid w:val="003A4EDC"/>
    <w:rsid w:val="003A5DAA"/>
    <w:rsid w:val="003B1454"/>
    <w:rsid w:val="003B18B6"/>
    <w:rsid w:val="003B6819"/>
    <w:rsid w:val="003B6E3E"/>
    <w:rsid w:val="003B7E39"/>
    <w:rsid w:val="003C161B"/>
    <w:rsid w:val="003C4DE2"/>
    <w:rsid w:val="003C59E0"/>
    <w:rsid w:val="003C6C8D"/>
    <w:rsid w:val="003D1B68"/>
    <w:rsid w:val="003D2656"/>
    <w:rsid w:val="003D2D74"/>
    <w:rsid w:val="003D46CE"/>
    <w:rsid w:val="003D4F95"/>
    <w:rsid w:val="003D52CE"/>
    <w:rsid w:val="003D5F42"/>
    <w:rsid w:val="003D60A9"/>
    <w:rsid w:val="003E32DC"/>
    <w:rsid w:val="003E3775"/>
    <w:rsid w:val="003E76F6"/>
    <w:rsid w:val="003F27CF"/>
    <w:rsid w:val="003F2FE3"/>
    <w:rsid w:val="003F4087"/>
    <w:rsid w:val="003F4C97"/>
    <w:rsid w:val="003F666D"/>
    <w:rsid w:val="003F67A8"/>
    <w:rsid w:val="003F7FE6"/>
    <w:rsid w:val="00400193"/>
    <w:rsid w:val="00401725"/>
    <w:rsid w:val="004020C3"/>
    <w:rsid w:val="004026E8"/>
    <w:rsid w:val="00402A0E"/>
    <w:rsid w:val="0040679B"/>
    <w:rsid w:val="00410F60"/>
    <w:rsid w:val="00414284"/>
    <w:rsid w:val="00416EAF"/>
    <w:rsid w:val="00420D79"/>
    <w:rsid w:val="004212E7"/>
    <w:rsid w:val="00423C88"/>
    <w:rsid w:val="0042446D"/>
    <w:rsid w:val="00426127"/>
    <w:rsid w:val="00426D04"/>
    <w:rsid w:val="00427222"/>
    <w:rsid w:val="00427BF8"/>
    <w:rsid w:val="00431C02"/>
    <w:rsid w:val="00434413"/>
    <w:rsid w:val="00435E5F"/>
    <w:rsid w:val="00437395"/>
    <w:rsid w:val="0043748C"/>
    <w:rsid w:val="00441F3A"/>
    <w:rsid w:val="0044358B"/>
    <w:rsid w:val="00445047"/>
    <w:rsid w:val="004453A7"/>
    <w:rsid w:val="00446749"/>
    <w:rsid w:val="004504D3"/>
    <w:rsid w:val="00453EB7"/>
    <w:rsid w:val="0045601C"/>
    <w:rsid w:val="00457427"/>
    <w:rsid w:val="00460DBB"/>
    <w:rsid w:val="00462B9B"/>
    <w:rsid w:val="00463E39"/>
    <w:rsid w:val="00464953"/>
    <w:rsid w:val="0046511B"/>
    <w:rsid w:val="0046550F"/>
    <w:rsid w:val="004657FC"/>
    <w:rsid w:val="004724DD"/>
    <w:rsid w:val="004726FC"/>
    <w:rsid w:val="004733F6"/>
    <w:rsid w:val="004738DA"/>
    <w:rsid w:val="00474C4F"/>
    <w:rsid w:val="00474D1C"/>
    <w:rsid w:val="00474E69"/>
    <w:rsid w:val="00476DFE"/>
    <w:rsid w:val="00483E9F"/>
    <w:rsid w:val="00485508"/>
    <w:rsid w:val="00485A2C"/>
    <w:rsid w:val="00490CE8"/>
    <w:rsid w:val="00490DC1"/>
    <w:rsid w:val="00491067"/>
    <w:rsid w:val="0049182E"/>
    <w:rsid w:val="00491BE7"/>
    <w:rsid w:val="00492279"/>
    <w:rsid w:val="0049621B"/>
    <w:rsid w:val="00496DA2"/>
    <w:rsid w:val="00497C65"/>
    <w:rsid w:val="004A0783"/>
    <w:rsid w:val="004A18F6"/>
    <w:rsid w:val="004A1D19"/>
    <w:rsid w:val="004A2E15"/>
    <w:rsid w:val="004A38B9"/>
    <w:rsid w:val="004B0379"/>
    <w:rsid w:val="004B2C7F"/>
    <w:rsid w:val="004B4598"/>
    <w:rsid w:val="004B529A"/>
    <w:rsid w:val="004B5575"/>
    <w:rsid w:val="004B6EFF"/>
    <w:rsid w:val="004C06BF"/>
    <w:rsid w:val="004C0A4C"/>
    <w:rsid w:val="004C16C8"/>
    <w:rsid w:val="004C1895"/>
    <w:rsid w:val="004C26B4"/>
    <w:rsid w:val="004C6D40"/>
    <w:rsid w:val="004D16DB"/>
    <w:rsid w:val="004D575D"/>
    <w:rsid w:val="004E151E"/>
    <w:rsid w:val="004E168F"/>
    <w:rsid w:val="004E25C0"/>
    <w:rsid w:val="004E51FD"/>
    <w:rsid w:val="004E6AA8"/>
    <w:rsid w:val="004F0C3C"/>
    <w:rsid w:val="004F2062"/>
    <w:rsid w:val="004F2280"/>
    <w:rsid w:val="004F23BB"/>
    <w:rsid w:val="004F63FC"/>
    <w:rsid w:val="004F7612"/>
    <w:rsid w:val="004F7636"/>
    <w:rsid w:val="005001A5"/>
    <w:rsid w:val="00505A92"/>
    <w:rsid w:val="00507031"/>
    <w:rsid w:val="00507B47"/>
    <w:rsid w:val="005125D5"/>
    <w:rsid w:val="005203F1"/>
    <w:rsid w:val="00521BC3"/>
    <w:rsid w:val="00522EE9"/>
    <w:rsid w:val="00524384"/>
    <w:rsid w:val="00525201"/>
    <w:rsid w:val="00531E54"/>
    <w:rsid w:val="0053270E"/>
    <w:rsid w:val="00533632"/>
    <w:rsid w:val="00533DA9"/>
    <w:rsid w:val="00534013"/>
    <w:rsid w:val="0053515E"/>
    <w:rsid w:val="00540C5C"/>
    <w:rsid w:val="00540FBC"/>
    <w:rsid w:val="00541E6E"/>
    <w:rsid w:val="0054251F"/>
    <w:rsid w:val="00547225"/>
    <w:rsid w:val="005501C5"/>
    <w:rsid w:val="005520D8"/>
    <w:rsid w:val="00555CFB"/>
    <w:rsid w:val="00556CF1"/>
    <w:rsid w:val="00565C23"/>
    <w:rsid w:val="00565D80"/>
    <w:rsid w:val="00570464"/>
    <w:rsid w:val="005706AD"/>
    <w:rsid w:val="00574C5B"/>
    <w:rsid w:val="00574D6F"/>
    <w:rsid w:val="005762A7"/>
    <w:rsid w:val="00587032"/>
    <w:rsid w:val="00587CEE"/>
    <w:rsid w:val="005916D7"/>
    <w:rsid w:val="00591F9E"/>
    <w:rsid w:val="00593F6A"/>
    <w:rsid w:val="0059427F"/>
    <w:rsid w:val="0059618B"/>
    <w:rsid w:val="005A0D5F"/>
    <w:rsid w:val="005A36F9"/>
    <w:rsid w:val="005A44F9"/>
    <w:rsid w:val="005A698C"/>
    <w:rsid w:val="005A77D0"/>
    <w:rsid w:val="005B02C5"/>
    <w:rsid w:val="005B3056"/>
    <w:rsid w:val="005B3EEB"/>
    <w:rsid w:val="005B726E"/>
    <w:rsid w:val="005C059E"/>
    <w:rsid w:val="005C0CAC"/>
    <w:rsid w:val="005C2AD4"/>
    <w:rsid w:val="005D0215"/>
    <w:rsid w:val="005D062E"/>
    <w:rsid w:val="005D7D98"/>
    <w:rsid w:val="005E0799"/>
    <w:rsid w:val="005E10F9"/>
    <w:rsid w:val="005E1200"/>
    <w:rsid w:val="005E1344"/>
    <w:rsid w:val="005E715E"/>
    <w:rsid w:val="005F17B2"/>
    <w:rsid w:val="005F236E"/>
    <w:rsid w:val="005F249E"/>
    <w:rsid w:val="005F36C6"/>
    <w:rsid w:val="005F45EE"/>
    <w:rsid w:val="005F5178"/>
    <w:rsid w:val="005F5A80"/>
    <w:rsid w:val="00600803"/>
    <w:rsid w:val="00602FB9"/>
    <w:rsid w:val="006044FF"/>
    <w:rsid w:val="00607CC5"/>
    <w:rsid w:val="0061179B"/>
    <w:rsid w:val="006119A3"/>
    <w:rsid w:val="006119BB"/>
    <w:rsid w:val="00612249"/>
    <w:rsid w:val="006125F9"/>
    <w:rsid w:val="00612702"/>
    <w:rsid w:val="00612985"/>
    <w:rsid w:val="0061444B"/>
    <w:rsid w:val="00615698"/>
    <w:rsid w:val="00615EF2"/>
    <w:rsid w:val="00621253"/>
    <w:rsid w:val="00621B3A"/>
    <w:rsid w:val="0062680F"/>
    <w:rsid w:val="00627328"/>
    <w:rsid w:val="006279CA"/>
    <w:rsid w:val="00633014"/>
    <w:rsid w:val="00633795"/>
    <w:rsid w:val="0063437B"/>
    <w:rsid w:val="006363CB"/>
    <w:rsid w:val="0063647A"/>
    <w:rsid w:val="0064017E"/>
    <w:rsid w:val="00644A2E"/>
    <w:rsid w:val="00645639"/>
    <w:rsid w:val="00650B75"/>
    <w:rsid w:val="00654BB6"/>
    <w:rsid w:val="0065539A"/>
    <w:rsid w:val="0066024C"/>
    <w:rsid w:val="006630DE"/>
    <w:rsid w:val="00664E40"/>
    <w:rsid w:val="0066602E"/>
    <w:rsid w:val="00666546"/>
    <w:rsid w:val="00666D02"/>
    <w:rsid w:val="006673CA"/>
    <w:rsid w:val="00667C75"/>
    <w:rsid w:val="00673C26"/>
    <w:rsid w:val="00674DE5"/>
    <w:rsid w:val="00675EC0"/>
    <w:rsid w:val="00677785"/>
    <w:rsid w:val="00677ACA"/>
    <w:rsid w:val="006812AF"/>
    <w:rsid w:val="00683048"/>
    <w:rsid w:val="0068327D"/>
    <w:rsid w:val="00683ED7"/>
    <w:rsid w:val="006904AF"/>
    <w:rsid w:val="00691534"/>
    <w:rsid w:val="00693880"/>
    <w:rsid w:val="00693A76"/>
    <w:rsid w:val="00694AF0"/>
    <w:rsid w:val="0069569D"/>
    <w:rsid w:val="006970C9"/>
    <w:rsid w:val="006979A2"/>
    <w:rsid w:val="006A15BD"/>
    <w:rsid w:val="006A4345"/>
    <w:rsid w:val="006A43B6"/>
    <w:rsid w:val="006A4686"/>
    <w:rsid w:val="006A5A33"/>
    <w:rsid w:val="006A5CE3"/>
    <w:rsid w:val="006A7433"/>
    <w:rsid w:val="006B0E9E"/>
    <w:rsid w:val="006B252A"/>
    <w:rsid w:val="006B486D"/>
    <w:rsid w:val="006B5AE4"/>
    <w:rsid w:val="006B6253"/>
    <w:rsid w:val="006B6BD0"/>
    <w:rsid w:val="006B7DC8"/>
    <w:rsid w:val="006C3796"/>
    <w:rsid w:val="006C6B2D"/>
    <w:rsid w:val="006D1507"/>
    <w:rsid w:val="006D1C80"/>
    <w:rsid w:val="006D1EAB"/>
    <w:rsid w:val="006D25C1"/>
    <w:rsid w:val="006D4054"/>
    <w:rsid w:val="006D7DAF"/>
    <w:rsid w:val="006E02EC"/>
    <w:rsid w:val="006E0416"/>
    <w:rsid w:val="006E24F0"/>
    <w:rsid w:val="006E3C4F"/>
    <w:rsid w:val="006E4698"/>
    <w:rsid w:val="006E48EB"/>
    <w:rsid w:val="006E4A84"/>
    <w:rsid w:val="006E5C74"/>
    <w:rsid w:val="006E6F41"/>
    <w:rsid w:val="006E73E6"/>
    <w:rsid w:val="006F01A4"/>
    <w:rsid w:val="006F1184"/>
    <w:rsid w:val="006F5C71"/>
    <w:rsid w:val="006F601F"/>
    <w:rsid w:val="00704F09"/>
    <w:rsid w:val="007055EE"/>
    <w:rsid w:val="00710E2A"/>
    <w:rsid w:val="0071166E"/>
    <w:rsid w:val="007125CD"/>
    <w:rsid w:val="00714B17"/>
    <w:rsid w:val="0071751F"/>
    <w:rsid w:val="0071796E"/>
    <w:rsid w:val="007211B1"/>
    <w:rsid w:val="00723F4D"/>
    <w:rsid w:val="00724662"/>
    <w:rsid w:val="007277DA"/>
    <w:rsid w:val="00730C98"/>
    <w:rsid w:val="00731D27"/>
    <w:rsid w:val="0073272D"/>
    <w:rsid w:val="0074260F"/>
    <w:rsid w:val="007448BF"/>
    <w:rsid w:val="00746187"/>
    <w:rsid w:val="00746E7E"/>
    <w:rsid w:val="0075132A"/>
    <w:rsid w:val="00751A2D"/>
    <w:rsid w:val="00751ACA"/>
    <w:rsid w:val="00757D0B"/>
    <w:rsid w:val="00760C0B"/>
    <w:rsid w:val="0076254F"/>
    <w:rsid w:val="00764C3A"/>
    <w:rsid w:val="00766ACE"/>
    <w:rsid w:val="007732DE"/>
    <w:rsid w:val="00773792"/>
    <w:rsid w:val="007801F5"/>
    <w:rsid w:val="00783948"/>
    <w:rsid w:val="00783CA4"/>
    <w:rsid w:val="00783EA5"/>
    <w:rsid w:val="0078419D"/>
    <w:rsid w:val="007842FB"/>
    <w:rsid w:val="00786124"/>
    <w:rsid w:val="007877B0"/>
    <w:rsid w:val="007879CB"/>
    <w:rsid w:val="00790504"/>
    <w:rsid w:val="0079202F"/>
    <w:rsid w:val="0079514B"/>
    <w:rsid w:val="00795252"/>
    <w:rsid w:val="007A1D76"/>
    <w:rsid w:val="007A23D5"/>
    <w:rsid w:val="007A2DC1"/>
    <w:rsid w:val="007A5C75"/>
    <w:rsid w:val="007B3BF0"/>
    <w:rsid w:val="007C0A46"/>
    <w:rsid w:val="007C40A3"/>
    <w:rsid w:val="007C543B"/>
    <w:rsid w:val="007C6104"/>
    <w:rsid w:val="007C6D13"/>
    <w:rsid w:val="007C7117"/>
    <w:rsid w:val="007D0196"/>
    <w:rsid w:val="007D0869"/>
    <w:rsid w:val="007D14C4"/>
    <w:rsid w:val="007D3319"/>
    <w:rsid w:val="007D335D"/>
    <w:rsid w:val="007D605C"/>
    <w:rsid w:val="007D7191"/>
    <w:rsid w:val="007E3094"/>
    <w:rsid w:val="007E3314"/>
    <w:rsid w:val="007E3514"/>
    <w:rsid w:val="007E46EB"/>
    <w:rsid w:val="007E4B03"/>
    <w:rsid w:val="007E6B00"/>
    <w:rsid w:val="007E6D8C"/>
    <w:rsid w:val="007F1651"/>
    <w:rsid w:val="007F324B"/>
    <w:rsid w:val="007F3C65"/>
    <w:rsid w:val="007F5CAE"/>
    <w:rsid w:val="007F5E59"/>
    <w:rsid w:val="007F5F9C"/>
    <w:rsid w:val="007F7073"/>
    <w:rsid w:val="00800972"/>
    <w:rsid w:val="008037E1"/>
    <w:rsid w:val="00803E73"/>
    <w:rsid w:val="008048AC"/>
    <w:rsid w:val="0080553C"/>
    <w:rsid w:val="0080576C"/>
    <w:rsid w:val="00805B46"/>
    <w:rsid w:val="00805DB4"/>
    <w:rsid w:val="0080707A"/>
    <w:rsid w:val="00812CF9"/>
    <w:rsid w:val="00814720"/>
    <w:rsid w:val="00823593"/>
    <w:rsid w:val="00824F7C"/>
    <w:rsid w:val="00825DC2"/>
    <w:rsid w:val="00830FAD"/>
    <w:rsid w:val="008313DB"/>
    <w:rsid w:val="00832070"/>
    <w:rsid w:val="00833FCE"/>
    <w:rsid w:val="00834473"/>
    <w:rsid w:val="008345B9"/>
    <w:rsid w:val="00834AD3"/>
    <w:rsid w:val="00835D9E"/>
    <w:rsid w:val="00842F75"/>
    <w:rsid w:val="00843795"/>
    <w:rsid w:val="00847F0F"/>
    <w:rsid w:val="00850005"/>
    <w:rsid w:val="0085113B"/>
    <w:rsid w:val="00852448"/>
    <w:rsid w:val="00860EF7"/>
    <w:rsid w:val="00861DAC"/>
    <w:rsid w:val="0086252D"/>
    <w:rsid w:val="008638C3"/>
    <w:rsid w:val="008662CE"/>
    <w:rsid w:val="008710A0"/>
    <w:rsid w:val="00872C36"/>
    <w:rsid w:val="008746F1"/>
    <w:rsid w:val="00877F6C"/>
    <w:rsid w:val="0088258A"/>
    <w:rsid w:val="00882DBC"/>
    <w:rsid w:val="00886332"/>
    <w:rsid w:val="00891F70"/>
    <w:rsid w:val="008925F0"/>
    <w:rsid w:val="008933D9"/>
    <w:rsid w:val="0089448A"/>
    <w:rsid w:val="0089664E"/>
    <w:rsid w:val="00896B7E"/>
    <w:rsid w:val="00897877"/>
    <w:rsid w:val="008A124A"/>
    <w:rsid w:val="008A26D9"/>
    <w:rsid w:val="008A2A6B"/>
    <w:rsid w:val="008A386A"/>
    <w:rsid w:val="008A57B2"/>
    <w:rsid w:val="008A7B5B"/>
    <w:rsid w:val="008A7E7A"/>
    <w:rsid w:val="008B0AF7"/>
    <w:rsid w:val="008B0F4D"/>
    <w:rsid w:val="008B12D2"/>
    <w:rsid w:val="008B22D2"/>
    <w:rsid w:val="008B2369"/>
    <w:rsid w:val="008B36F9"/>
    <w:rsid w:val="008B3E4F"/>
    <w:rsid w:val="008C06D3"/>
    <w:rsid w:val="008C0C29"/>
    <w:rsid w:val="008C5494"/>
    <w:rsid w:val="008C5DD0"/>
    <w:rsid w:val="008C6FB1"/>
    <w:rsid w:val="008C738C"/>
    <w:rsid w:val="008D02DA"/>
    <w:rsid w:val="008D06FE"/>
    <w:rsid w:val="008D1A4A"/>
    <w:rsid w:val="008D315D"/>
    <w:rsid w:val="008D516E"/>
    <w:rsid w:val="008D5517"/>
    <w:rsid w:val="008D6562"/>
    <w:rsid w:val="008D6DBA"/>
    <w:rsid w:val="008D76BC"/>
    <w:rsid w:val="008D7DD9"/>
    <w:rsid w:val="008E3DD6"/>
    <w:rsid w:val="008E730F"/>
    <w:rsid w:val="008E7DBA"/>
    <w:rsid w:val="008F0829"/>
    <w:rsid w:val="008F0D2C"/>
    <w:rsid w:val="008F1527"/>
    <w:rsid w:val="008F3638"/>
    <w:rsid w:val="008F3F11"/>
    <w:rsid w:val="008F4441"/>
    <w:rsid w:val="008F4819"/>
    <w:rsid w:val="008F5031"/>
    <w:rsid w:val="008F59BB"/>
    <w:rsid w:val="008F5A1D"/>
    <w:rsid w:val="008F6B20"/>
    <w:rsid w:val="008F6F31"/>
    <w:rsid w:val="008F74DF"/>
    <w:rsid w:val="008F78F1"/>
    <w:rsid w:val="00900E42"/>
    <w:rsid w:val="009012E2"/>
    <w:rsid w:val="00902274"/>
    <w:rsid w:val="009024DC"/>
    <w:rsid w:val="00902843"/>
    <w:rsid w:val="00904786"/>
    <w:rsid w:val="00910D95"/>
    <w:rsid w:val="009117D3"/>
    <w:rsid w:val="009127BA"/>
    <w:rsid w:val="009158F3"/>
    <w:rsid w:val="0091696D"/>
    <w:rsid w:val="00917CF6"/>
    <w:rsid w:val="00920AAE"/>
    <w:rsid w:val="009227A6"/>
    <w:rsid w:val="00922ACF"/>
    <w:rsid w:val="009238C5"/>
    <w:rsid w:val="00923EC8"/>
    <w:rsid w:val="00933EC1"/>
    <w:rsid w:val="00934F67"/>
    <w:rsid w:val="0093548F"/>
    <w:rsid w:val="00935D17"/>
    <w:rsid w:val="00935F21"/>
    <w:rsid w:val="009365CE"/>
    <w:rsid w:val="0093798E"/>
    <w:rsid w:val="00940A0D"/>
    <w:rsid w:val="009439D1"/>
    <w:rsid w:val="009446AD"/>
    <w:rsid w:val="009463FC"/>
    <w:rsid w:val="00950FE4"/>
    <w:rsid w:val="009530DB"/>
    <w:rsid w:val="00953168"/>
    <w:rsid w:val="00953676"/>
    <w:rsid w:val="00953CCC"/>
    <w:rsid w:val="00956F30"/>
    <w:rsid w:val="00957402"/>
    <w:rsid w:val="00957547"/>
    <w:rsid w:val="0096096E"/>
    <w:rsid w:val="00966C9A"/>
    <w:rsid w:val="00967DE6"/>
    <w:rsid w:val="00967F1D"/>
    <w:rsid w:val="009705EE"/>
    <w:rsid w:val="00974D2C"/>
    <w:rsid w:val="00975589"/>
    <w:rsid w:val="00977927"/>
    <w:rsid w:val="0098056B"/>
    <w:rsid w:val="0098135C"/>
    <w:rsid w:val="0098156A"/>
    <w:rsid w:val="00982A61"/>
    <w:rsid w:val="009841B3"/>
    <w:rsid w:val="00987AD1"/>
    <w:rsid w:val="00987C09"/>
    <w:rsid w:val="00990C30"/>
    <w:rsid w:val="00991422"/>
    <w:rsid w:val="00991BAC"/>
    <w:rsid w:val="00993011"/>
    <w:rsid w:val="00994B13"/>
    <w:rsid w:val="00994FA1"/>
    <w:rsid w:val="009A0551"/>
    <w:rsid w:val="009A4256"/>
    <w:rsid w:val="009A6EA0"/>
    <w:rsid w:val="009A7D3F"/>
    <w:rsid w:val="009B02E1"/>
    <w:rsid w:val="009B4C2E"/>
    <w:rsid w:val="009B7573"/>
    <w:rsid w:val="009C1335"/>
    <w:rsid w:val="009C1964"/>
    <w:rsid w:val="009C1AB2"/>
    <w:rsid w:val="009C660E"/>
    <w:rsid w:val="009C68F3"/>
    <w:rsid w:val="009C7251"/>
    <w:rsid w:val="009C7767"/>
    <w:rsid w:val="009D35B4"/>
    <w:rsid w:val="009D45A5"/>
    <w:rsid w:val="009D5D68"/>
    <w:rsid w:val="009D5E93"/>
    <w:rsid w:val="009D6FDF"/>
    <w:rsid w:val="009E2B7B"/>
    <w:rsid w:val="009E2E91"/>
    <w:rsid w:val="009E504E"/>
    <w:rsid w:val="009E56EF"/>
    <w:rsid w:val="009E63C4"/>
    <w:rsid w:val="009F448E"/>
    <w:rsid w:val="009F539A"/>
    <w:rsid w:val="009F7A32"/>
    <w:rsid w:val="00A01B40"/>
    <w:rsid w:val="00A044BF"/>
    <w:rsid w:val="00A1220D"/>
    <w:rsid w:val="00A139F5"/>
    <w:rsid w:val="00A165D1"/>
    <w:rsid w:val="00A16EA2"/>
    <w:rsid w:val="00A23B05"/>
    <w:rsid w:val="00A24126"/>
    <w:rsid w:val="00A25385"/>
    <w:rsid w:val="00A27483"/>
    <w:rsid w:val="00A279B1"/>
    <w:rsid w:val="00A30825"/>
    <w:rsid w:val="00A30FE5"/>
    <w:rsid w:val="00A32E16"/>
    <w:rsid w:val="00A32E28"/>
    <w:rsid w:val="00A33111"/>
    <w:rsid w:val="00A33438"/>
    <w:rsid w:val="00A365F4"/>
    <w:rsid w:val="00A37C40"/>
    <w:rsid w:val="00A46A60"/>
    <w:rsid w:val="00A47858"/>
    <w:rsid w:val="00A47D80"/>
    <w:rsid w:val="00A53132"/>
    <w:rsid w:val="00A53B0F"/>
    <w:rsid w:val="00A563F2"/>
    <w:rsid w:val="00A566E8"/>
    <w:rsid w:val="00A56F1A"/>
    <w:rsid w:val="00A60C2F"/>
    <w:rsid w:val="00A61067"/>
    <w:rsid w:val="00A64054"/>
    <w:rsid w:val="00A6407D"/>
    <w:rsid w:val="00A66347"/>
    <w:rsid w:val="00A71532"/>
    <w:rsid w:val="00A7394C"/>
    <w:rsid w:val="00A765F5"/>
    <w:rsid w:val="00A80018"/>
    <w:rsid w:val="00A810F9"/>
    <w:rsid w:val="00A82825"/>
    <w:rsid w:val="00A82D31"/>
    <w:rsid w:val="00A83379"/>
    <w:rsid w:val="00A83CBC"/>
    <w:rsid w:val="00A83EC3"/>
    <w:rsid w:val="00A85E7E"/>
    <w:rsid w:val="00A86ECC"/>
    <w:rsid w:val="00A86FCC"/>
    <w:rsid w:val="00A87CBC"/>
    <w:rsid w:val="00A906E9"/>
    <w:rsid w:val="00A90A6D"/>
    <w:rsid w:val="00A90BBE"/>
    <w:rsid w:val="00A90C6B"/>
    <w:rsid w:val="00A92120"/>
    <w:rsid w:val="00A92EB9"/>
    <w:rsid w:val="00A930E6"/>
    <w:rsid w:val="00A942C3"/>
    <w:rsid w:val="00A94B4A"/>
    <w:rsid w:val="00A951B7"/>
    <w:rsid w:val="00A95473"/>
    <w:rsid w:val="00A9580A"/>
    <w:rsid w:val="00A95A9A"/>
    <w:rsid w:val="00A971E5"/>
    <w:rsid w:val="00A97264"/>
    <w:rsid w:val="00AA0383"/>
    <w:rsid w:val="00AA1A49"/>
    <w:rsid w:val="00AA42B6"/>
    <w:rsid w:val="00AA4B02"/>
    <w:rsid w:val="00AA576E"/>
    <w:rsid w:val="00AA710D"/>
    <w:rsid w:val="00AA71EE"/>
    <w:rsid w:val="00AA7516"/>
    <w:rsid w:val="00AA79EE"/>
    <w:rsid w:val="00AA7C26"/>
    <w:rsid w:val="00AB21C3"/>
    <w:rsid w:val="00AB2A3B"/>
    <w:rsid w:val="00AB3886"/>
    <w:rsid w:val="00AB5328"/>
    <w:rsid w:val="00AB64F3"/>
    <w:rsid w:val="00AB6C74"/>
    <w:rsid w:val="00AB6CC5"/>
    <w:rsid w:val="00AB6D25"/>
    <w:rsid w:val="00AB7808"/>
    <w:rsid w:val="00AC2C93"/>
    <w:rsid w:val="00AC2ED5"/>
    <w:rsid w:val="00AC3859"/>
    <w:rsid w:val="00AC4401"/>
    <w:rsid w:val="00AC59A2"/>
    <w:rsid w:val="00AC726D"/>
    <w:rsid w:val="00AD0A78"/>
    <w:rsid w:val="00AD0E56"/>
    <w:rsid w:val="00AD26A3"/>
    <w:rsid w:val="00AD3F33"/>
    <w:rsid w:val="00AD4B1D"/>
    <w:rsid w:val="00AD5035"/>
    <w:rsid w:val="00AD5075"/>
    <w:rsid w:val="00AD7D81"/>
    <w:rsid w:val="00AE229B"/>
    <w:rsid w:val="00AE2D4B"/>
    <w:rsid w:val="00AE4511"/>
    <w:rsid w:val="00AE4C59"/>
    <w:rsid w:val="00AE4F83"/>
    <w:rsid w:val="00AE4F99"/>
    <w:rsid w:val="00AF023E"/>
    <w:rsid w:val="00AF04A2"/>
    <w:rsid w:val="00AF38C8"/>
    <w:rsid w:val="00AF6AC4"/>
    <w:rsid w:val="00AF7157"/>
    <w:rsid w:val="00B0327A"/>
    <w:rsid w:val="00B071A5"/>
    <w:rsid w:val="00B11B69"/>
    <w:rsid w:val="00B11C15"/>
    <w:rsid w:val="00B120FE"/>
    <w:rsid w:val="00B1364C"/>
    <w:rsid w:val="00B14952"/>
    <w:rsid w:val="00B16871"/>
    <w:rsid w:val="00B21072"/>
    <w:rsid w:val="00B25B45"/>
    <w:rsid w:val="00B25C0E"/>
    <w:rsid w:val="00B260C7"/>
    <w:rsid w:val="00B2653A"/>
    <w:rsid w:val="00B265F2"/>
    <w:rsid w:val="00B269E5"/>
    <w:rsid w:val="00B26AC4"/>
    <w:rsid w:val="00B31482"/>
    <w:rsid w:val="00B31E5A"/>
    <w:rsid w:val="00B37B03"/>
    <w:rsid w:val="00B40589"/>
    <w:rsid w:val="00B43B91"/>
    <w:rsid w:val="00B44F6F"/>
    <w:rsid w:val="00B47359"/>
    <w:rsid w:val="00B501F2"/>
    <w:rsid w:val="00B573E6"/>
    <w:rsid w:val="00B62523"/>
    <w:rsid w:val="00B64E50"/>
    <w:rsid w:val="00B653AB"/>
    <w:rsid w:val="00B65F9E"/>
    <w:rsid w:val="00B66B19"/>
    <w:rsid w:val="00B67EFA"/>
    <w:rsid w:val="00B7175C"/>
    <w:rsid w:val="00B71D43"/>
    <w:rsid w:val="00B73E44"/>
    <w:rsid w:val="00B74AED"/>
    <w:rsid w:val="00B75CE1"/>
    <w:rsid w:val="00B76FCB"/>
    <w:rsid w:val="00B77CDF"/>
    <w:rsid w:val="00B804DA"/>
    <w:rsid w:val="00B90959"/>
    <w:rsid w:val="00B90BDD"/>
    <w:rsid w:val="00B91065"/>
    <w:rsid w:val="00B9128F"/>
    <w:rsid w:val="00B914E9"/>
    <w:rsid w:val="00B91754"/>
    <w:rsid w:val="00B93B49"/>
    <w:rsid w:val="00B95557"/>
    <w:rsid w:val="00B956EE"/>
    <w:rsid w:val="00B9668D"/>
    <w:rsid w:val="00BA2728"/>
    <w:rsid w:val="00BA2BA1"/>
    <w:rsid w:val="00BA2BA7"/>
    <w:rsid w:val="00BA3447"/>
    <w:rsid w:val="00BA3562"/>
    <w:rsid w:val="00BA7A58"/>
    <w:rsid w:val="00BB058C"/>
    <w:rsid w:val="00BB3FFF"/>
    <w:rsid w:val="00BB4F09"/>
    <w:rsid w:val="00BB663A"/>
    <w:rsid w:val="00BC0EDF"/>
    <w:rsid w:val="00BC1D0E"/>
    <w:rsid w:val="00BC1DF8"/>
    <w:rsid w:val="00BC2D48"/>
    <w:rsid w:val="00BC3284"/>
    <w:rsid w:val="00BD4E33"/>
    <w:rsid w:val="00BD6051"/>
    <w:rsid w:val="00BD6FF4"/>
    <w:rsid w:val="00BE15CF"/>
    <w:rsid w:val="00BE1C5C"/>
    <w:rsid w:val="00BE4520"/>
    <w:rsid w:val="00BE6B70"/>
    <w:rsid w:val="00BF523F"/>
    <w:rsid w:val="00BF7E48"/>
    <w:rsid w:val="00C01D0F"/>
    <w:rsid w:val="00C030DE"/>
    <w:rsid w:val="00C051A8"/>
    <w:rsid w:val="00C104F9"/>
    <w:rsid w:val="00C108E6"/>
    <w:rsid w:val="00C116D4"/>
    <w:rsid w:val="00C116DF"/>
    <w:rsid w:val="00C11AFA"/>
    <w:rsid w:val="00C1306F"/>
    <w:rsid w:val="00C13CD1"/>
    <w:rsid w:val="00C13ECF"/>
    <w:rsid w:val="00C14D2A"/>
    <w:rsid w:val="00C207FC"/>
    <w:rsid w:val="00C22105"/>
    <w:rsid w:val="00C22350"/>
    <w:rsid w:val="00C2254E"/>
    <w:rsid w:val="00C234E6"/>
    <w:rsid w:val="00C244B6"/>
    <w:rsid w:val="00C25FF4"/>
    <w:rsid w:val="00C27BF1"/>
    <w:rsid w:val="00C30D0E"/>
    <w:rsid w:val="00C3702F"/>
    <w:rsid w:val="00C42402"/>
    <w:rsid w:val="00C42E5F"/>
    <w:rsid w:val="00C44D98"/>
    <w:rsid w:val="00C4500A"/>
    <w:rsid w:val="00C53E83"/>
    <w:rsid w:val="00C548B5"/>
    <w:rsid w:val="00C54D1B"/>
    <w:rsid w:val="00C55A81"/>
    <w:rsid w:val="00C6220F"/>
    <w:rsid w:val="00C62238"/>
    <w:rsid w:val="00C62575"/>
    <w:rsid w:val="00C63D32"/>
    <w:rsid w:val="00C64A37"/>
    <w:rsid w:val="00C656E4"/>
    <w:rsid w:val="00C66CEE"/>
    <w:rsid w:val="00C66FB4"/>
    <w:rsid w:val="00C7158E"/>
    <w:rsid w:val="00C7250B"/>
    <w:rsid w:val="00C729BF"/>
    <w:rsid w:val="00C7346B"/>
    <w:rsid w:val="00C77C0E"/>
    <w:rsid w:val="00C80982"/>
    <w:rsid w:val="00C84A64"/>
    <w:rsid w:val="00C84C6D"/>
    <w:rsid w:val="00C84E72"/>
    <w:rsid w:val="00C91687"/>
    <w:rsid w:val="00C92131"/>
    <w:rsid w:val="00C924A8"/>
    <w:rsid w:val="00C93E25"/>
    <w:rsid w:val="00C945FE"/>
    <w:rsid w:val="00C95096"/>
    <w:rsid w:val="00C95504"/>
    <w:rsid w:val="00C96FAA"/>
    <w:rsid w:val="00C97A04"/>
    <w:rsid w:val="00CA0E24"/>
    <w:rsid w:val="00CA107B"/>
    <w:rsid w:val="00CA186E"/>
    <w:rsid w:val="00CA484D"/>
    <w:rsid w:val="00CA4FB6"/>
    <w:rsid w:val="00CA6D0A"/>
    <w:rsid w:val="00CA753A"/>
    <w:rsid w:val="00CB0390"/>
    <w:rsid w:val="00CB2F90"/>
    <w:rsid w:val="00CB3AEA"/>
    <w:rsid w:val="00CB66AD"/>
    <w:rsid w:val="00CB6AD4"/>
    <w:rsid w:val="00CC0F1B"/>
    <w:rsid w:val="00CC3060"/>
    <w:rsid w:val="00CC35A5"/>
    <w:rsid w:val="00CC4F3A"/>
    <w:rsid w:val="00CC525E"/>
    <w:rsid w:val="00CC6E87"/>
    <w:rsid w:val="00CC739E"/>
    <w:rsid w:val="00CD08C5"/>
    <w:rsid w:val="00CD1EBB"/>
    <w:rsid w:val="00CD28CF"/>
    <w:rsid w:val="00CD2A02"/>
    <w:rsid w:val="00CD3038"/>
    <w:rsid w:val="00CD3F0A"/>
    <w:rsid w:val="00CD58B7"/>
    <w:rsid w:val="00CD7967"/>
    <w:rsid w:val="00CE6325"/>
    <w:rsid w:val="00CE737D"/>
    <w:rsid w:val="00CF0505"/>
    <w:rsid w:val="00CF18EE"/>
    <w:rsid w:val="00CF30BD"/>
    <w:rsid w:val="00CF4099"/>
    <w:rsid w:val="00CF5417"/>
    <w:rsid w:val="00CF7895"/>
    <w:rsid w:val="00CF7D36"/>
    <w:rsid w:val="00D004BF"/>
    <w:rsid w:val="00D00796"/>
    <w:rsid w:val="00D01356"/>
    <w:rsid w:val="00D024A6"/>
    <w:rsid w:val="00D0328F"/>
    <w:rsid w:val="00D03883"/>
    <w:rsid w:val="00D05719"/>
    <w:rsid w:val="00D0664A"/>
    <w:rsid w:val="00D06B39"/>
    <w:rsid w:val="00D12413"/>
    <w:rsid w:val="00D131AC"/>
    <w:rsid w:val="00D13AF5"/>
    <w:rsid w:val="00D151F8"/>
    <w:rsid w:val="00D161DB"/>
    <w:rsid w:val="00D1781A"/>
    <w:rsid w:val="00D17AFD"/>
    <w:rsid w:val="00D209B4"/>
    <w:rsid w:val="00D211FD"/>
    <w:rsid w:val="00D22109"/>
    <w:rsid w:val="00D241F3"/>
    <w:rsid w:val="00D25D36"/>
    <w:rsid w:val="00D261A2"/>
    <w:rsid w:val="00D33016"/>
    <w:rsid w:val="00D34904"/>
    <w:rsid w:val="00D4464B"/>
    <w:rsid w:val="00D45814"/>
    <w:rsid w:val="00D51F1B"/>
    <w:rsid w:val="00D5513A"/>
    <w:rsid w:val="00D616D2"/>
    <w:rsid w:val="00D63B5F"/>
    <w:rsid w:val="00D658D6"/>
    <w:rsid w:val="00D65C65"/>
    <w:rsid w:val="00D66848"/>
    <w:rsid w:val="00D67114"/>
    <w:rsid w:val="00D70EF7"/>
    <w:rsid w:val="00D727C1"/>
    <w:rsid w:val="00D72CEA"/>
    <w:rsid w:val="00D73541"/>
    <w:rsid w:val="00D77F94"/>
    <w:rsid w:val="00D8139B"/>
    <w:rsid w:val="00D82D04"/>
    <w:rsid w:val="00D8397C"/>
    <w:rsid w:val="00D8531B"/>
    <w:rsid w:val="00D91DA9"/>
    <w:rsid w:val="00D925F1"/>
    <w:rsid w:val="00D936A1"/>
    <w:rsid w:val="00D94EED"/>
    <w:rsid w:val="00D96026"/>
    <w:rsid w:val="00D972F6"/>
    <w:rsid w:val="00DA0EC3"/>
    <w:rsid w:val="00DA331D"/>
    <w:rsid w:val="00DA469D"/>
    <w:rsid w:val="00DA49FF"/>
    <w:rsid w:val="00DA4C37"/>
    <w:rsid w:val="00DA4D37"/>
    <w:rsid w:val="00DA5081"/>
    <w:rsid w:val="00DA57B7"/>
    <w:rsid w:val="00DA5B0B"/>
    <w:rsid w:val="00DA74DE"/>
    <w:rsid w:val="00DA7C1C"/>
    <w:rsid w:val="00DB0279"/>
    <w:rsid w:val="00DB0B59"/>
    <w:rsid w:val="00DB147A"/>
    <w:rsid w:val="00DB1B7A"/>
    <w:rsid w:val="00DB38CE"/>
    <w:rsid w:val="00DB479D"/>
    <w:rsid w:val="00DB5BF9"/>
    <w:rsid w:val="00DB690E"/>
    <w:rsid w:val="00DB706E"/>
    <w:rsid w:val="00DC2BD2"/>
    <w:rsid w:val="00DC3E93"/>
    <w:rsid w:val="00DC3F3C"/>
    <w:rsid w:val="00DC5982"/>
    <w:rsid w:val="00DC5D56"/>
    <w:rsid w:val="00DC6708"/>
    <w:rsid w:val="00DC6C42"/>
    <w:rsid w:val="00DD011A"/>
    <w:rsid w:val="00DD032B"/>
    <w:rsid w:val="00DD06BA"/>
    <w:rsid w:val="00DD14F3"/>
    <w:rsid w:val="00DD1CF9"/>
    <w:rsid w:val="00DD3052"/>
    <w:rsid w:val="00DD518E"/>
    <w:rsid w:val="00DD61EC"/>
    <w:rsid w:val="00DD7C12"/>
    <w:rsid w:val="00DE2400"/>
    <w:rsid w:val="00DE26E0"/>
    <w:rsid w:val="00DE58F1"/>
    <w:rsid w:val="00DE5EE2"/>
    <w:rsid w:val="00DE6B58"/>
    <w:rsid w:val="00DE76F8"/>
    <w:rsid w:val="00DF5E32"/>
    <w:rsid w:val="00E006EF"/>
    <w:rsid w:val="00E00D13"/>
    <w:rsid w:val="00E01436"/>
    <w:rsid w:val="00E01CDF"/>
    <w:rsid w:val="00E0236F"/>
    <w:rsid w:val="00E03E79"/>
    <w:rsid w:val="00E0416B"/>
    <w:rsid w:val="00E045BD"/>
    <w:rsid w:val="00E04D6C"/>
    <w:rsid w:val="00E11392"/>
    <w:rsid w:val="00E11D66"/>
    <w:rsid w:val="00E12864"/>
    <w:rsid w:val="00E12BC0"/>
    <w:rsid w:val="00E144C9"/>
    <w:rsid w:val="00E179F8"/>
    <w:rsid w:val="00E17B77"/>
    <w:rsid w:val="00E231AB"/>
    <w:rsid w:val="00E23337"/>
    <w:rsid w:val="00E259EA"/>
    <w:rsid w:val="00E25D33"/>
    <w:rsid w:val="00E26C17"/>
    <w:rsid w:val="00E270F4"/>
    <w:rsid w:val="00E27650"/>
    <w:rsid w:val="00E306D3"/>
    <w:rsid w:val="00E32061"/>
    <w:rsid w:val="00E32C03"/>
    <w:rsid w:val="00E33F48"/>
    <w:rsid w:val="00E343F1"/>
    <w:rsid w:val="00E364B5"/>
    <w:rsid w:val="00E42FF9"/>
    <w:rsid w:val="00E44790"/>
    <w:rsid w:val="00E4714C"/>
    <w:rsid w:val="00E506BF"/>
    <w:rsid w:val="00E5178D"/>
    <w:rsid w:val="00E51AEB"/>
    <w:rsid w:val="00E522A7"/>
    <w:rsid w:val="00E5349E"/>
    <w:rsid w:val="00E54452"/>
    <w:rsid w:val="00E55D4B"/>
    <w:rsid w:val="00E622DB"/>
    <w:rsid w:val="00E63447"/>
    <w:rsid w:val="00E63B0C"/>
    <w:rsid w:val="00E64874"/>
    <w:rsid w:val="00E648E2"/>
    <w:rsid w:val="00E664C5"/>
    <w:rsid w:val="00E66C76"/>
    <w:rsid w:val="00E671A2"/>
    <w:rsid w:val="00E67BCD"/>
    <w:rsid w:val="00E70693"/>
    <w:rsid w:val="00E71744"/>
    <w:rsid w:val="00E736C3"/>
    <w:rsid w:val="00E76D26"/>
    <w:rsid w:val="00E76EE5"/>
    <w:rsid w:val="00E76F9D"/>
    <w:rsid w:val="00E80565"/>
    <w:rsid w:val="00E833A2"/>
    <w:rsid w:val="00E85ACE"/>
    <w:rsid w:val="00E85CA3"/>
    <w:rsid w:val="00E87D50"/>
    <w:rsid w:val="00E90890"/>
    <w:rsid w:val="00E94683"/>
    <w:rsid w:val="00E95B8E"/>
    <w:rsid w:val="00EA25CA"/>
    <w:rsid w:val="00EA5A1D"/>
    <w:rsid w:val="00EB025A"/>
    <w:rsid w:val="00EB1390"/>
    <w:rsid w:val="00EB2B0B"/>
    <w:rsid w:val="00EB2C71"/>
    <w:rsid w:val="00EB3333"/>
    <w:rsid w:val="00EB3522"/>
    <w:rsid w:val="00EB42D7"/>
    <w:rsid w:val="00EB4340"/>
    <w:rsid w:val="00EB48E1"/>
    <w:rsid w:val="00EB556D"/>
    <w:rsid w:val="00EB5A7D"/>
    <w:rsid w:val="00EB5A9D"/>
    <w:rsid w:val="00EB63E6"/>
    <w:rsid w:val="00EB799A"/>
    <w:rsid w:val="00EB7ED1"/>
    <w:rsid w:val="00EC2721"/>
    <w:rsid w:val="00ED12A9"/>
    <w:rsid w:val="00ED414F"/>
    <w:rsid w:val="00ED55C0"/>
    <w:rsid w:val="00ED6723"/>
    <w:rsid w:val="00ED682B"/>
    <w:rsid w:val="00EE0700"/>
    <w:rsid w:val="00EE0730"/>
    <w:rsid w:val="00EE180E"/>
    <w:rsid w:val="00EE41D5"/>
    <w:rsid w:val="00EE7432"/>
    <w:rsid w:val="00EF46AE"/>
    <w:rsid w:val="00EF4AB9"/>
    <w:rsid w:val="00EF75D0"/>
    <w:rsid w:val="00F0166F"/>
    <w:rsid w:val="00F01CF6"/>
    <w:rsid w:val="00F037A4"/>
    <w:rsid w:val="00F049AB"/>
    <w:rsid w:val="00F07DD6"/>
    <w:rsid w:val="00F12C4B"/>
    <w:rsid w:val="00F13053"/>
    <w:rsid w:val="00F138DB"/>
    <w:rsid w:val="00F142DB"/>
    <w:rsid w:val="00F15F2E"/>
    <w:rsid w:val="00F21872"/>
    <w:rsid w:val="00F232DC"/>
    <w:rsid w:val="00F26B80"/>
    <w:rsid w:val="00F27C8F"/>
    <w:rsid w:val="00F32749"/>
    <w:rsid w:val="00F33074"/>
    <w:rsid w:val="00F37172"/>
    <w:rsid w:val="00F40360"/>
    <w:rsid w:val="00F4207C"/>
    <w:rsid w:val="00F434E9"/>
    <w:rsid w:val="00F4477E"/>
    <w:rsid w:val="00F46269"/>
    <w:rsid w:val="00F47E1F"/>
    <w:rsid w:val="00F502AA"/>
    <w:rsid w:val="00F55874"/>
    <w:rsid w:val="00F56C8C"/>
    <w:rsid w:val="00F56D3D"/>
    <w:rsid w:val="00F60BA8"/>
    <w:rsid w:val="00F61BB7"/>
    <w:rsid w:val="00F62077"/>
    <w:rsid w:val="00F63740"/>
    <w:rsid w:val="00F647B3"/>
    <w:rsid w:val="00F64AE4"/>
    <w:rsid w:val="00F671CD"/>
    <w:rsid w:val="00F67D8F"/>
    <w:rsid w:val="00F70CBC"/>
    <w:rsid w:val="00F75E7D"/>
    <w:rsid w:val="00F802BE"/>
    <w:rsid w:val="00F80E93"/>
    <w:rsid w:val="00F8392C"/>
    <w:rsid w:val="00F83A5F"/>
    <w:rsid w:val="00F86024"/>
    <w:rsid w:val="00F8611A"/>
    <w:rsid w:val="00F870A3"/>
    <w:rsid w:val="00F91AC5"/>
    <w:rsid w:val="00F945D9"/>
    <w:rsid w:val="00F9580D"/>
    <w:rsid w:val="00F96EEB"/>
    <w:rsid w:val="00FA3755"/>
    <w:rsid w:val="00FA3AC7"/>
    <w:rsid w:val="00FA473F"/>
    <w:rsid w:val="00FA5128"/>
    <w:rsid w:val="00FA5885"/>
    <w:rsid w:val="00FA6604"/>
    <w:rsid w:val="00FB0419"/>
    <w:rsid w:val="00FB15AD"/>
    <w:rsid w:val="00FB1779"/>
    <w:rsid w:val="00FB2CFE"/>
    <w:rsid w:val="00FB42D4"/>
    <w:rsid w:val="00FB5906"/>
    <w:rsid w:val="00FB6726"/>
    <w:rsid w:val="00FB71B2"/>
    <w:rsid w:val="00FB762F"/>
    <w:rsid w:val="00FB7A12"/>
    <w:rsid w:val="00FB7C41"/>
    <w:rsid w:val="00FC0CB1"/>
    <w:rsid w:val="00FC18B6"/>
    <w:rsid w:val="00FC2AED"/>
    <w:rsid w:val="00FC7351"/>
    <w:rsid w:val="00FC76EE"/>
    <w:rsid w:val="00FD25E6"/>
    <w:rsid w:val="00FD5EA7"/>
    <w:rsid w:val="00FD5EA9"/>
    <w:rsid w:val="00FE13F7"/>
    <w:rsid w:val="00FE36CF"/>
    <w:rsid w:val="00FE3D48"/>
    <w:rsid w:val="00FE4338"/>
    <w:rsid w:val="00FE649C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D0196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7D0196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7D0196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7D0196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7D0196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F7895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F7895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CF7895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CF7895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Wyrnieniedelikatne">
    <w:name w:val="Subtle Emphasis"/>
    <w:aliases w:val="Wyróżnienie bold"/>
    <w:uiPriority w:val="19"/>
    <w:rsid w:val="00176E4C"/>
    <w:rPr>
      <w:b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E0236F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94EDA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6.png"/><Relationship Id="rId26" Type="http://schemas.openxmlformats.org/officeDocument/2006/relationships/hyperlink" Target="https://stat.gov.pl/metainformacje/slownik-pojec/pojecia-stosowane-w-statystyce-publicznej/3846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kultura-turystyka-sport/kultura/rynek-dziel-sztuki-i-antykow-w-2020-roku,17,5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8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stat.gov.pl/obszary-tematyczne/kultura-turystyka-sport/kultura/kultura-w-2020-roku,2,18.html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11.png"/><Relationship Id="rId28" Type="http://schemas.openxmlformats.org/officeDocument/2006/relationships/hyperlink" Target="https://stat.gov.pl/metainformacje/slownik-pojec/pojecia-stosowane-w-statystyce-publicznej/1941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fontTable" Target="fontTable.xml"/><Relationship Id="rId30" Type="http://schemas.openxmlformats.org/officeDocument/2006/relationships/footer" Target="footer3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10.png"/><Relationship Id="rId27" Type="http://schemas.openxmlformats.org/officeDocument/2006/relationships/hyperlink" Target="https://stat.gov.pl/metainformacje/slownik-pojec/pojecia-stosowane-w-statystyce-publicznej/3847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1. Rynek dzieł sztuki i antyków w 2021 r.docx.docx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93463-0F11-44FF-A8BC-335BB275EF6F}"/>
</file>

<file path=customXml/itemProps2.xml><?xml version="1.0" encoding="utf-8"?>
<ds:datastoreItem xmlns:ds="http://schemas.openxmlformats.org/officeDocument/2006/customXml" ds:itemID="{57A46F16-2E3C-44CD-83ED-E6789FAF18A7}"/>
</file>

<file path=customXml/itemProps3.xml><?xml version="1.0" encoding="utf-8"?>
<ds:datastoreItem xmlns:ds="http://schemas.openxmlformats.org/officeDocument/2006/customXml" ds:itemID="{037E9C3E-3CC5-40C0-A774-47B8E48CCF08}"/>
</file>

<file path=customXml/itemProps4.xml><?xml version="1.0" encoding="utf-8"?>
<ds:datastoreItem xmlns:ds="http://schemas.openxmlformats.org/officeDocument/2006/customXml" ds:itemID="{57A46F16-2E3C-44CD-83ED-E6789FAF1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sygnalna</vt:lpstr>
    </vt:vector>
  </TitlesOfParts>
  <Company/>
  <LinksUpToDate>false</LinksUpToDate>
  <CharactersWithSpaces>5327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sygnalna</dc:title>
  <dc:subject/>
  <cp:keywords/>
  <dc:description/>
  <cp:lastPrinted>2022-04-25T06:41:00Z</cp:lastPrinted>
  <dcterms:created xsi:type="dcterms:W3CDTF">2022-05-05T13:13:00Z</dcterms:created>
  <dcterms:modified xsi:type="dcterms:W3CDTF">2022-05-05T13:13:00Z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