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846AD" w14:textId="58BC2D1E" w:rsidR="008C078E" w:rsidRDefault="00A46BA1" w:rsidP="004C664A">
      <w:pPr>
        <w:pStyle w:val="tytuinformacji"/>
        <w:spacing w:after="600"/>
        <w:contextualSpacing/>
        <w:rPr>
          <w:shd w:val="clear" w:color="auto" w:fill="FFFFFF"/>
        </w:rPr>
      </w:pPr>
      <w:r w:rsidRPr="009F0685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E405D02">
                <wp:simplePos x="0" y="0"/>
                <wp:positionH relativeFrom="margin">
                  <wp:posOffset>-60960</wp:posOffset>
                </wp:positionH>
                <wp:positionV relativeFrom="paragraph">
                  <wp:posOffset>810260</wp:posOffset>
                </wp:positionV>
                <wp:extent cx="2202180" cy="1181100"/>
                <wp:effectExtent l="0" t="0" r="7620" b="3810"/>
                <wp:wrapSquare wrapText="bothSides"/>
                <wp:docPr id="6" name="Pole tekstowe 2" descr="Opis wskaźnika&#10;14,1% Spadek wartości aktywów funduszy inwesty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1811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EF10A7F" w:rsidR="00313F5C" w:rsidRPr="009B2A4A" w:rsidRDefault="00C3046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⇩</w:t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14,1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3958364" w14:textId="673166CB" w:rsidR="00313F5C" w:rsidRPr="000E548D" w:rsidRDefault="00C30464" w:rsidP="000E548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Spadek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wartości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aktywów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ogółem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14,1% Spadek wartości aktywów funduszy inwestycyjnych" style="position:absolute;margin-left:-4.8pt;margin-top:63.8pt;width:173.4pt;height:9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" fillcolor="#001d77" stroked="f">
                <v:stroke joinstyle="miter"/>
                <v:textbox>
                  <w:txbxContent>
                    <w:p w14:paraId="56D1096E" w14:textId="7EF10A7F" w:rsidR="00313F5C" w:rsidRPr="009B2A4A" w:rsidRDefault="00C3046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⇩</w:t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14,1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3958364" w14:textId="673166CB" w:rsidR="00313F5C" w:rsidRPr="000E548D" w:rsidRDefault="00C30464" w:rsidP="000E548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Spadek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wartości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aktywów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ogółem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83A1C">
        <w:rPr>
          <w:shd w:val="clear" w:color="auto" w:fill="FFFFFF"/>
        </w:rPr>
        <w:t xml:space="preserve">Wyniki finansowe funduszy inwestycyjnych </w:t>
      </w:r>
      <w:r w:rsidR="00C83A1C" w:rsidRPr="00C63B5E">
        <w:rPr>
          <w:shd w:val="clear" w:color="auto" w:fill="FFFFFF"/>
        </w:rPr>
        <w:t xml:space="preserve">w </w:t>
      </w:r>
      <w:r w:rsidR="00D87046">
        <w:rPr>
          <w:shd w:val="clear" w:color="auto" w:fill="FFFFFF"/>
        </w:rPr>
        <w:t>pierwszym półroczu 2022</w:t>
      </w:r>
      <w:r w:rsidR="004C664A">
        <w:rPr>
          <w:shd w:val="clear" w:color="auto" w:fill="FFFFFF"/>
        </w:rPr>
        <w:t xml:space="preserve"> r.</w:t>
      </w:r>
    </w:p>
    <w:p w14:paraId="64668C1D" w14:textId="01185535" w:rsidR="004C664A" w:rsidRPr="007D1B18" w:rsidRDefault="002C796B" w:rsidP="00AC5AE0">
      <w:pPr>
        <w:pStyle w:val="Lead"/>
      </w:pPr>
      <w:r w:rsidRPr="007D1B18">
        <w:t>Wartość aktywów ogółem zgromadzonych przez fundusze inwestycyjne na koniec czerwca 2022 r. wyniosła 299,6 mld zł, (spadek o 14,1% w stosunku do końca czerwca poprzedniego roku). Wartość lokat funduszy zmniejszyła się do 226,1 mld zł (o 19,6%).</w:t>
      </w:r>
    </w:p>
    <w:p w14:paraId="7C36352D" w14:textId="59183570" w:rsidR="00E95B8E" w:rsidRPr="009B2A4A" w:rsidRDefault="00620E46" w:rsidP="004C664A">
      <w:pPr>
        <w:pStyle w:val="Tytutablicy"/>
        <w:jc w:val="both"/>
        <w:rPr>
          <w:lang w:val="en-GB"/>
        </w:rPr>
      </w:pPr>
      <w:r w:rsidRPr="007D1B18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0AC3ACC5">
                <wp:simplePos x="0" y="0"/>
                <wp:positionH relativeFrom="column">
                  <wp:posOffset>5299710</wp:posOffset>
                </wp:positionH>
                <wp:positionV relativeFrom="page">
                  <wp:posOffset>3350895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Wynik z operacji funduszy inwestycyjnych był w końcu I półrocza 2022 r. dodatni i wyniósł 22,5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E075B" w14:textId="2A222CC4" w:rsidR="00AA1F80" w:rsidRPr="00074DD8" w:rsidRDefault="00AA1F80" w:rsidP="00AA1F80">
                            <w:pPr>
                              <w:pStyle w:val="tekstzboku"/>
                            </w:pPr>
                            <w:r>
                              <w:t xml:space="preserve">Wynik z operacji </w:t>
                            </w:r>
                            <w:r w:rsidRPr="00AC5AE0">
                              <w:t>funduszy inwestycyjnych</w:t>
                            </w:r>
                            <w:r>
                              <w:t xml:space="preserve"> był w końcu I półrocza 2022 r. dodatni i wyniósł 22,5 mld zł</w:t>
                            </w:r>
                          </w:p>
                          <w:p w14:paraId="6F82A774" w14:textId="74C529B5" w:rsidR="00216634" w:rsidRPr="009B2A4A" w:rsidRDefault="00216634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Tytuł: Pole tekstowe z kluczowymi informacjami — opis: Wynik z operacji funduszy inwestycyjnych był w końcu I półrocza 2022 r. dodatni i wyniósł 22,5 mld zł" style="position:absolute;left:0;text-align:left;margin-left:417.3pt;margin-top:263.8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" filled="f" stroked="f">
                <v:textbox>
                  <w:txbxContent>
                    <w:p w14:paraId="4ADE075B" w14:textId="2A222CC4" w:rsidR="00AA1F80" w:rsidRPr="00074DD8" w:rsidRDefault="00AA1F80" w:rsidP="00AA1F80">
                      <w:pPr>
                        <w:pStyle w:val="tekstzboku"/>
                      </w:pPr>
                      <w:r>
                        <w:t xml:space="preserve">Wynik z operacji </w:t>
                      </w:r>
                      <w:r w:rsidRPr="00AC5AE0">
                        <w:t>funduszy inwestycyjnych</w:t>
                      </w:r>
                      <w:r>
                        <w:t xml:space="preserve"> był w końcu I półrocza 2022 r. dodatni i wyniósł 22,5 mld zł</w:t>
                      </w:r>
                    </w:p>
                    <w:p w14:paraId="6F82A774" w14:textId="74C529B5" w:rsidR="00216634" w:rsidRPr="009B2A4A" w:rsidRDefault="00216634" w:rsidP="003937A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proofErr w:type="spellStart"/>
      <w:r w:rsidR="00E95B8E" w:rsidRPr="007D1B18">
        <w:rPr>
          <w:lang w:val="en-GB"/>
        </w:rPr>
        <w:t>Tablica</w:t>
      </w:r>
      <w:proofErr w:type="spellEnd"/>
      <w:r w:rsidR="00E95B8E" w:rsidRPr="007D1B18">
        <w:rPr>
          <w:lang w:val="en-GB"/>
        </w:rPr>
        <w:t xml:space="preserve"> </w:t>
      </w:r>
      <w:r w:rsidR="00D972F6" w:rsidRPr="007D1B18">
        <w:rPr>
          <w:lang w:val="en-GB"/>
        </w:rPr>
        <w:t>1</w:t>
      </w:r>
      <w:r w:rsidR="00E95B8E" w:rsidRPr="007D1B18">
        <w:rPr>
          <w:lang w:val="en-GB"/>
        </w:rPr>
        <w:t>.</w:t>
      </w:r>
      <w:r w:rsidR="00AF00B6" w:rsidRPr="007D1B18">
        <w:rPr>
          <w:lang w:val="en-GB"/>
        </w:rPr>
        <w:t xml:space="preserve"> </w:t>
      </w:r>
      <w:proofErr w:type="spellStart"/>
      <w:r w:rsidR="00AF00B6" w:rsidRPr="007D1B18">
        <w:rPr>
          <w:lang w:val="en-GB"/>
        </w:rPr>
        <w:t>Podstawowe</w:t>
      </w:r>
      <w:proofErr w:type="spellEnd"/>
      <w:r w:rsidR="00AF00B6" w:rsidRPr="007D1B18">
        <w:rPr>
          <w:lang w:val="en-GB"/>
        </w:rPr>
        <w:t xml:space="preserve"> </w:t>
      </w:r>
      <w:proofErr w:type="spellStart"/>
      <w:r w:rsidR="00AF00B6" w:rsidRPr="007D1B18">
        <w:rPr>
          <w:lang w:val="en-GB"/>
        </w:rPr>
        <w:t>dane</w:t>
      </w:r>
      <w:proofErr w:type="spellEnd"/>
      <w:r w:rsidR="00AF00B6" w:rsidRPr="007D1B18">
        <w:rPr>
          <w:lang w:val="en-GB"/>
        </w:rPr>
        <w:t xml:space="preserve"> </w:t>
      </w:r>
      <w:proofErr w:type="spellStart"/>
      <w:r w:rsidR="00AF00B6" w:rsidRPr="007D1B18">
        <w:rPr>
          <w:lang w:val="en-GB"/>
        </w:rPr>
        <w:t>funduszy</w:t>
      </w:r>
      <w:proofErr w:type="spellEnd"/>
      <w:r w:rsidR="00AF00B6" w:rsidRPr="007D1B18">
        <w:rPr>
          <w:lang w:val="en-GB"/>
        </w:rPr>
        <w:t xml:space="preserve"> </w:t>
      </w:r>
      <w:proofErr w:type="spellStart"/>
      <w:r w:rsidR="00AF00B6" w:rsidRPr="007D1B18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 Podstawowe dane funduszy inwestycyjnych (stan w dniu 31 grudnia 2021 r.)"/>
        <w:tblDescription w:val="Porównanie procentowe podstawowych danych funduszy inwestycyjnych za I półrocze lat 2021 i 2022. Obserwowany wyraźny wzrost wartosci danych dotyczących należności i wyniku z operacji."/>
      </w:tblPr>
      <w:tblGrid>
        <w:gridCol w:w="3686"/>
        <w:gridCol w:w="1417"/>
        <w:gridCol w:w="1417"/>
        <w:gridCol w:w="1418"/>
      </w:tblGrid>
      <w:tr w:rsidR="00E95B8E" w14:paraId="4BC8CCD4" w14:textId="77777777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8C078E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629A1D39" w:rsidR="00E95B8E" w:rsidRDefault="00070D15" w:rsidP="008C078E">
            <w:pPr>
              <w:pStyle w:val="Tablicagwkarodek"/>
            </w:pPr>
            <w:r>
              <w:t>I półrocze 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29686A9C" w:rsidR="00E95B8E" w:rsidRDefault="00070D15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2022</w:t>
            </w:r>
          </w:p>
        </w:tc>
      </w:tr>
      <w:tr w:rsidR="00E95B8E" w14:paraId="50E3249B" w14:textId="77777777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 w:rsidP="008C078E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713B9F89" w:rsidR="00E95B8E" w:rsidRDefault="00E95B8E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30A5233C" w:rsidR="00E95B8E" w:rsidRDefault="00070D15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2021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070D15" w14:paraId="2DE75750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10AAA05E" w:rsidR="00070D15" w:rsidRDefault="00070D15" w:rsidP="008C078E">
            <w:pPr>
              <w:pStyle w:val="Tablicaboczek"/>
            </w:pPr>
            <w:r>
              <w:t>Aktywa ogółem,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216BE9" w14:textId="17D7DFBF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348 938,8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35C488" w14:textId="77EE6B3C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299 569,4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DC15BB0" w14:textId="32BBB8F0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85,9</w:t>
            </w:r>
          </w:p>
        </w:tc>
      </w:tr>
      <w:tr w:rsidR="00070D15" w14:paraId="0B89DD9B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02D5F1FA" w:rsidR="00070D15" w:rsidRDefault="00070D15" w:rsidP="008C078E">
            <w:pPr>
              <w:pStyle w:val="Tablicaboczek"/>
              <w:ind w:left="170"/>
            </w:pPr>
            <w:r>
              <w:t xml:space="preserve">Lokaty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D1CE52" w14:textId="4FAF4F0B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281 258,4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E5071D" w14:textId="1094E4CC" w:rsidR="00070D15" w:rsidRPr="00AC5AE0" w:rsidRDefault="00070D15" w:rsidP="008C078E">
            <w:pPr>
              <w:pStyle w:val="Tablicadanerodek"/>
              <w:rPr>
                <w:highlight w:val="yellow"/>
              </w:rPr>
            </w:pPr>
            <w:r w:rsidRPr="00AC5AE0">
              <w:rPr>
                <w:rFonts w:cs="Arial"/>
                <w:color w:val="000000"/>
              </w:rPr>
              <w:t>226 072,1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54ECFE2" w14:textId="66B2B0D1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80,4</w:t>
            </w:r>
          </w:p>
        </w:tc>
      </w:tr>
      <w:tr w:rsidR="00070D15" w14:paraId="5E46ECD8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307483E" w14:textId="7F53A782" w:rsidR="00070D15" w:rsidRDefault="00070D15" w:rsidP="008C078E">
            <w:pPr>
              <w:pStyle w:val="Tablicaboczek"/>
              <w:ind w:left="170"/>
            </w:pPr>
            <w:r>
              <w:t>Należności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6B5090" w14:textId="13783CBB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48 439,5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FE5636" w14:textId="3B1A0D4C" w:rsidR="00070D15" w:rsidRPr="00AC5AE0" w:rsidRDefault="00070D15" w:rsidP="008C078E">
            <w:pPr>
              <w:pStyle w:val="Tablicadanerodek"/>
              <w:rPr>
                <w:highlight w:val="yellow"/>
              </w:rPr>
            </w:pPr>
            <w:r w:rsidRPr="00AC5AE0">
              <w:rPr>
                <w:rFonts w:cs="Arial"/>
                <w:color w:val="000000"/>
              </w:rPr>
              <w:t>53 852,1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C3E54C5" w14:textId="703635C3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111,2</w:t>
            </w:r>
          </w:p>
        </w:tc>
      </w:tr>
      <w:tr w:rsidR="00070D15" w14:paraId="7525D2A2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2FD20A5" w14:textId="3F4595A4" w:rsidR="00070D15" w:rsidRDefault="00070D15" w:rsidP="008C078E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>Środki pieniężne i ich ekwiwalenty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DA0BEB" w14:textId="06BE7C59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11 568,5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081621" w14:textId="717CF65F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8 513,3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445CF13" w14:textId="6AB972FF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73,6</w:t>
            </w:r>
          </w:p>
        </w:tc>
      </w:tr>
      <w:tr w:rsidR="00070D15" w14:paraId="4F01CA92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4E568496" w:rsidR="00070D15" w:rsidRDefault="00070D15" w:rsidP="008C078E">
            <w:pPr>
              <w:pStyle w:val="Tablicaboczek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AA0FFC1" w14:textId="54B50E77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10 518,3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D80662D" w14:textId="62048B94" w:rsidR="00070D15" w:rsidRPr="00AC5AE0" w:rsidRDefault="00070D15" w:rsidP="008C078E">
            <w:pPr>
              <w:pStyle w:val="Tablicadanerodek"/>
              <w:rPr>
                <w:highlight w:val="yellow"/>
              </w:rPr>
            </w:pPr>
            <w:r w:rsidRPr="00AC5AE0">
              <w:rPr>
                <w:rFonts w:cs="Arial"/>
                <w:color w:val="000000"/>
              </w:rPr>
              <w:t>22 459,7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1DCCF19" w14:textId="677D95E6" w:rsidR="00070D15" w:rsidRPr="00AC5AE0" w:rsidRDefault="00070D15" w:rsidP="008C078E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213,5</w:t>
            </w:r>
          </w:p>
        </w:tc>
      </w:tr>
    </w:tbl>
    <w:p w14:paraId="05EF9C31" w14:textId="5DC4F6AC" w:rsidR="00E23C63" w:rsidRPr="007D1B18" w:rsidRDefault="00E23C63" w:rsidP="00400D99">
      <w:pPr>
        <w:spacing w:line="288" w:lineRule="auto"/>
        <w:rPr>
          <w:shd w:val="clear" w:color="auto" w:fill="FFFFFF"/>
        </w:rPr>
      </w:pPr>
      <w:r w:rsidRPr="007D1B18">
        <w:rPr>
          <w:shd w:val="clear" w:color="auto" w:fill="FFFFFF"/>
        </w:rPr>
        <w:t xml:space="preserve">Zgodnie z informacją Urzędu Komisji Nadzoru Finansowego, złożono ogółem 493 sprawozdania finansowe funduszy inwestycyjnych za I półrocze 2022 r. Liczba sprawozdań otwartych funduszy inwestycyjnych wyniosła 37, liczba sprawozdań specjalistycznych funduszy inwestycyjnych otwartych to 63. W grupie funduszy inwestycyjnych zamkniętych liczba sprawozdań wyniosła 393. </w:t>
      </w:r>
    </w:p>
    <w:p w14:paraId="5447B3AE" w14:textId="032F58A8" w:rsidR="00E23C63" w:rsidRPr="007D1B18" w:rsidRDefault="00E23C63" w:rsidP="00400D99">
      <w:pPr>
        <w:spacing w:line="288" w:lineRule="auto"/>
        <w:rPr>
          <w:shd w:val="clear" w:color="auto" w:fill="FFFFFF"/>
        </w:rPr>
      </w:pPr>
      <w:r w:rsidRPr="007D1B18">
        <w:rPr>
          <w:shd w:val="clear" w:color="auto" w:fill="FFFFFF"/>
        </w:rPr>
        <w:t xml:space="preserve">Według stanu na 30 czerwca 2022 r. wartość aktywów ogółem zgromadzonych przez fundusze inwestycyjne wyniosła 299 569,4 mln zł (spadek o 14,1% w stosunku </w:t>
      </w:r>
      <w:r w:rsidR="00937BD1" w:rsidRPr="007D1B18">
        <w:rPr>
          <w:shd w:val="clear" w:color="auto" w:fill="FFFFFF"/>
        </w:rPr>
        <w:t xml:space="preserve">do I półrocza 2021 r.), z </w:t>
      </w:r>
      <w:r w:rsidRPr="007D1B18">
        <w:rPr>
          <w:shd w:val="clear" w:color="auto" w:fill="FFFFFF"/>
        </w:rPr>
        <w:t>tego aktywa:</w:t>
      </w:r>
    </w:p>
    <w:p w14:paraId="1B0E8E2A" w14:textId="3E1074AC" w:rsidR="009C021F" w:rsidRPr="007D1B18" w:rsidRDefault="009C021F" w:rsidP="00400D99">
      <w:pPr>
        <w:pStyle w:val="Akapitzlist"/>
        <w:numPr>
          <w:ilvl w:val="0"/>
          <w:numId w:val="7"/>
        </w:numPr>
        <w:spacing w:line="288" w:lineRule="auto"/>
        <w:rPr>
          <w:shd w:val="clear" w:color="auto" w:fill="FFFFFF"/>
        </w:rPr>
      </w:pPr>
      <w:r w:rsidRPr="007D1B18">
        <w:rPr>
          <w:shd w:val="clear" w:color="auto" w:fill="FFFFFF"/>
        </w:rPr>
        <w:t>funduszy inwestycyjnych zamkniętych wyniosły 133 782,2 mln zł (wzrost o 2,9%); udział tej grupy funduszy w aktywach ogółem zwiększył się z 37,3% do 44,7%;</w:t>
      </w:r>
    </w:p>
    <w:p w14:paraId="18708F57" w14:textId="77777777" w:rsidR="009C021F" w:rsidRPr="007D1B18" w:rsidRDefault="009C021F" w:rsidP="00400D99">
      <w:pPr>
        <w:pStyle w:val="Akapitzlist"/>
        <w:numPr>
          <w:ilvl w:val="0"/>
          <w:numId w:val="7"/>
        </w:numPr>
        <w:spacing w:line="288" w:lineRule="auto"/>
        <w:rPr>
          <w:shd w:val="clear" w:color="auto" w:fill="FFFFFF"/>
        </w:rPr>
      </w:pPr>
      <w:r w:rsidRPr="007D1B18">
        <w:rPr>
          <w:shd w:val="clear" w:color="auto" w:fill="FFFFFF"/>
        </w:rPr>
        <w:t>otwartych funduszy inwestycyjnych osiągnęły wartość 103 487,0 mln zł (spadek o 26,0%); ich udział w aktywach funduszy ogółem zmniejszył się z 40,1% do 34,5%;</w:t>
      </w:r>
    </w:p>
    <w:p w14:paraId="3137CB48" w14:textId="700F1D38" w:rsidR="009C021F" w:rsidRPr="007D1B18" w:rsidRDefault="009C021F" w:rsidP="00400D99">
      <w:pPr>
        <w:pStyle w:val="Akapitzlist"/>
        <w:numPr>
          <w:ilvl w:val="0"/>
          <w:numId w:val="7"/>
        </w:numPr>
        <w:spacing w:line="288" w:lineRule="auto"/>
        <w:rPr>
          <w:shd w:val="clear" w:color="auto" w:fill="FFFFFF"/>
        </w:rPr>
      </w:pPr>
      <w:r w:rsidRPr="007D1B18">
        <w:rPr>
          <w:shd w:val="clear" w:color="auto" w:fill="FFFFFF"/>
        </w:rPr>
        <w:t>specjalistycznych funduszy inwestycyjnych otwartych ukształtowały się na poziomie 62 300,2 mln zł (spadek o 21,2%), ich udział w aktywach ogółem zmniejszył się do 20,8% wobec 22,6% przed rokiem.</w:t>
      </w:r>
    </w:p>
    <w:p w14:paraId="4CDE2499" w14:textId="18FF20C8" w:rsidR="00216634" w:rsidRPr="007D1B18" w:rsidRDefault="00AA5968" w:rsidP="00400D99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7D1B18">
        <w:rPr>
          <w:shd w:val="clear" w:color="auto" w:fill="FFFFFF"/>
        </w:rPr>
        <w:t>Główną</w:t>
      </w:r>
      <w:r w:rsidR="00B349F1" w:rsidRPr="007D1B18">
        <w:rPr>
          <w:shd w:val="clear" w:color="auto" w:fill="FFFFFF"/>
        </w:rPr>
        <w:t xml:space="preserve"> pozycję aktywów ogółem funduszy inwestycyjnych stanowiły składniki lokat notowane na aktywnym rynku, a ich wartość na koniec czerwca 2022 r. wyniosła 116 702,5 mln zł i</w:t>
      </w:r>
      <w:r w:rsidR="00400D99" w:rsidRPr="007D1B18">
        <w:rPr>
          <w:shd w:val="clear" w:color="auto" w:fill="FFFFFF"/>
        </w:rPr>
        <w:t> </w:t>
      </w:r>
      <w:r w:rsidR="00B349F1" w:rsidRPr="007D1B18">
        <w:rPr>
          <w:shd w:val="clear" w:color="auto" w:fill="FFFFFF"/>
        </w:rPr>
        <w:t>była niższa o 26,2% w stosunku do czerwca 2021 r. Udział tej pozycji w aktywach ogółem zmniejszył się do 39,0% (wobec 45,3% rok wcześniej).</w:t>
      </w:r>
      <w:r w:rsidR="00216634" w:rsidRPr="007D1B18">
        <w:rPr>
          <w:rFonts w:eastAsia="Times New Roman" w:cs="Times New Roman"/>
          <w:szCs w:val="19"/>
          <w:lang w:val="en-GB" w:eastAsia="pl-PL"/>
        </w:rPr>
        <w:t xml:space="preserve"> </w:t>
      </w:r>
    </w:p>
    <w:p w14:paraId="1987719C" w14:textId="2D81754A" w:rsidR="00B349F1" w:rsidRPr="007D1B18" w:rsidRDefault="00B349F1" w:rsidP="00400D99">
      <w:pPr>
        <w:spacing w:line="288" w:lineRule="auto"/>
        <w:rPr>
          <w:shd w:val="clear" w:color="auto" w:fill="FFFFFF"/>
        </w:rPr>
      </w:pPr>
      <w:r w:rsidRPr="007D1B18">
        <w:rPr>
          <w:shd w:val="clear" w:color="auto" w:fill="FFFFFF"/>
        </w:rPr>
        <w:t xml:space="preserve">W I półroczu 2022 r. należności funduszy inwestycyjnych wyniosły 53 852,1 mln zł i były wyższe o 11,2% w porównaniu z końcem czerwca 2021 r. </w:t>
      </w:r>
    </w:p>
    <w:p w14:paraId="7C1E2890" w14:textId="77777777" w:rsidR="00B349F1" w:rsidRPr="006C5A79" w:rsidRDefault="00B349F1" w:rsidP="00400D99">
      <w:pPr>
        <w:spacing w:line="288" w:lineRule="auto"/>
        <w:rPr>
          <w:shd w:val="clear" w:color="auto" w:fill="FFFFFF"/>
        </w:rPr>
      </w:pPr>
      <w:r w:rsidRPr="006C5A79">
        <w:rPr>
          <w:shd w:val="clear" w:color="auto" w:fill="FFFFFF"/>
        </w:rPr>
        <w:lastRenderedPageBreak/>
        <w:t>Zobowiązania funduszy inwestycyjnych osiągnęły wartość 25 639,5 mln zł (wzrost o 19,7%). Największe zobowiązania w kwocie 15 624,2 mln zł wykazały otwarte fundusze inwestycyjne, co stanowiło 60,9% wartości zobowiązań wszystkich funduszy inwestycyjnych (67,1% przed rokiem).</w:t>
      </w:r>
    </w:p>
    <w:p w14:paraId="6103DEE6" w14:textId="63FFED2C" w:rsidR="00513603" w:rsidRDefault="00B349F1" w:rsidP="00400D99">
      <w:pPr>
        <w:spacing w:line="288" w:lineRule="auto"/>
        <w:rPr>
          <w:shd w:val="clear" w:color="auto" w:fill="FFFFFF"/>
        </w:rPr>
      </w:pPr>
      <w:r w:rsidRPr="006C5A79">
        <w:rPr>
          <w:shd w:val="clear" w:color="auto" w:fill="FFFFFF"/>
        </w:rPr>
        <w:t xml:space="preserve">W dniu 30 czerwca 2022 r. aktywa netto funduszy inwestycyjnych wynosiły 273 930,5 mln zł, tj. </w:t>
      </w:r>
      <w:r w:rsidR="005C1ED5" w:rsidRPr="006C5A79">
        <w:rPr>
          <w:shd w:val="clear" w:color="auto" w:fill="FFFFFF"/>
        </w:rPr>
        <w:t xml:space="preserve">były </w:t>
      </w:r>
      <w:r w:rsidRPr="006C5A79">
        <w:rPr>
          <w:shd w:val="clear" w:color="auto" w:fill="FFFFFF"/>
        </w:rPr>
        <w:t>na poziomie o 16,4% niższym niż na koniec czerwca 2021 r. Aktywa netto funduszy inwestycyjnych zamkniętych osiągnęły wartość 128 775,5 mln zł (o 1,8% wyższą niż przed rokiem), funduszy inwestycyjnych otwartych 87 862,8 mln zł (niższą o 30,0%), a specjalistycznych funduszy otwartych 57 292,3 mln zł (spadek o 24,1%).</w:t>
      </w:r>
      <w:r w:rsidRPr="007F0A44">
        <w:rPr>
          <w:shd w:val="clear" w:color="auto" w:fill="FFFFFF"/>
        </w:rPr>
        <w:t xml:space="preserve"> </w:t>
      </w:r>
    </w:p>
    <w:p w14:paraId="3685FE00" w14:textId="5B84CEBE" w:rsidR="00D46E56" w:rsidRPr="009B2A4A" w:rsidRDefault="00646C71" w:rsidP="005A5046">
      <w:pPr>
        <w:pStyle w:val="Tytutablicy"/>
        <w:rPr>
          <w:lang w:val="en-GB"/>
        </w:rPr>
      </w:pPr>
      <w:r w:rsidRPr="006C5A79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F7003EF">
                <wp:simplePos x="0" y="0"/>
                <wp:positionH relativeFrom="column">
                  <wp:posOffset>5280660</wp:posOffset>
                </wp:positionH>
                <wp:positionV relativeFrom="paragraph">
                  <wp:posOffset>78740</wp:posOffset>
                </wp:positionV>
                <wp:extent cx="1725295" cy="830580"/>
                <wp:effectExtent l="0" t="0" r="0" b="0"/>
                <wp:wrapTight wrapText="bothSides">
                  <wp:wrapPolygon edited="0">
                    <wp:start x="715" y="0"/>
                    <wp:lineTo x="715" y="20807"/>
                    <wp:lineTo x="20749" y="20807"/>
                    <wp:lineTo x="20749" y="0"/>
                    <wp:lineTo x="715" y="0"/>
                  </wp:wrapPolygon>
                </wp:wrapTight>
                <wp:docPr id="2" name="Pole tekstowe 2" descr="Na koniec czerwca 2022 r. lokaty funduszy inwestycyjnych  wyniosły 226,1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E0D9E" w14:textId="1CA0036E" w:rsidR="00D03A28" w:rsidRPr="00074DD8" w:rsidRDefault="00D03A28" w:rsidP="00D03A28">
                            <w:pPr>
                              <w:pStyle w:val="tekstzboku"/>
                              <w:jc w:val="both"/>
                            </w:pPr>
                            <w:r>
                              <w:t>Na koniec czerwca 2022</w:t>
                            </w:r>
                            <w:r w:rsidRPr="0090351B">
                              <w:t> r. lokaty funduszy inwestycyjnych wy</w:t>
                            </w:r>
                            <w:r>
                              <w:t>niosły 226,1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Tytuł: Pole tekstowe z kluczowymi informacjami — opis: Na koniec czerwca 2022 r. lokaty funduszy inwestycyjnych  wyniosły 226,1 mld zł" style="position:absolute;margin-left:415.8pt;margin-top:6.2pt;width:135.85pt;height:65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" filled="f" stroked="f">
                <v:textbox>
                  <w:txbxContent>
                    <w:p w14:paraId="3EEE0D9E" w14:textId="1CA0036E" w:rsidR="00D03A28" w:rsidRPr="00074DD8" w:rsidRDefault="00D03A28" w:rsidP="00D03A28">
                      <w:pPr>
                        <w:pStyle w:val="tekstzboku"/>
                        <w:jc w:val="both"/>
                      </w:pPr>
                      <w:r>
                        <w:t>Na koniec czerwca 2022</w:t>
                      </w:r>
                      <w:r w:rsidRPr="0090351B">
                        <w:t> r. lokaty funduszy inwestycyjnych wy</w:t>
                      </w:r>
                      <w:r>
                        <w:t>niosły 226,1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D46E56" w:rsidRPr="006C5A79">
        <w:rPr>
          <w:lang w:val="en-GB"/>
        </w:rPr>
        <w:t>Tablica</w:t>
      </w:r>
      <w:proofErr w:type="spellEnd"/>
      <w:r w:rsidR="00D46E56" w:rsidRPr="006C5A79">
        <w:rPr>
          <w:lang w:val="en-GB"/>
        </w:rPr>
        <w:t xml:space="preserve"> </w:t>
      </w:r>
      <w:r w:rsidR="00783440" w:rsidRPr="006C5A79">
        <w:rPr>
          <w:lang w:val="en-GB"/>
        </w:rPr>
        <w:t>2</w:t>
      </w:r>
      <w:r w:rsidR="00D46E56" w:rsidRPr="006C5A79">
        <w:rPr>
          <w:lang w:val="en-GB"/>
        </w:rPr>
        <w:t xml:space="preserve">. </w:t>
      </w:r>
      <w:proofErr w:type="spellStart"/>
      <w:r w:rsidR="00783440" w:rsidRPr="006C5A79">
        <w:rPr>
          <w:lang w:val="en-GB"/>
        </w:rPr>
        <w:t>Wybrane</w:t>
      </w:r>
      <w:proofErr w:type="spellEnd"/>
      <w:r w:rsidR="00783440" w:rsidRPr="006C5A79">
        <w:rPr>
          <w:lang w:val="en-GB"/>
        </w:rPr>
        <w:t xml:space="preserve"> </w:t>
      </w:r>
      <w:proofErr w:type="spellStart"/>
      <w:r w:rsidR="00783440" w:rsidRPr="006C5A79">
        <w:rPr>
          <w:lang w:val="en-GB"/>
        </w:rPr>
        <w:t>pozycje</w:t>
      </w:r>
      <w:proofErr w:type="spellEnd"/>
      <w:r w:rsidR="00ED7B59" w:rsidRPr="006C5A79">
        <w:rPr>
          <w:lang w:val="en-GB"/>
        </w:rPr>
        <w:t xml:space="preserve"> z </w:t>
      </w:r>
      <w:proofErr w:type="spellStart"/>
      <w:r w:rsidR="00ED7B59" w:rsidRPr="006C5A79">
        <w:rPr>
          <w:lang w:val="en-GB"/>
        </w:rPr>
        <w:t>bilansu</w:t>
      </w:r>
      <w:proofErr w:type="spellEnd"/>
      <w:r w:rsidR="00D46E56" w:rsidRPr="006C5A79">
        <w:rPr>
          <w:lang w:val="en-GB"/>
        </w:rPr>
        <w:t xml:space="preserve"> </w:t>
      </w:r>
      <w:proofErr w:type="spellStart"/>
      <w:r w:rsidR="00D46E56" w:rsidRPr="006C5A79">
        <w:rPr>
          <w:lang w:val="en-GB"/>
        </w:rPr>
        <w:t>funduszy</w:t>
      </w:r>
      <w:proofErr w:type="spellEnd"/>
      <w:r w:rsidR="00D46E56" w:rsidRPr="006C5A79">
        <w:rPr>
          <w:lang w:val="en-GB"/>
        </w:rPr>
        <w:t xml:space="preserve"> </w:t>
      </w:r>
      <w:proofErr w:type="spellStart"/>
      <w:r w:rsidR="00D46E56" w:rsidRPr="006C5A79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  (stan w dniu 31 grudnia 2021 r.)"/>
        <w:tblDescription w:val="Porównanie procentowe podstawowych danych bilansu funduszy inwestycyjnych za I półrocze lat 2021 i 2022. Obserwowany wzrost należności oraz zobowiązań. W pozostałych pozycjach bilansu obserwowany jest spadek."/>
      </w:tblPr>
      <w:tblGrid>
        <w:gridCol w:w="3686"/>
        <w:gridCol w:w="1417"/>
        <w:gridCol w:w="1417"/>
        <w:gridCol w:w="1418"/>
      </w:tblGrid>
      <w:tr w:rsidR="00D46E56" w14:paraId="3FE4A48D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D6E08D6" w14:textId="77777777" w:rsidR="00D46E56" w:rsidRPr="00F049AB" w:rsidRDefault="00D46E56" w:rsidP="008C078E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55D47C" w14:textId="5D09A630" w:rsidR="00D46E56" w:rsidRDefault="00544EAD" w:rsidP="008C078E">
            <w:pPr>
              <w:pStyle w:val="Tablicagwkarodek"/>
            </w:pPr>
            <w:r>
              <w:t>I półrocze 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4C54B40" w14:textId="0469218A" w:rsidR="00D46E56" w:rsidRDefault="00544EAD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2022</w:t>
            </w:r>
          </w:p>
        </w:tc>
      </w:tr>
      <w:tr w:rsidR="00D46E56" w14:paraId="067FC3A7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8987F2" w14:textId="77777777" w:rsidR="00D46E56" w:rsidRDefault="00D46E56" w:rsidP="008C078E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43116C5" w14:textId="7E5AB725" w:rsidR="00D46E56" w:rsidRDefault="00D46E56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A4364D2" w14:textId="01BE75C3" w:rsidR="00D46E56" w:rsidRDefault="00544EAD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2021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F23D31" w14:paraId="5EFDADEE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819EC7" w14:textId="46752D57" w:rsidR="00F23D31" w:rsidRDefault="00F23D31" w:rsidP="008C078E">
            <w:pPr>
              <w:pStyle w:val="Tablicaboczek"/>
            </w:pPr>
            <w:r>
              <w:t>Aktywa ogółem,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B53293" w14:textId="3AF13BD7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348 938,8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621C07" w14:textId="1E03338D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299 569,4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DD9FE4C" w14:textId="2C66D2AA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85,9</w:t>
            </w:r>
          </w:p>
        </w:tc>
      </w:tr>
      <w:tr w:rsidR="00F23D31" w14:paraId="6D80F928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5067B45" w14:textId="2DB8EB85" w:rsidR="00F23D31" w:rsidRDefault="00F23D31" w:rsidP="008C078E">
            <w:pPr>
              <w:pStyle w:val="Tablicaboczek"/>
              <w:ind w:left="170"/>
            </w:pPr>
            <w:r>
              <w:t xml:space="preserve">Należności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B3F0EB" w14:textId="53917721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48 439,5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2E1B99" w14:textId="7BDD6EA7" w:rsidR="00F23D31" w:rsidRPr="00400D99" w:rsidRDefault="00F23D31" w:rsidP="008C078E">
            <w:pPr>
              <w:pStyle w:val="Tablicadanerodek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53 852,1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1E58736" w14:textId="7FAC901B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111,2</w:t>
            </w:r>
          </w:p>
        </w:tc>
      </w:tr>
      <w:tr w:rsidR="00F23D31" w14:paraId="58B6B9D8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E36BDF" w14:textId="2A302A74" w:rsidR="00F23D31" w:rsidRDefault="00F23D31" w:rsidP="008C078E">
            <w:pPr>
              <w:pStyle w:val="Tablicaboczek"/>
              <w:ind w:left="170"/>
            </w:pPr>
            <w:r>
              <w:t>Składniki lokat nienotowane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ADF2B3" w14:textId="0E940688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122 432,3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4488B5" w14:textId="78EAF2FA" w:rsidR="00F23D31" w:rsidRPr="00400D99" w:rsidRDefault="00F23D31" w:rsidP="008C078E">
            <w:pPr>
              <w:pStyle w:val="Tablicadanerodek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115 948,9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63D4CC3" w14:textId="1A215F89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94,7</w:t>
            </w:r>
          </w:p>
        </w:tc>
      </w:tr>
      <w:tr w:rsidR="00F23D31" w14:paraId="0F1938EF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504679C" w14:textId="5D5F6A9A" w:rsidR="00F23D31" w:rsidRDefault="00F23D31" w:rsidP="008C078E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>Składniki lokat 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07CB33" w14:textId="5FCB4534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158 148,3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0B435C" w14:textId="687859D4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116 702,5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6240679" w14:textId="0D5ACAD6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73,8</w:t>
            </w:r>
          </w:p>
        </w:tc>
      </w:tr>
      <w:tr w:rsidR="00F23D31" w14:paraId="27B801B5" w14:textId="77777777" w:rsidTr="008813FC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noWrap/>
          </w:tcPr>
          <w:p w14:paraId="55A9EEA8" w14:textId="608E036C" w:rsidR="00F23D31" w:rsidRDefault="00F23D31" w:rsidP="008C078E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bottom"/>
          </w:tcPr>
          <w:p w14:paraId="733587F5" w14:textId="142AC5C4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21 420,3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bottom"/>
          </w:tcPr>
          <w:p w14:paraId="67ADB58B" w14:textId="6C1B0157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25 639,5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noWrap/>
            <w:vAlign w:val="bottom"/>
          </w:tcPr>
          <w:p w14:paraId="0E1A72EF" w14:textId="6F2432D4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119,7</w:t>
            </w:r>
          </w:p>
        </w:tc>
      </w:tr>
      <w:tr w:rsidR="00F23D31" w14:paraId="7A6FCF0E" w14:textId="77777777" w:rsidTr="008813FC">
        <w:trPr>
          <w:trHeight w:val="300"/>
        </w:trPr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  <w:noWrap/>
          </w:tcPr>
          <w:p w14:paraId="59265026" w14:textId="30143127" w:rsidR="00F23D31" w:rsidRDefault="00F23D31" w:rsidP="008C078E">
            <w:pPr>
              <w:pStyle w:val="Tablicaboczekwcicie2"/>
              <w:ind w:left="0"/>
            </w:pPr>
            <w:r>
              <w:t>Aktywa netto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DDDA204" w14:textId="47F1BCEE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327 518,4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A9D2F9F" w14:textId="630F52F3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273 930,5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6B38BB21" w14:textId="5ABEECF8" w:rsidR="00F23D31" w:rsidRPr="00400D99" w:rsidRDefault="00F23D31" w:rsidP="008C078E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83,6</w:t>
            </w:r>
          </w:p>
        </w:tc>
      </w:tr>
    </w:tbl>
    <w:p w14:paraId="3FBFA767" w14:textId="403FB5EF" w:rsidR="00D46E56" w:rsidRDefault="00733BA7" w:rsidP="00216634">
      <w:pPr>
        <w:spacing w:line="288" w:lineRule="auto"/>
        <w:rPr>
          <w:lang w:eastAsia="pl-PL"/>
        </w:rPr>
      </w:pPr>
      <w:r w:rsidRPr="006C5A79">
        <w:rPr>
          <w:lang w:eastAsia="pl-PL"/>
        </w:rPr>
        <w:t>Wartość lokat ogółem funduszy inwestycyjnych na koniec czerwca 2022 r. zmniejszyła się do 226 072,1 mln zł (o 19,6%). Głównym składnikiem lokat były dłużne papiery wartościowe w kwocie 129 552,5 mln zł (spadek o 21,5%). Wartość akcji zmniejszyła się do 42 024,8 mln zł (o 22,8%). Wierzytelności ukształtowały się na poziomie 10 484,1 mln zł (spadek o 26,6%). Depozyty zmniejszyły się do 789,4 mln zł (o 42,3%).</w:t>
      </w:r>
    </w:p>
    <w:p w14:paraId="5DF3C814" w14:textId="5E941796" w:rsidR="00200C21" w:rsidRPr="009B2A4A" w:rsidRDefault="00200C21" w:rsidP="002E7280">
      <w:pPr>
        <w:pStyle w:val="Tytutablicy"/>
        <w:rPr>
          <w:lang w:val="en-GB"/>
        </w:rPr>
      </w:pPr>
      <w:proofErr w:type="spellStart"/>
      <w:r w:rsidRPr="006C5A79">
        <w:rPr>
          <w:lang w:val="en-GB"/>
        </w:rPr>
        <w:t>Tablica</w:t>
      </w:r>
      <w:proofErr w:type="spellEnd"/>
      <w:r w:rsidRPr="006C5A79">
        <w:rPr>
          <w:lang w:val="en-GB"/>
        </w:rPr>
        <w:t xml:space="preserve"> </w:t>
      </w:r>
      <w:r w:rsidR="00E143A0" w:rsidRPr="006C5A79">
        <w:rPr>
          <w:lang w:val="en-GB"/>
        </w:rPr>
        <w:t>3</w:t>
      </w:r>
      <w:r w:rsidRPr="006C5A79">
        <w:rPr>
          <w:lang w:val="en-GB"/>
        </w:rPr>
        <w:t xml:space="preserve">. </w:t>
      </w:r>
      <w:proofErr w:type="spellStart"/>
      <w:r w:rsidR="00E143A0" w:rsidRPr="006C5A79">
        <w:rPr>
          <w:lang w:val="en-GB"/>
        </w:rPr>
        <w:t>Wartość</w:t>
      </w:r>
      <w:proofErr w:type="spellEnd"/>
      <w:r w:rsidR="00E143A0" w:rsidRPr="006C5A79">
        <w:rPr>
          <w:lang w:val="en-GB"/>
        </w:rPr>
        <w:t xml:space="preserve"> </w:t>
      </w:r>
      <w:proofErr w:type="spellStart"/>
      <w:r w:rsidR="00E143A0" w:rsidRPr="006C5A79">
        <w:rPr>
          <w:lang w:val="en-GB"/>
        </w:rPr>
        <w:t>lokat</w:t>
      </w:r>
      <w:proofErr w:type="spellEnd"/>
      <w:r w:rsidRPr="006C5A79">
        <w:rPr>
          <w:lang w:val="en-GB"/>
        </w:rPr>
        <w:t xml:space="preserve"> </w:t>
      </w:r>
      <w:proofErr w:type="spellStart"/>
      <w:r w:rsidRPr="006C5A79">
        <w:rPr>
          <w:lang w:val="en-GB"/>
        </w:rPr>
        <w:t>funduszy</w:t>
      </w:r>
      <w:proofErr w:type="spellEnd"/>
      <w:r w:rsidRPr="006C5A79">
        <w:rPr>
          <w:lang w:val="en-GB"/>
        </w:rPr>
        <w:t xml:space="preserve"> </w:t>
      </w:r>
      <w:proofErr w:type="spellStart"/>
      <w:r w:rsidRPr="006C5A79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 (stan w dniu 31 grudnia 2021 r.)"/>
        <w:tblDescription w:val="Porównanie procentowe wartości lokat funduszy inwestycyjnych za I półrocze lat 2021 i 2022. Obserwowane spadki większości danych."/>
      </w:tblPr>
      <w:tblGrid>
        <w:gridCol w:w="3686"/>
        <w:gridCol w:w="1417"/>
        <w:gridCol w:w="1417"/>
        <w:gridCol w:w="1418"/>
      </w:tblGrid>
      <w:tr w:rsidR="00200C21" w14:paraId="62232B3A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4F81ED" w14:textId="77777777" w:rsidR="00200C21" w:rsidRPr="00F049AB" w:rsidRDefault="00200C21" w:rsidP="00BE04E6">
            <w:pPr>
              <w:pStyle w:val="Tablicagwka"/>
              <w:spacing w:line="240" w:lineRule="auto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38590F" w14:textId="047D70F0" w:rsidR="00200C21" w:rsidRDefault="00E10FC6" w:rsidP="00BE04E6">
            <w:pPr>
              <w:pStyle w:val="Tablicagwkarodek"/>
              <w:spacing w:line="240" w:lineRule="auto"/>
            </w:pPr>
            <w:r>
              <w:t>I półrocze 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9BD66F2" w14:textId="0DE5F418" w:rsidR="00200C21" w:rsidRDefault="00E10FC6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2022</w:t>
            </w:r>
          </w:p>
        </w:tc>
      </w:tr>
      <w:tr w:rsidR="00200C21" w14:paraId="27E58A6D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A3E3DB0" w14:textId="77777777" w:rsidR="00200C21" w:rsidRDefault="00200C21" w:rsidP="00BE04E6">
            <w:pPr>
              <w:spacing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D17F2D" w14:textId="52C47F2A" w:rsidR="00200C21" w:rsidRDefault="00200C21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008AD1A" w14:textId="426F30DD" w:rsidR="00200C21" w:rsidRDefault="00E10FC6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F15A20" w14:paraId="217732E6" w14:textId="77777777" w:rsidTr="00F541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FC321E" w14:textId="3BE63397" w:rsidR="00F15A20" w:rsidRDefault="00F15A20" w:rsidP="00F15A20">
            <w:pPr>
              <w:pStyle w:val="Tablicaboczek"/>
              <w:spacing w:line="240" w:lineRule="auto"/>
            </w:pPr>
            <w:r>
              <w:t>Lokaty,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1B7D6C" w14:textId="3258D408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281 258,4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A74785" w14:textId="46A3DD7A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226 072,1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E6F5E08" w14:textId="6C97232B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80,4</w:t>
            </w:r>
          </w:p>
        </w:tc>
      </w:tr>
      <w:tr w:rsidR="00F15A20" w14:paraId="5DDF23AE" w14:textId="77777777" w:rsidTr="00F541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4E85ACC" w14:textId="0DDA5D34" w:rsidR="00F15A20" w:rsidRDefault="00F15A20" w:rsidP="00F15A20">
            <w:pPr>
              <w:pStyle w:val="Tablicaboczek"/>
              <w:spacing w:line="240" w:lineRule="auto"/>
              <w:ind w:left="170"/>
            </w:pPr>
            <w:r>
              <w:t xml:space="preserve">Akcje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F03BA0" w14:textId="14CAF2C7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54 422,6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2C11CF" w14:textId="177462C5" w:rsidR="00F15A20" w:rsidRPr="00400D99" w:rsidRDefault="00F15A20" w:rsidP="00F15A20">
            <w:pPr>
              <w:pStyle w:val="Tablicadanerodek"/>
              <w:spacing w:line="240" w:lineRule="auto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42 024,8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4B4243E" w14:textId="7D2D156A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77,2</w:t>
            </w:r>
          </w:p>
        </w:tc>
      </w:tr>
      <w:tr w:rsidR="00F15A20" w14:paraId="105D4CEE" w14:textId="77777777" w:rsidTr="00F541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468BD26" w14:textId="0D364F50" w:rsidR="00F15A20" w:rsidRDefault="00F15A20" w:rsidP="00F15A20">
            <w:pPr>
              <w:pStyle w:val="Tablicaboczek"/>
              <w:spacing w:line="240" w:lineRule="auto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2D4D12" w14:textId="48D074CA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165 022,2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F28574" w14:textId="66FDE40C" w:rsidR="00F15A20" w:rsidRPr="00400D99" w:rsidRDefault="00F15A20" w:rsidP="00F15A20">
            <w:pPr>
              <w:pStyle w:val="Tablicadanerodek"/>
              <w:spacing w:line="240" w:lineRule="auto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129 552,5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FF68BC7" w14:textId="459B79D2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78,5</w:t>
            </w:r>
          </w:p>
        </w:tc>
      </w:tr>
      <w:tr w:rsidR="00F15A20" w14:paraId="6E8DBA49" w14:textId="77777777" w:rsidTr="00672463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65CEEB2" w14:textId="0A4C0C5F" w:rsidR="00F15A20" w:rsidRDefault="00F15A20" w:rsidP="00F15A20">
            <w:pPr>
              <w:pStyle w:val="Tablicaboczekwcicie1"/>
              <w:spacing w:line="240" w:lineRule="auto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3E1143" w14:textId="68CD5737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14 290,8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28EEB6" w14:textId="13647C25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10 484,1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B5A9EDF" w14:textId="187A51A8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73,4</w:t>
            </w:r>
          </w:p>
        </w:tc>
      </w:tr>
      <w:tr w:rsidR="00F15A20" w14:paraId="7C710F8C" w14:textId="77777777" w:rsidTr="00672463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E30643A" w14:textId="07887B57" w:rsidR="00F15A20" w:rsidRDefault="00F15A20" w:rsidP="00F15A20">
            <w:pPr>
              <w:pStyle w:val="Tablicaboczekwcicie2"/>
              <w:spacing w:line="240" w:lineRule="auto"/>
              <w:ind w:left="170"/>
              <w:rPr>
                <w:rFonts w:eastAsia="Times New Roman" w:cs="Calibri"/>
                <w:lang w:eastAsia="pl-PL"/>
              </w:rPr>
            </w:pPr>
            <w:r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81D984" w14:textId="2897D7FD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18 423,7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826BA0" w14:textId="10FB6119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22 991,9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F67CEAF" w14:textId="279B675C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124,8</w:t>
            </w:r>
          </w:p>
        </w:tc>
      </w:tr>
      <w:tr w:rsidR="00F15A20" w14:paraId="7AE7833C" w14:textId="77777777" w:rsidTr="00672463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B74D997" w14:textId="65C751F7" w:rsidR="00F15A20" w:rsidRDefault="00F15A20" w:rsidP="00F15A20">
            <w:pPr>
              <w:pStyle w:val="Tablicaboczek"/>
              <w:spacing w:line="240" w:lineRule="auto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CCC1DDF" w14:textId="6445BF47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1 368,7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DA2A756" w14:textId="16C8C4C4" w:rsidR="00F15A20" w:rsidRPr="00400D99" w:rsidRDefault="00F15A20" w:rsidP="00F15A20">
            <w:pPr>
              <w:pStyle w:val="Tablicadanerodek"/>
              <w:spacing w:line="240" w:lineRule="auto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789,4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3FA7857" w14:textId="0FD8F949" w:rsidR="00F15A20" w:rsidRPr="00400D99" w:rsidRDefault="00F15A20" w:rsidP="00F15A20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57,7</w:t>
            </w:r>
          </w:p>
        </w:tc>
      </w:tr>
    </w:tbl>
    <w:p w14:paraId="47EA1CAC" w14:textId="76D587EA" w:rsidR="003334B9" w:rsidRPr="001A3D3F" w:rsidRDefault="008A0249" w:rsidP="00400D99">
      <w:pPr>
        <w:spacing w:line="288" w:lineRule="auto"/>
        <w:rPr>
          <w:lang w:eastAsia="pl-PL"/>
        </w:rPr>
      </w:pPr>
      <w:r w:rsidRPr="006C5A79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3248FE1">
                <wp:simplePos x="0" y="0"/>
                <wp:positionH relativeFrom="page">
                  <wp:posOffset>5760720</wp:posOffset>
                </wp:positionH>
                <wp:positionV relativeFrom="paragraph">
                  <wp:posOffset>97790</wp:posOffset>
                </wp:positionV>
                <wp:extent cx="1767840" cy="800100"/>
                <wp:effectExtent l="0" t="0" r="0" b="0"/>
                <wp:wrapTight wrapText="bothSides">
                  <wp:wrapPolygon edited="0">
                    <wp:start x="698" y="0"/>
                    <wp:lineTo x="698" y="21086"/>
                    <wp:lineTo x="20716" y="21086"/>
                    <wp:lineTo x="20716" y="0"/>
                    <wp:lineTo x="698" y="0"/>
                  </wp:wrapPolygon>
                </wp:wrapTight>
                <wp:docPr id="4" name="Pole tekstowe 4" descr="W I półroczu 2022 r. przychody z lokat funduszy inwestycyjnych wyniosły  8,8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042D07C1" w:rsidR="00D972F6" w:rsidRPr="00400D99" w:rsidRDefault="0040140E" w:rsidP="00400D99">
                            <w:pPr>
                              <w:pStyle w:val="tekstzboku"/>
                            </w:pPr>
                            <w:r w:rsidRPr="00ED777E">
                              <w:t xml:space="preserve">W </w:t>
                            </w:r>
                            <w:r>
                              <w:t>I półroczu 2022</w:t>
                            </w:r>
                            <w:r w:rsidRPr="00ED777E">
                              <w:t> r. przychody z lokat funduszy inwestycyjnych wy</w:t>
                            </w:r>
                            <w:r>
                              <w:t>niosły 8,8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Pole tekstowe z kluczowymi informacjami — opis: W I półroczu 2022 r. przychody z lokat funduszy inwestycyjnych wyniosły  8,8 mld zł" style="position:absolute;margin-left:453.6pt;margin-top:7.7pt;width:139.2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" filled="f" stroked="f">
                <v:textbox>
                  <w:txbxContent>
                    <w:p w14:paraId="29D2175E" w14:textId="042D07C1" w:rsidR="00D972F6" w:rsidRPr="00400D99" w:rsidRDefault="0040140E" w:rsidP="00400D99">
                      <w:pPr>
                        <w:pStyle w:val="tekstzboku"/>
                      </w:pPr>
                      <w:r w:rsidRPr="00ED777E">
                        <w:t xml:space="preserve">W </w:t>
                      </w:r>
                      <w:r>
                        <w:t>I półroczu 2022</w:t>
                      </w:r>
                      <w:r w:rsidRPr="00ED777E">
                        <w:t> r. przychody z lokat funduszy inwestycyjnych wy</w:t>
                      </w:r>
                      <w:r>
                        <w:t>niosły 8,8 mld zł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334B9" w:rsidRPr="006C5A79">
        <w:rPr>
          <w:lang w:eastAsia="pl-PL"/>
        </w:rPr>
        <w:t>Przychody z lokat funduszy inwestycyjnych w I półroczu 2022 r. wyniosły 8 757,8 mln zł (o 111,4% więcej niż przed rokiem). Główną ich pozycją były przychody odsetkowe, które osiągnęły wartość 2 133,1mln zł i stanowiły 24,4% przychodów z lokat. Dywidendy i inne udziały w</w:t>
      </w:r>
      <w:r w:rsidR="00400D99" w:rsidRPr="006C5A79">
        <w:rPr>
          <w:lang w:eastAsia="pl-PL"/>
        </w:rPr>
        <w:t> </w:t>
      </w:r>
      <w:r w:rsidR="003334B9" w:rsidRPr="006C5A79">
        <w:rPr>
          <w:lang w:eastAsia="pl-PL"/>
        </w:rPr>
        <w:t>zyskach wyniosły 1</w:t>
      </w:r>
      <w:r w:rsidR="00400D99" w:rsidRPr="006C5A79">
        <w:rPr>
          <w:lang w:eastAsia="pl-PL"/>
        </w:rPr>
        <w:t> </w:t>
      </w:r>
      <w:r w:rsidR="003334B9" w:rsidRPr="006C5A79">
        <w:rPr>
          <w:lang w:eastAsia="pl-PL"/>
        </w:rPr>
        <w:t>031,3 mln zł (498,9 mln zł przed rokiem). Wynagrodzenia dla towarzystw zarządzających funduszami wyniosły 1 089,2 mln zł (1 746,5 mln zł przed rokiem). Koszty netto funduszy inwestycyjnych, po uwzględnieniu kosztów pokrywanych przez towarzystwo, wyniosły 2 215,4 mln zł i były niższe o 13,4% iż rok wcześniej. Fundusze inwestycyjne w I połowie 2022 r. wykazały dodatni wynik z operacji w kwocie 22</w:t>
      </w:r>
      <w:r w:rsidR="00400D99" w:rsidRPr="006C5A79">
        <w:rPr>
          <w:lang w:eastAsia="pl-PL"/>
        </w:rPr>
        <w:t> </w:t>
      </w:r>
      <w:r w:rsidR="003334B9" w:rsidRPr="006C5A79">
        <w:rPr>
          <w:lang w:eastAsia="pl-PL"/>
        </w:rPr>
        <w:t>459,7 mln zł (rok wcześniej osiągnęły</w:t>
      </w:r>
      <w:r w:rsidR="00400D99" w:rsidRPr="006C5A79">
        <w:rPr>
          <w:lang w:eastAsia="pl-PL"/>
        </w:rPr>
        <w:t xml:space="preserve"> </w:t>
      </w:r>
      <w:r w:rsidR="003334B9" w:rsidRPr="006C5A79">
        <w:rPr>
          <w:lang w:eastAsia="pl-PL"/>
        </w:rPr>
        <w:t>10</w:t>
      </w:r>
      <w:r w:rsidR="00400D99" w:rsidRPr="006C5A79">
        <w:rPr>
          <w:lang w:eastAsia="pl-PL"/>
        </w:rPr>
        <w:t> </w:t>
      </w:r>
      <w:r w:rsidR="003334B9" w:rsidRPr="006C5A79">
        <w:rPr>
          <w:lang w:eastAsia="pl-PL"/>
        </w:rPr>
        <w:t>518,3 mln zł), w tym wynik z operacji funduszy inwestycyjnych zamkniętych 10</w:t>
      </w:r>
      <w:r w:rsidR="00400D99" w:rsidRPr="006C5A79">
        <w:rPr>
          <w:lang w:eastAsia="pl-PL"/>
        </w:rPr>
        <w:t> </w:t>
      </w:r>
      <w:r w:rsidR="003334B9" w:rsidRPr="006C5A79">
        <w:rPr>
          <w:lang w:eastAsia="pl-PL"/>
        </w:rPr>
        <w:t>198,9</w:t>
      </w:r>
      <w:r w:rsidR="003334B9" w:rsidRPr="006C5A79">
        <w:rPr>
          <w:rStyle w:val="jlqj4b"/>
          <w:rFonts w:ascii="Calibri" w:hAnsi="Calibri" w:cs="Calibri"/>
        </w:rPr>
        <w:t xml:space="preserve"> </w:t>
      </w:r>
      <w:r w:rsidR="003334B9" w:rsidRPr="006C5A79">
        <w:rPr>
          <w:lang w:eastAsia="pl-PL"/>
        </w:rPr>
        <w:t>mln zł (przed rokiem 5 575,9</w:t>
      </w:r>
      <w:r w:rsidR="003334B9" w:rsidRPr="006C5A79">
        <w:rPr>
          <w:rStyle w:val="jlqj4b"/>
        </w:rPr>
        <w:t xml:space="preserve"> </w:t>
      </w:r>
      <w:r w:rsidR="003334B9" w:rsidRPr="006C5A79">
        <w:rPr>
          <w:lang w:eastAsia="pl-PL"/>
        </w:rPr>
        <w:t>mln zł), funduszy inwestycyjnych otwartych 7 727,4 mln zł (przed rokiem 2</w:t>
      </w:r>
      <w:r w:rsidR="00400D99" w:rsidRPr="006C5A79">
        <w:rPr>
          <w:lang w:eastAsia="pl-PL"/>
        </w:rPr>
        <w:t> </w:t>
      </w:r>
      <w:r w:rsidR="003334B9" w:rsidRPr="006C5A79">
        <w:rPr>
          <w:lang w:eastAsia="pl-PL"/>
        </w:rPr>
        <w:t xml:space="preserve">958,8 mln zł) i specjalistycznych funduszy inwestycyjnych otwartych </w:t>
      </w:r>
      <w:r w:rsidR="003334B9" w:rsidRPr="006C5A79">
        <w:rPr>
          <w:rStyle w:val="jlqj4b"/>
          <w:rFonts w:cs="Calibri"/>
        </w:rPr>
        <w:t>4 533,4</w:t>
      </w:r>
      <w:r w:rsidR="003334B9" w:rsidRPr="006C5A79">
        <w:rPr>
          <w:lang w:eastAsia="pl-PL"/>
        </w:rPr>
        <w:t xml:space="preserve"> mln zł (rok wcześniej 1 983,5 mln zł).</w:t>
      </w:r>
    </w:p>
    <w:p w14:paraId="4A7D525C" w14:textId="5DC7724C" w:rsidR="008841DE" w:rsidRPr="009B2A4A" w:rsidRDefault="008841DE" w:rsidP="008841DE">
      <w:pPr>
        <w:pStyle w:val="Tytutablicy"/>
        <w:rPr>
          <w:lang w:val="en-GB"/>
        </w:rPr>
      </w:pPr>
      <w:proofErr w:type="spellStart"/>
      <w:r w:rsidRPr="006C5A79">
        <w:rPr>
          <w:lang w:val="en-GB"/>
        </w:rPr>
        <w:t>Tablica</w:t>
      </w:r>
      <w:proofErr w:type="spellEnd"/>
      <w:r w:rsidRPr="006C5A79">
        <w:rPr>
          <w:lang w:val="en-GB"/>
        </w:rPr>
        <w:t xml:space="preserve"> </w:t>
      </w:r>
      <w:r w:rsidR="00E143A0" w:rsidRPr="006C5A79">
        <w:rPr>
          <w:lang w:val="en-GB"/>
        </w:rPr>
        <w:t>4</w:t>
      </w:r>
      <w:r w:rsidRPr="006C5A79">
        <w:rPr>
          <w:lang w:val="en-GB"/>
        </w:rPr>
        <w:t xml:space="preserve">. </w:t>
      </w:r>
      <w:proofErr w:type="spellStart"/>
      <w:r w:rsidR="00E143A0" w:rsidRPr="006C5A79">
        <w:rPr>
          <w:lang w:val="en-GB"/>
        </w:rPr>
        <w:t>Wybrane</w:t>
      </w:r>
      <w:proofErr w:type="spellEnd"/>
      <w:r w:rsidR="00E143A0" w:rsidRPr="006C5A79">
        <w:rPr>
          <w:lang w:val="en-GB"/>
        </w:rPr>
        <w:t xml:space="preserve"> </w:t>
      </w:r>
      <w:proofErr w:type="spellStart"/>
      <w:r w:rsidR="00E143A0" w:rsidRPr="006C5A79">
        <w:rPr>
          <w:lang w:val="en-GB"/>
        </w:rPr>
        <w:t>pozycje</w:t>
      </w:r>
      <w:proofErr w:type="spellEnd"/>
      <w:r w:rsidR="00E143A0" w:rsidRPr="006C5A79">
        <w:rPr>
          <w:lang w:val="en-GB"/>
        </w:rPr>
        <w:t xml:space="preserve"> z </w:t>
      </w:r>
      <w:proofErr w:type="spellStart"/>
      <w:r w:rsidR="00302409" w:rsidRPr="006C5A79">
        <w:rPr>
          <w:lang w:val="en-GB"/>
        </w:rPr>
        <w:t>rachunku</w:t>
      </w:r>
      <w:proofErr w:type="spellEnd"/>
      <w:r w:rsidR="00302409" w:rsidRPr="006C5A79">
        <w:rPr>
          <w:lang w:val="en-GB"/>
        </w:rPr>
        <w:t xml:space="preserve"> </w:t>
      </w:r>
      <w:proofErr w:type="spellStart"/>
      <w:r w:rsidR="00302409" w:rsidRPr="006C5A79">
        <w:rPr>
          <w:lang w:val="en-GB"/>
        </w:rPr>
        <w:t>wyniku</w:t>
      </w:r>
      <w:proofErr w:type="spellEnd"/>
      <w:r w:rsidR="00E143A0" w:rsidRPr="006C5A79">
        <w:rPr>
          <w:lang w:val="en-GB"/>
        </w:rPr>
        <w:t xml:space="preserve"> </w:t>
      </w:r>
      <w:proofErr w:type="spellStart"/>
      <w:r w:rsidRPr="006C5A79">
        <w:rPr>
          <w:lang w:val="en-GB"/>
        </w:rPr>
        <w:t>funduszy</w:t>
      </w:r>
      <w:proofErr w:type="spellEnd"/>
      <w:r w:rsidRPr="006C5A79">
        <w:rPr>
          <w:lang w:val="en-GB"/>
        </w:rPr>
        <w:t xml:space="preserve"> </w:t>
      </w:r>
      <w:proofErr w:type="spellStart"/>
      <w:r w:rsidRPr="006C5A79">
        <w:rPr>
          <w:lang w:val="en-GB"/>
        </w:rPr>
        <w:t>inwestycyjnych</w:t>
      </w:r>
      <w:bookmarkStart w:id="0" w:name="_GoBack"/>
      <w:bookmarkEnd w:id="0"/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  (stan w dniu 31 grudnia 2021 r.)"/>
        <w:tblDescription w:val="Porównanie procentowe podstawowych danych rachunku wyniku z operacji funduszy inwestycyjnych za I półrocze lat 2021 i 2022. Obserwowany wyraźny wzrost przychodów z lokat i wyniku z operacji. Spadek w zakresie wynagrodzenia dla towarzystwa. "/>
      </w:tblPr>
      <w:tblGrid>
        <w:gridCol w:w="3686"/>
        <w:gridCol w:w="1417"/>
        <w:gridCol w:w="1417"/>
        <w:gridCol w:w="1418"/>
      </w:tblGrid>
      <w:tr w:rsidR="008841DE" w14:paraId="25DF9B20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4CD5D73" w14:textId="77777777" w:rsidR="008841DE" w:rsidRPr="00F049AB" w:rsidRDefault="008841DE" w:rsidP="00655D4D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586F04D" w14:textId="3D0D4394" w:rsidR="008841DE" w:rsidRDefault="000D27F3" w:rsidP="00655D4D">
            <w:pPr>
              <w:pStyle w:val="Tablicagwkarodek"/>
            </w:pPr>
            <w:r>
              <w:t>I półrocze 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4BD868C" w14:textId="63669CB7" w:rsidR="008841DE" w:rsidRDefault="000D27F3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2022</w:t>
            </w:r>
          </w:p>
        </w:tc>
      </w:tr>
      <w:tr w:rsidR="008841DE" w14:paraId="65629A54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4EF49E" w14:textId="77777777" w:rsidR="008841DE" w:rsidRDefault="008841DE" w:rsidP="00655D4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B0AA6" w14:textId="043CF43A" w:rsidR="008841DE" w:rsidRDefault="008841DE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A42D16" w14:textId="1EF82F04" w:rsidR="008841DE" w:rsidRDefault="000D27F3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0D27F3" w14:paraId="30516599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C773BE" w14:textId="7CE60E37" w:rsidR="000D27F3" w:rsidRDefault="000D27F3" w:rsidP="000D27F3">
            <w:pPr>
              <w:pStyle w:val="Tablicaboczek"/>
            </w:pPr>
            <w:r>
              <w:t>Przychody z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AFF0BB" w14:textId="2791AC5D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4 141,8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B2EBF5" w14:textId="44C31765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8 757,8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B12EE6B" w14:textId="493006DD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211,4</w:t>
            </w:r>
          </w:p>
        </w:tc>
      </w:tr>
      <w:tr w:rsidR="000D27F3" w14:paraId="7C39B167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DB3798C" w14:textId="2726F747" w:rsidR="000D27F3" w:rsidRDefault="000D27F3" w:rsidP="000D27F3">
            <w:pPr>
              <w:pStyle w:val="Tablicaboczek"/>
            </w:pPr>
            <w:r>
              <w:t xml:space="preserve">Koszty funduszu, w tym: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4AB6F8" w14:textId="1A8E4567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2 573,4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5A0A08" w14:textId="0B656924" w:rsidR="000D27F3" w:rsidRPr="00400D99" w:rsidRDefault="000D27F3" w:rsidP="000D27F3">
            <w:pPr>
              <w:pStyle w:val="Tablicadanerodek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2 585,5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33FA8C0" w14:textId="52841ABC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100,5</w:t>
            </w:r>
          </w:p>
        </w:tc>
      </w:tr>
      <w:tr w:rsidR="000D27F3" w14:paraId="05118CBF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C57AC96" w14:textId="2FA3A3C4" w:rsidR="000D27F3" w:rsidRDefault="000D27F3" w:rsidP="000D27F3">
            <w:pPr>
              <w:pStyle w:val="Tablicaboczek"/>
              <w:ind w:left="170"/>
            </w:pPr>
            <w:r>
              <w:t>Wynagrodzenie dla towarzystwa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84CD2F" w14:textId="5F093D2F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1 746,5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C063FC" w14:textId="4C7F4FB0" w:rsidR="000D27F3" w:rsidRPr="00400D99" w:rsidRDefault="000D27F3" w:rsidP="000D27F3">
            <w:pPr>
              <w:pStyle w:val="Tablicadanerodek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1 089,2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6C88134" w14:textId="31027EF5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62,4</w:t>
            </w:r>
          </w:p>
        </w:tc>
      </w:tr>
      <w:tr w:rsidR="000D27F3" w14:paraId="31EA889D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D5141BF" w14:textId="7E1DDD14" w:rsidR="000D27F3" w:rsidRDefault="000D27F3" w:rsidP="000D27F3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>
              <w:t>Zrealizowany zysk/strata ze zbycia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54055F" w14:textId="007D19D5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3 679,7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5EBDD8" w14:textId="7D494D47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4 570,9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0A5C104" w14:textId="47CD3C9E" w:rsidR="000D27F3" w:rsidRPr="00400D99" w:rsidRDefault="000D27F3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124,2</w:t>
            </w:r>
          </w:p>
        </w:tc>
      </w:tr>
      <w:tr w:rsidR="000D27F3" w14:paraId="6982BDE8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8534131" w14:textId="626AE3CB" w:rsidR="000D27F3" w:rsidRDefault="000D27F3" w:rsidP="000D27F3">
            <w:pPr>
              <w:pStyle w:val="Tablicaboczekwcicie2"/>
              <w:ind w:left="0"/>
            </w:pPr>
            <w:r>
              <w:t>Wzrost/spadek niezrealizowanego zysku/straty z wyceny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F8CC17" w14:textId="351F2D18" w:rsidR="000D27F3" w:rsidRPr="00400D99" w:rsidRDefault="009570D4" w:rsidP="000D27F3">
            <w:pPr>
              <w:pStyle w:val="Tablicadanerodek"/>
            </w:pPr>
            <w:r>
              <w:t>5 257,7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BA7FA6" w14:textId="2B3F1C15" w:rsidR="000D27F3" w:rsidRPr="00400D99" w:rsidRDefault="009570D4" w:rsidP="000D27F3">
            <w:pPr>
              <w:pStyle w:val="Tablicadanerodek"/>
            </w:pPr>
            <w:r>
              <w:t>16 625,1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0BFCF5B" w14:textId="76481E8E" w:rsidR="000D27F3" w:rsidRPr="00400D99" w:rsidRDefault="009570D4" w:rsidP="000D27F3">
            <w:pPr>
              <w:pStyle w:val="Tablicadanerodek"/>
            </w:pPr>
            <w:r>
              <w:t>316,2</w:t>
            </w:r>
          </w:p>
        </w:tc>
      </w:tr>
      <w:tr w:rsidR="000D27F3" w14:paraId="5B8F744F" w14:textId="77777777" w:rsidTr="000D27F3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7BC640B" w14:textId="6FBFC264" w:rsidR="000D27F3" w:rsidRDefault="000D27F3" w:rsidP="000D27F3">
            <w:pPr>
              <w:pStyle w:val="Tablicaboczek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156D003" w14:textId="0D193FC4" w:rsidR="000D27F3" w:rsidRPr="00400D99" w:rsidRDefault="009570D4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10 518,3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76F103" w14:textId="75682188" w:rsidR="000D27F3" w:rsidRPr="00400D99" w:rsidRDefault="009570D4" w:rsidP="000D27F3">
            <w:pPr>
              <w:pStyle w:val="Tablicadanerodek"/>
              <w:rPr>
                <w:highlight w:val="yellow"/>
              </w:rPr>
            </w:pPr>
            <w:r w:rsidRPr="00400D99">
              <w:rPr>
                <w:rFonts w:cs="Arial"/>
                <w:color w:val="000000"/>
              </w:rPr>
              <w:t>22 459,7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008C58D" w14:textId="3E9CA969" w:rsidR="000D27F3" w:rsidRPr="00400D99" w:rsidRDefault="009570D4" w:rsidP="000D27F3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213,5</w:t>
            </w:r>
          </w:p>
        </w:tc>
      </w:tr>
    </w:tbl>
    <w:p w14:paraId="07DD2912" w14:textId="41F6918E" w:rsidR="008841DE" w:rsidRPr="009B2A4A" w:rsidRDefault="008841DE" w:rsidP="00216634">
      <w:pPr>
        <w:spacing w:line="288" w:lineRule="auto"/>
        <w:rPr>
          <w:rFonts w:eastAsia="Times New Roman" w:cs="Times New Roman"/>
          <w:szCs w:val="19"/>
          <w:lang w:val="en-GB" w:eastAsia="pl-PL"/>
        </w:rPr>
      </w:pPr>
    </w:p>
    <w:p w14:paraId="68A6B86F" w14:textId="5198228D" w:rsidR="00AC4B7E" w:rsidRDefault="00AC4B7E" w:rsidP="00AC4B7E">
      <w:pPr>
        <w:jc w:val="both"/>
        <w:rPr>
          <w:lang w:eastAsia="pl-PL"/>
        </w:rPr>
      </w:pPr>
    </w:p>
    <w:p w14:paraId="5EFE768E" w14:textId="77777777" w:rsidR="00AC4B7E" w:rsidRDefault="00AC4B7E" w:rsidP="00AC4B7E">
      <w:pPr>
        <w:jc w:val="both"/>
        <w:rPr>
          <w:lang w:eastAsia="pl-PL"/>
        </w:rPr>
      </w:pPr>
    </w:p>
    <w:p w14:paraId="12278D1D" w14:textId="77777777" w:rsidR="005D7AAD" w:rsidRDefault="005D7AAD" w:rsidP="00AC4B7E">
      <w:pPr>
        <w:jc w:val="both"/>
        <w:rPr>
          <w:lang w:eastAsia="pl-PL"/>
        </w:rPr>
      </w:pPr>
    </w:p>
    <w:p w14:paraId="125D5726" w14:textId="77777777" w:rsidR="005D7AAD" w:rsidRDefault="005D7AAD" w:rsidP="00AC4B7E">
      <w:pPr>
        <w:jc w:val="both"/>
        <w:rPr>
          <w:lang w:eastAsia="pl-PL"/>
        </w:rPr>
      </w:pPr>
    </w:p>
    <w:p w14:paraId="21E4F678" w14:textId="77777777" w:rsidR="005D7AAD" w:rsidRDefault="005D7AAD" w:rsidP="00AC4B7E">
      <w:pPr>
        <w:jc w:val="both"/>
        <w:rPr>
          <w:lang w:eastAsia="pl-PL"/>
        </w:rPr>
      </w:pPr>
    </w:p>
    <w:p w14:paraId="67D00CC5" w14:textId="77777777" w:rsidR="005D7AAD" w:rsidRDefault="005D7AAD" w:rsidP="00AC4B7E">
      <w:pPr>
        <w:jc w:val="both"/>
        <w:rPr>
          <w:lang w:eastAsia="pl-PL"/>
        </w:rPr>
      </w:pPr>
    </w:p>
    <w:p w14:paraId="3386BDBB" w14:textId="77777777" w:rsidR="005D7AAD" w:rsidRDefault="005D7AAD" w:rsidP="00AC4B7E">
      <w:pPr>
        <w:jc w:val="both"/>
        <w:rPr>
          <w:lang w:eastAsia="pl-PL"/>
        </w:rPr>
      </w:pPr>
    </w:p>
    <w:p w14:paraId="53297271" w14:textId="77777777" w:rsidR="005D7AAD" w:rsidRDefault="005D7AAD" w:rsidP="00AC4B7E">
      <w:pPr>
        <w:jc w:val="both"/>
        <w:rPr>
          <w:lang w:eastAsia="pl-PL"/>
        </w:rPr>
      </w:pPr>
    </w:p>
    <w:p w14:paraId="57B4E51B" w14:textId="770EC7E7" w:rsidR="00AC4B7E" w:rsidRDefault="00AC4B7E" w:rsidP="00AC4B7E">
      <w:pPr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1C626C2" w14:textId="77777777" w:rsidR="00AC4B7E" w:rsidRDefault="00AC4B7E" w:rsidP="00AC4B7E">
      <w:pPr>
        <w:jc w:val="both"/>
        <w:rPr>
          <w:lang w:eastAsia="pl-PL"/>
        </w:rPr>
      </w:pPr>
    </w:p>
    <w:p w14:paraId="0C40A95B" w14:textId="24B42DD6" w:rsidR="00200C21" w:rsidRPr="00A85DFB" w:rsidRDefault="00AC4B7E" w:rsidP="00A85DFB">
      <w:pPr>
        <w:jc w:val="both"/>
        <w:rPr>
          <w:lang w:eastAsia="pl-PL"/>
        </w:rPr>
      </w:pPr>
      <w:r>
        <w:rPr>
          <w:lang w:eastAsia="pl-PL"/>
        </w:rPr>
        <w:t xml:space="preserve">Niniejszą informację opracowano na podstawie danych otrzymanych </w:t>
      </w:r>
      <w:r w:rsidR="007C3284">
        <w:rPr>
          <w:lang w:eastAsia="pl-PL"/>
        </w:rPr>
        <w:t>14.09</w:t>
      </w:r>
      <w:r w:rsidR="00F115C6" w:rsidRPr="00B70C88">
        <w:rPr>
          <w:lang w:eastAsia="pl-PL"/>
        </w:rPr>
        <w:t>.2022</w:t>
      </w:r>
      <w:r w:rsidR="002E7280">
        <w:rPr>
          <w:lang w:eastAsia="pl-PL"/>
        </w:rPr>
        <w:t> </w:t>
      </w:r>
      <w:r>
        <w:rPr>
          <w:lang w:eastAsia="pl-PL"/>
        </w:rPr>
        <w:t>r. z Urzędu Komisji Nadzoru Finansowego.</w:t>
      </w:r>
    </w:p>
    <w:p w14:paraId="3C222B0C" w14:textId="77777777" w:rsidR="00DA331D" w:rsidRPr="009B2A4A" w:rsidRDefault="00DA331D" w:rsidP="00DA331D">
      <w:pPr>
        <w:spacing w:before="360"/>
        <w:rPr>
          <w:sz w:val="18"/>
          <w:lang w:val="en-GB"/>
        </w:rPr>
        <w:sectPr w:rsidR="00DA331D" w:rsidRPr="009B2A4A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2E0F63F0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0C3AFBA" w14:textId="4C33A85F" w:rsidR="00DB4FB4" w:rsidRPr="008A716A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Departament </w:t>
            </w:r>
            <w:r w:rsidR="00DB4FB4" w:rsidRPr="008A716A">
              <w:rPr>
                <w:rFonts w:cs="Arial"/>
                <w:b/>
                <w:sz w:val="20"/>
              </w:rPr>
              <w:t>Studiów Makroekono</w:t>
            </w:r>
            <w:r w:rsidR="00FC1D94" w:rsidRPr="008A716A">
              <w:rPr>
                <w:rFonts w:cs="Arial"/>
                <w:b/>
                <w:sz w:val="20"/>
              </w:rPr>
              <w:t xml:space="preserve">micznych            </w:t>
            </w:r>
            <w:r w:rsidR="00DB4FB4" w:rsidRPr="008A716A">
              <w:rPr>
                <w:rFonts w:cs="Arial"/>
                <w:b/>
                <w:sz w:val="20"/>
              </w:rPr>
              <w:t xml:space="preserve"> i Finansów</w:t>
            </w:r>
          </w:p>
          <w:p w14:paraId="41A1AE38" w14:textId="7E2A3A12" w:rsidR="00DE2400" w:rsidRPr="008A716A" w:rsidRDefault="00DE2400" w:rsidP="00747B8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Dyrektor </w:t>
            </w:r>
            <w:r w:rsidR="00FC1D94" w:rsidRPr="008A716A">
              <w:rPr>
                <w:rFonts w:cs="Arial"/>
                <w:b/>
                <w:sz w:val="20"/>
              </w:rPr>
              <w:t>Mirosław Błażej</w:t>
            </w:r>
          </w:p>
          <w:p w14:paraId="5425F0B4" w14:textId="3A616F65" w:rsidR="00DE2400" w:rsidRPr="00DB4FB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DB4FB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Tel: 22 </w:t>
            </w:r>
            <w:r w:rsidR="00FC1D9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608 37 73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FEAFC8A" w14:textId="120BA5CB" w:rsidR="00B205A3" w:rsidRPr="00766E54" w:rsidRDefault="00531873" w:rsidP="00B205A3">
            <w:pPr>
              <w:rPr>
                <w:color w:val="001D77"/>
                <w:szCs w:val="24"/>
              </w:rPr>
            </w:pPr>
            <w:r>
              <w:rPr>
                <w:rFonts w:cs="Times New Roman"/>
              </w:rPr>
              <w:fldChar w:fldCharType="begin"/>
            </w:r>
            <w:r w:rsidR="00A56B93">
              <w:rPr>
                <w:rFonts w:cs="Times New Roman"/>
              </w:rPr>
              <w:instrText>HYPERLINK "https://stat.gov.pl/obszary-tematyczne/podmioty-gospodarcze-wyniki-finansowe/przedsiebiorstwa-finansowe/wyniki-finansowe-funduszy-inwestycyjnych-w-pierwszym-polroczu-2021-roku,10,34.html" \o "Link do opracowania pt. Wyniki finansowe towarzystw funduszy inwestycyjnych"</w:instrText>
            </w:r>
            <w:r>
              <w:rPr>
                <w:rFonts w:cs="Times New Roman"/>
              </w:rPr>
              <w:fldChar w:fldCharType="separate"/>
            </w:r>
            <w:r w:rsidR="00B205A3" w:rsidRPr="00B205A3">
              <w:rPr>
                <w:rStyle w:val="Hipercze"/>
                <w:rFonts w:cstheme="minorBidi"/>
                <w:color w:val="001D77"/>
                <w:szCs w:val="24"/>
              </w:rPr>
              <w:t>Informacje sygnalne. Wyniki finansowe towarzystw funduszy inwestycyjnych</w:t>
            </w:r>
          </w:p>
          <w:p w14:paraId="458D3940" w14:textId="7698E4B7" w:rsidR="00531873" w:rsidRDefault="00531873" w:rsidP="00531873">
            <w:pPr>
              <w:rPr>
                <w:rStyle w:val="Hipercze"/>
              </w:rPr>
            </w:pPr>
          </w:p>
          <w:p w14:paraId="628B336B" w14:textId="77777777" w:rsidR="002E7280" w:rsidRPr="00CF18EE" w:rsidRDefault="002E7280" w:rsidP="00531873">
            <w:pPr>
              <w:rPr>
                <w:rStyle w:val="Hipercze"/>
              </w:rPr>
            </w:pPr>
          </w:p>
          <w:p w14:paraId="55DA24D0" w14:textId="61BFE9D6" w:rsidR="00531873" w:rsidRPr="00694D63" w:rsidRDefault="00531873" w:rsidP="00B205A3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140824A" w14:textId="266D9B5A" w:rsidR="002E7280" w:rsidRDefault="00C54CE6" w:rsidP="00B205A3">
            <w:pPr>
              <w:rPr>
                <w:rFonts w:cs="Times New Roman"/>
              </w:rPr>
            </w:pPr>
            <w:hyperlink r:id="rId22" w:tooltip="Link do danych w bazie..." w:history="1"/>
            <w:hyperlink r:id="rId23" w:tooltip="Temat dostępny w bazie danych: Bank Danych Makroekonomicznych" w:history="1">
              <w:r w:rsidR="002E7280" w:rsidRPr="002E7280">
                <w:rPr>
                  <w:rStyle w:val="Hipercze"/>
                </w:rPr>
                <w:t>Bank Danych Makroekonomicznych</w:t>
              </w:r>
            </w:hyperlink>
          </w:p>
          <w:p w14:paraId="267496E9" w14:textId="77777777" w:rsidR="002E7280" w:rsidRDefault="002E7280" w:rsidP="00B205A3">
            <w:pPr>
              <w:rPr>
                <w:rFonts w:cs="Times New Roman"/>
              </w:rPr>
            </w:pPr>
          </w:p>
          <w:p w14:paraId="6EC7A51E" w14:textId="72D3125E" w:rsidR="00531873" w:rsidRPr="00694D63" w:rsidRDefault="00531873" w:rsidP="00B205A3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2159E9A" w14:textId="1AD2C69F" w:rsidR="00531873" w:rsidRDefault="00C54CE6" w:rsidP="00531873">
            <w:pPr>
              <w:rPr>
                <w:rFonts w:cs="Times New Roman"/>
              </w:rPr>
            </w:pPr>
            <w:hyperlink r:id="rId24" w:tooltip="Powiązane pojęcia: fundusz inwestycyjny" w:history="1">
              <w:r w:rsidR="00467C9F" w:rsidRPr="00467C9F">
                <w:rPr>
                  <w:rStyle w:val="Hipercze"/>
                </w:rPr>
                <w:t>Fundusz Inwestycyjny</w:t>
              </w:r>
            </w:hyperlink>
          </w:p>
          <w:p w14:paraId="77AD16AF" w14:textId="3A25137E" w:rsidR="00467C9F" w:rsidRDefault="00C54CE6" w:rsidP="00531873">
            <w:pPr>
              <w:rPr>
                <w:rFonts w:cs="Times New Roman"/>
              </w:rPr>
            </w:pPr>
            <w:hyperlink r:id="rId25" w:tooltip="powiązane pojęcie: towarzystwo funduszy inwestycyjnych" w:history="1">
              <w:r w:rsidR="00467C9F" w:rsidRPr="00467C9F">
                <w:rPr>
                  <w:rStyle w:val="Hipercze"/>
                </w:rPr>
                <w:t>Towarzystwo Funduszy Inwestycyjnych</w:t>
              </w:r>
            </w:hyperlink>
          </w:p>
          <w:p w14:paraId="740389C8" w14:textId="77777777" w:rsidR="00531873" w:rsidRDefault="00531873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6C9B864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3B39C2F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C7B9854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C8FC5E1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2A709C8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D2EE43E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AF70D44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2C4EC61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467C9F" w:rsidRPr="00876479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0A9D5" w14:textId="77777777" w:rsidR="00C54CE6" w:rsidRDefault="00C54CE6" w:rsidP="000662E2">
      <w:pPr>
        <w:spacing w:after="0" w:line="240" w:lineRule="auto"/>
      </w:pPr>
      <w:r>
        <w:separator/>
      </w:r>
    </w:p>
  </w:endnote>
  <w:endnote w:type="continuationSeparator" w:id="0">
    <w:p w14:paraId="49A01CBE" w14:textId="77777777" w:rsidR="00C54CE6" w:rsidRDefault="00C54CE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5CE6A3-2BFC-4E69-802C-0F0A5E1B03CB}"/>
    <w:embedBold r:id="rId2" w:fontKey="{41BB26A2-89D0-4B50-B5B5-0FA4CE9B1AB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95413EC-41F1-4E6E-A8B4-30628CE63A1C}"/>
    <w:embedBold r:id="rId4" w:fontKey="{793B22E9-391B-4AA0-A0CE-BF90B1B0F9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3888446-8B89-4AC9-A389-C9334AC87CE2}"/>
    <w:embedBold r:id="rId6" w:fontKey="{3E0F1CB2-E87F-40A6-BF74-EAB36266EB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00AFC1-7E00-43D1-AE6E-6790FAF2401C}"/>
    <w:embedItalic r:id="rId8" w:fontKey="{7E6563F4-74B5-4E60-988A-90DF9F9BFB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02D5405-EE75-4A4F-8152-D5F85F5CB7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F36AEE4-AC9C-4804-82F7-CB354F1BA8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51B4BA4-361A-4577-85D6-D7E0D1F920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A7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A7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55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F70F4F" w14:textId="77777777" w:rsidR="00C54CE6" w:rsidRDefault="00C54CE6" w:rsidP="000662E2">
      <w:pPr>
        <w:spacing w:after="0" w:line="240" w:lineRule="auto"/>
      </w:pPr>
      <w:r>
        <w:separator/>
      </w:r>
    </w:p>
  </w:footnote>
  <w:footnote w:type="continuationSeparator" w:id="0">
    <w:p w14:paraId="69334338" w14:textId="77777777" w:rsidR="00C54CE6" w:rsidRDefault="00C54CE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ABD545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56C2E7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listopada 2022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8329C3E" w:rsidR="00F37172" w:rsidRPr="00A01B40" w:rsidRDefault="00070D15" w:rsidP="00F049AB">
                          <w:pPr>
                            <w:pStyle w:val="Datainformacjisygnalnej"/>
                          </w:pPr>
                          <w:r>
                            <w:t>23.11</w:t>
                          </w:r>
                          <w:r w:rsidR="003C698D"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3 listopada 2022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E12cng/AgAAQw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18329C3E" w:rsidR="00F37172" w:rsidRPr="00A01B40" w:rsidRDefault="00070D15" w:rsidP="00F049AB">
                    <w:pPr>
                      <w:pStyle w:val="Datainformacjisygnalnej"/>
                    </w:pPr>
                    <w:r>
                      <w:t>23.11</w:t>
                    </w:r>
                    <w:r w:rsidR="003C698D"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9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40" type="#_x0000_t75" style="width:20.25pt;height:24pt;visibility:visible;mso-wrap-style:square" o:bullet="t">
        <v:imagedata r:id="rId3" o:title=""/>
      </v:shape>
    </w:pict>
  </w:numPicBullet>
  <w:numPicBullet w:numPicBulletId="3">
    <w:pict>
      <v:shape id="_x0000_i1041" type="#_x0000_t75" style="width:20.2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3E"/>
    <w:rsid w:val="0000709F"/>
    <w:rsid w:val="000108B8"/>
    <w:rsid w:val="000136B5"/>
    <w:rsid w:val="000152F5"/>
    <w:rsid w:val="0004582E"/>
    <w:rsid w:val="000470AA"/>
    <w:rsid w:val="00053EB3"/>
    <w:rsid w:val="00057CA1"/>
    <w:rsid w:val="000647A9"/>
    <w:rsid w:val="000662E2"/>
    <w:rsid w:val="00066883"/>
    <w:rsid w:val="00070D15"/>
    <w:rsid w:val="00071B39"/>
    <w:rsid w:val="00074DD8"/>
    <w:rsid w:val="00075759"/>
    <w:rsid w:val="00075BD4"/>
    <w:rsid w:val="000806F7"/>
    <w:rsid w:val="00097840"/>
    <w:rsid w:val="000A705B"/>
    <w:rsid w:val="000B00EA"/>
    <w:rsid w:val="000B0727"/>
    <w:rsid w:val="000C135D"/>
    <w:rsid w:val="000C69E2"/>
    <w:rsid w:val="000D1D43"/>
    <w:rsid w:val="000D225C"/>
    <w:rsid w:val="000D27F3"/>
    <w:rsid w:val="000D2A5C"/>
    <w:rsid w:val="000D39F0"/>
    <w:rsid w:val="000E0918"/>
    <w:rsid w:val="000E2E0D"/>
    <w:rsid w:val="000E548D"/>
    <w:rsid w:val="000E79A9"/>
    <w:rsid w:val="000F5C6E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617E3"/>
    <w:rsid w:val="00162325"/>
    <w:rsid w:val="00171966"/>
    <w:rsid w:val="00181F1F"/>
    <w:rsid w:val="001821AA"/>
    <w:rsid w:val="00182336"/>
    <w:rsid w:val="001951DA"/>
    <w:rsid w:val="001A7FD1"/>
    <w:rsid w:val="001B053D"/>
    <w:rsid w:val="001B13F4"/>
    <w:rsid w:val="001B6709"/>
    <w:rsid w:val="001C3269"/>
    <w:rsid w:val="001C4A7E"/>
    <w:rsid w:val="001C4CA2"/>
    <w:rsid w:val="001C5CB8"/>
    <w:rsid w:val="001D19B6"/>
    <w:rsid w:val="001D1DB4"/>
    <w:rsid w:val="001D23F1"/>
    <w:rsid w:val="001D25F9"/>
    <w:rsid w:val="001D61ED"/>
    <w:rsid w:val="001E0DF4"/>
    <w:rsid w:val="001E2631"/>
    <w:rsid w:val="001E5B2D"/>
    <w:rsid w:val="00200C21"/>
    <w:rsid w:val="0020156C"/>
    <w:rsid w:val="002015D4"/>
    <w:rsid w:val="00202AE9"/>
    <w:rsid w:val="00203F9B"/>
    <w:rsid w:val="00216634"/>
    <w:rsid w:val="002201CC"/>
    <w:rsid w:val="002236A7"/>
    <w:rsid w:val="00242D31"/>
    <w:rsid w:val="00253AB6"/>
    <w:rsid w:val="0025481E"/>
    <w:rsid w:val="0025624E"/>
    <w:rsid w:val="00256703"/>
    <w:rsid w:val="002574F9"/>
    <w:rsid w:val="00260021"/>
    <w:rsid w:val="00262B61"/>
    <w:rsid w:val="00262CC6"/>
    <w:rsid w:val="00263E08"/>
    <w:rsid w:val="00270152"/>
    <w:rsid w:val="00275F2D"/>
    <w:rsid w:val="002762FD"/>
    <w:rsid w:val="00276811"/>
    <w:rsid w:val="00282699"/>
    <w:rsid w:val="002835B4"/>
    <w:rsid w:val="00286537"/>
    <w:rsid w:val="002926DF"/>
    <w:rsid w:val="00296697"/>
    <w:rsid w:val="00297BF1"/>
    <w:rsid w:val="002B0472"/>
    <w:rsid w:val="002B6B12"/>
    <w:rsid w:val="002C05FF"/>
    <w:rsid w:val="002C21F0"/>
    <w:rsid w:val="002C6C3F"/>
    <w:rsid w:val="002C77D1"/>
    <w:rsid w:val="002C796B"/>
    <w:rsid w:val="002D01DF"/>
    <w:rsid w:val="002E3EB3"/>
    <w:rsid w:val="002E6140"/>
    <w:rsid w:val="002E6985"/>
    <w:rsid w:val="002E71B6"/>
    <w:rsid w:val="002E7280"/>
    <w:rsid w:val="002E7663"/>
    <w:rsid w:val="002F35F6"/>
    <w:rsid w:val="002F77C8"/>
    <w:rsid w:val="002F7CBF"/>
    <w:rsid w:val="00302409"/>
    <w:rsid w:val="00304F22"/>
    <w:rsid w:val="0030602F"/>
    <w:rsid w:val="00306C7C"/>
    <w:rsid w:val="00313F5C"/>
    <w:rsid w:val="00314F86"/>
    <w:rsid w:val="00315B56"/>
    <w:rsid w:val="00317F4D"/>
    <w:rsid w:val="00322EDD"/>
    <w:rsid w:val="003241A2"/>
    <w:rsid w:val="003242AD"/>
    <w:rsid w:val="003309FA"/>
    <w:rsid w:val="00331135"/>
    <w:rsid w:val="00332320"/>
    <w:rsid w:val="003334B9"/>
    <w:rsid w:val="00335E12"/>
    <w:rsid w:val="00340F5D"/>
    <w:rsid w:val="00343A97"/>
    <w:rsid w:val="00343B62"/>
    <w:rsid w:val="00347D72"/>
    <w:rsid w:val="00353F45"/>
    <w:rsid w:val="003547A7"/>
    <w:rsid w:val="00357611"/>
    <w:rsid w:val="0036432A"/>
    <w:rsid w:val="00364AF9"/>
    <w:rsid w:val="00367237"/>
    <w:rsid w:val="0037077F"/>
    <w:rsid w:val="00372411"/>
    <w:rsid w:val="00373882"/>
    <w:rsid w:val="00377037"/>
    <w:rsid w:val="003818DF"/>
    <w:rsid w:val="003843DB"/>
    <w:rsid w:val="00393761"/>
    <w:rsid w:val="003937A5"/>
    <w:rsid w:val="00394E26"/>
    <w:rsid w:val="003963EC"/>
    <w:rsid w:val="00396691"/>
    <w:rsid w:val="00397D18"/>
    <w:rsid w:val="003A18D7"/>
    <w:rsid w:val="003A1B36"/>
    <w:rsid w:val="003B1454"/>
    <w:rsid w:val="003B18B6"/>
    <w:rsid w:val="003C161B"/>
    <w:rsid w:val="003C59E0"/>
    <w:rsid w:val="003C698D"/>
    <w:rsid w:val="003C6C8D"/>
    <w:rsid w:val="003D2656"/>
    <w:rsid w:val="003D4F95"/>
    <w:rsid w:val="003D5F42"/>
    <w:rsid w:val="003D60A9"/>
    <w:rsid w:val="003E1D81"/>
    <w:rsid w:val="003E4367"/>
    <w:rsid w:val="003F0BD9"/>
    <w:rsid w:val="003F4C97"/>
    <w:rsid w:val="003F666D"/>
    <w:rsid w:val="003F7FE6"/>
    <w:rsid w:val="00400193"/>
    <w:rsid w:val="00400D99"/>
    <w:rsid w:val="0040140E"/>
    <w:rsid w:val="00416EAF"/>
    <w:rsid w:val="004212E7"/>
    <w:rsid w:val="0042272E"/>
    <w:rsid w:val="00423C88"/>
    <w:rsid w:val="0042446D"/>
    <w:rsid w:val="00427BF8"/>
    <w:rsid w:val="00431C02"/>
    <w:rsid w:val="00435DED"/>
    <w:rsid w:val="00437395"/>
    <w:rsid w:val="004418DA"/>
    <w:rsid w:val="00445047"/>
    <w:rsid w:val="004465D0"/>
    <w:rsid w:val="00446749"/>
    <w:rsid w:val="00447401"/>
    <w:rsid w:val="00453EB7"/>
    <w:rsid w:val="00463E39"/>
    <w:rsid w:val="004657FC"/>
    <w:rsid w:val="00467C9F"/>
    <w:rsid w:val="004733F6"/>
    <w:rsid w:val="00474E69"/>
    <w:rsid w:val="00483E9F"/>
    <w:rsid w:val="00485A2C"/>
    <w:rsid w:val="0049621B"/>
    <w:rsid w:val="00497042"/>
    <w:rsid w:val="004A1D19"/>
    <w:rsid w:val="004B0E22"/>
    <w:rsid w:val="004B4292"/>
    <w:rsid w:val="004C1895"/>
    <w:rsid w:val="004C664A"/>
    <w:rsid w:val="004C6D40"/>
    <w:rsid w:val="004E0078"/>
    <w:rsid w:val="004E1E4F"/>
    <w:rsid w:val="004E6AA8"/>
    <w:rsid w:val="004F0C3C"/>
    <w:rsid w:val="004F2280"/>
    <w:rsid w:val="004F23BB"/>
    <w:rsid w:val="004F63FC"/>
    <w:rsid w:val="00505A92"/>
    <w:rsid w:val="00513603"/>
    <w:rsid w:val="005203F1"/>
    <w:rsid w:val="00521BC3"/>
    <w:rsid w:val="00527281"/>
    <w:rsid w:val="00531873"/>
    <w:rsid w:val="00533632"/>
    <w:rsid w:val="00534013"/>
    <w:rsid w:val="00540C5C"/>
    <w:rsid w:val="00541E6E"/>
    <w:rsid w:val="0054251F"/>
    <w:rsid w:val="00544EAD"/>
    <w:rsid w:val="0054702D"/>
    <w:rsid w:val="005520D8"/>
    <w:rsid w:val="00553507"/>
    <w:rsid w:val="00555CFB"/>
    <w:rsid w:val="00556ADB"/>
    <w:rsid w:val="00556CF1"/>
    <w:rsid w:val="00575EC4"/>
    <w:rsid w:val="005762A7"/>
    <w:rsid w:val="00586022"/>
    <w:rsid w:val="00587CEE"/>
    <w:rsid w:val="005916D7"/>
    <w:rsid w:val="0059427F"/>
    <w:rsid w:val="0059755F"/>
    <w:rsid w:val="005A5046"/>
    <w:rsid w:val="005A5C46"/>
    <w:rsid w:val="005A698C"/>
    <w:rsid w:val="005C0CAC"/>
    <w:rsid w:val="005C1ED5"/>
    <w:rsid w:val="005D062E"/>
    <w:rsid w:val="005D2F6B"/>
    <w:rsid w:val="005D334E"/>
    <w:rsid w:val="005D7AAD"/>
    <w:rsid w:val="005E0799"/>
    <w:rsid w:val="005E10F9"/>
    <w:rsid w:val="005E1200"/>
    <w:rsid w:val="005F0BA9"/>
    <w:rsid w:val="005F0F26"/>
    <w:rsid w:val="005F45EE"/>
    <w:rsid w:val="005F5A80"/>
    <w:rsid w:val="005F7611"/>
    <w:rsid w:val="006044FF"/>
    <w:rsid w:val="0060782F"/>
    <w:rsid w:val="00607CC5"/>
    <w:rsid w:val="0061179B"/>
    <w:rsid w:val="006125F9"/>
    <w:rsid w:val="00620E46"/>
    <w:rsid w:val="00633014"/>
    <w:rsid w:val="0063437B"/>
    <w:rsid w:val="0063660D"/>
    <w:rsid w:val="0064017E"/>
    <w:rsid w:val="00642A0A"/>
    <w:rsid w:val="00646C71"/>
    <w:rsid w:val="00654BB6"/>
    <w:rsid w:val="006673CA"/>
    <w:rsid w:val="00673C26"/>
    <w:rsid w:val="00674DE5"/>
    <w:rsid w:val="00677ACA"/>
    <w:rsid w:val="006812AF"/>
    <w:rsid w:val="00681595"/>
    <w:rsid w:val="0068327D"/>
    <w:rsid w:val="0069099A"/>
    <w:rsid w:val="00691534"/>
    <w:rsid w:val="00693880"/>
    <w:rsid w:val="00694AF0"/>
    <w:rsid w:val="006A4686"/>
    <w:rsid w:val="006B00D3"/>
    <w:rsid w:val="006B0E9E"/>
    <w:rsid w:val="006B3C47"/>
    <w:rsid w:val="006B486D"/>
    <w:rsid w:val="006B5AE4"/>
    <w:rsid w:val="006C5A79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D3E"/>
    <w:rsid w:val="00710E54"/>
    <w:rsid w:val="007211B1"/>
    <w:rsid w:val="00723691"/>
    <w:rsid w:val="007277DA"/>
    <w:rsid w:val="00731D27"/>
    <w:rsid w:val="00733BA7"/>
    <w:rsid w:val="00733D64"/>
    <w:rsid w:val="007357EB"/>
    <w:rsid w:val="007450E7"/>
    <w:rsid w:val="00746187"/>
    <w:rsid w:val="0076254F"/>
    <w:rsid w:val="00775B89"/>
    <w:rsid w:val="00776773"/>
    <w:rsid w:val="007801F5"/>
    <w:rsid w:val="00783440"/>
    <w:rsid w:val="00783CA4"/>
    <w:rsid w:val="007842FB"/>
    <w:rsid w:val="00786124"/>
    <w:rsid w:val="0078681F"/>
    <w:rsid w:val="0079514B"/>
    <w:rsid w:val="00795252"/>
    <w:rsid w:val="00795EFE"/>
    <w:rsid w:val="007A2DC1"/>
    <w:rsid w:val="007A7366"/>
    <w:rsid w:val="007B3636"/>
    <w:rsid w:val="007C3284"/>
    <w:rsid w:val="007D0869"/>
    <w:rsid w:val="007D14C4"/>
    <w:rsid w:val="007D1B18"/>
    <w:rsid w:val="007D3319"/>
    <w:rsid w:val="007D335D"/>
    <w:rsid w:val="007D3BEC"/>
    <w:rsid w:val="007D605C"/>
    <w:rsid w:val="007E3314"/>
    <w:rsid w:val="007E3514"/>
    <w:rsid w:val="007E44F7"/>
    <w:rsid w:val="007E4B03"/>
    <w:rsid w:val="007F324B"/>
    <w:rsid w:val="007F33DD"/>
    <w:rsid w:val="0080553C"/>
    <w:rsid w:val="00805B46"/>
    <w:rsid w:val="00805DB4"/>
    <w:rsid w:val="00823593"/>
    <w:rsid w:val="00825DC2"/>
    <w:rsid w:val="00834AD3"/>
    <w:rsid w:val="00836CDF"/>
    <w:rsid w:val="0083715F"/>
    <w:rsid w:val="00840A96"/>
    <w:rsid w:val="00843795"/>
    <w:rsid w:val="00847F0F"/>
    <w:rsid w:val="00852448"/>
    <w:rsid w:val="00877F6C"/>
    <w:rsid w:val="008813FC"/>
    <w:rsid w:val="0088258A"/>
    <w:rsid w:val="008841DE"/>
    <w:rsid w:val="00886332"/>
    <w:rsid w:val="00887B33"/>
    <w:rsid w:val="008925F0"/>
    <w:rsid w:val="008938CA"/>
    <w:rsid w:val="0089448A"/>
    <w:rsid w:val="00897877"/>
    <w:rsid w:val="008A0249"/>
    <w:rsid w:val="008A1FA3"/>
    <w:rsid w:val="008A26D9"/>
    <w:rsid w:val="008A654E"/>
    <w:rsid w:val="008A716A"/>
    <w:rsid w:val="008A7B5B"/>
    <w:rsid w:val="008B12D2"/>
    <w:rsid w:val="008C078E"/>
    <w:rsid w:val="008C0C29"/>
    <w:rsid w:val="008D02DA"/>
    <w:rsid w:val="008D76BC"/>
    <w:rsid w:val="008E2018"/>
    <w:rsid w:val="008E29BF"/>
    <w:rsid w:val="008E3625"/>
    <w:rsid w:val="008E6EEE"/>
    <w:rsid w:val="008E7DBA"/>
    <w:rsid w:val="008F0829"/>
    <w:rsid w:val="008F3638"/>
    <w:rsid w:val="008F4441"/>
    <w:rsid w:val="008F6B20"/>
    <w:rsid w:val="008F6F31"/>
    <w:rsid w:val="008F74DF"/>
    <w:rsid w:val="00902274"/>
    <w:rsid w:val="00904DB2"/>
    <w:rsid w:val="009127BA"/>
    <w:rsid w:val="00920AAE"/>
    <w:rsid w:val="009227A6"/>
    <w:rsid w:val="00933EC1"/>
    <w:rsid w:val="0093443A"/>
    <w:rsid w:val="00937BD1"/>
    <w:rsid w:val="009446AD"/>
    <w:rsid w:val="009519CF"/>
    <w:rsid w:val="009530DB"/>
    <w:rsid w:val="00953676"/>
    <w:rsid w:val="00956F30"/>
    <w:rsid w:val="009570D4"/>
    <w:rsid w:val="009664F7"/>
    <w:rsid w:val="00966C9A"/>
    <w:rsid w:val="00967527"/>
    <w:rsid w:val="009705EE"/>
    <w:rsid w:val="00971FDE"/>
    <w:rsid w:val="00972A4C"/>
    <w:rsid w:val="00973056"/>
    <w:rsid w:val="00977927"/>
    <w:rsid w:val="0098135C"/>
    <w:rsid w:val="0098156A"/>
    <w:rsid w:val="00991BAC"/>
    <w:rsid w:val="009A45BF"/>
    <w:rsid w:val="009A6EA0"/>
    <w:rsid w:val="009B1BC2"/>
    <w:rsid w:val="009B2A4A"/>
    <w:rsid w:val="009B411C"/>
    <w:rsid w:val="009C021F"/>
    <w:rsid w:val="009C1335"/>
    <w:rsid w:val="009C1AB2"/>
    <w:rsid w:val="009C395B"/>
    <w:rsid w:val="009C7251"/>
    <w:rsid w:val="009D0892"/>
    <w:rsid w:val="009D406A"/>
    <w:rsid w:val="009E2E91"/>
    <w:rsid w:val="009E343C"/>
    <w:rsid w:val="009E588F"/>
    <w:rsid w:val="009F0685"/>
    <w:rsid w:val="00A01B40"/>
    <w:rsid w:val="00A01CE3"/>
    <w:rsid w:val="00A02186"/>
    <w:rsid w:val="00A139F5"/>
    <w:rsid w:val="00A32E16"/>
    <w:rsid w:val="00A365F4"/>
    <w:rsid w:val="00A460CD"/>
    <w:rsid w:val="00A46BA1"/>
    <w:rsid w:val="00A47D80"/>
    <w:rsid w:val="00A53132"/>
    <w:rsid w:val="00A563F2"/>
    <w:rsid w:val="00A566E8"/>
    <w:rsid w:val="00A56B93"/>
    <w:rsid w:val="00A61BBA"/>
    <w:rsid w:val="00A62E1D"/>
    <w:rsid w:val="00A642BD"/>
    <w:rsid w:val="00A65DD9"/>
    <w:rsid w:val="00A66347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A6D"/>
    <w:rsid w:val="00A92B87"/>
    <w:rsid w:val="00A94F46"/>
    <w:rsid w:val="00A96975"/>
    <w:rsid w:val="00A971E5"/>
    <w:rsid w:val="00AA0469"/>
    <w:rsid w:val="00AA1F80"/>
    <w:rsid w:val="00AA2AE3"/>
    <w:rsid w:val="00AA5968"/>
    <w:rsid w:val="00AA710D"/>
    <w:rsid w:val="00AB1F20"/>
    <w:rsid w:val="00AB5451"/>
    <w:rsid w:val="00AB64F3"/>
    <w:rsid w:val="00AB6D25"/>
    <w:rsid w:val="00AC0282"/>
    <w:rsid w:val="00AC4B7E"/>
    <w:rsid w:val="00AC5AE0"/>
    <w:rsid w:val="00AD0C94"/>
    <w:rsid w:val="00AD0E56"/>
    <w:rsid w:val="00AE229B"/>
    <w:rsid w:val="00AE2D4B"/>
    <w:rsid w:val="00AE4F99"/>
    <w:rsid w:val="00AE6642"/>
    <w:rsid w:val="00AF00B6"/>
    <w:rsid w:val="00B05724"/>
    <w:rsid w:val="00B11B69"/>
    <w:rsid w:val="00B13601"/>
    <w:rsid w:val="00B14952"/>
    <w:rsid w:val="00B16871"/>
    <w:rsid w:val="00B17796"/>
    <w:rsid w:val="00B205A3"/>
    <w:rsid w:val="00B25B45"/>
    <w:rsid w:val="00B31E5A"/>
    <w:rsid w:val="00B349F1"/>
    <w:rsid w:val="00B408BA"/>
    <w:rsid w:val="00B47359"/>
    <w:rsid w:val="00B54DB1"/>
    <w:rsid w:val="00B60996"/>
    <w:rsid w:val="00B653AB"/>
    <w:rsid w:val="00B65F9E"/>
    <w:rsid w:val="00B66B19"/>
    <w:rsid w:val="00B70C88"/>
    <w:rsid w:val="00B7386E"/>
    <w:rsid w:val="00B837E3"/>
    <w:rsid w:val="00B84C43"/>
    <w:rsid w:val="00B914E9"/>
    <w:rsid w:val="00B9385E"/>
    <w:rsid w:val="00B93EED"/>
    <w:rsid w:val="00B956EE"/>
    <w:rsid w:val="00BA11C3"/>
    <w:rsid w:val="00BA2BA1"/>
    <w:rsid w:val="00BA3447"/>
    <w:rsid w:val="00BA3562"/>
    <w:rsid w:val="00BA77F5"/>
    <w:rsid w:val="00BB4F09"/>
    <w:rsid w:val="00BB54B5"/>
    <w:rsid w:val="00BB6FEE"/>
    <w:rsid w:val="00BC2E4E"/>
    <w:rsid w:val="00BC389A"/>
    <w:rsid w:val="00BC3DCE"/>
    <w:rsid w:val="00BD4E33"/>
    <w:rsid w:val="00BE04E6"/>
    <w:rsid w:val="00BF5E01"/>
    <w:rsid w:val="00C0100A"/>
    <w:rsid w:val="00C030DE"/>
    <w:rsid w:val="00C051A8"/>
    <w:rsid w:val="00C22105"/>
    <w:rsid w:val="00C244B6"/>
    <w:rsid w:val="00C27BF1"/>
    <w:rsid w:val="00C30464"/>
    <w:rsid w:val="00C310E6"/>
    <w:rsid w:val="00C3702F"/>
    <w:rsid w:val="00C4500A"/>
    <w:rsid w:val="00C54CE6"/>
    <w:rsid w:val="00C62238"/>
    <w:rsid w:val="00C64A37"/>
    <w:rsid w:val="00C7158E"/>
    <w:rsid w:val="00C7250B"/>
    <w:rsid w:val="00C7346B"/>
    <w:rsid w:val="00C77C0E"/>
    <w:rsid w:val="00C83A1C"/>
    <w:rsid w:val="00C91687"/>
    <w:rsid w:val="00C924A8"/>
    <w:rsid w:val="00C945FE"/>
    <w:rsid w:val="00C96FAA"/>
    <w:rsid w:val="00C97A04"/>
    <w:rsid w:val="00CA107B"/>
    <w:rsid w:val="00CA2619"/>
    <w:rsid w:val="00CA4796"/>
    <w:rsid w:val="00CA484D"/>
    <w:rsid w:val="00CA4FB6"/>
    <w:rsid w:val="00CB0BC5"/>
    <w:rsid w:val="00CB2F90"/>
    <w:rsid w:val="00CB6AD4"/>
    <w:rsid w:val="00CC385E"/>
    <w:rsid w:val="00CC739E"/>
    <w:rsid w:val="00CD1EBB"/>
    <w:rsid w:val="00CD28CF"/>
    <w:rsid w:val="00CD31CA"/>
    <w:rsid w:val="00CD58B7"/>
    <w:rsid w:val="00CD7967"/>
    <w:rsid w:val="00CE6A09"/>
    <w:rsid w:val="00CF18EE"/>
    <w:rsid w:val="00CF30BD"/>
    <w:rsid w:val="00CF4099"/>
    <w:rsid w:val="00CF773D"/>
    <w:rsid w:val="00CF79E9"/>
    <w:rsid w:val="00D00796"/>
    <w:rsid w:val="00D03A28"/>
    <w:rsid w:val="00D261A2"/>
    <w:rsid w:val="00D3393D"/>
    <w:rsid w:val="00D35E9E"/>
    <w:rsid w:val="00D46E56"/>
    <w:rsid w:val="00D616D2"/>
    <w:rsid w:val="00D63B5F"/>
    <w:rsid w:val="00D66DD7"/>
    <w:rsid w:val="00D70EF7"/>
    <w:rsid w:val="00D77172"/>
    <w:rsid w:val="00D8397C"/>
    <w:rsid w:val="00D87046"/>
    <w:rsid w:val="00D94EED"/>
    <w:rsid w:val="00D96026"/>
    <w:rsid w:val="00D972F6"/>
    <w:rsid w:val="00DA331D"/>
    <w:rsid w:val="00DA7C1C"/>
    <w:rsid w:val="00DB147A"/>
    <w:rsid w:val="00DB1B7A"/>
    <w:rsid w:val="00DB4FB4"/>
    <w:rsid w:val="00DB706E"/>
    <w:rsid w:val="00DC2D50"/>
    <w:rsid w:val="00DC6708"/>
    <w:rsid w:val="00DD011A"/>
    <w:rsid w:val="00DE01BA"/>
    <w:rsid w:val="00DE2400"/>
    <w:rsid w:val="00DE58F1"/>
    <w:rsid w:val="00DE5A89"/>
    <w:rsid w:val="00DE6B58"/>
    <w:rsid w:val="00DF5C33"/>
    <w:rsid w:val="00DF5E32"/>
    <w:rsid w:val="00DF7106"/>
    <w:rsid w:val="00E01436"/>
    <w:rsid w:val="00E03E79"/>
    <w:rsid w:val="00E045BD"/>
    <w:rsid w:val="00E04D6C"/>
    <w:rsid w:val="00E10FC6"/>
    <w:rsid w:val="00E11EEB"/>
    <w:rsid w:val="00E143A0"/>
    <w:rsid w:val="00E1481A"/>
    <w:rsid w:val="00E17B77"/>
    <w:rsid w:val="00E231AB"/>
    <w:rsid w:val="00E23337"/>
    <w:rsid w:val="00E23C63"/>
    <w:rsid w:val="00E25505"/>
    <w:rsid w:val="00E259EA"/>
    <w:rsid w:val="00E25D33"/>
    <w:rsid w:val="00E2752C"/>
    <w:rsid w:val="00E32061"/>
    <w:rsid w:val="00E33F48"/>
    <w:rsid w:val="00E364A8"/>
    <w:rsid w:val="00E425FC"/>
    <w:rsid w:val="00E42FF9"/>
    <w:rsid w:val="00E44790"/>
    <w:rsid w:val="00E44A09"/>
    <w:rsid w:val="00E4714C"/>
    <w:rsid w:val="00E5178D"/>
    <w:rsid w:val="00E51AEB"/>
    <w:rsid w:val="00E522A7"/>
    <w:rsid w:val="00E5349E"/>
    <w:rsid w:val="00E53B13"/>
    <w:rsid w:val="00E54452"/>
    <w:rsid w:val="00E63B0C"/>
    <w:rsid w:val="00E664C5"/>
    <w:rsid w:val="00E671A2"/>
    <w:rsid w:val="00E76D26"/>
    <w:rsid w:val="00E76EE5"/>
    <w:rsid w:val="00E77D2D"/>
    <w:rsid w:val="00E77ED2"/>
    <w:rsid w:val="00E81CC8"/>
    <w:rsid w:val="00E95036"/>
    <w:rsid w:val="00E95B8E"/>
    <w:rsid w:val="00EB1390"/>
    <w:rsid w:val="00EB2C71"/>
    <w:rsid w:val="00EB3333"/>
    <w:rsid w:val="00EB4340"/>
    <w:rsid w:val="00EB4A85"/>
    <w:rsid w:val="00EB556D"/>
    <w:rsid w:val="00EB5A7D"/>
    <w:rsid w:val="00ED55C0"/>
    <w:rsid w:val="00ED682B"/>
    <w:rsid w:val="00ED7B59"/>
    <w:rsid w:val="00EE41D5"/>
    <w:rsid w:val="00EE4F5D"/>
    <w:rsid w:val="00EF5C41"/>
    <w:rsid w:val="00F0166F"/>
    <w:rsid w:val="00F037A4"/>
    <w:rsid w:val="00F03D62"/>
    <w:rsid w:val="00F04247"/>
    <w:rsid w:val="00F049AB"/>
    <w:rsid w:val="00F115C6"/>
    <w:rsid w:val="00F13A73"/>
    <w:rsid w:val="00F142DB"/>
    <w:rsid w:val="00F15A20"/>
    <w:rsid w:val="00F23D31"/>
    <w:rsid w:val="00F2625A"/>
    <w:rsid w:val="00F27C8F"/>
    <w:rsid w:val="00F32749"/>
    <w:rsid w:val="00F37172"/>
    <w:rsid w:val="00F37727"/>
    <w:rsid w:val="00F37B89"/>
    <w:rsid w:val="00F421C4"/>
    <w:rsid w:val="00F4477E"/>
    <w:rsid w:val="00F46269"/>
    <w:rsid w:val="00F60BA8"/>
    <w:rsid w:val="00F64418"/>
    <w:rsid w:val="00F65A5A"/>
    <w:rsid w:val="00F67D8F"/>
    <w:rsid w:val="00F802BE"/>
    <w:rsid w:val="00F80E93"/>
    <w:rsid w:val="00F86024"/>
    <w:rsid w:val="00F8611A"/>
    <w:rsid w:val="00F942B0"/>
    <w:rsid w:val="00FA27C5"/>
    <w:rsid w:val="00FA3E6A"/>
    <w:rsid w:val="00FA5128"/>
    <w:rsid w:val="00FA5B13"/>
    <w:rsid w:val="00FB42D4"/>
    <w:rsid w:val="00FB5906"/>
    <w:rsid w:val="00FB7150"/>
    <w:rsid w:val="00FB762F"/>
    <w:rsid w:val="00FC1D94"/>
    <w:rsid w:val="00FC2AED"/>
    <w:rsid w:val="00FC38ED"/>
    <w:rsid w:val="00FD08AE"/>
    <w:rsid w:val="00FD5EA7"/>
    <w:rsid w:val="00FE36CF"/>
    <w:rsid w:val="00FF0246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  <w:style w:type="character" w:customStyle="1" w:styleId="jlqj4b">
    <w:name w:val="jlqj4b"/>
    <w:basedOn w:val="Domylnaczcionkaakapitu"/>
    <w:rsid w:val="00333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hyperlink" Target="https://stat.gov.pl/metainformacje/slownik-pojec/pojecia-stosowane-w-statystyce-publicznej/164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1526,pojecie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m.stat.gov.pl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27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wyniki_finansowe_funduszy_inwestycyjnych_w_I_połowie_2022_r (4).docx.docx</NazwaPliku>
    <Osoba xmlns="AD3641B4-23D9-4536-AF9E-7D0EADDEB824">STAT\KULCZYCKAJ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891C5-565F-431F-A96C-B7ED724E06BC}"/>
</file>

<file path=customXml/itemProps2.xml><?xml version="1.0" encoding="utf-8"?>
<ds:datastoreItem xmlns:ds="http://schemas.openxmlformats.org/officeDocument/2006/customXml" ds:itemID="{04A823F1-CD66-4636-ABA4-00DB154EB8CC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04A823F1-CD66-4636-ABA4-00DB154EB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1092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funduszy inwestycyjnych w 2021 r</vt:lpstr>
    </vt:vector>
  </TitlesOfParts>
  <Company/>
  <LinksUpToDate>false</LinksUpToDate>
  <CharactersWithSpaces>7630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funduszy inwestycyjnych w 2021 r</dc:title>
  <dc:subject/>
  <cp:keywords/>
  <dc:description/>
  <cp:lastPrinted>2019-02-21T09:45:00Z</cp:lastPrinted>
  <dcterms:created xsi:type="dcterms:W3CDTF">2022-11-18T10:08:00Z</dcterms:created>
  <dcterms:modified xsi:type="dcterms:W3CDTF">2022-11-21T13:20:00Z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