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34869" w:rsidRDefault="002969D1" w:rsidP="003B30E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20</w:t>
      </w:r>
      <w:r w:rsidR="004F6DB9" w:rsidRPr="00C34869">
        <w:rPr>
          <w:color w:val="auto"/>
        </w:rPr>
        <w:t>2</w:t>
      </w:r>
      <w:r w:rsidR="00725D9E">
        <w:rPr>
          <w:color w:val="auto"/>
        </w:rPr>
        <w:t>1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E96A87" w:rsidRPr="00C34869">
        <w:rPr>
          <w:color w:val="auto"/>
        </w:rPr>
        <w:t>oku</w:t>
      </w:r>
    </w:p>
    <w:p w:rsidR="005916D7" w:rsidRDefault="00D96904" w:rsidP="00B46780">
      <w:pPr>
        <w:pStyle w:val="LID"/>
        <w:spacing w:before="360"/>
      </w:pPr>
      <w:r w:rsidRPr="00B4678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2AB6510" wp14:editId="25A9062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141220" cy="1066800"/>
                <wp:effectExtent l="0" t="0" r="0" b="0"/>
                <wp:wrapSquare wrapText="bothSides"/>
                <wp:docPr id="6" name="Pole tekstowe 2" descr="5,6% Wzrost wartości aktywów podmiotów windykacyj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106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04" w:rsidRPr="00E948E9" w:rsidRDefault="00E948E9" w:rsidP="00D969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948E9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96904" w:rsidRPr="00E948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D96904"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D96904"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D96904" w:rsidRPr="00B46780" w:rsidRDefault="00E948E9" w:rsidP="00D9690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46780">
                              <w:rPr>
                                <w:szCs w:val="20"/>
                              </w:rPr>
                              <w:t>Wzrost wartości aktywów podmiotów windykacyjnych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2AB6510" id="Pole tekstowe 2" o:spid="_x0000_s1026" alt="5,6% Wzrost wartości aktywów podmiotów windykacyjnych&#10;" style="position:absolute;margin-left:0;margin-top:.8pt;width:168.6pt;height:84pt;z-index:251745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" fillcolor="#001d77" stroked="f">
                <v:stroke joinstyle="miter"/>
                <v:textbox>
                  <w:txbxContent>
                    <w:p w:rsidR="00D96904" w:rsidRPr="00E948E9" w:rsidRDefault="00E948E9" w:rsidP="00D969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948E9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D96904" w:rsidRPr="00E948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E948E9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D96904" w:rsidRPr="00E948E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Pr="00E948E9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D96904" w:rsidRPr="00E948E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D96904" w:rsidRPr="00B46780" w:rsidRDefault="00E948E9" w:rsidP="00D9690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46780">
                        <w:rPr>
                          <w:szCs w:val="20"/>
                        </w:rPr>
                        <w:t>Wzrost wartości aktywów podmiotów windykacyjnych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2DDF" w:rsidRPr="00B46780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12047322" wp14:editId="09BBA9A3">
                <wp:simplePos x="0" y="0"/>
                <wp:positionH relativeFrom="column">
                  <wp:posOffset>5303520</wp:posOffset>
                </wp:positionH>
                <wp:positionV relativeFrom="paragraph">
                  <wp:posOffset>78740</wp:posOffset>
                </wp:positionV>
                <wp:extent cx="1546860" cy="1042670"/>
                <wp:effectExtent l="0" t="0" r="0" b="5080"/>
                <wp:wrapTight wrapText="bothSides">
                  <wp:wrapPolygon edited="0">
                    <wp:start x="798" y="0"/>
                    <wp:lineTo x="798" y="21311"/>
                    <wp:lineTo x="20749" y="21311"/>
                    <wp:lineTo x="20749" y="0"/>
                    <wp:lineTo x="798" y="0"/>
                  </wp:wrapPolygon>
                </wp:wrapTight>
                <wp:docPr id="11" name="Pole tekstowe 2" descr="W 2021 r. badane przedsiębiorstwa przyjęły do obsługi 7,7 mln spraw dotyczących wierzytelności o wartości 31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34869">
                              <w:t>202</w:t>
                            </w:r>
                            <w:r w:rsidR="003A3845">
                              <w:t>1</w:t>
                            </w:r>
                            <w:r w:rsidR="00C34869">
                              <w:t> r.</w:t>
                            </w:r>
                            <w:r>
                              <w:t xml:space="preserve"> badane przedsiębiorstwa przyjęły do obsługi</w:t>
                            </w:r>
                            <w:r w:rsidR="003A3845">
                              <w:t xml:space="preserve"> </w:t>
                            </w:r>
                            <w:r w:rsidR="00B46780">
                              <w:t>7,7</w:t>
                            </w:r>
                            <w:r w:rsidR="00C34869" w:rsidRPr="003A3845">
                              <w:rPr>
                                <w:color w:val="00B050"/>
                              </w:rPr>
                              <w:t xml:space="preserve"> </w:t>
                            </w:r>
                            <w:r w:rsidR="008B5365">
                              <w:t xml:space="preserve">mln </w:t>
                            </w:r>
                            <w:r>
                              <w:t>spraw dotyczących wierzytelności o wartości</w:t>
                            </w:r>
                            <w:r w:rsidR="008B5365">
                              <w:t xml:space="preserve"> </w:t>
                            </w:r>
                            <w:r w:rsidR="00B46780">
                              <w:t>31,9</w:t>
                            </w:r>
                            <w:r w:rsidR="00C34869" w:rsidRPr="000D7DF5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04732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badane przedsiębiorstwa przyjęły do obsługi 7,7 mln spraw dotyczących wierzytelności o wartości 31,9 mld zł" style="position:absolute;margin-left:417.6pt;margin-top:6.2pt;width:121.8pt;height:82.1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" filled="f" stroked="f">
                <v:textbox>
                  <w:txbxContent>
                    <w:p w:rsidR="007A2DC1" w:rsidRPr="001F6E7A" w:rsidRDefault="00581A23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C34869">
                        <w:t>202</w:t>
                      </w:r>
                      <w:r w:rsidR="003A3845">
                        <w:t>1</w:t>
                      </w:r>
                      <w:r w:rsidR="00C34869">
                        <w:t> r.</w:t>
                      </w:r>
                      <w:r>
                        <w:t xml:space="preserve"> badane przedsiębiorstwa przyjęły do obsługi</w:t>
                      </w:r>
                      <w:r w:rsidR="003A3845">
                        <w:t xml:space="preserve"> </w:t>
                      </w:r>
                      <w:r w:rsidR="00B46780">
                        <w:t>7,7</w:t>
                      </w:r>
                      <w:r w:rsidR="00C34869" w:rsidRPr="003A3845">
                        <w:rPr>
                          <w:color w:val="00B050"/>
                        </w:rPr>
                        <w:t xml:space="preserve"> </w:t>
                      </w:r>
                      <w:r w:rsidR="008B5365">
                        <w:t xml:space="preserve">mln </w:t>
                      </w:r>
                      <w:r>
                        <w:t>spraw dotyczących wierzytelności o wartości</w:t>
                      </w:r>
                      <w:r w:rsidR="008B5365">
                        <w:t xml:space="preserve"> </w:t>
                      </w:r>
                      <w:r w:rsidR="00B46780">
                        <w:t>31,9</w:t>
                      </w:r>
                      <w:r w:rsidR="00C34869" w:rsidRPr="000D7DF5">
                        <w:rPr>
                          <w:color w:val="00B050"/>
                        </w:rPr>
                        <w:t xml:space="preserve"> </w:t>
                      </w:r>
                      <w: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31C5" w:rsidRPr="00B46780">
        <w:t>W 20</w:t>
      </w:r>
      <w:r w:rsidR="00D70F61" w:rsidRPr="00B46780">
        <w:t>2</w:t>
      </w:r>
      <w:r w:rsidR="00725D9E" w:rsidRPr="00B46780">
        <w:t>1</w:t>
      </w:r>
      <w:r w:rsidR="00F031C5" w:rsidRPr="00B46780">
        <w:t xml:space="preserve"> r. badaniem objęto </w:t>
      </w:r>
      <w:r w:rsidR="00725D9E" w:rsidRPr="00B46780">
        <w:t>75</w:t>
      </w:r>
      <w:r w:rsidR="008D2DDF" w:rsidRPr="00B46780">
        <w:t xml:space="preserve"> </w:t>
      </w:r>
      <w:r w:rsidR="00F031C5" w:rsidRPr="00B46780">
        <w:t>podmiotów zajmujących się windykacją</w:t>
      </w:r>
      <w:r w:rsidR="00F031C5" w:rsidRPr="00B46780">
        <w:rPr>
          <w:rStyle w:val="Odwoanieprzypisudolnego"/>
        </w:rPr>
        <w:footnoteReference w:id="1"/>
      </w:r>
      <w:r w:rsidR="00F031C5" w:rsidRPr="00B46780">
        <w:t>. Nominalna wartość ogółem wszystkich wierzytelności obsługiwanych przez te podmioty, według stanu na koniec 20</w:t>
      </w:r>
      <w:r w:rsidR="00352688" w:rsidRPr="00B46780">
        <w:t>2</w:t>
      </w:r>
      <w:r w:rsidR="00901D84" w:rsidRPr="00B46780">
        <w:t>1</w:t>
      </w:r>
      <w:r w:rsidR="00F031C5" w:rsidRPr="00B46780">
        <w:t> r., wyniosła</w:t>
      </w:r>
      <w:r w:rsidR="00352688" w:rsidRPr="00B46780">
        <w:t xml:space="preserve"> </w:t>
      </w:r>
      <w:r w:rsidR="006E40B7" w:rsidRPr="00B46780">
        <w:t>1</w:t>
      </w:r>
      <w:r w:rsidR="00445C91" w:rsidRPr="00B46780">
        <w:t>23</w:t>
      </w:r>
      <w:r w:rsidR="006E40B7" w:rsidRPr="00B46780">
        <w:t>,</w:t>
      </w:r>
      <w:r w:rsidR="00445C91" w:rsidRPr="00B46780">
        <w:t>2</w:t>
      </w:r>
      <w:r w:rsidR="006E40B7" w:rsidRPr="00B46780">
        <w:t xml:space="preserve"> </w:t>
      </w:r>
      <w:r w:rsidR="00F031C5" w:rsidRPr="00B46780">
        <w:t> mld zł</w:t>
      </w:r>
      <w:r w:rsidR="002969D1" w:rsidRPr="00C34869">
        <w:t>.</w:t>
      </w:r>
    </w:p>
    <w:p w:rsidR="00F031C5" w:rsidRDefault="00F031C5" w:rsidP="00B46780">
      <w:pPr>
        <w:pStyle w:val="LID"/>
        <w:spacing w:before="360"/>
      </w:pPr>
    </w:p>
    <w:p w:rsidR="00C22105" w:rsidRPr="00B46780" w:rsidRDefault="00B57E4A" w:rsidP="00B46780">
      <w:pPr>
        <w:pStyle w:val="Nagwek1"/>
        <w:spacing w:before="360"/>
        <w:rPr>
          <w:rFonts w:ascii="Fira Sans" w:hAnsi="Fira Sans"/>
          <w:b/>
          <w:szCs w:val="19"/>
        </w:rPr>
      </w:pPr>
      <w:r w:rsidRPr="00B46780">
        <w:rPr>
          <w:rFonts w:ascii="Fira Sans" w:hAnsi="Fira Sans"/>
          <w:b/>
          <w:szCs w:val="19"/>
          <w:shd w:val="clear" w:color="auto" w:fill="FFFFFF"/>
        </w:rPr>
        <w:t xml:space="preserve">Podstawowe </w:t>
      </w:r>
      <w:r w:rsidR="00F031C5" w:rsidRPr="00B46780">
        <w:rPr>
          <w:rFonts w:ascii="Fira Sans" w:hAnsi="Fira Sans"/>
          <w:b/>
          <w:szCs w:val="19"/>
        </w:rPr>
        <w:t>informacje na temat przedsiębiorstw windykacyjnych</w:t>
      </w:r>
    </w:p>
    <w:p w:rsidR="00F031C5" w:rsidRPr="008844BC" w:rsidRDefault="00F031C5" w:rsidP="00B46780">
      <w:pPr>
        <w:spacing w:line="288" w:lineRule="auto"/>
        <w:rPr>
          <w:szCs w:val="19"/>
          <w:shd w:val="clear" w:color="auto" w:fill="FFFFFF"/>
        </w:rPr>
      </w:pPr>
      <w:r w:rsidRPr="008844BC">
        <w:rPr>
          <w:szCs w:val="19"/>
          <w:shd w:val="clear" w:color="auto" w:fill="FFFFFF"/>
        </w:rPr>
        <w:t>W grupie</w:t>
      </w:r>
      <w:r w:rsidR="009518B0" w:rsidRPr="008844BC">
        <w:rPr>
          <w:szCs w:val="19"/>
          <w:shd w:val="clear" w:color="auto" w:fill="FFFFFF"/>
        </w:rPr>
        <w:t xml:space="preserve"> </w:t>
      </w:r>
      <w:r w:rsidR="0010782C" w:rsidRPr="008844BC">
        <w:rPr>
          <w:szCs w:val="19"/>
          <w:shd w:val="clear" w:color="auto" w:fill="FFFFFF"/>
        </w:rPr>
        <w:t>75</w:t>
      </w:r>
      <w:r w:rsidR="0080787C" w:rsidRPr="008844BC">
        <w:rPr>
          <w:szCs w:val="19"/>
          <w:shd w:val="clear" w:color="auto" w:fill="FFFFFF"/>
        </w:rPr>
        <w:t xml:space="preserve"> </w:t>
      </w:r>
      <w:r w:rsidRPr="008844BC">
        <w:rPr>
          <w:szCs w:val="19"/>
          <w:shd w:val="clear" w:color="auto" w:fill="FFFFFF"/>
        </w:rPr>
        <w:t>badanych przedsiębiorstw windykacyjnych był</w:t>
      </w:r>
      <w:r w:rsidR="00DF10F8" w:rsidRPr="008844BC">
        <w:rPr>
          <w:szCs w:val="19"/>
          <w:shd w:val="clear" w:color="auto" w:fill="FFFFFF"/>
        </w:rPr>
        <w:t>o</w:t>
      </w:r>
      <w:r w:rsidR="0080787C" w:rsidRPr="008844BC">
        <w:rPr>
          <w:szCs w:val="19"/>
          <w:shd w:val="clear" w:color="auto" w:fill="FFFFFF"/>
        </w:rPr>
        <w:t xml:space="preserve"> </w:t>
      </w:r>
      <w:r w:rsidR="00DF10F8" w:rsidRPr="008844BC">
        <w:rPr>
          <w:szCs w:val="19"/>
          <w:shd w:val="clear" w:color="auto" w:fill="FFFFFF"/>
        </w:rPr>
        <w:t>18</w:t>
      </w:r>
      <w:r w:rsidRPr="008844BC">
        <w:rPr>
          <w:szCs w:val="19"/>
          <w:shd w:val="clear" w:color="auto" w:fill="FFFFFF"/>
        </w:rPr>
        <w:t xml:space="preserve"> spół</w:t>
      </w:r>
      <w:r w:rsidR="00DF10F8" w:rsidRPr="008844BC">
        <w:rPr>
          <w:szCs w:val="19"/>
          <w:shd w:val="clear" w:color="auto" w:fill="FFFFFF"/>
        </w:rPr>
        <w:t>ek</w:t>
      </w:r>
      <w:r w:rsidRPr="008844BC">
        <w:rPr>
          <w:szCs w:val="19"/>
          <w:shd w:val="clear" w:color="auto" w:fill="FFFFFF"/>
        </w:rPr>
        <w:t xml:space="preserve"> akcyjn</w:t>
      </w:r>
      <w:r w:rsidR="00DF10F8" w:rsidRPr="008844BC">
        <w:rPr>
          <w:szCs w:val="19"/>
          <w:shd w:val="clear" w:color="auto" w:fill="FFFFFF"/>
        </w:rPr>
        <w:t>ych</w:t>
      </w:r>
      <w:r w:rsidRPr="008844BC">
        <w:rPr>
          <w:szCs w:val="19"/>
          <w:shd w:val="clear" w:color="auto" w:fill="FFFFFF"/>
        </w:rPr>
        <w:t>,</w:t>
      </w:r>
      <w:r w:rsidR="009518B0" w:rsidRPr="008844BC">
        <w:rPr>
          <w:szCs w:val="19"/>
          <w:shd w:val="clear" w:color="auto" w:fill="FFFFFF"/>
        </w:rPr>
        <w:t xml:space="preserve"> </w:t>
      </w:r>
      <w:r w:rsidR="0080787C" w:rsidRPr="008844BC">
        <w:rPr>
          <w:szCs w:val="19"/>
          <w:shd w:val="clear" w:color="auto" w:fill="FFFFFF"/>
        </w:rPr>
        <w:t>4</w:t>
      </w:r>
      <w:r w:rsidR="00DF10F8" w:rsidRPr="008844BC">
        <w:rPr>
          <w:szCs w:val="19"/>
          <w:shd w:val="clear" w:color="auto" w:fill="FFFFFF"/>
        </w:rPr>
        <w:t>2</w:t>
      </w:r>
      <w:r w:rsidRPr="008844BC">
        <w:rPr>
          <w:szCs w:val="19"/>
          <w:shd w:val="clear" w:color="auto" w:fill="FFFFFF"/>
        </w:rPr>
        <w:t xml:space="preserve"> spół</w:t>
      </w:r>
      <w:r w:rsidR="00DF10F8" w:rsidRPr="008844BC">
        <w:rPr>
          <w:szCs w:val="19"/>
          <w:shd w:val="clear" w:color="auto" w:fill="FFFFFF"/>
        </w:rPr>
        <w:t>ki</w:t>
      </w:r>
      <w:r w:rsidRPr="008844BC">
        <w:rPr>
          <w:szCs w:val="19"/>
          <w:shd w:val="clear" w:color="auto" w:fill="FFFFFF"/>
        </w:rPr>
        <w:t xml:space="preserve"> z</w:t>
      </w:r>
      <w:r w:rsidR="004915F2" w:rsidRPr="008844BC">
        <w:rPr>
          <w:szCs w:val="19"/>
          <w:shd w:val="clear" w:color="auto" w:fill="FFFFFF"/>
        </w:rPr>
        <w:t> </w:t>
      </w:r>
      <w:r w:rsidRPr="008844BC">
        <w:rPr>
          <w:szCs w:val="19"/>
          <w:shd w:val="clear" w:color="auto" w:fill="FFFFFF"/>
        </w:rPr>
        <w:t xml:space="preserve">ograniczoną odpowiedzialnością oraz </w:t>
      </w:r>
      <w:r w:rsidR="0080787C" w:rsidRPr="008844BC">
        <w:rPr>
          <w:szCs w:val="19"/>
          <w:shd w:val="clear" w:color="auto" w:fill="FFFFFF"/>
        </w:rPr>
        <w:t>1</w:t>
      </w:r>
      <w:r w:rsidR="00BA26F0" w:rsidRPr="008844BC">
        <w:rPr>
          <w:szCs w:val="19"/>
          <w:shd w:val="clear" w:color="auto" w:fill="FFFFFF"/>
        </w:rPr>
        <w:t>5</w:t>
      </w:r>
      <w:r w:rsidR="0080787C" w:rsidRPr="008844BC">
        <w:rPr>
          <w:szCs w:val="19"/>
          <w:shd w:val="clear" w:color="auto" w:fill="FFFFFF"/>
        </w:rPr>
        <w:t xml:space="preserve"> </w:t>
      </w:r>
      <w:r w:rsidRPr="008844BC">
        <w:rPr>
          <w:szCs w:val="19"/>
          <w:shd w:val="clear" w:color="auto" w:fill="FFFFFF"/>
        </w:rPr>
        <w:t>podmiotów o innych formach prawnych.</w:t>
      </w:r>
      <w:r w:rsidR="00452F04">
        <w:rPr>
          <w:szCs w:val="19"/>
          <w:shd w:val="clear" w:color="auto" w:fill="FFFFFF"/>
        </w:rPr>
        <w:t xml:space="preserve"> </w:t>
      </w:r>
      <w:r w:rsidR="00452F04" w:rsidRPr="00F92F9E">
        <w:rPr>
          <w:shd w:val="clear" w:color="auto" w:fill="FFFFFF"/>
        </w:rPr>
        <w:t xml:space="preserve">W </w:t>
      </w:r>
      <w:r w:rsidR="005A3B2F">
        <w:rPr>
          <w:shd w:val="clear" w:color="auto" w:fill="FFFFFF"/>
        </w:rPr>
        <w:t>59</w:t>
      </w:r>
      <w:r w:rsidR="00452F04" w:rsidRPr="00F92F9E">
        <w:rPr>
          <w:shd w:val="clear" w:color="auto" w:fill="FFFFFF"/>
        </w:rPr>
        <w:t xml:space="preserve"> przedsiębiorstwach dominował kapitał krajowy, a w </w:t>
      </w:r>
      <w:r w:rsidR="005A3B2F">
        <w:rPr>
          <w:shd w:val="clear" w:color="auto" w:fill="FFFFFF"/>
        </w:rPr>
        <w:t>1</w:t>
      </w:r>
      <w:r w:rsidR="00452F04">
        <w:rPr>
          <w:shd w:val="clear" w:color="auto" w:fill="FFFFFF"/>
        </w:rPr>
        <w:t xml:space="preserve">6 </w:t>
      </w:r>
      <w:r w:rsidR="00452F04" w:rsidRPr="00F92F9E">
        <w:rPr>
          <w:shd w:val="clear" w:color="auto" w:fill="FFFFFF"/>
        </w:rPr>
        <w:t>kapitał zagraniczn</w:t>
      </w:r>
      <w:r w:rsidR="005A3B2F">
        <w:rPr>
          <w:shd w:val="clear" w:color="auto" w:fill="FFFFFF"/>
        </w:rPr>
        <w:t>y.</w:t>
      </w:r>
    </w:p>
    <w:p w:rsidR="00F031C5" w:rsidRDefault="00F031C5" w:rsidP="00B46780">
      <w:pPr>
        <w:spacing w:line="288" w:lineRule="auto"/>
        <w:rPr>
          <w:spacing w:val="-2"/>
          <w:szCs w:val="19"/>
        </w:rPr>
      </w:pPr>
      <w:r w:rsidRPr="00924B8E">
        <w:rPr>
          <w:spacing w:val="-2"/>
          <w:szCs w:val="19"/>
        </w:rPr>
        <w:t xml:space="preserve">Wśród zbadanych podmiotów, </w:t>
      </w:r>
      <w:r w:rsidR="00815468" w:rsidRPr="00924B8E">
        <w:rPr>
          <w:spacing w:val="-2"/>
          <w:szCs w:val="19"/>
        </w:rPr>
        <w:t>43</w:t>
      </w:r>
      <w:r w:rsidRPr="00924B8E">
        <w:rPr>
          <w:spacing w:val="-2"/>
          <w:szCs w:val="19"/>
        </w:rPr>
        <w:t xml:space="preserve"> jednost</w:t>
      </w:r>
      <w:r w:rsidR="00815468" w:rsidRPr="00924B8E">
        <w:rPr>
          <w:spacing w:val="-2"/>
          <w:szCs w:val="19"/>
        </w:rPr>
        <w:t>ki</w:t>
      </w:r>
      <w:r w:rsidRPr="00924B8E">
        <w:rPr>
          <w:spacing w:val="-2"/>
          <w:szCs w:val="19"/>
        </w:rPr>
        <w:t xml:space="preserve"> wskazał</w:t>
      </w:r>
      <w:r w:rsidR="007B36DF" w:rsidRPr="00924B8E">
        <w:rPr>
          <w:spacing w:val="-2"/>
          <w:szCs w:val="19"/>
        </w:rPr>
        <w:t>o</w:t>
      </w:r>
      <w:r w:rsidRPr="00924B8E">
        <w:rPr>
          <w:spacing w:val="-2"/>
          <w:szCs w:val="19"/>
        </w:rPr>
        <w:t xml:space="preserve"> windykację jako jedyny zakres swojej działalności, dla</w:t>
      </w:r>
      <w:r w:rsidR="007B36DF" w:rsidRPr="00924B8E">
        <w:rPr>
          <w:spacing w:val="-2"/>
          <w:szCs w:val="19"/>
        </w:rPr>
        <w:t xml:space="preserve"> 2</w:t>
      </w:r>
      <w:r w:rsidR="00815468" w:rsidRPr="00924B8E">
        <w:rPr>
          <w:spacing w:val="-2"/>
          <w:szCs w:val="19"/>
        </w:rPr>
        <w:t>3</w:t>
      </w:r>
      <w:r w:rsidR="007B36DF" w:rsidRPr="00924B8E">
        <w:rPr>
          <w:spacing w:val="-2"/>
          <w:szCs w:val="19"/>
        </w:rPr>
        <w:t xml:space="preserve"> </w:t>
      </w:r>
      <w:r w:rsidRPr="00924B8E">
        <w:rPr>
          <w:spacing w:val="-2"/>
          <w:szCs w:val="19"/>
        </w:rPr>
        <w:t xml:space="preserve">podmiotów był to zakres dominujący, a dla </w:t>
      </w:r>
      <w:r w:rsidR="00A241A5" w:rsidRPr="00924B8E">
        <w:rPr>
          <w:spacing w:val="-2"/>
          <w:szCs w:val="19"/>
        </w:rPr>
        <w:t>9</w:t>
      </w:r>
      <w:r w:rsidRPr="00924B8E">
        <w:rPr>
          <w:spacing w:val="-2"/>
          <w:szCs w:val="19"/>
        </w:rPr>
        <w:t xml:space="preserve"> firm – zakres uboczny. Do grup kapitałowych należał</w:t>
      </w:r>
      <w:r w:rsidR="007B36DF" w:rsidRPr="00924B8E">
        <w:rPr>
          <w:spacing w:val="-2"/>
          <w:szCs w:val="19"/>
        </w:rPr>
        <w:t>y</w:t>
      </w:r>
      <w:r w:rsidR="007A05C7" w:rsidRPr="00924B8E">
        <w:rPr>
          <w:spacing w:val="-2"/>
          <w:szCs w:val="19"/>
        </w:rPr>
        <w:t xml:space="preserve"> </w:t>
      </w:r>
      <w:r w:rsidR="007B36DF" w:rsidRPr="00924B8E">
        <w:rPr>
          <w:spacing w:val="-2"/>
          <w:szCs w:val="19"/>
        </w:rPr>
        <w:t>2</w:t>
      </w:r>
      <w:r w:rsidR="0074712D" w:rsidRPr="00924B8E">
        <w:rPr>
          <w:spacing w:val="-2"/>
          <w:szCs w:val="19"/>
        </w:rPr>
        <w:t>2</w:t>
      </w:r>
      <w:r w:rsidR="007A05C7" w:rsidRPr="00924B8E">
        <w:rPr>
          <w:spacing w:val="-2"/>
          <w:szCs w:val="19"/>
        </w:rPr>
        <w:t xml:space="preserve"> </w:t>
      </w:r>
      <w:r w:rsidRPr="00924B8E">
        <w:rPr>
          <w:spacing w:val="-2"/>
          <w:szCs w:val="19"/>
        </w:rPr>
        <w:t>przedsiębiorstw</w:t>
      </w:r>
      <w:r w:rsidR="007B36DF" w:rsidRPr="00924B8E">
        <w:rPr>
          <w:spacing w:val="-2"/>
          <w:szCs w:val="19"/>
        </w:rPr>
        <w:t>a</w:t>
      </w:r>
      <w:r w:rsidRPr="00924B8E">
        <w:rPr>
          <w:spacing w:val="-2"/>
          <w:szCs w:val="19"/>
        </w:rPr>
        <w:t>, w tym jednostek dominujących było</w:t>
      </w:r>
      <w:r w:rsidR="007B36DF" w:rsidRPr="00924B8E">
        <w:rPr>
          <w:spacing w:val="-2"/>
          <w:szCs w:val="19"/>
        </w:rPr>
        <w:t xml:space="preserve"> </w:t>
      </w:r>
      <w:r w:rsidR="0074712D" w:rsidRPr="00924B8E">
        <w:rPr>
          <w:spacing w:val="-2"/>
          <w:szCs w:val="19"/>
        </w:rPr>
        <w:t>5</w:t>
      </w:r>
      <w:r w:rsidRPr="00924B8E">
        <w:rPr>
          <w:spacing w:val="-2"/>
          <w:szCs w:val="19"/>
        </w:rPr>
        <w:t>, jednostek zależnych –</w:t>
      </w:r>
      <w:r w:rsidR="007B36DF" w:rsidRPr="00924B8E">
        <w:rPr>
          <w:spacing w:val="-2"/>
          <w:szCs w:val="19"/>
        </w:rPr>
        <w:t>11</w:t>
      </w:r>
      <w:r w:rsidRPr="00924B8E">
        <w:rPr>
          <w:spacing w:val="-2"/>
          <w:szCs w:val="19"/>
        </w:rPr>
        <w:t xml:space="preserve">, jednostek jednocześnie zależnych i dominujących – </w:t>
      </w:r>
      <w:r w:rsidR="007B36DF" w:rsidRPr="00924B8E">
        <w:rPr>
          <w:spacing w:val="-2"/>
          <w:szCs w:val="19"/>
        </w:rPr>
        <w:t>6.</w:t>
      </w:r>
      <w:r w:rsidRPr="00924B8E">
        <w:rPr>
          <w:spacing w:val="-2"/>
          <w:szCs w:val="19"/>
        </w:rPr>
        <w:t xml:space="preserve"> </w:t>
      </w:r>
    </w:p>
    <w:p w:rsidR="005A3B2F" w:rsidRPr="00924B8E" w:rsidRDefault="005A3B2F" w:rsidP="005A3B2F">
      <w:pPr>
        <w:spacing w:line="288" w:lineRule="auto"/>
        <w:rPr>
          <w:bCs/>
          <w:szCs w:val="19"/>
          <w:shd w:val="clear" w:color="auto" w:fill="FFFFFF"/>
        </w:rPr>
      </w:pPr>
      <w:r w:rsidRPr="00924B8E">
        <w:rPr>
          <w:szCs w:val="19"/>
          <w:shd w:val="clear" w:color="auto" w:fill="FFFFFF"/>
        </w:rPr>
        <w:t xml:space="preserve">Według stanu na koniec 2021 r. w badanych podmiotach działalnością w zakresie windykacji zajmowało się 6 037 osób. </w:t>
      </w:r>
      <w:r w:rsidRPr="00924B8E">
        <w:rPr>
          <w:bCs/>
          <w:szCs w:val="19"/>
          <w:shd w:val="clear" w:color="auto" w:fill="FFFFFF"/>
        </w:rPr>
        <w:t>Przedsiębiorstwa windykacyjne posiadały łącznie 82 oddziały i autoryzowane przedstawicielstwa.</w:t>
      </w:r>
    </w:p>
    <w:p w:rsidR="000E2394" w:rsidRPr="0079533D" w:rsidRDefault="00E03CD5" w:rsidP="00B46780">
      <w:pPr>
        <w:spacing w:line="288" w:lineRule="auto"/>
        <w:rPr>
          <w:shd w:val="clear" w:color="auto" w:fill="FFFFFF"/>
        </w:rPr>
      </w:pPr>
      <w:r w:rsidRPr="0079533D">
        <w:rPr>
          <w:shd w:val="clear" w:color="auto" w:fill="FFFFFF"/>
        </w:rPr>
        <w:t>W</w:t>
      </w:r>
      <w:r w:rsidR="00D24061" w:rsidRPr="0079533D">
        <w:rPr>
          <w:shd w:val="clear" w:color="auto" w:fill="FFFFFF"/>
        </w:rPr>
        <w:t xml:space="preserve">pływ pandemii </w:t>
      </w:r>
      <w:proofErr w:type="spellStart"/>
      <w:r w:rsidR="00D24061" w:rsidRPr="0079533D">
        <w:rPr>
          <w:shd w:val="clear" w:color="auto" w:fill="FFFFFF"/>
        </w:rPr>
        <w:t>koronawirusa</w:t>
      </w:r>
      <w:proofErr w:type="spellEnd"/>
      <w:r w:rsidR="00D24061" w:rsidRPr="0079533D">
        <w:rPr>
          <w:shd w:val="clear" w:color="auto" w:fill="FFFFFF"/>
        </w:rPr>
        <w:t xml:space="preserve"> </w:t>
      </w:r>
      <w:r w:rsidRPr="0079533D">
        <w:rPr>
          <w:shd w:val="clear" w:color="auto" w:fill="FFFFFF"/>
        </w:rPr>
        <w:t>na działalność zaobserwowało 27</w:t>
      </w:r>
      <w:r w:rsidR="000E2394" w:rsidRPr="0079533D">
        <w:rPr>
          <w:shd w:val="clear" w:color="auto" w:fill="FFFFFF"/>
        </w:rPr>
        <w:t xml:space="preserve"> badanych przedsiębiorstw </w:t>
      </w:r>
      <w:r w:rsidR="006D0C4E" w:rsidRPr="0079533D">
        <w:rPr>
          <w:shd w:val="clear" w:color="auto" w:fill="FFFFFF"/>
        </w:rPr>
        <w:t>windykacyjnych</w:t>
      </w:r>
      <w:r w:rsidR="000E2394" w:rsidRPr="0079533D">
        <w:rPr>
          <w:shd w:val="clear" w:color="auto" w:fill="FFFFFF"/>
        </w:rPr>
        <w:t xml:space="preserve">, z czego </w:t>
      </w:r>
      <w:r w:rsidR="006D0C4E" w:rsidRPr="0079533D">
        <w:rPr>
          <w:shd w:val="clear" w:color="auto" w:fill="FFFFFF"/>
        </w:rPr>
        <w:t>26</w:t>
      </w:r>
      <w:r w:rsidR="000E2394" w:rsidRPr="0079533D">
        <w:rPr>
          <w:shd w:val="clear" w:color="auto" w:fill="FFFFFF"/>
        </w:rPr>
        <w:t xml:space="preserve"> firm oceniło go jako „negatywny</w:t>
      </w:r>
      <w:r w:rsidR="006D0C4E" w:rsidRPr="0079533D">
        <w:rPr>
          <w:shd w:val="clear" w:color="auto" w:fill="FFFFFF"/>
        </w:rPr>
        <w:t xml:space="preserve">” a </w:t>
      </w:r>
      <w:r w:rsidR="000E2394" w:rsidRPr="0079533D">
        <w:rPr>
          <w:shd w:val="clear" w:color="auto" w:fill="FFFFFF"/>
        </w:rPr>
        <w:t>jedna jako „pozytywny”.</w:t>
      </w:r>
    </w:p>
    <w:p w:rsidR="00495A07" w:rsidRPr="000C5263" w:rsidRDefault="00843416" w:rsidP="00B46780">
      <w:pPr>
        <w:pStyle w:val="Nagwek1"/>
        <w:spacing w:before="360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8B70CF" wp14:editId="4D96B9F9">
                <wp:simplePos x="0" y="0"/>
                <wp:positionH relativeFrom="column">
                  <wp:posOffset>5265420</wp:posOffset>
                </wp:positionH>
                <wp:positionV relativeFrom="paragraph">
                  <wp:posOffset>170180</wp:posOffset>
                </wp:positionV>
                <wp:extent cx="1676400" cy="1023620"/>
                <wp:effectExtent l="0" t="0" r="0" b="5080"/>
                <wp:wrapTight wrapText="bothSides">
                  <wp:wrapPolygon edited="0">
                    <wp:start x="736" y="0"/>
                    <wp:lineTo x="736" y="21305"/>
                    <wp:lineTo x="20618" y="21305"/>
                    <wp:lineTo x="20618" y="0"/>
                    <wp:lineTo x="736" y="0"/>
                  </wp:wrapPolygon>
                </wp:wrapTight>
                <wp:docPr id="2" name="Pole tekstowe 2" descr="W 2021 r. przyjęto do obsługi 7,2 mln wierzytelności konsumenckich i 0,5 mln wierzytelności korpo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163E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 </w:t>
                            </w:r>
                            <w:r w:rsidR="007953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7,2</w:t>
                            </w:r>
                            <w:r w:rsidR="00C34869" w:rsidRPr="00ED695A">
                              <w:rPr>
                                <w:rFonts w:eastAsia="Times New Roman" w:cs="Times New Roman"/>
                                <w:bCs/>
                                <w:color w:val="00B05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F0A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953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0,5</w:t>
                            </w:r>
                            <w:r w:rsidR="00C34869" w:rsidRPr="00ED695A">
                              <w:rPr>
                                <w:rFonts w:eastAsia="Times New Roman" w:cs="Times New Roman"/>
                                <w:bCs/>
                                <w:color w:val="00B05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B70CF" id="_x0000_s1028" type="#_x0000_t202" alt="W 2021 r. przyjęto do obsługi 7,2 mln wierzytelności konsumenckich i 0,5 mln wierzytelności korporacyjnych" style="position:absolute;margin-left:414.6pt;margin-top:13.4pt;width:132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" filled="f" stroked="f">
                <v:textbox>
                  <w:txbxContent>
                    <w:p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163E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 </w:t>
                      </w:r>
                      <w:r w:rsidR="007953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7,2</w:t>
                      </w:r>
                      <w:r w:rsidR="00C34869" w:rsidRPr="00ED695A">
                        <w:rPr>
                          <w:rFonts w:eastAsia="Times New Roman" w:cs="Times New Roman"/>
                          <w:bCs/>
                          <w:color w:val="00B05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F0A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953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0,5</w:t>
                      </w:r>
                      <w:r w:rsidR="00C34869" w:rsidRPr="00ED695A">
                        <w:rPr>
                          <w:rFonts w:eastAsia="Times New Roman" w:cs="Times New Roman"/>
                          <w:bCs/>
                          <w:color w:val="00B05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:rsidR="00F031C5" w:rsidRPr="00E9314C" w:rsidRDefault="00F031C5" w:rsidP="00B46780">
      <w:pPr>
        <w:spacing w:line="288" w:lineRule="auto"/>
        <w:rPr>
          <w:shd w:val="clear" w:color="auto" w:fill="FFFFFF"/>
        </w:rPr>
      </w:pPr>
      <w:r w:rsidRPr="00E9314C">
        <w:rPr>
          <w:shd w:val="clear" w:color="auto" w:fill="FFFFFF"/>
        </w:rPr>
        <w:t>Przedsiębiorstwa windykacyjne w ciągu 20</w:t>
      </w:r>
      <w:r w:rsidR="007744B4" w:rsidRPr="00E9314C">
        <w:rPr>
          <w:shd w:val="clear" w:color="auto" w:fill="FFFFFF"/>
        </w:rPr>
        <w:t>2</w:t>
      </w:r>
      <w:r w:rsidR="006D397C" w:rsidRPr="00E9314C">
        <w:rPr>
          <w:shd w:val="clear" w:color="auto" w:fill="FFFFFF"/>
        </w:rPr>
        <w:t>1</w:t>
      </w:r>
      <w:r w:rsidR="00F81708" w:rsidRPr="00E9314C">
        <w:rPr>
          <w:shd w:val="clear" w:color="auto" w:fill="FFFFFF"/>
        </w:rPr>
        <w:t> </w:t>
      </w:r>
      <w:r w:rsidRPr="00E9314C">
        <w:rPr>
          <w:shd w:val="clear" w:color="auto" w:fill="FFFFFF"/>
        </w:rPr>
        <w:t xml:space="preserve">r. przyjęły do obsługi </w:t>
      </w:r>
      <w:r w:rsidR="006D397C" w:rsidRPr="00E9314C">
        <w:rPr>
          <w:shd w:val="clear" w:color="auto" w:fill="FFFFFF"/>
        </w:rPr>
        <w:t>7</w:t>
      </w:r>
      <w:r w:rsidR="00D131CA" w:rsidRPr="00E9314C">
        <w:rPr>
          <w:shd w:val="clear" w:color="auto" w:fill="FFFFFF"/>
        </w:rPr>
        <w:t>,</w:t>
      </w:r>
      <w:r w:rsidR="006D397C" w:rsidRPr="00E9314C">
        <w:rPr>
          <w:shd w:val="clear" w:color="auto" w:fill="FFFFFF"/>
        </w:rPr>
        <w:t>7</w:t>
      </w:r>
      <w:r w:rsidRPr="00E9314C">
        <w:rPr>
          <w:shd w:val="clear" w:color="auto" w:fill="FFFFFF"/>
        </w:rPr>
        <w:t xml:space="preserve"> mln wierzytelności</w:t>
      </w:r>
      <w:r w:rsidR="003A07B5" w:rsidRPr="00E9314C">
        <w:rPr>
          <w:shd w:val="clear" w:color="auto" w:fill="FFFFFF"/>
        </w:rPr>
        <w:t xml:space="preserve"> (bez funduszy inwestycyjnych zewnętrznych) </w:t>
      </w:r>
      <w:r w:rsidRPr="00E9314C">
        <w:rPr>
          <w:shd w:val="clear" w:color="auto" w:fill="FFFFFF"/>
        </w:rPr>
        <w:t xml:space="preserve">o wartości nominalnej </w:t>
      </w:r>
      <w:r w:rsidR="006D397C" w:rsidRPr="00E9314C">
        <w:rPr>
          <w:shd w:val="clear" w:color="auto" w:fill="FFFFFF"/>
        </w:rPr>
        <w:t>31</w:t>
      </w:r>
      <w:r w:rsidR="00D131CA" w:rsidRPr="00E9314C">
        <w:rPr>
          <w:shd w:val="clear" w:color="auto" w:fill="FFFFFF"/>
        </w:rPr>
        <w:t>,</w:t>
      </w:r>
      <w:r w:rsidR="006D397C" w:rsidRPr="00E9314C">
        <w:rPr>
          <w:shd w:val="clear" w:color="auto" w:fill="FFFFFF"/>
        </w:rPr>
        <w:t>9</w:t>
      </w:r>
      <w:r w:rsidR="007744B4" w:rsidRPr="00E9314C">
        <w:rPr>
          <w:shd w:val="clear" w:color="auto" w:fill="FFFFFF"/>
        </w:rPr>
        <w:t xml:space="preserve"> </w:t>
      </w:r>
      <w:r w:rsidRPr="00E9314C">
        <w:rPr>
          <w:shd w:val="clear" w:color="auto" w:fill="FFFFFF"/>
        </w:rPr>
        <w:t xml:space="preserve">mld zł, w których </w:t>
      </w:r>
      <w:r w:rsidR="00D131CA" w:rsidRPr="00E9314C">
        <w:rPr>
          <w:shd w:val="clear" w:color="auto" w:fill="FFFFFF"/>
        </w:rPr>
        <w:t>8</w:t>
      </w:r>
      <w:r w:rsidR="00AA5B3E" w:rsidRPr="00E9314C">
        <w:rPr>
          <w:shd w:val="clear" w:color="auto" w:fill="FFFFFF"/>
        </w:rPr>
        <w:t>6</w:t>
      </w:r>
      <w:r w:rsidR="00D131CA" w:rsidRPr="00E9314C">
        <w:rPr>
          <w:shd w:val="clear" w:color="auto" w:fill="FFFFFF"/>
        </w:rPr>
        <w:t>,</w:t>
      </w:r>
      <w:r w:rsidR="00AA5B3E" w:rsidRPr="00E9314C">
        <w:rPr>
          <w:shd w:val="clear" w:color="auto" w:fill="FFFFFF"/>
        </w:rPr>
        <w:t>6</w:t>
      </w:r>
      <w:r w:rsidRPr="00E9314C">
        <w:rPr>
          <w:shd w:val="clear" w:color="auto" w:fill="FFFFFF"/>
        </w:rPr>
        <w:t>% stanowiły wierzytelności konsumenckie, a</w:t>
      </w:r>
      <w:r w:rsidR="00F91AD7" w:rsidRPr="00E9314C">
        <w:rPr>
          <w:shd w:val="clear" w:color="auto" w:fill="FFFFFF"/>
        </w:rPr>
        <w:t xml:space="preserve"> wierzytelności </w:t>
      </w:r>
      <w:r w:rsidRPr="00E9314C">
        <w:rPr>
          <w:shd w:val="clear" w:color="auto" w:fill="FFFFFF"/>
        </w:rPr>
        <w:t xml:space="preserve">korporacyjne – </w:t>
      </w:r>
      <w:r w:rsidR="00D131CA" w:rsidRPr="00E9314C">
        <w:rPr>
          <w:shd w:val="clear" w:color="auto" w:fill="FFFFFF"/>
        </w:rPr>
        <w:t>1</w:t>
      </w:r>
      <w:r w:rsidR="00703B11" w:rsidRPr="00E9314C">
        <w:rPr>
          <w:shd w:val="clear" w:color="auto" w:fill="FFFFFF"/>
        </w:rPr>
        <w:t>3</w:t>
      </w:r>
      <w:r w:rsidR="00D131CA" w:rsidRPr="00E9314C">
        <w:rPr>
          <w:shd w:val="clear" w:color="auto" w:fill="FFFFFF"/>
        </w:rPr>
        <w:t>,</w:t>
      </w:r>
      <w:r w:rsidR="00703B11" w:rsidRPr="00E9314C">
        <w:rPr>
          <w:shd w:val="clear" w:color="auto" w:fill="FFFFFF"/>
        </w:rPr>
        <w:t>4</w:t>
      </w:r>
      <w:r w:rsidRPr="00E9314C">
        <w:rPr>
          <w:shd w:val="clear" w:color="auto" w:fill="FFFFFF"/>
        </w:rPr>
        <w:t>%. Średnia wartość przyjętych do obsługi wierzytelności w 20</w:t>
      </w:r>
      <w:r w:rsidR="007744B4" w:rsidRPr="00E9314C">
        <w:rPr>
          <w:shd w:val="clear" w:color="auto" w:fill="FFFFFF"/>
        </w:rPr>
        <w:t>2</w:t>
      </w:r>
      <w:r w:rsidR="002D31C2" w:rsidRPr="00E9314C">
        <w:rPr>
          <w:shd w:val="clear" w:color="auto" w:fill="FFFFFF"/>
        </w:rPr>
        <w:t>1</w:t>
      </w:r>
      <w:r w:rsidRPr="00E9314C">
        <w:rPr>
          <w:shd w:val="clear" w:color="auto" w:fill="FFFFFF"/>
        </w:rPr>
        <w:t xml:space="preserve"> r. wyniosła </w:t>
      </w:r>
      <w:r w:rsidR="00877FBB" w:rsidRPr="00E9314C">
        <w:rPr>
          <w:shd w:val="clear" w:color="auto" w:fill="FFFFFF"/>
        </w:rPr>
        <w:t>4</w:t>
      </w:r>
      <w:r w:rsidR="00F91AD7" w:rsidRPr="00E9314C">
        <w:rPr>
          <w:shd w:val="clear" w:color="auto" w:fill="FFFFFF"/>
        </w:rPr>
        <w:t> </w:t>
      </w:r>
      <w:r w:rsidR="002D31C2" w:rsidRPr="00E9314C">
        <w:rPr>
          <w:shd w:val="clear" w:color="auto" w:fill="FFFFFF"/>
        </w:rPr>
        <w:t>141</w:t>
      </w:r>
      <w:r w:rsidR="00F91AD7" w:rsidRPr="00E9314C">
        <w:rPr>
          <w:shd w:val="clear" w:color="auto" w:fill="FFFFFF"/>
        </w:rPr>
        <w:t> </w:t>
      </w:r>
      <w:r w:rsidRPr="00E9314C">
        <w:rPr>
          <w:shd w:val="clear" w:color="auto" w:fill="FFFFFF"/>
        </w:rPr>
        <w:t xml:space="preserve">zł (w roku poprzednim </w:t>
      </w:r>
      <w:r w:rsidR="00877FBB" w:rsidRPr="00E9314C">
        <w:rPr>
          <w:shd w:val="clear" w:color="auto" w:fill="FFFFFF"/>
        </w:rPr>
        <w:t>4</w:t>
      </w:r>
      <w:r w:rsidR="00F91AD7" w:rsidRPr="00E9314C">
        <w:rPr>
          <w:shd w:val="clear" w:color="auto" w:fill="FFFFFF"/>
        </w:rPr>
        <w:t> </w:t>
      </w:r>
      <w:r w:rsidR="002D31C2" w:rsidRPr="00E9314C">
        <w:rPr>
          <w:shd w:val="clear" w:color="auto" w:fill="FFFFFF"/>
        </w:rPr>
        <w:t>275</w:t>
      </w:r>
      <w:r w:rsidR="00F91AD7" w:rsidRPr="00E9314C">
        <w:rPr>
          <w:shd w:val="clear" w:color="auto" w:fill="FFFFFF"/>
        </w:rPr>
        <w:t> </w:t>
      </w:r>
      <w:r w:rsidRPr="00E9314C">
        <w:rPr>
          <w:shd w:val="clear" w:color="auto" w:fill="FFFFFF"/>
        </w:rPr>
        <w:t>zł).</w:t>
      </w:r>
    </w:p>
    <w:p w:rsidR="00F91AD7" w:rsidRPr="00E9314C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E9314C">
        <w:rPr>
          <w:szCs w:val="19"/>
          <w:shd w:val="clear" w:color="auto" w:fill="FFFFFF"/>
        </w:rPr>
        <w:t xml:space="preserve">Przedsiębiorstwa windykacyjne według stanu na koniec 2021 r. obsługiwały 17,0 mln czynnych wierzytelności </w:t>
      </w:r>
      <w:r w:rsidRPr="00E9314C">
        <w:rPr>
          <w:szCs w:val="19"/>
        </w:rPr>
        <w:t xml:space="preserve">(bez funduszy inwestycyjnych zewnętrznych) </w:t>
      </w:r>
      <w:r w:rsidRPr="00E9314C">
        <w:rPr>
          <w:szCs w:val="19"/>
          <w:shd w:val="clear" w:color="auto" w:fill="FFFFFF"/>
        </w:rPr>
        <w:t xml:space="preserve">o wartości nominalnej 123,2 mld zł, w których 82,7% stanowiły wierzytelności konsumenckie, a </w:t>
      </w:r>
      <w:r w:rsidR="00E9314C" w:rsidRPr="00E9314C">
        <w:rPr>
          <w:shd w:val="clear" w:color="auto" w:fill="FFFFFF"/>
        </w:rPr>
        <w:t>wierzytelności korporacyjne</w:t>
      </w:r>
      <w:r w:rsidRPr="00E9314C">
        <w:rPr>
          <w:szCs w:val="19"/>
          <w:shd w:val="clear" w:color="auto" w:fill="FFFFFF"/>
        </w:rPr>
        <w:t xml:space="preserve"> 17,3%. </w:t>
      </w:r>
    </w:p>
    <w:p w:rsidR="005A3B2F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E9314C">
        <w:rPr>
          <w:szCs w:val="19"/>
          <w:shd w:val="clear" w:color="auto" w:fill="FFFFFF"/>
        </w:rPr>
        <w:t>Wśród ogółu wierzycieli pierwotnych dla wierzytelności konsumenckich największą grupę stanowiły: banki (74,7%) oraz firmy pożyczkowe (13,4 %).</w:t>
      </w:r>
    </w:p>
    <w:p w:rsidR="005A3B2F" w:rsidRDefault="005A3B2F">
      <w:pPr>
        <w:spacing w:before="0" w:after="160" w:line="259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br w:type="page"/>
      </w:r>
    </w:p>
    <w:p w:rsidR="00924B8E" w:rsidRPr="002436F6" w:rsidRDefault="00924B8E" w:rsidP="00B2531E">
      <w:pPr>
        <w:spacing w:before="360" w:line="240" w:lineRule="auto"/>
        <w:rPr>
          <w:spacing w:val="-2"/>
          <w:szCs w:val="19"/>
        </w:rPr>
      </w:pPr>
      <w:r w:rsidRPr="002436F6">
        <w:rPr>
          <w:b/>
          <w:spacing w:val="-2"/>
          <w:szCs w:val="19"/>
          <w:shd w:val="clear" w:color="auto" w:fill="FFFFFF"/>
        </w:rPr>
        <w:lastRenderedPageBreak/>
        <w:t>Tablica 1. Działalność badanych przedsiębiorstw windykacyjnych w 202</w:t>
      </w:r>
      <w:r>
        <w:rPr>
          <w:b/>
          <w:spacing w:val="-2"/>
          <w:szCs w:val="19"/>
          <w:shd w:val="clear" w:color="auto" w:fill="FFFFFF"/>
        </w:rPr>
        <w:t>1</w:t>
      </w:r>
      <w:r w:rsidRPr="002436F6">
        <w:rPr>
          <w:b/>
          <w:spacing w:val="-2"/>
          <w:szCs w:val="19"/>
          <w:shd w:val="clear" w:color="auto" w:fill="FFFFFF"/>
        </w:rPr>
        <w:t xml:space="preserve"> r. 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Działalność badanych przedsiębiorstw windykacyjnych w 2021 r. "/>
      </w:tblPr>
      <w:tblGrid>
        <w:gridCol w:w="3969"/>
        <w:gridCol w:w="1134"/>
        <w:gridCol w:w="1418"/>
        <w:gridCol w:w="1536"/>
      </w:tblGrid>
      <w:tr w:rsidR="003B30E0" w:rsidRPr="008F3F59" w:rsidTr="00EA6C8D">
        <w:tc>
          <w:tcPr>
            <w:tcW w:w="3969" w:type="dxa"/>
            <w:vAlign w:val="center"/>
          </w:tcPr>
          <w:p w:rsidR="00924B8E" w:rsidRPr="003B30E0" w:rsidRDefault="00924B8E" w:rsidP="00B2531E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B30E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8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konsumenckie</w:t>
            </w:r>
          </w:p>
        </w:tc>
        <w:tc>
          <w:tcPr>
            <w:tcW w:w="1536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korporacyjne</w:t>
            </w:r>
          </w:p>
        </w:tc>
      </w:tr>
      <w:tr w:rsidR="003B30E0" w:rsidRPr="008F3F59" w:rsidTr="00EA6C8D">
        <w:trPr>
          <w:trHeight w:val="626"/>
        </w:trPr>
        <w:tc>
          <w:tcPr>
            <w:tcW w:w="3969" w:type="dxa"/>
            <w:vAlign w:val="center"/>
          </w:tcPr>
          <w:p w:rsidR="00F91AD7" w:rsidRPr="003B30E0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Liczba spraw przyjętych do obsługi w</w:t>
            </w:r>
            <w:r w:rsidR="00B2531E"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 </w:t>
            </w: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2021 r. </w:t>
            </w:r>
            <w:r w:rsidRP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w tys. szt</w:t>
            </w: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7 704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bCs/>
                <w:sz w:val="18"/>
                <w:szCs w:val="18"/>
              </w:rPr>
              <w:t>7 215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489</w:t>
            </w:r>
          </w:p>
        </w:tc>
      </w:tr>
      <w:tr w:rsidR="003B30E0" w:rsidRPr="008F3F59" w:rsidTr="00EA6C8D">
        <w:trPr>
          <w:trHeight w:val="564"/>
        </w:trPr>
        <w:tc>
          <w:tcPr>
            <w:tcW w:w="3969" w:type="dxa"/>
            <w:vAlign w:val="center"/>
          </w:tcPr>
          <w:p w:rsidR="00F91AD7" w:rsidRPr="003B30E0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Wartość ogółem wierzytelności przyjętych do obsługi w 2021</w:t>
            </w:r>
            <w:r w:rsidRPr="003B30E0">
              <w:rPr>
                <w:sz w:val="18"/>
                <w:szCs w:val="18"/>
              </w:rPr>
              <w:t> </w:t>
            </w: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r. </w:t>
            </w:r>
            <w:r w:rsidRP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31 902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27 640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4 262</w:t>
            </w:r>
          </w:p>
        </w:tc>
      </w:tr>
      <w:tr w:rsidR="00F91AD7" w:rsidRPr="008F3F59" w:rsidTr="00EA6C8D">
        <w:trPr>
          <w:trHeight w:val="783"/>
        </w:trPr>
        <w:tc>
          <w:tcPr>
            <w:tcW w:w="3969" w:type="dxa"/>
            <w:vAlign w:val="center"/>
          </w:tcPr>
          <w:p w:rsidR="00F91AD7" w:rsidRPr="003B30E0" w:rsidRDefault="00F91AD7" w:rsidP="00EA6C8D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7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Wierzytelności przyjęte na zlecenie (inkaso) w 2021 r. </w:t>
            </w:r>
            <w:r w:rsidRP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(od podmiotów niepowiązanych osobowo lub kapitałowo) w mln zł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20 506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17 296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3 210</w:t>
            </w:r>
          </w:p>
        </w:tc>
      </w:tr>
      <w:tr w:rsidR="00F91AD7" w:rsidRPr="008F3F59" w:rsidTr="00EA6C8D">
        <w:trPr>
          <w:trHeight w:val="851"/>
        </w:trPr>
        <w:tc>
          <w:tcPr>
            <w:tcW w:w="3969" w:type="dxa"/>
            <w:vAlign w:val="center"/>
          </w:tcPr>
          <w:p w:rsidR="00F91AD7" w:rsidRPr="003B30E0" w:rsidRDefault="00F91AD7" w:rsidP="00EA6C8D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1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 xml:space="preserve">Wierzytelności zakupione – w 2021 r. </w:t>
            </w:r>
            <w:r w:rsidRP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(bezpośrednio lub pośrednio przez podmiot powiązany osobowo lub kapitałowo) w</w:t>
            </w:r>
            <w:r w:rsid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 </w:t>
            </w:r>
            <w:r w:rsidRPr="003B30E0">
              <w:rPr>
                <w:rFonts w:eastAsiaTheme="majorEastAsia" w:cstheme="majorBidi"/>
                <w:i/>
                <w:color w:val="000000" w:themeColor="text1"/>
                <w:sz w:val="18"/>
                <w:szCs w:val="18"/>
              </w:rPr>
              <w:t>mln zł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11 396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10 344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1 052</w:t>
            </w:r>
          </w:p>
        </w:tc>
      </w:tr>
      <w:tr w:rsidR="003B30E0" w:rsidRPr="008F3F59" w:rsidTr="00EA6C8D">
        <w:trPr>
          <w:trHeight w:val="548"/>
        </w:trPr>
        <w:tc>
          <w:tcPr>
            <w:tcW w:w="3969" w:type="dxa"/>
            <w:vAlign w:val="center"/>
          </w:tcPr>
          <w:p w:rsidR="00F91AD7" w:rsidRPr="003B30E0" w:rsidRDefault="00F91AD7" w:rsidP="00B2531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8"/>
                <w:szCs w:val="18"/>
              </w:rPr>
            </w:pPr>
            <w:r w:rsidRPr="003B30E0">
              <w:rPr>
                <w:color w:val="000000" w:themeColor="text1"/>
                <w:sz w:val="18"/>
                <w:szCs w:val="18"/>
              </w:rPr>
              <w:t xml:space="preserve">Wartość czynnych wierzytelności – stan na koniec 2021 r. </w:t>
            </w:r>
            <w:r w:rsidRPr="003B30E0">
              <w:rPr>
                <w:i/>
                <w:color w:val="000000" w:themeColor="text1"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123 190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101 819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21 371</w:t>
            </w:r>
          </w:p>
        </w:tc>
      </w:tr>
      <w:tr w:rsidR="003B30E0" w:rsidRPr="008F3F59" w:rsidTr="00EA6C8D">
        <w:tc>
          <w:tcPr>
            <w:tcW w:w="3969" w:type="dxa"/>
            <w:vAlign w:val="center"/>
          </w:tcPr>
          <w:p w:rsidR="00F91AD7" w:rsidRPr="003B30E0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iCs/>
                <w:sz w:val="18"/>
                <w:szCs w:val="18"/>
              </w:rPr>
              <w:t xml:space="preserve">Wartość odzyskanych. wierzytelności w 2021 r. </w:t>
            </w:r>
            <w:r w:rsidRPr="003B30E0">
              <w:rPr>
                <w:rFonts w:eastAsiaTheme="majorEastAsia" w:cstheme="majorBidi"/>
                <w:i/>
                <w:iCs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6 250</w:t>
            </w:r>
          </w:p>
        </w:tc>
        <w:tc>
          <w:tcPr>
            <w:tcW w:w="1418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4 520</w:t>
            </w:r>
          </w:p>
        </w:tc>
        <w:tc>
          <w:tcPr>
            <w:tcW w:w="1536" w:type="dxa"/>
            <w:vAlign w:val="center"/>
          </w:tcPr>
          <w:p w:rsidR="00F91AD7" w:rsidRPr="003B30E0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3B30E0">
              <w:rPr>
                <w:rFonts w:cs="Arial"/>
                <w:sz w:val="18"/>
                <w:szCs w:val="18"/>
              </w:rPr>
              <w:t>1 730</w:t>
            </w:r>
          </w:p>
        </w:tc>
      </w:tr>
    </w:tbl>
    <w:p w:rsidR="00DA0D2D" w:rsidRPr="002969D1" w:rsidRDefault="00DA0D2D" w:rsidP="00B2531E">
      <w:pPr>
        <w:pStyle w:val="Nagwek1"/>
        <w:spacing w:before="360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C81A80F" wp14:editId="0535DE25">
                <wp:simplePos x="0" y="0"/>
                <wp:positionH relativeFrom="column">
                  <wp:posOffset>5234940</wp:posOffset>
                </wp:positionH>
                <wp:positionV relativeFrom="paragraph">
                  <wp:posOffset>270510</wp:posOffset>
                </wp:positionV>
                <wp:extent cx="1668780" cy="1363980"/>
                <wp:effectExtent l="0" t="0" r="0" b="0"/>
                <wp:wrapTight wrapText="bothSides">
                  <wp:wrapPolygon edited="0">
                    <wp:start x="740" y="0"/>
                    <wp:lineTo x="740" y="21117"/>
                    <wp:lineTo x="20712" y="21117"/>
                    <wp:lineTo x="20712" y="0"/>
                    <wp:lineTo x="740" y="0"/>
                  </wp:wrapPolygon>
                </wp:wrapTight>
                <wp:docPr id="7" name="Pole tekstowe 7" descr="Wartość aktywów przedsiębiorstw, w których działalność windykacyjna była jedynym lub dominującym rodzajem działalności i prowadziły pełną księgowość wzrosła w ciągu roku o 5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C82" w:rsidRPr="001F6E7A" w:rsidRDefault="009F2C82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windykacyjna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była jedynym lub dominującym rodzajem działalności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i prowadziły pełną księgowość 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wzrosła w ciągu roku o 5,6%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81A80F" id="Pole tekstowe 7" o:spid="_x0000_s1029" type="#_x0000_t202" alt="Wartość aktywów przedsiębiorstw, w których działalność windykacyjna była jedynym lub dominującym rodzajem działalności i prowadziły pełną księgowość wzrosła w ciągu roku o 5,6%" style="position:absolute;margin-left:412.2pt;margin-top:21.3pt;width:131.4pt;height:107.4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" filled="f" stroked="f">
                <v:textbox>
                  <w:txbxContent>
                    <w:p w:rsidR="009F2C82" w:rsidRPr="001F6E7A" w:rsidRDefault="009F2C82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windykacyjna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była jedynym lub dominującym rodzajem działalności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i prowadziły pełną księgowość 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wzrosła w ciągu roku o 5,6%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  <w:r w:rsidR="00E9314C">
        <w:rPr>
          <w:rStyle w:val="Odwoanieprzypisudolnego"/>
          <w:shd w:val="clear" w:color="auto" w:fill="FFFFFF"/>
        </w:rPr>
        <w:footnoteReference w:id="2"/>
      </w:r>
    </w:p>
    <w:p w:rsidR="00F031C5" w:rsidRPr="00276A20" w:rsidRDefault="00F031C5" w:rsidP="00B2531E">
      <w:pPr>
        <w:spacing w:line="288" w:lineRule="auto"/>
        <w:rPr>
          <w:shd w:val="clear" w:color="auto" w:fill="FFFFFF"/>
        </w:rPr>
      </w:pPr>
      <w:r w:rsidRPr="00276A20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 –</w:t>
      </w:r>
      <w:r w:rsidR="00DA7518" w:rsidRPr="00276A20">
        <w:rPr>
          <w:shd w:val="clear" w:color="auto" w:fill="FFFFFF"/>
        </w:rPr>
        <w:t xml:space="preserve"> </w:t>
      </w:r>
      <w:r w:rsidR="009D7893" w:rsidRPr="00276A20">
        <w:rPr>
          <w:shd w:val="clear" w:color="auto" w:fill="FFFFFF"/>
        </w:rPr>
        <w:t>6</w:t>
      </w:r>
      <w:r w:rsidR="000B22A7" w:rsidRPr="00276A20">
        <w:rPr>
          <w:shd w:val="clear" w:color="auto" w:fill="FFFFFF"/>
        </w:rPr>
        <w:t>1</w:t>
      </w:r>
      <w:r w:rsidRPr="00276A20">
        <w:rPr>
          <w:shd w:val="clear" w:color="auto" w:fill="FFFFFF"/>
        </w:rPr>
        <w:t xml:space="preserve"> przedsiębiorstw.</w:t>
      </w:r>
    </w:p>
    <w:p w:rsidR="00F031C5" w:rsidRPr="00276A20" w:rsidRDefault="00F031C5" w:rsidP="00B2531E">
      <w:pPr>
        <w:spacing w:line="288" w:lineRule="auto"/>
        <w:rPr>
          <w:shd w:val="clear" w:color="auto" w:fill="FFFFFF"/>
        </w:rPr>
      </w:pPr>
      <w:r w:rsidRPr="00276A20">
        <w:rPr>
          <w:shd w:val="clear" w:color="auto" w:fill="FFFFFF"/>
        </w:rPr>
        <w:t xml:space="preserve">Wartość aktywów tych </w:t>
      </w:r>
      <w:r w:rsidR="009F2C82">
        <w:rPr>
          <w:shd w:val="clear" w:color="auto" w:fill="FFFFFF"/>
        </w:rPr>
        <w:t xml:space="preserve">61 </w:t>
      </w:r>
      <w:r w:rsidRPr="00276A20">
        <w:rPr>
          <w:shd w:val="clear" w:color="auto" w:fill="FFFFFF"/>
        </w:rPr>
        <w:t>podmiotów wyniosła</w:t>
      </w:r>
      <w:r w:rsidR="009D7893" w:rsidRPr="00276A20">
        <w:rPr>
          <w:shd w:val="clear" w:color="auto" w:fill="FFFFFF"/>
        </w:rPr>
        <w:t xml:space="preserve"> 7,1</w:t>
      </w:r>
      <w:r w:rsidRPr="00276A20">
        <w:rPr>
          <w:shd w:val="clear" w:color="auto" w:fill="FFFFFF"/>
        </w:rPr>
        <w:t xml:space="preserve"> mld zł w 20</w:t>
      </w:r>
      <w:r w:rsidR="00866927" w:rsidRPr="00276A20">
        <w:rPr>
          <w:shd w:val="clear" w:color="auto" w:fill="FFFFFF"/>
        </w:rPr>
        <w:t>2</w:t>
      </w:r>
      <w:r w:rsidR="007B7A34" w:rsidRPr="00276A20">
        <w:rPr>
          <w:shd w:val="clear" w:color="auto" w:fill="FFFFFF"/>
        </w:rPr>
        <w:t>1</w:t>
      </w:r>
      <w:r w:rsidRPr="00276A20">
        <w:rPr>
          <w:shd w:val="clear" w:color="auto" w:fill="FFFFFF"/>
        </w:rPr>
        <w:t> r. i w porównaniu z rokiem poprzednim wzrosła o</w:t>
      </w:r>
      <w:r w:rsidR="009D7893" w:rsidRPr="00276A20">
        <w:rPr>
          <w:shd w:val="clear" w:color="auto" w:fill="FFFFFF"/>
        </w:rPr>
        <w:t xml:space="preserve"> </w:t>
      </w:r>
      <w:r w:rsidR="00B538CD" w:rsidRPr="00276A20">
        <w:rPr>
          <w:shd w:val="clear" w:color="auto" w:fill="FFFFFF"/>
        </w:rPr>
        <w:t>5</w:t>
      </w:r>
      <w:r w:rsidR="009D7893" w:rsidRPr="00276A20">
        <w:rPr>
          <w:shd w:val="clear" w:color="auto" w:fill="FFFFFF"/>
        </w:rPr>
        <w:t>,</w:t>
      </w:r>
      <w:r w:rsidR="00B538CD" w:rsidRPr="00276A20">
        <w:rPr>
          <w:shd w:val="clear" w:color="auto" w:fill="FFFFFF"/>
        </w:rPr>
        <w:t>6</w:t>
      </w:r>
      <w:r w:rsidR="00A15438" w:rsidRPr="00276A20">
        <w:rPr>
          <w:shd w:val="clear" w:color="auto" w:fill="FFFFFF"/>
        </w:rPr>
        <w:t>%</w:t>
      </w:r>
      <w:r w:rsidRPr="00276A20">
        <w:rPr>
          <w:shd w:val="clear" w:color="auto" w:fill="FFFFFF"/>
        </w:rPr>
        <w:t xml:space="preserve">. </w:t>
      </w:r>
    </w:p>
    <w:p w:rsidR="00F031C5" w:rsidRPr="00276A20" w:rsidRDefault="00F031C5" w:rsidP="00B2531E">
      <w:pPr>
        <w:spacing w:line="288" w:lineRule="auto"/>
        <w:rPr>
          <w:strike/>
        </w:rPr>
      </w:pPr>
      <w:r w:rsidRPr="00276A20">
        <w:rPr>
          <w:shd w:val="clear" w:color="auto" w:fill="FFFFFF"/>
        </w:rPr>
        <w:t>Wybrane pod względem wielkości elementy aktywów podmiotów windykacyjnych w 20</w:t>
      </w:r>
      <w:r w:rsidR="000D5064" w:rsidRPr="00276A20">
        <w:rPr>
          <w:shd w:val="clear" w:color="auto" w:fill="FFFFFF"/>
        </w:rPr>
        <w:t>2</w:t>
      </w:r>
      <w:r w:rsidR="00384A35" w:rsidRPr="00276A20">
        <w:rPr>
          <w:shd w:val="clear" w:color="auto" w:fill="FFFFFF"/>
        </w:rPr>
        <w:t>1</w:t>
      </w:r>
      <w:r w:rsidRPr="00276A20">
        <w:rPr>
          <w:shd w:val="clear" w:color="auto" w:fill="FFFFFF"/>
        </w:rPr>
        <w:t> r. to: aktywa trwałe (</w:t>
      </w:r>
      <w:r w:rsidR="002A64D9" w:rsidRPr="00276A20">
        <w:rPr>
          <w:shd w:val="clear" w:color="auto" w:fill="FFFFFF"/>
        </w:rPr>
        <w:t>5,</w:t>
      </w:r>
      <w:r w:rsidR="00C137D8" w:rsidRPr="00276A20">
        <w:rPr>
          <w:shd w:val="clear" w:color="auto" w:fill="FFFFFF"/>
        </w:rPr>
        <w:t>9</w:t>
      </w:r>
      <w:r w:rsidR="002A64D9" w:rsidRPr="00276A20">
        <w:rPr>
          <w:shd w:val="clear" w:color="auto" w:fill="FFFFFF"/>
        </w:rPr>
        <w:t xml:space="preserve"> </w:t>
      </w:r>
      <w:r w:rsidRPr="00276A20">
        <w:rPr>
          <w:shd w:val="clear" w:color="auto" w:fill="FFFFFF"/>
        </w:rPr>
        <w:t>mld zł), w tym inwestycje długoterminowe (</w:t>
      </w:r>
      <w:r w:rsidR="002A64D9" w:rsidRPr="00276A20">
        <w:rPr>
          <w:shd w:val="clear" w:color="auto" w:fill="FFFFFF"/>
        </w:rPr>
        <w:t>5,</w:t>
      </w:r>
      <w:r w:rsidR="00C137D8" w:rsidRPr="00276A20">
        <w:rPr>
          <w:shd w:val="clear" w:color="auto" w:fill="FFFFFF"/>
        </w:rPr>
        <w:t>4</w:t>
      </w:r>
      <w:r w:rsidR="002A64D9" w:rsidRPr="00276A20">
        <w:rPr>
          <w:shd w:val="clear" w:color="auto" w:fill="FFFFFF"/>
        </w:rPr>
        <w:t xml:space="preserve"> </w:t>
      </w:r>
      <w:r w:rsidRPr="00276A20">
        <w:rPr>
          <w:shd w:val="clear" w:color="auto" w:fill="FFFFFF"/>
        </w:rPr>
        <w:t>mld</w:t>
      </w:r>
      <w:r w:rsidR="00E91DB9" w:rsidRPr="00276A20">
        <w:rPr>
          <w:shd w:val="clear" w:color="auto" w:fill="FFFFFF"/>
        </w:rPr>
        <w:t xml:space="preserve"> </w:t>
      </w:r>
      <w:r w:rsidRPr="00276A20">
        <w:rPr>
          <w:shd w:val="clear" w:color="auto" w:fill="FFFFFF"/>
        </w:rPr>
        <w:t>zł) oraz aktywa obrotowe (</w:t>
      </w:r>
      <w:r w:rsidR="002A64D9" w:rsidRPr="00276A20">
        <w:rPr>
          <w:shd w:val="clear" w:color="auto" w:fill="FFFFFF"/>
        </w:rPr>
        <w:t>1,</w:t>
      </w:r>
      <w:r w:rsidR="00760117" w:rsidRPr="00276A20">
        <w:rPr>
          <w:shd w:val="clear" w:color="auto" w:fill="FFFFFF"/>
        </w:rPr>
        <w:t>2</w:t>
      </w:r>
      <w:r w:rsidR="002A64D9" w:rsidRPr="00276A20">
        <w:rPr>
          <w:shd w:val="clear" w:color="auto" w:fill="FFFFFF"/>
        </w:rPr>
        <w:t xml:space="preserve"> </w:t>
      </w:r>
      <w:r w:rsidRPr="00276A20">
        <w:rPr>
          <w:shd w:val="clear" w:color="auto" w:fill="FFFFFF"/>
        </w:rPr>
        <w:t>mld</w:t>
      </w:r>
      <w:r w:rsidR="00E91DB9" w:rsidRPr="00276A20">
        <w:rPr>
          <w:shd w:val="clear" w:color="auto" w:fill="FFFFFF"/>
        </w:rPr>
        <w:t xml:space="preserve"> </w:t>
      </w:r>
      <w:r w:rsidRPr="00276A20">
        <w:rPr>
          <w:shd w:val="clear" w:color="auto" w:fill="FFFFFF"/>
        </w:rPr>
        <w:t>zł), w tym inwestycje krótkoterminowe (</w:t>
      </w:r>
      <w:r w:rsidR="002A64D9" w:rsidRPr="00276A20">
        <w:rPr>
          <w:shd w:val="clear" w:color="auto" w:fill="FFFFFF"/>
        </w:rPr>
        <w:t>0,</w:t>
      </w:r>
      <w:r w:rsidR="00C2547E" w:rsidRPr="00276A20">
        <w:rPr>
          <w:shd w:val="clear" w:color="auto" w:fill="FFFFFF"/>
        </w:rPr>
        <w:t>5</w:t>
      </w:r>
      <w:r w:rsidRPr="00276A20">
        <w:rPr>
          <w:shd w:val="clear" w:color="auto" w:fill="FFFFFF"/>
        </w:rPr>
        <w:t xml:space="preserve"> mld zł). </w:t>
      </w:r>
    </w:p>
    <w:p w:rsidR="00F031C5" w:rsidRPr="00276A20" w:rsidRDefault="00F031C5" w:rsidP="00B2531E">
      <w:pPr>
        <w:spacing w:line="288" w:lineRule="auto"/>
        <w:rPr>
          <w:strike/>
        </w:rPr>
      </w:pPr>
      <w:r w:rsidRPr="00276A20">
        <w:t>W wartości pasywów podstawowe elementy to: kapitał (fundusz) własny (</w:t>
      </w:r>
      <w:r w:rsidR="002A64D9" w:rsidRPr="00276A20">
        <w:t>3,</w:t>
      </w:r>
      <w:r w:rsidR="006D2A4F" w:rsidRPr="00276A20">
        <w:t>5</w:t>
      </w:r>
      <w:r w:rsidR="002A64D9" w:rsidRPr="00276A20">
        <w:t xml:space="preserve"> </w:t>
      </w:r>
      <w:r w:rsidRPr="00276A20">
        <w:t>mld zł), w tym kapitał (fundusz) zapasowy (</w:t>
      </w:r>
      <w:r w:rsidR="002A64D9" w:rsidRPr="00276A20">
        <w:t xml:space="preserve">0,8 </w:t>
      </w:r>
      <w:r w:rsidRPr="00276A20">
        <w:t>mld zł) oraz zobowiązania i rezerwy na zobowiązania (</w:t>
      </w:r>
      <w:r w:rsidR="002A64D9" w:rsidRPr="00276A20">
        <w:t>3,</w:t>
      </w:r>
      <w:r w:rsidR="006D2A4F" w:rsidRPr="00276A20">
        <w:t>6</w:t>
      </w:r>
      <w:r w:rsidR="008D2DDF" w:rsidRPr="00276A20">
        <w:t> </w:t>
      </w:r>
      <w:r w:rsidRPr="00276A20">
        <w:t>mld</w:t>
      </w:r>
      <w:r w:rsidR="00E91DB9" w:rsidRPr="00276A20">
        <w:t> </w:t>
      </w:r>
      <w:r w:rsidRPr="00276A20">
        <w:t>zł), w tym zobowiązania długoterminowe (</w:t>
      </w:r>
      <w:r w:rsidR="002A64D9" w:rsidRPr="00276A20">
        <w:t>1,</w:t>
      </w:r>
      <w:r w:rsidR="00A83F3D" w:rsidRPr="00276A20">
        <w:t>6</w:t>
      </w:r>
      <w:r w:rsidR="002A64D9" w:rsidRPr="00276A20">
        <w:t xml:space="preserve"> </w:t>
      </w:r>
      <w:r w:rsidRPr="00276A20">
        <w:t>mld zł) i krótkoterminowe (</w:t>
      </w:r>
      <w:r w:rsidR="00762B7E" w:rsidRPr="00276A20">
        <w:t>1,</w:t>
      </w:r>
      <w:r w:rsidR="00011901" w:rsidRPr="00276A20">
        <w:t>2</w:t>
      </w:r>
      <w:r w:rsidR="00762B7E" w:rsidRPr="00276A20">
        <w:t xml:space="preserve"> </w:t>
      </w:r>
      <w:r w:rsidRPr="00276A20">
        <w:t>mld zł).</w:t>
      </w:r>
      <w:r w:rsidRPr="00276A20">
        <w:rPr>
          <w:strike/>
        </w:rPr>
        <w:t xml:space="preserve"> </w:t>
      </w:r>
    </w:p>
    <w:p w:rsidR="00F031C5" w:rsidRPr="00276A20" w:rsidRDefault="00F031C5" w:rsidP="00B2531E">
      <w:pPr>
        <w:spacing w:line="288" w:lineRule="auto"/>
      </w:pPr>
      <w:r w:rsidRPr="00276A20">
        <w:t>W 20</w:t>
      </w:r>
      <w:r w:rsidR="00EA151A" w:rsidRPr="00276A20">
        <w:t>2</w:t>
      </w:r>
      <w:r w:rsidR="003557DC" w:rsidRPr="00276A20">
        <w:t>1</w:t>
      </w:r>
      <w:r w:rsidR="009F2C82">
        <w:t> </w:t>
      </w:r>
      <w:r w:rsidRPr="00276A20">
        <w:t xml:space="preserve">r. przychody z całokształtu działalności badanych  przedsiębiorstw wyniosły </w:t>
      </w:r>
      <w:r w:rsidR="003557DC" w:rsidRPr="00276A20">
        <w:t>2</w:t>
      </w:r>
      <w:r w:rsidR="00762B7E" w:rsidRPr="00276A20">
        <w:t>,</w:t>
      </w:r>
      <w:r w:rsidR="003557DC" w:rsidRPr="00276A20">
        <w:t>3</w:t>
      </w:r>
      <w:r w:rsidR="00E91DB9" w:rsidRPr="00276A20">
        <w:t> </w:t>
      </w:r>
      <w:r w:rsidRPr="00276A20">
        <w:t>mld</w:t>
      </w:r>
      <w:r w:rsidR="00E91DB9" w:rsidRPr="00276A20">
        <w:t> </w:t>
      </w:r>
      <w:r w:rsidRPr="00276A20">
        <w:t xml:space="preserve">zł. Przychody netto ze sprzedaży ukształtowały się na poziomie </w:t>
      </w:r>
      <w:r w:rsidR="005A7E7B" w:rsidRPr="00276A20">
        <w:t>1</w:t>
      </w:r>
      <w:r w:rsidR="00762B7E" w:rsidRPr="00276A20">
        <w:t>,</w:t>
      </w:r>
      <w:r w:rsidR="005A7E7B" w:rsidRPr="00276A20">
        <w:t>2</w:t>
      </w:r>
      <w:r w:rsidRPr="00276A20">
        <w:t xml:space="preserve"> mld zł (w 20</w:t>
      </w:r>
      <w:r w:rsidR="005A7E7B" w:rsidRPr="00276A20">
        <w:t>20</w:t>
      </w:r>
      <w:r w:rsidR="009F2C82">
        <w:t> </w:t>
      </w:r>
      <w:r w:rsidRPr="00276A20">
        <w:t xml:space="preserve">r. </w:t>
      </w:r>
      <w:r w:rsidR="00A8362C">
        <w:t>1</w:t>
      </w:r>
      <w:r w:rsidR="00762B7E" w:rsidRPr="00276A20">
        <w:t>,</w:t>
      </w:r>
      <w:r w:rsidR="00A8362C">
        <w:t>0</w:t>
      </w:r>
      <w:r w:rsidRPr="00276A20">
        <w:t xml:space="preserve"> mld zł). Badane przedsiębiorstwa poniosły koszty z całokształtu działalności w wysokości</w:t>
      </w:r>
      <w:r w:rsidR="00762B7E" w:rsidRPr="00276A20">
        <w:t xml:space="preserve"> 1,</w:t>
      </w:r>
      <w:r w:rsidR="005A7E7B" w:rsidRPr="00276A20">
        <w:t>5</w:t>
      </w:r>
      <w:r w:rsidRPr="00276A20">
        <w:t xml:space="preserve"> mld zł. Spośród kosztów największą pozycję stanowiły koszty działalności operacyjnej i wyniosły</w:t>
      </w:r>
      <w:r w:rsidR="00762B7E" w:rsidRPr="00276A20">
        <w:t xml:space="preserve"> 1,</w:t>
      </w:r>
      <w:r w:rsidR="005A7E7B" w:rsidRPr="00276A20">
        <w:t>2</w:t>
      </w:r>
      <w:r w:rsidR="009F2C82">
        <w:t> </w:t>
      </w:r>
      <w:r w:rsidR="00F512E0" w:rsidRPr="00276A20">
        <w:t>mld zł.</w:t>
      </w:r>
    </w:p>
    <w:p w:rsidR="007E7680" w:rsidRPr="00B2531E" w:rsidRDefault="00F031C5" w:rsidP="00B2531E">
      <w:pPr>
        <w:spacing w:line="288" w:lineRule="auto"/>
      </w:pPr>
      <w:r w:rsidRPr="00B2531E">
        <w:t xml:space="preserve">Spośród </w:t>
      </w:r>
      <w:r w:rsidR="00762B7E" w:rsidRPr="00B2531E">
        <w:t>6</w:t>
      </w:r>
      <w:r w:rsidR="000A3175" w:rsidRPr="00B2531E">
        <w:t>1</w:t>
      </w:r>
      <w:r w:rsidRPr="00B2531E">
        <w:t xml:space="preserve"> badanych przedsiębiorstw,</w:t>
      </w:r>
      <w:r w:rsidR="008B13C8" w:rsidRPr="00B2531E">
        <w:t xml:space="preserve"> 4</w:t>
      </w:r>
      <w:r w:rsidR="00012E55" w:rsidRPr="00B2531E">
        <w:t>0</w:t>
      </w:r>
      <w:r w:rsidR="008B13C8" w:rsidRPr="00B2531E">
        <w:t xml:space="preserve"> </w:t>
      </w:r>
      <w:r w:rsidRPr="00B2531E">
        <w:t>wypracowało w 20</w:t>
      </w:r>
      <w:r w:rsidR="00246D19" w:rsidRPr="00B2531E">
        <w:t>2</w:t>
      </w:r>
      <w:r w:rsidR="009F2C82" w:rsidRPr="00B2531E">
        <w:t>1</w:t>
      </w:r>
      <w:r w:rsidRPr="00B2531E">
        <w:t> r. zysk netto</w:t>
      </w:r>
      <w:r w:rsidR="008F24BB" w:rsidRPr="00B2531E">
        <w:t xml:space="preserve"> w wysokości </w:t>
      </w:r>
      <w:r w:rsidR="00012E55" w:rsidRPr="00B2531E">
        <w:t>830</w:t>
      </w:r>
      <w:r w:rsidR="008F24BB" w:rsidRPr="00B2531E">
        <w:t>,</w:t>
      </w:r>
      <w:r w:rsidR="00012E55" w:rsidRPr="00B2531E">
        <w:t>2</w:t>
      </w:r>
      <w:r w:rsidR="008F24BB" w:rsidRPr="00B2531E">
        <w:t xml:space="preserve"> mln zł</w:t>
      </w:r>
      <w:r w:rsidRPr="00B2531E">
        <w:t>, a dla</w:t>
      </w:r>
      <w:r w:rsidR="008B13C8" w:rsidRPr="00B2531E">
        <w:t xml:space="preserve"> 21</w:t>
      </w:r>
      <w:r w:rsidRPr="00B2531E">
        <w:t xml:space="preserve"> firm 20</w:t>
      </w:r>
      <w:r w:rsidR="00246D19" w:rsidRPr="00B2531E">
        <w:t>2</w:t>
      </w:r>
      <w:r w:rsidR="009F2C82" w:rsidRPr="00B2531E">
        <w:t>1</w:t>
      </w:r>
      <w:r w:rsidRPr="00B2531E">
        <w:t xml:space="preserve"> rok zakończył się stratą netto</w:t>
      </w:r>
      <w:r w:rsidR="008F24BB" w:rsidRPr="00B2531E">
        <w:t xml:space="preserve"> w wysokości minus </w:t>
      </w:r>
      <w:r w:rsidR="00012E55" w:rsidRPr="00B2531E">
        <w:t>106</w:t>
      </w:r>
      <w:r w:rsidR="008F24BB" w:rsidRPr="00B2531E">
        <w:t>,</w:t>
      </w:r>
      <w:r w:rsidR="00012E55" w:rsidRPr="00B2531E">
        <w:t>5</w:t>
      </w:r>
      <w:r w:rsidR="008F24BB" w:rsidRPr="00B2531E">
        <w:t xml:space="preserve"> mln zł.</w:t>
      </w:r>
      <w:r w:rsidRPr="00B2531E">
        <w:t xml:space="preserve"> </w:t>
      </w:r>
    </w:p>
    <w:p w:rsidR="00880C9B" w:rsidRDefault="00880C9B" w:rsidP="00DA0D75">
      <w:pPr>
        <w:rPr>
          <w:color w:val="000000"/>
        </w:rPr>
      </w:pPr>
    </w:p>
    <w:p w:rsidR="00880C9B" w:rsidRDefault="00880C9B" w:rsidP="00DA0D75">
      <w:pPr>
        <w:rPr>
          <w:color w:val="000000"/>
        </w:rPr>
      </w:pPr>
    </w:p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30E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68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76CC" w:rsidRPr="009676CC" w:rsidTr="001B3247">
        <w:trPr>
          <w:trHeight w:val="1626"/>
        </w:trPr>
        <w:tc>
          <w:tcPr>
            <w:tcW w:w="4926" w:type="dxa"/>
          </w:tcPr>
          <w:p w:rsidR="00B2531E" w:rsidRDefault="00B2531E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>
              <w:rPr>
                <w:rFonts w:eastAsia="Fira Sans Light" w:cs="Arial"/>
                <w:b/>
                <w:color w:val="000000"/>
                <w:sz w:val="20"/>
              </w:rPr>
              <w:t>Opracowanie merytoryczne:</w:t>
            </w:r>
          </w:p>
          <w:p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Departament Studiów</w:t>
            </w:r>
          </w:p>
          <w:p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Makroekonomicznych i Finansów</w:t>
            </w:r>
          </w:p>
          <w:p w:rsidR="009676CC" w:rsidRPr="009676CC" w:rsidRDefault="009676CC" w:rsidP="00B2531E">
            <w:pPr>
              <w:keepNext/>
              <w:keepLines/>
              <w:spacing w:before="24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r w:rsidRPr="009676CC">
              <w:rPr>
                <w:rFonts w:eastAsia="Times New Roman" w:cs="Arial"/>
                <w:b/>
                <w:color w:val="000000"/>
                <w:sz w:val="20"/>
                <w:szCs w:val="28"/>
              </w:rPr>
              <w:t>Dyrektor Mirosław Błażej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676CC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Tel: 22 608 37 73</w:t>
            </w:r>
          </w:p>
          <w:p w:rsidR="009676CC" w:rsidRPr="009676CC" w:rsidRDefault="009676CC" w:rsidP="009676C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76CC">
              <w:rPr>
                <w:rFonts w:cs="Arial"/>
                <w:sz w:val="20"/>
              </w:rPr>
              <w:t>Rozpowszechnianie:</w:t>
            </w:r>
            <w:r w:rsidRPr="009676CC">
              <w:rPr>
                <w:rFonts w:cs="Arial"/>
                <w:sz w:val="20"/>
              </w:rPr>
              <w:br/>
            </w:r>
            <w:r w:rsidRPr="009676CC">
              <w:rPr>
                <w:rFonts w:cs="Arial"/>
                <w:b/>
                <w:sz w:val="20"/>
              </w:rPr>
              <w:t>Rzecznik Prasowy Prezesa GUS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76C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76CC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:rsidR="009676CC" w:rsidRPr="009676CC" w:rsidRDefault="009676CC" w:rsidP="009676CC">
            <w:pPr>
              <w:rPr>
                <w:sz w:val="18"/>
              </w:rPr>
            </w:pPr>
          </w:p>
        </w:tc>
      </w:tr>
      <w:tr w:rsidR="009676CC" w:rsidRPr="009676CC" w:rsidTr="001B3247">
        <w:trPr>
          <w:trHeight w:val="418"/>
        </w:trPr>
        <w:tc>
          <w:tcPr>
            <w:tcW w:w="4926" w:type="dxa"/>
            <w:vMerge w:val="restart"/>
          </w:tcPr>
          <w:p w:rsidR="009676CC" w:rsidRPr="009676CC" w:rsidRDefault="009676CC" w:rsidP="009676CC">
            <w:pPr>
              <w:rPr>
                <w:b/>
                <w:sz w:val="20"/>
              </w:rPr>
            </w:pPr>
            <w:r w:rsidRPr="009676CC">
              <w:rPr>
                <w:b/>
                <w:sz w:val="20"/>
              </w:rPr>
              <w:t xml:space="preserve">Wydział Współpracy z Mediami </w:t>
            </w:r>
          </w:p>
          <w:p w:rsidR="009676CC" w:rsidRPr="009676CC" w:rsidRDefault="009676CC" w:rsidP="009676CC">
            <w:pPr>
              <w:rPr>
                <w:sz w:val="20"/>
              </w:rPr>
            </w:pPr>
            <w:r w:rsidRPr="009676CC">
              <w:rPr>
                <w:sz w:val="20"/>
              </w:rPr>
              <w:t xml:space="preserve">Tel: 22 608 38 04 </w:t>
            </w:r>
          </w:p>
          <w:p w:rsidR="009676CC" w:rsidRPr="009676CC" w:rsidRDefault="009676CC" w:rsidP="009676CC">
            <w:pPr>
              <w:rPr>
                <w:sz w:val="18"/>
                <w:lang w:val="en-US"/>
              </w:rPr>
            </w:pPr>
            <w:r w:rsidRPr="009676CC">
              <w:rPr>
                <w:b/>
                <w:sz w:val="20"/>
                <w:lang w:val="en-GB"/>
              </w:rPr>
              <w:t>e-mail:</w:t>
            </w:r>
            <w:r w:rsidRPr="009676CC">
              <w:rPr>
                <w:sz w:val="20"/>
                <w:lang w:val="en-GB"/>
              </w:rPr>
              <w:t xml:space="preserve"> </w:t>
            </w:r>
            <w:hyperlink r:id="rId15" w:history="1">
              <w:r w:rsidRPr="007676FF">
                <w:rPr>
                  <w:rFonts w:eastAsia="Times New Roman" w:cs="Arial"/>
                  <w:b/>
                  <w:color w:val="000000"/>
                  <w:sz w:val="20"/>
                  <w:szCs w:val="28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0D13FF90" wp14:editId="533FE7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www.stat.gov.pl</w:t>
            </w:r>
            <w:r w:rsidRPr="009676CC">
              <w:rPr>
                <w:sz w:val="18"/>
              </w:rPr>
              <w:t xml:space="preserve">      </w:t>
            </w:r>
          </w:p>
        </w:tc>
      </w:tr>
      <w:tr w:rsidR="009676CC" w:rsidRPr="009676CC" w:rsidTr="001B3247">
        <w:trPr>
          <w:trHeight w:val="418"/>
        </w:trPr>
        <w:tc>
          <w:tcPr>
            <w:tcW w:w="4926" w:type="dxa"/>
            <w:vMerge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5597FF22" wp14:editId="432396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@GUS_STAT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  <w:vMerge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4755E804" wp14:editId="45B2B94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</w:t>
            </w:r>
            <w:proofErr w:type="spellStart"/>
            <w:r w:rsidRPr="009676CC">
              <w:rPr>
                <w:sz w:val="20"/>
              </w:rPr>
              <w:t>GlownyUrzadStatystyczny</w:t>
            </w:r>
            <w:proofErr w:type="spellEnd"/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747A6168" wp14:editId="15F7CE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76CC">
              <w:rPr>
                <w:sz w:val="20"/>
              </w:rPr>
              <w:t>gus_stat</w:t>
            </w:r>
            <w:proofErr w:type="spellEnd"/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5EC206BD" wp14:editId="54896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76CC">
              <w:rPr>
                <w:sz w:val="20"/>
              </w:rPr>
              <w:t>glownyurzadstatystycznygus</w:t>
            </w:r>
            <w:proofErr w:type="spellEnd"/>
          </w:p>
        </w:tc>
      </w:tr>
      <w:tr w:rsidR="009676CC" w:rsidRPr="009676CC" w:rsidTr="001B3247">
        <w:trPr>
          <w:trHeight w:val="953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t>glownyurzadstatystyczny</w:t>
            </w: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71C32BF" wp14:editId="4FD39EC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001C5B" w:rsidRDefault="00B2531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ADB375B" wp14:editId="500FE299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559550" cy="44424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8D69DF" w:rsidRDefault="00F92F9E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8D69DF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"https://stat.gov.pl/obszary-tematyczne/podmioty-gospodarcze-wyniki-finansowe/przedsiebiorstwa-finansowe/wyspecjalizowane-segmenty-rynku-finansowego-2020,18,6.html" \o "link do opracowania Wyspecjalizowane segmenty rynku finansowego 2020"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8D69D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533D16" w:rsidRPr="00716AA6" w:rsidRDefault="00F92F9E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4712D" w:rsidRDefault="00943D3E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2" w:tooltip="link do pojęcia &quot;Firma windykacyjna&quot;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:rsidR="00533D16" w:rsidRPr="00533D16" w:rsidRDefault="00943D3E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pojęcia &quot;Fundusz sekurytyzacyjny&quot;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DB375B" id="_x0000_s1030" type="#_x0000_t202" style="position:absolute;margin-left:0;margin-top:25.45pt;width:516.5pt;height:349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" fillcolor="#f2f2f2 [3052]" strokecolor="white [3212]">
                <v:textbox>
                  <w:txbxContent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8D69DF" w:rsidRDefault="00F92F9E" w:rsidP="00533D16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8D69DF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"https://stat.gov.pl/obszary-tematyczne/podmioty-gospodarcze-wyniki-finansowe/przedsiebiorstwa-finansowe/wyspecjalizowane-segmenty-rynku-finansowego-2020,18,6.html" \o "link do opracowania Wyspecjalizowane segmenty rynku finansowego 2020"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33D16" w:rsidRPr="008D69D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533D16" w:rsidRPr="00716AA6" w:rsidRDefault="00F92F9E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4712D" w:rsidRDefault="00E273E2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4" w:tooltip="link do pojęcia &quot;Firma windykacyjna&quot;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:rsidR="00533D16" w:rsidRPr="00533D16" w:rsidRDefault="00E273E2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tooltip="link do pojęcia &quot;Fundusz sekurytyzacyjny&quot;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3E" w:rsidRDefault="00943D3E" w:rsidP="000662E2">
      <w:pPr>
        <w:spacing w:after="0" w:line="240" w:lineRule="auto"/>
      </w:pPr>
      <w:r>
        <w:separator/>
      </w:r>
    </w:p>
  </w:endnote>
  <w:endnote w:type="continuationSeparator" w:id="0">
    <w:p w:rsidR="00943D3E" w:rsidRDefault="00943D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20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2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20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3E" w:rsidRDefault="00943D3E" w:rsidP="000662E2">
      <w:pPr>
        <w:spacing w:after="0" w:line="240" w:lineRule="auto"/>
      </w:pPr>
      <w:r>
        <w:separator/>
      </w:r>
    </w:p>
  </w:footnote>
  <w:footnote w:type="continuationSeparator" w:id="0">
    <w:p w:rsidR="00943D3E" w:rsidRDefault="00943D3E" w:rsidP="000662E2">
      <w:pPr>
        <w:spacing w:after="0" w:line="240" w:lineRule="auto"/>
      </w:pPr>
      <w:r>
        <w:continuationSeparator/>
      </w:r>
    </w:p>
  </w:footnote>
  <w:footnote w:id="1">
    <w:p w:rsidR="003A07B5" w:rsidRPr="0079533D" w:rsidRDefault="00F031C5" w:rsidP="00F031C5">
      <w:pPr>
        <w:pStyle w:val="Tekstprzypisudolnego"/>
        <w:rPr>
          <w:strike/>
          <w:sz w:val="19"/>
          <w:szCs w:val="19"/>
        </w:rPr>
      </w:pPr>
      <w:r w:rsidRPr="008D2DDF">
        <w:rPr>
          <w:rStyle w:val="Odwoanieprzypisudolnego"/>
          <w:sz w:val="16"/>
          <w:szCs w:val="16"/>
        </w:rPr>
        <w:footnoteRef/>
      </w:r>
      <w:r w:rsidRPr="008D2DDF">
        <w:rPr>
          <w:sz w:val="16"/>
          <w:szCs w:val="16"/>
        </w:rPr>
        <w:t xml:space="preserve"> </w:t>
      </w:r>
      <w:r w:rsidRPr="0079533D">
        <w:rPr>
          <w:sz w:val="19"/>
          <w:szCs w:val="19"/>
        </w:rPr>
        <w:t>Informację opracowano na podstawie prowadzonego od 2006 r. przez Główny Urząd Statystyczny badania działalności przedsiębiorstw finansowych, które od danych za 2017</w:t>
      </w:r>
      <w:r w:rsidR="00D4712D" w:rsidRPr="0079533D">
        <w:rPr>
          <w:sz w:val="19"/>
          <w:szCs w:val="19"/>
        </w:rPr>
        <w:t> </w:t>
      </w:r>
      <w:r w:rsidRPr="0079533D">
        <w:rPr>
          <w:sz w:val="19"/>
          <w:szCs w:val="19"/>
        </w:rPr>
        <w:t>r. zostało uzupełnione o badanie podmiotów prowadzących działalność windykacyjną w obszarze zarządzania wierzytelnościami.</w:t>
      </w:r>
      <w:r w:rsidR="00A84FC2" w:rsidRPr="0079533D">
        <w:rPr>
          <w:sz w:val="19"/>
          <w:szCs w:val="19"/>
        </w:rPr>
        <w:t xml:space="preserve"> </w:t>
      </w:r>
    </w:p>
  </w:footnote>
  <w:footnote w:id="2">
    <w:p w:rsidR="00E9314C" w:rsidRDefault="00E931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 w:rsidR="00EA6C8D">
        <w:rPr>
          <w:color w:val="000000"/>
          <w:sz w:val="19"/>
          <w:szCs w:val="19"/>
        </w:rPr>
        <w:t>windykacyjna</w:t>
      </w:r>
      <w:r w:rsidRPr="00BE1DE0">
        <w:rPr>
          <w:color w:val="000000"/>
          <w:sz w:val="19"/>
          <w:szCs w:val="19"/>
        </w:rPr>
        <w:t xml:space="preserve"> ma charakter jedyny lub dominujący oraz dla podmiotów, które jednocześnie prowadzą pełną rachunkowość. Wymóg prowadzanie przez badane przedsiębiorstwa pełnej rachunkowości wynika z koniczności operowania jednolitymi i porównywalnymi kategoriami rachunkowymi na potrzeby prowadzonych analiz.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D99278" wp14:editId="50D4E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16B5E1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AEC9F0" wp14:editId="5685B4FB">
              <wp:simplePos x="0" y="0"/>
              <wp:positionH relativeFrom="column">
                <wp:posOffset>5224780</wp:posOffset>
              </wp:positionH>
              <wp:positionV relativeFrom="paragraph">
                <wp:posOffset>441325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48D0557" id="Prostokąt 10" o:spid="_x0000_s1026" style="position:absolute;margin-left:411.4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F4THbkAAAADAEAAA8AAABkcnMvZG93bnJl&#10;di54bWxMj8FOwzAQRO9I/IO1SNyokyDcEuJUCIiExKW0RNCbGy9J1HgdYjcNfD3uCY6jGc28yZaT&#10;6diIg2stSYhnETCkyuqWaglvm+JqAcx5RVp1llDCNzpY5udnmUq1PdIrjmtfs1BCLlUSGu/7lHNX&#10;NWiUm9keKXifdjDKBznUXA/qGMpNx5MoEtyolsJCo3p8aLDarw9Ggt2OmxddFPuy/Hl8Xy2ePsqv&#10;7bOUlxfT/R0wj5P/C8MJP6BDHph29kDasU7CIkkCupcgbm+AnQJxPBfAdhKuxVwI4HnG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xeEx2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7CF53F" wp14:editId="6ED959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27CF53F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234EB852" wp14:editId="1E01D9C3">
          <wp:extent cx="1153274" cy="720000"/>
          <wp:effectExtent l="0" t="0" r="0" b="444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0BDB9E" wp14:editId="09F504B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ziesiąty sierpień dwa tysiące dwudziesty drugi rok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F136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9690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D96904"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0BDB9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— opis: Dziesiąty sierpień dwa tysiące dwudziesty drugi rok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" filled="f" stroked="f">
              <v:textbox>
                <w:txbxContent>
                  <w:p w:rsidR="00F37172" w:rsidRPr="00C97596" w:rsidRDefault="00F136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9690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D96904"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1901"/>
    <w:rsid w:val="00012E55"/>
    <w:rsid w:val="000152F5"/>
    <w:rsid w:val="0002037F"/>
    <w:rsid w:val="00026145"/>
    <w:rsid w:val="00026580"/>
    <w:rsid w:val="00031456"/>
    <w:rsid w:val="0004582E"/>
    <w:rsid w:val="000470AA"/>
    <w:rsid w:val="00051880"/>
    <w:rsid w:val="000547EB"/>
    <w:rsid w:val="000562B1"/>
    <w:rsid w:val="00057CA1"/>
    <w:rsid w:val="000648D5"/>
    <w:rsid w:val="000662E2"/>
    <w:rsid w:val="00066883"/>
    <w:rsid w:val="00071396"/>
    <w:rsid w:val="00071CD9"/>
    <w:rsid w:val="00074DD8"/>
    <w:rsid w:val="000806F7"/>
    <w:rsid w:val="00094732"/>
    <w:rsid w:val="00094E9C"/>
    <w:rsid w:val="00097840"/>
    <w:rsid w:val="000A2D45"/>
    <w:rsid w:val="000A3175"/>
    <w:rsid w:val="000A5750"/>
    <w:rsid w:val="000B0727"/>
    <w:rsid w:val="000B0D97"/>
    <w:rsid w:val="000B22A7"/>
    <w:rsid w:val="000B3242"/>
    <w:rsid w:val="000B62EA"/>
    <w:rsid w:val="000B7BAA"/>
    <w:rsid w:val="000C135D"/>
    <w:rsid w:val="000C24B1"/>
    <w:rsid w:val="000C5263"/>
    <w:rsid w:val="000D1D43"/>
    <w:rsid w:val="000D225C"/>
    <w:rsid w:val="000D2A5C"/>
    <w:rsid w:val="000D5064"/>
    <w:rsid w:val="000D6DD0"/>
    <w:rsid w:val="000D7DF5"/>
    <w:rsid w:val="000E0918"/>
    <w:rsid w:val="000E1C23"/>
    <w:rsid w:val="000E2394"/>
    <w:rsid w:val="000F2697"/>
    <w:rsid w:val="000F5666"/>
    <w:rsid w:val="001011C3"/>
    <w:rsid w:val="00102895"/>
    <w:rsid w:val="00106497"/>
    <w:rsid w:val="0010782C"/>
    <w:rsid w:val="00107ED1"/>
    <w:rsid w:val="00110D87"/>
    <w:rsid w:val="00110E07"/>
    <w:rsid w:val="001139A4"/>
    <w:rsid w:val="00114DB9"/>
    <w:rsid w:val="00116087"/>
    <w:rsid w:val="00121EEE"/>
    <w:rsid w:val="0012511A"/>
    <w:rsid w:val="00130296"/>
    <w:rsid w:val="00134A49"/>
    <w:rsid w:val="001375D8"/>
    <w:rsid w:val="001423B6"/>
    <w:rsid w:val="001438E6"/>
    <w:rsid w:val="001448A7"/>
    <w:rsid w:val="00146621"/>
    <w:rsid w:val="00151187"/>
    <w:rsid w:val="00151931"/>
    <w:rsid w:val="00152CC9"/>
    <w:rsid w:val="0015353F"/>
    <w:rsid w:val="00161BDB"/>
    <w:rsid w:val="00162325"/>
    <w:rsid w:val="00163E84"/>
    <w:rsid w:val="00164487"/>
    <w:rsid w:val="0017385D"/>
    <w:rsid w:val="00176646"/>
    <w:rsid w:val="00177132"/>
    <w:rsid w:val="001775AD"/>
    <w:rsid w:val="00180776"/>
    <w:rsid w:val="00191698"/>
    <w:rsid w:val="001951DA"/>
    <w:rsid w:val="001A20E3"/>
    <w:rsid w:val="001A4384"/>
    <w:rsid w:val="001A47D2"/>
    <w:rsid w:val="001A5779"/>
    <w:rsid w:val="001A6194"/>
    <w:rsid w:val="001B0AD9"/>
    <w:rsid w:val="001B30B7"/>
    <w:rsid w:val="001C13E8"/>
    <w:rsid w:val="001C3269"/>
    <w:rsid w:val="001D1DB4"/>
    <w:rsid w:val="001E157A"/>
    <w:rsid w:val="001E1D2B"/>
    <w:rsid w:val="001E6B9D"/>
    <w:rsid w:val="001E71AD"/>
    <w:rsid w:val="001E76DC"/>
    <w:rsid w:val="001F6B80"/>
    <w:rsid w:val="001F6E7A"/>
    <w:rsid w:val="0020405B"/>
    <w:rsid w:val="002067D4"/>
    <w:rsid w:val="002109B3"/>
    <w:rsid w:val="00221148"/>
    <w:rsid w:val="0022337F"/>
    <w:rsid w:val="002237ED"/>
    <w:rsid w:val="00235E14"/>
    <w:rsid w:val="002436F6"/>
    <w:rsid w:val="00246D19"/>
    <w:rsid w:val="00250CAA"/>
    <w:rsid w:val="002525C8"/>
    <w:rsid w:val="002574F9"/>
    <w:rsid w:val="00262674"/>
    <w:rsid w:val="00262B61"/>
    <w:rsid w:val="0026568C"/>
    <w:rsid w:val="00276811"/>
    <w:rsid w:val="00276A20"/>
    <w:rsid w:val="0027706C"/>
    <w:rsid w:val="00282699"/>
    <w:rsid w:val="0028368C"/>
    <w:rsid w:val="002904DD"/>
    <w:rsid w:val="00290956"/>
    <w:rsid w:val="002926DF"/>
    <w:rsid w:val="00296697"/>
    <w:rsid w:val="002969D1"/>
    <w:rsid w:val="002A64D9"/>
    <w:rsid w:val="002B0472"/>
    <w:rsid w:val="002B3793"/>
    <w:rsid w:val="002B4220"/>
    <w:rsid w:val="002B6B12"/>
    <w:rsid w:val="002C4D14"/>
    <w:rsid w:val="002D31C2"/>
    <w:rsid w:val="002D3C2B"/>
    <w:rsid w:val="002D4FD2"/>
    <w:rsid w:val="002D58AD"/>
    <w:rsid w:val="002E2221"/>
    <w:rsid w:val="002E2CA9"/>
    <w:rsid w:val="002E6140"/>
    <w:rsid w:val="002E6835"/>
    <w:rsid w:val="002E6985"/>
    <w:rsid w:val="002E71B6"/>
    <w:rsid w:val="002F37D0"/>
    <w:rsid w:val="002F77C8"/>
    <w:rsid w:val="00304F22"/>
    <w:rsid w:val="00306C7C"/>
    <w:rsid w:val="0031320B"/>
    <w:rsid w:val="003179D8"/>
    <w:rsid w:val="00322EDD"/>
    <w:rsid w:val="003319CC"/>
    <w:rsid w:val="00332320"/>
    <w:rsid w:val="0033368F"/>
    <w:rsid w:val="00335077"/>
    <w:rsid w:val="00336343"/>
    <w:rsid w:val="003366AB"/>
    <w:rsid w:val="00342338"/>
    <w:rsid w:val="0034664F"/>
    <w:rsid w:val="00347D72"/>
    <w:rsid w:val="00352688"/>
    <w:rsid w:val="003557DC"/>
    <w:rsid w:val="00357611"/>
    <w:rsid w:val="00361C72"/>
    <w:rsid w:val="00364845"/>
    <w:rsid w:val="00367237"/>
    <w:rsid w:val="0037077F"/>
    <w:rsid w:val="00370FFF"/>
    <w:rsid w:val="00371C76"/>
    <w:rsid w:val="00372411"/>
    <w:rsid w:val="00373882"/>
    <w:rsid w:val="0038200F"/>
    <w:rsid w:val="003843DB"/>
    <w:rsid w:val="00384A35"/>
    <w:rsid w:val="00393761"/>
    <w:rsid w:val="00397112"/>
    <w:rsid w:val="00397D18"/>
    <w:rsid w:val="003A07B5"/>
    <w:rsid w:val="003A1B36"/>
    <w:rsid w:val="003A2729"/>
    <w:rsid w:val="003A3845"/>
    <w:rsid w:val="003B1454"/>
    <w:rsid w:val="003B18B6"/>
    <w:rsid w:val="003B30E0"/>
    <w:rsid w:val="003B78B9"/>
    <w:rsid w:val="003C59E0"/>
    <w:rsid w:val="003C6C8D"/>
    <w:rsid w:val="003D2C82"/>
    <w:rsid w:val="003D4F95"/>
    <w:rsid w:val="003D5F42"/>
    <w:rsid w:val="003D60A9"/>
    <w:rsid w:val="003D7CE1"/>
    <w:rsid w:val="003E258D"/>
    <w:rsid w:val="003E3B17"/>
    <w:rsid w:val="003F4247"/>
    <w:rsid w:val="003F4C97"/>
    <w:rsid w:val="003F7FE6"/>
    <w:rsid w:val="004000BE"/>
    <w:rsid w:val="00400193"/>
    <w:rsid w:val="00403771"/>
    <w:rsid w:val="0040743D"/>
    <w:rsid w:val="00410B36"/>
    <w:rsid w:val="00421281"/>
    <w:rsid w:val="004212E7"/>
    <w:rsid w:val="004216E9"/>
    <w:rsid w:val="00421F8A"/>
    <w:rsid w:val="00423C8B"/>
    <w:rsid w:val="0042446D"/>
    <w:rsid w:val="00424CE0"/>
    <w:rsid w:val="004266DF"/>
    <w:rsid w:val="00427BF8"/>
    <w:rsid w:val="00431C02"/>
    <w:rsid w:val="00433206"/>
    <w:rsid w:val="00437395"/>
    <w:rsid w:val="00437FC2"/>
    <w:rsid w:val="00444EEC"/>
    <w:rsid w:val="00445047"/>
    <w:rsid w:val="00445C91"/>
    <w:rsid w:val="00452F04"/>
    <w:rsid w:val="00455CE3"/>
    <w:rsid w:val="00457A2D"/>
    <w:rsid w:val="00463E39"/>
    <w:rsid w:val="004657FC"/>
    <w:rsid w:val="00471212"/>
    <w:rsid w:val="0047302F"/>
    <w:rsid w:val="004733F6"/>
    <w:rsid w:val="00474E69"/>
    <w:rsid w:val="00476DF4"/>
    <w:rsid w:val="004859A5"/>
    <w:rsid w:val="00487452"/>
    <w:rsid w:val="004915F2"/>
    <w:rsid w:val="00494837"/>
    <w:rsid w:val="00495A07"/>
    <w:rsid w:val="00495FFD"/>
    <w:rsid w:val="0049621B"/>
    <w:rsid w:val="004A1B69"/>
    <w:rsid w:val="004A406B"/>
    <w:rsid w:val="004A5385"/>
    <w:rsid w:val="004B0E6F"/>
    <w:rsid w:val="004B6F25"/>
    <w:rsid w:val="004C1895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3FC"/>
    <w:rsid w:val="004F6DB9"/>
    <w:rsid w:val="0050276D"/>
    <w:rsid w:val="00505A92"/>
    <w:rsid w:val="005116F3"/>
    <w:rsid w:val="00512C5A"/>
    <w:rsid w:val="005145C2"/>
    <w:rsid w:val="005146C8"/>
    <w:rsid w:val="005203F1"/>
    <w:rsid w:val="00521499"/>
    <w:rsid w:val="00521BC3"/>
    <w:rsid w:val="00523B59"/>
    <w:rsid w:val="005268D7"/>
    <w:rsid w:val="005314BC"/>
    <w:rsid w:val="00533632"/>
    <w:rsid w:val="00533D16"/>
    <w:rsid w:val="0054091B"/>
    <w:rsid w:val="00541E6E"/>
    <w:rsid w:val="0054251F"/>
    <w:rsid w:val="00544783"/>
    <w:rsid w:val="00550896"/>
    <w:rsid w:val="00550D02"/>
    <w:rsid w:val="005520D8"/>
    <w:rsid w:val="00554EDB"/>
    <w:rsid w:val="00556CF1"/>
    <w:rsid w:val="00561A13"/>
    <w:rsid w:val="00565C08"/>
    <w:rsid w:val="00572B9B"/>
    <w:rsid w:val="005762A7"/>
    <w:rsid w:val="00577622"/>
    <w:rsid w:val="00581A23"/>
    <w:rsid w:val="00585D56"/>
    <w:rsid w:val="005916D7"/>
    <w:rsid w:val="005A3B2F"/>
    <w:rsid w:val="005A4279"/>
    <w:rsid w:val="005A698C"/>
    <w:rsid w:val="005A7E7B"/>
    <w:rsid w:val="005A7F3E"/>
    <w:rsid w:val="005B0777"/>
    <w:rsid w:val="005C32BA"/>
    <w:rsid w:val="005C7340"/>
    <w:rsid w:val="005D5F20"/>
    <w:rsid w:val="005E0336"/>
    <w:rsid w:val="005E0799"/>
    <w:rsid w:val="005E26DC"/>
    <w:rsid w:val="005E3021"/>
    <w:rsid w:val="005E7160"/>
    <w:rsid w:val="005F1AC6"/>
    <w:rsid w:val="005F5A80"/>
    <w:rsid w:val="00600241"/>
    <w:rsid w:val="006044FF"/>
    <w:rsid w:val="00607752"/>
    <w:rsid w:val="00607C2E"/>
    <w:rsid w:val="00607CC5"/>
    <w:rsid w:val="00607E4A"/>
    <w:rsid w:val="00611F7B"/>
    <w:rsid w:val="00633014"/>
    <w:rsid w:val="0063437B"/>
    <w:rsid w:val="0064319F"/>
    <w:rsid w:val="0064340C"/>
    <w:rsid w:val="006451F0"/>
    <w:rsid w:val="006673CA"/>
    <w:rsid w:val="0066785E"/>
    <w:rsid w:val="00673C26"/>
    <w:rsid w:val="006812AF"/>
    <w:rsid w:val="0068327D"/>
    <w:rsid w:val="006853D7"/>
    <w:rsid w:val="00691D21"/>
    <w:rsid w:val="00694AF0"/>
    <w:rsid w:val="00694C92"/>
    <w:rsid w:val="006A2320"/>
    <w:rsid w:val="006A4686"/>
    <w:rsid w:val="006B0E9E"/>
    <w:rsid w:val="006B4C3D"/>
    <w:rsid w:val="006B5AE4"/>
    <w:rsid w:val="006C0B97"/>
    <w:rsid w:val="006D0C4E"/>
    <w:rsid w:val="006D1507"/>
    <w:rsid w:val="006D2A4F"/>
    <w:rsid w:val="006D397C"/>
    <w:rsid w:val="006D4054"/>
    <w:rsid w:val="006D71AC"/>
    <w:rsid w:val="006E02EC"/>
    <w:rsid w:val="006E14CE"/>
    <w:rsid w:val="006E3663"/>
    <w:rsid w:val="006E40B7"/>
    <w:rsid w:val="006E53FD"/>
    <w:rsid w:val="006F1BE1"/>
    <w:rsid w:val="006F2688"/>
    <w:rsid w:val="006F357F"/>
    <w:rsid w:val="00701272"/>
    <w:rsid w:val="00702996"/>
    <w:rsid w:val="00703B11"/>
    <w:rsid w:val="00716AA6"/>
    <w:rsid w:val="007211B1"/>
    <w:rsid w:val="00725D9E"/>
    <w:rsid w:val="0073697F"/>
    <w:rsid w:val="00746187"/>
    <w:rsid w:val="0074712D"/>
    <w:rsid w:val="00747B8F"/>
    <w:rsid w:val="00750AB7"/>
    <w:rsid w:val="0075252C"/>
    <w:rsid w:val="0075465C"/>
    <w:rsid w:val="00754E1B"/>
    <w:rsid w:val="00760117"/>
    <w:rsid w:val="00760FDA"/>
    <w:rsid w:val="0076254F"/>
    <w:rsid w:val="00762B7E"/>
    <w:rsid w:val="007666E8"/>
    <w:rsid w:val="007676FF"/>
    <w:rsid w:val="007744B4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9533D"/>
    <w:rsid w:val="007A05C7"/>
    <w:rsid w:val="007A2DC1"/>
    <w:rsid w:val="007B36DF"/>
    <w:rsid w:val="007B7A34"/>
    <w:rsid w:val="007D3319"/>
    <w:rsid w:val="007D335D"/>
    <w:rsid w:val="007D4D08"/>
    <w:rsid w:val="007E3178"/>
    <w:rsid w:val="007E3314"/>
    <w:rsid w:val="007E4B03"/>
    <w:rsid w:val="007E5CD1"/>
    <w:rsid w:val="007E7680"/>
    <w:rsid w:val="007F17E0"/>
    <w:rsid w:val="007F324B"/>
    <w:rsid w:val="0080553C"/>
    <w:rsid w:val="00805B46"/>
    <w:rsid w:val="0080787C"/>
    <w:rsid w:val="008153B7"/>
    <w:rsid w:val="00815468"/>
    <w:rsid w:val="00815698"/>
    <w:rsid w:val="00815F1C"/>
    <w:rsid w:val="00825DC2"/>
    <w:rsid w:val="00834AD3"/>
    <w:rsid w:val="008350E6"/>
    <w:rsid w:val="00840265"/>
    <w:rsid w:val="00841930"/>
    <w:rsid w:val="008429C7"/>
    <w:rsid w:val="00843416"/>
    <w:rsid w:val="00843795"/>
    <w:rsid w:val="00844E28"/>
    <w:rsid w:val="008475E8"/>
    <w:rsid w:val="008478F7"/>
    <w:rsid w:val="00847F0F"/>
    <w:rsid w:val="00852448"/>
    <w:rsid w:val="008532F0"/>
    <w:rsid w:val="00860629"/>
    <w:rsid w:val="008632F6"/>
    <w:rsid w:val="00866927"/>
    <w:rsid w:val="00877F39"/>
    <w:rsid w:val="00877FBB"/>
    <w:rsid w:val="00880C9B"/>
    <w:rsid w:val="0088258A"/>
    <w:rsid w:val="008844BC"/>
    <w:rsid w:val="00886332"/>
    <w:rsid w:val="00887DAD"/>
    <w:rsid w:val="008913BD"/>
    <w:rsid w:val="00895D3F"/>
    <w:rsid w:val="008A26D9"/>
    <w:rsid w:val="008B0F30"/>
    <w:rsid w:val="008B1059"/>
    <w:rsid w:val="008B13C8"/>
    <w:rsid w:val="008B5365"/>
    <w:rsid w:val="008C0C29"/>
    <w:rsid w:val="008C23C9"/>
    <w:rsid w:val="008C4A3E"/>
    <w:rsid w:val="008C538D"/>
    <w:rsid w:val="008C6442"/>
    <w:rsid w:val="008D146E"/>
    <w:rsid w:val="008D2DDF"/>
    <w:rsid w:val="008D69DF"/>
    <w:rsid w:val="008E0093"/>
    <w:rsid w:val="008E569C"/>
    <w:rsid w:val="008F24BB"/>
    <w:rsid w:val="008F3638"/>
    <w:rsid w:val="008F4441"/>
    <w:rsid w:val="008F6F31"/>
    <w:rsid w:val="008F74DF"/>
    <w:rsid w:val="008F7953"/>
    <w:rsid w:val="008F7BBB"/>
    <w:rsid w:val="009010C5"/>
    <w:rsid w:val="00901D84"/>
    <w:rsid w:val="009115C5"/>
    <w:rsid w:val="009127BA"/>
    <w:rsid w:val="00917283"/>
    <w:rsid w:val="009227A6"/>
    <w:rsid w:val="00922F4B"/>
    <w:rsid w:val="00924B8E"/>
    <w:rsid w:val="00933EC1"/>
    <w:rsid w:val="00934D18"/>
    <w:rsid w:val="0094071E"/>
    <w:rsid w:val="00943D3E"/>
    <w:rsid w:val="00944AD3"/>
    <w:rsid w:val="009468CE"/>
    <w:rsid w:val="009518B0"/>
    <w:rsid w:val="00951AA3"/>
    <w:rsid w:val="009530DB"/>
    <w:rsid w:val="00953676"/>
    <w:rsid w:val="0096287F"/>
    <w:rsid w:val="00964019"/>
    <w:rsid w:val="009649C6"/>
    <w:rsid w:val="009676CC"/>
    <w:rsid w:val="009700B8"/>
    <w:rsid w:val="009705EE"/>
    <w:rsid w:val="0097644E"/>
    <w:rsid w:val="00976452"/>
    <w:rsid w:val="00976AAC"/>
    <w:rsid w:val="00977927"/>
    <w:rsid w:val="0098135C"/>
    <w:rsid w:val="0098156A"/>
    <w:rsid w:val="00985843"/>
    <w:rsid w:val="00987BB8"/>
    <w:rsid w:val="00991BAC"/>
    <w:rsid w:val="00993142"/>
    <w:rsid w:val="009A475F"/>
    <w:rsid w:val="009A6EA0"/>
    <w:rsid w:val="009B150B"/>
    <w:rsid w:val="009C1335"/>
    <w:rsid w:val="009C1AB2"/>
    <w:rsid w:val="009C7251"/>
    <w:rsid w:val="009D0F38"/>
    <w:rsid w:val="009D1FDC"/>
    <w:rsid w:val="009D3905"/>
    <w:rsid w:val="009D3F36"/>
    <w:rsid w:val="009D72CB"/>
    <w:rsid w:val="009D7893"/>
    <w:rsid w:val="009E2E91"/>
    <w:rsid w:val="009E7C3E"/>
    <w:rsid w:val="009F2C82"/>
    <w:rsid w:val="009F444C"/>
    <w:rsid w:val="00A106B5"/>
    <w:rsid w:val="00A139F5"/>
    <w:rsid w:val="00A13DCB"/>
    <w:rsid w:val="00A14AD0"/>
    <w:rsid w:val="00A15438"/>
    <w:rsid w:val="00A15C18"/>
    <w:rsid w:val="00A16A2F"/>
    <w:rsid w:val="00A213B2"/>
    <w:rsid w:val="00A241A5"/>
    <w:rsid w:val="00A35823"/>
    <w:rsid w:val="00A365F4"/>
    <w:rsid w:val="00A3695E"/>
    <w:rsid w:val="00A37E74"/>
    <w:rsid w:val="00A40502"/>
    <w:rsid w:val="00A4212B"/>
    <w:rsid w:val="00A42EA2"/>
    <w:rsid w:val="00A43010"/>
    <w:rsid w:val="00A431FC"/>
    <w:rsid w:val="00A44794"/>
    <w:rsid w:val="00A47D80"/>
    <w:rsid w:val="00A50610"/>
    <w:rsid w:val="00A53132"/>
    <w:rsid w:val="00A563F2"/>
    <w:rsid w:val="00A566E8"/>
    <w:rsid w:val="00A716B5"/>
    <w:rsid w:val="00A73B98"/>
    <w:rsid w:val="00A7456B"/>
    <w:rsid w:val="00A7565F"/>
    <w:rsid w:val="00A7788E"/>
    <w:rsid w:val="00A810F9"/>
    <w:rsid w:val="00A817F9"/>
    <w:rsid w:val="00A8362C"/>
    <w:rsid w:val="00A83F0E"/>
    <w:rsid w:val="00A83F3D"/>
    <w:rsid w:val="00A84FC2"/>
    <w:rsid w:val="00A86ECC"/>
    <w:rsid w:val="00A86FCC"/>
    <w:rsid w:val="00A94FB5"/>
    <w:rsid w:val="00AA007F"/>
    <w:rsid w:val="00AA0970"/>
    <w:rsid w:val="00AA5B3E"/>
    <w:rsid w:val="00AA710D"/>
    <w:rsid w:val="00AB055A"/>
    <w:rsid w:val="00AB2965"/>
    <w:rsid w:val="00AB4792"/>
    <w:rsid w:val="00AB5240"/>
    <w:rsid w:val="00AB6D25"/>
    <w:rsid w:val="00AC073A"/>
    <w:rsid w:val="00AC59EB"/>
    <w:rsid w:val="00AC5AD6"/>
    <w:rsid w:val="00AE22D6"/>
    <w:rsid w:val="00AE2D4B"/>
    <w:rsid w:val="00AE4D56"/>
    <w:rsid w:val="00AE4F99"/>
    <w:rsid w:val="00AF2257"/>
    <w:rsid w:val="00B01EFB"/>
    <w:rsid w:val="00B1150E"/>
    <w:rsid w:val="00B11B69"/>
    <w:rsid w:val="00B1272B"/>
    <w:rsid w:val="00B1371A"/>
    <w:rsid w:val="00B14952"/>
    <w:rsid w:val="00B171B6"/>
    <w:rsid w:val="00B2196A"/>
    <w:rsid w:val="00B2531E"/>
    <w:rsid w:val="00B31E5A"/>
    <w:rsid w:val="00B33731"/>
    <w:rsid w:val="00B366A1"/>
    <w:rsid w:val="00B40557"/>
    <w:rsid w:val="00B43822"/>
    <w:rsid w:val="00B438D1"/>
    <w:rsid w:val="00B46780"/>
    <w:rsid w:val="00B538CD"/>
    <w:rsid w:val="00B54232"/>
    <w:rsid w:val="00B57E4A"/>
    <w:rsid w:val="00B636CE"/>
    <w:rsid w:val="00B653AB"/>
    <w:rsid w:val="00B657E7"/>
    <w:rsid w:val="00B65F9E"/>
    <w:rsid w:val="00B66B19"/>
    <w:rsid w:val="00B7715E"/>
    <w:rsid w:val="00B87149"/>
    <w:rsid w:val="00B914E9"/>
    <w:rsid w:val="00B956EE"/>
    <w:rsid w:val="00B96ECF"/>
    <w:rsid w:val="00BA26F0"/>
    <w:rsid w:val="00BA2BA1"/>
    <w:rsid w:val="00BA3562"/>
    <w:rsid w:val="00BB0058"/>
    <w:rsid w:val="00BB23D3"/>
    <w:rsid w:val="00BB302F"/>
    <w:rsid w:val="00BB42BE"/>
    <w:rsid w:val="00BB4F09"/>
    <w:rsid w:val="00BC2A0C"/>
    <w:rsid w:val="00BC419E"/>
    <w:rsid w:val="00BD1388"/>
    <w:rsid w:val="00BD4B69"/>
    <w:rsid w:val="00BD4E33"/>
    <w:rsid w:val="00BE398D"/>
    <w:rsid w:val="00BE76DE"/>
    <w:rsid w:val="00BF0A74"/>
    <w:rsid w:val="00BF6471"/>
    <w:rsid w:val="00BF785F"/>
    <w:rsid w:val="00C030DE"/>
    <w:rsid w:val="00C128B8"/>
    <w:rsid w:val="00C137D8"/>
    <w:rsid w:val="00C147FB"/>
    <w:rsid w:val="00C22105"/>
    <w:rsid w:val="00C232D9"/>
    <w:rsid w:val="00C244B6"/>
    <w:rsid w:val="00C2547E"/>
    <w:rsid w:val="00C33468"/>
    <w:rsid w:val="00C34869"/>
    <w:rsid w:val="00C3702F"/>
    <w:rsid w:val="00C44FFE"/>
    <w:rsid w:val="00C4500A"/>
    <w:rsid w:val="00C6294C"/>
    <w:rsid w:val="00C64A37"/>
    <w:rsid w:val="00C7158E"/>
    <w:rsid w:val="00C7250B"/>
    <w:rsid w:val="00C7346B"/>
    <w:rsid w:val="00C7465E"/>
    <w:rsid w:val="00C777EC"/>
    <w:rsid w:val="00C77C0E"/>
    <w:rsid w:val="00C91687"/>
    <w:rsid w:val="00C924A8"/>
    <w:rsid w:val="00C926AA"/>
    <w:rsid w:val="00C93748"/>
    <w:rsid w:val="00C945FE"/>
    <w:rsid w:val="00C9511E"/>
    <w:rsid w:val="00C96FAA"/>
    <w:rsid w:val="00C97A04"/>
    <w:rsid w:val="00CA107B"/>
    <w:rsid w:val="00CA1388"/>
    <w:rsid w:val="00CA1409"/>
    <w:rsid w:val="00CA4775"/>
    <w:rsid w:val="00CA484D"/>
    <w:rsid w:val="00CA4FB6"/>
    <w:rsid w:val="00CB3AD2"/>
    <w:rsid w:val="00CB3F4D"/>
    <w:rsid w:val="00CB7693"/>
    <w:rsid w:val="00CC739E"/>
    <w:rsid w:val="00CD58B7"/>
    <w:rsid w:val="00CF3A77"/>
    <w:rsid w:val="00CF4099"/>
    <w:rsid w:val="00D00796"/>
    <w:rsid w:val="00D03A73"/>
    <w:rsid w:val="00D07F7D"/>
    <w:rsid w:val="00D131CA"/>
    <w:rsid w:val="00D23EE2"/>
    <w:rsid w:val="00D24061"/>
    <w:rsid w:val="00D261A2"/>
    <w:rsid w:val="00D37A29"/>
    <w:rsid w:val="00D4712D"/>
    <w:rsid w:val="00D56188"/>
    <w:rsid w:val="00D616D2"/>
    <w:rsid w:val="00D63B5F"/>
    <w:rsid w:val="00D64BDB"/>
    <w:rsid w:val="00D70EF7"/>
    <w:rsid w:val="00D70F61"/>
    <w:rsid w:val="00D8397C"/>
    <w:rsid w:val="00D84611"/>
    <w:rsid w:val="00D85690"/>
    <w:rsid w:val="00D87BB8"/>
    <w:rsid w:val="00D910DC"/>
    <w:rsid w:val="00D92D05"/>
    <w:rsid w:val="00D943BA"/>
    <w:rsid w:val="00D94BE4"/>
    <w:rsid w:val="00D94EED"/>
    <w:rsid w:val="00D96026"/>
    <w:rsid w:val="00D96904"/>
    <w:rsid w:val="00DA0D2D"/>
    <w:rsid w:val="00DA0D75"/>
    <w:rsid w:val="00DA7518"/>
    <w:rsid w:val="00DA7C1C"/>
    <w:rsid w:val="00DB09B4"/>
    <w:rsid w:val="00DB147A"/>
    <w:rsid w:val="00DB1B7A"/>
    <w:rsid w:val="00DB2943"/>
    <w:rsid w:val="00DB3D3B"/>
    <w:rsid w:val="00DB6A53"/>
    <w:rsid w:val="00DC177F"/>
    <w:rsid w:val="00DC1AF2"/>
    <w:rsid w:val="00DC4276"/>
    <w:rsid w:val="00DC5A7D"/>
    <w:rsid w:val="00DC6401"/>
    <w:rsid w:val="00DC64A0"/>
    <w:rsid w:val="00DC6708"/>
    <w:rsid w:val="00DD335F"/>
    <w:rsid w:val="00DD6B19"/>
    <w:rsid w:val="00DF10F8"/>
    <w:rsid w:val="00E01436"/>
    <w:rsid w:val="00E03CD5"/>
    <w:rsid w:val="00E045BD"/>
    <w:rsid w:val="00E04779"/>
    <w:rsid w:val="00E078AA"/>
    <w:rsid w:val="00E15E4E"/>
    <w:rsid w:val="00E17B77"/>
    <w:rsid w:val="00E214FE"/>
    <w:rsid w:val="00E23337"/>
    <w:rsid w:val="00E259EA"/>
    <w:rsid w:val="00E273E2"/>
    <w:rsid w:val="00E32061"/>
    <w:rsid w:val="00E350C0"/>
    <w:rsid w:val="00E42FF9"/>
    <w:rsid w:val="00E46244"/>
    <w:rsid w:val="00E4714C"/>
    <w:rsid w:val="00E51AEB"/>
    <w:rsid w:val="00E522A7"/>
    <w:rsid w:val="00E54452"/>
    <w:rsid w:val="00E664C5"/>
    <w:rsid w:val="00E671A2"/>
    <w:rsid w:val="00E70C6A"/>
    <w:rsid w:val="00E76D26"/>
    <w:rsid w:val="00E80B71"/>
    <w:rsid w:val="00E86215"/>
    <w:rsid w:val="00E91DB9"/>
    <w:rsid w:val="00E9314C"/>
    <w:rsid w:val="00E948E9"/>
    <w:rsid w:val="00E94AE8"/>
    <w:rsid w:val="00E96A87"/>
    <w:rsid w:val="00EA151A"/>
    <w:rsid w:val="00EA3BBF"/>
    <w:rsid w:val="00EA6C8D"/>
    <w:rsid w:val="00EB1390"/>
    <w:rsid w:val="00EB2C71"/>
    <w:rsid w:val="00EB3439"/>
    <w:rsid w:val="00EB4340"/>
    <w:rsid w:val="00EB556D"/>
    <w:rsid w:val="00EB5A7D"/>
    <w:rsid w:val="00EC0634"/>
    <w:rsid w:val="00EC2CF7"/>
    <w:rsid w:val="00ED1618"/>
    <w:rsid w:val="00ED55C0"/>
    <w:rsid w:val="00ED62C1"/>
    <w:rsid w:val="00ED682B"/>
    <w:rsid w:val="00ED695A"/>
    <w:rsid w:val="00EE2ADD"/>
    <w:rsid w:val="00EE41D5"/>
    <w:rsid w:val="00EE464B"/>
    <w:rsid w:val="00EF3E46"/>
    <w:rsid w:val="00F010D6"/>
    <w:rsid w:val="00F02D8A"/>
    <w:rsid w:val="00F031C5"/>
    <w:rsid w:val="00F037A4"/>
    <w:rsid w:val="00F1055E"/>
    <w:rsid w:val="00F107B6"/>
    <w:rsid w:val="00F119C4"/>
    <w:rsid w:val="00F13632"/>
    <w:rsid w:val="00F2396A"/>
    <w:rsid w:val="00F27C8F"/>
    <w:rsid w:val="00F32565"/>
    <w:rsid w:val="00F32749"/>
    <w:rsid w:val="00F33E8E"/>
    <w:rsid w:val="00F368EA"/>
    <w:rsid w:val="00F37172"/>
    <w:rsid w:val="00F4477E"/>
    <w:rsid w:val="00F47625"/>
    <w:rsid w:val="00F512E0"/>
    <w:rsid w:val="00F531C4"/>
    <w:rsid w:val="00F67D8F"/>
    <w:rsid w:val="00F802BE"/>
    <w:rsid w:val="00F80C4E"/>
    <w:rsid w:val="00F80E93"/>
    <w:rsid w:val="00F81708"/>
    <w:rsid w:val="00F84C6C"/>
    <w:rsid w:val="00F86024"/>
    <w:rsid w:val="00F8611A"/>
    <w:rsid w:val="00F915F2"/>
    <w:rsid w:val="00F91AD7"/>
    <w:rsid w:val="00F92F9E"/>
    <w:rsid w:val="00F949A8"/>
    <w:rsid w:val="00FA1567"/>
    <w:rsid w:val="00FA16E5"/>
    <w:rsid w:val="00FA3A20"/>
    <w:rsid w:val="00FA4813"/>
    <w:rsid w:val="00FA5128"/>
    <w:rsid w:val="00FB151A"/>
    <w:rsid w:val="00FB42D4"/>
    <w:rsid w:val="00FB53A9"/>
    <w:rsid w:val="00FB5906"/>
    <w:rsid w:val="00FB762F"/>
    <w:rsid w:val="00FC0058"/>
    <w:rsid w:val="00FC1DB2"/>
    <w:rsid w:val="00FC2AED"/>
    <w:rsid w:val="00FC2B57"/>
    <w:rsid w:val="00FD4329"/>
    <w:rsid w:val="00FD5EA7"/>
    <w:rsid w:val="00FF152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9690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9690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9690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9690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96904"/>
    <w:rPr>
      <w:rFonts w:ascii="Fira Sans" w:hAnsi="Fira Sans"/>
      <w:color w:val="FFFFFF" w:themeColor="background1"/>
      <w:sz w:val="20"/>
    </w:rPr>
  </w:style>
  <w:style w:type="table" w:customStyle="1" w:styleId="Siatkatabelijasna11">
    <w:name w:val="Siatka tabeli — jasna11"/>
    <w:basedOn w:val="Standardowy"/>
    <w:uiPriority w:val="40"/>
    <w:rsid w:val="00444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15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10,pojecie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532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3310,pojecie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B52890-5083-4695-A5DC-7C716ABF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windykacyjnych w 2021 r</dc:title>
  <dc:creator>GUS</dc:creator>
  <cp:lastModifiedBy>Putkowska Beata</cp:lastModifiedBy>
  <cp:revision>3</cp:revision>
  <cp:lastPrinted>2019-06-27T09:34:00Z</cp:lastPrinted>
  <dcterms:created xsi:type="dcterms:W3CDTF">2022-08-01T14:07:00Z</dcterms:created>
  <dcterms:modified xsi:type="dcterms:W3CDTF">2022-08-10T06:15:00Z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