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A7" w:rsidRPr="009B2A4A" w:rsidRDefault="005D51A7" w:rsidP="005D51A7">
      <w:pPr>
        <w:pStyle w:val="Tytuinfomacjisygnalnej"/>
        <w:rPr>
          <w:lang w:val="en-GB"/>
        </w:rPr>
      </w:pPr>
      <w:r w:rsidRPr="00987586">
        <w:t>Działalność przedsię</w:t>
      </w:r>
      <w:r>
        <w:t xml:space="preserve">biorstw leasingowych w 2021 </w:t>
      </w:r>
      <w:r w:rsidRPr="00987586">
        <w:t>r</w:t>
      </w:r>
      <w:r w:rsidRPr="009B2A4A">
        <w:rPr>
          <w:sz w:val="32"/>
          <w:lang w:val="en-GB"/>
        </w:rPr>
        <w:tab/>
      </w:r>
      <w:r w:rsidR="001F472A">
        <w:rPr>
          <w:sz w:val="32"/>
          <w:lang w:val="en-GB"/>
        </w:rPr>
        <w:t>.</w:t>
      </w:r>
    </w:p>
    <w:p w:rsidR="005D51A7" w:rsidRDefault="005D51A7" w:rsidP="005D51A7">
      <w:pPr>
        <w:pStyle w:val="Lead"/>
        <w:rPr>
          <w:lang w:val="en-GB"/>
        </w:rPr>
      </w:pPr>
      <w:r w:rsidRPr="00885F6B">
        <w:rPr>
          <w:color w:val="001D77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203D7ECD" wp14:editId="723648B9">
                <wp:simplePos x="0" y="0"/>
                <wp:positionH relativeFrom="margin">
                  <wp:posOffset>-12065</wp:posOffset>
                </wp:positionH>
                <wp:positionV relativeFrom="paragraph">
                  <wp:posOffset>12065</wp:posOffset>
                </wp:positionV>
                <wp:extent cx="2204085" cy="1154430"/>
                <wp:effectExtent l="0" t="0" r="5715" b="7620"/>
                <wp:wrapSquare wrapText="bothSides"/>
                <wp:docPr id="39" name="Pole tekstowe 2" descr="wzrost liczby wyleasingowanych środków/przedmiotów o 19,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1A7" w:rsidRPr="009B2A4A" w:rsidRDefault="005D51A7" w:rsidP="005D51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DD5287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19</w:t>
                            </w:r>
                            <w:r w:rsidRPr="009B2A4A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,</w:t>
                            </w:r>
                            <w:r w:rsidR="00DD5287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:rsidR="005D51A7" w:rsidRPr="005E080D" w:rsidRDefault="005D370A" w:rsidP="005D51A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5D51A7" w:rsidRPr="005E080D">
                              <w:rPr>
                                <w:sz w:val="20"/>
                              </w:rPr>
                              <w:t xml:space="preserve"> </w:t>
                            </w:r>
                            <w:r w:rsidR="00DD5287">
                              <w:rPr>
                                <w:sz w:val="20"/>
                              </w:rPr>
                              <w:t xml:space="preserve">liczby wyleasingowanych </w:t>
                            </w:r>
                            <w:r w:rsidR="005D51A7" w:rsidRPr="005E080D">
                              <w:rPr>
                                <w:sz w:val="20"/>
                              </w:rPr>
                              <w:t xml:space="preserve"> </w:t>
                            </w:r>
                            <w:r w:rsidR="00DD5287">
                              <w:rPr>
                                <w:sz w:val="20"/>
                              </w:rPr>
                              <w:t xml:space="preserve">środków/przedmiotów </w:t>
                            </w:r>
                          </w:p>
                          <w:p w:rsidR="005D51A7" w:rsidRPr="007D605C" w:rsidRDefault="005D51A7" w:rsidP="005D51A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5D51A7" w:rsidRPr="007D605C" w:rsidRDefault="005D51A7" w:rsidP="005D51A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D7ECD" id="Pole tekstowe 2" o:spid="_x0000_s1026" alt="wzrost liczby wyleasingowanych środków/przedmiotów o 19,5%" style="position:absolute;margin-left:-.95pt;margin-top:.95pt;width:173.55pt;height:90.9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" fillcolor="#001d77" stroked="f">
                <v:stroke joinstyle="miter"/>
                <v:textbox>
                  <w:txbxContent>
                    <w:p w:rsidR="005D51A7" w:rsidRPr="009B2A4A" w:rsidRDefault="005D51A7" w:rsidP="005D51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DD5287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19</w:t>
                      </w:r>
                      <w:r w:rsidRPr="009B2A4A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,</w:t>
                      </w:r>
                      <w:r w:rsidR="00DD5287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:rsidR="005D51A7" w:rsidRPr="005E080D" w:rsidRDefault="005D370A" w:rsidP="005D51A7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5D51A7" w:rsidRPr="005E080D">
                        <w:rPr>
                          <w:sz w:val="20"/>
                        </w:rPr>
                        <w:t xml:space="preserve"> </w:t>
                      </w:r>
                      <w:r w:rsidR="00DD5287">
                        <w:rPr>
                          <w:sz w:val="20"/>
                        </w:rPr>
                        <w:t xml:space="preserve">liczby wyleasingowanych </w:t>
                      </w:r>
                      <w:r w:rsidR="005D51A7" w:rsidRPr="005E080D">
                        <w:rPr>
                          <w:sz w:val="20"/>
                        </w:rPr>
                        <w:t xml:space="preserve"> </w:t>
                      </w:r>
                      <w:r w:rsidR="00DD5287">
                        <w:rPr>
                          <w:sz w:val="20"/>
                        </w:rPr>
                        <w:t xml:space="preserve">środków/przedmiotów </w:t>
                      </w:r>
                    </w:p>
                    <w:p w:rsidR="005D51A7" w:rsidRPr="007D605C" w:rsidRDefault="005D51A7" w:rsidP="005D51A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:rsidR="005D51A7" w:rsidRPr="007D605C" w:rsidRDefault="005D51A7" w:rsidP="005D51A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885F6B">
        <w:t xml:space="preserve">Badaniem objętych zostało 85 przedsiębiorstw prowadzących w 2021 r. działalność leasingową. Przedsiębiorstwa te w ciągu całego 2021 r. zawarły 659 tys. nowych umów leasingu na 782 tys. środków/przedmiotów o łącznej wartości </w:t>
      </w:r>
      <w:r w:rsidRPr="00885F6B">
        <w:rPr>
          <w:bCs/>
        </w:rPr>
        <w:t>71,7 mld zł</w:t>
      </w:r>
      <w:r w:rsidRPr="009B2A4A">
        <w:rPr>
          <w:lang w:val="en-GB"/>
        </w:rPr>
        <w:t>.</w:t>
      </w:r>
    </w:p>
    <w:p w:rsidR="00C22105" w:rsidRPr="00783C22" w:rsidRDefault="005D51A7" w:rsidP="005D51A7">
      <w:pPr>
        <w:pStyle w:val="Nagwek1"/>
        <w:spacing w:before="360"/>
        <w:rPr>
          <w:rFonts w:ascii="Fira Sans" w:hAnsi="Fira Sans"/>
          <w:b/>
          <w:highlight w:val="yellow"/>
        </w:rPr>
      </w:pPr>
      <w:r w:rsidRPr="009B2A4A">
        <w:rPr>
          <w:shd w:val="clear" w:color="auto" w:fill="FFFFFF"/>
          <w:lang w:val="en-GB"/>
        </w:rPr>
        <w:br/>
      </w:r>
      <w:r w:rsidR="00E77FD2" w:rsidRPr="00783C22">
        <w:rPr>
          <w:rFonts w:ascii="Fira Sans" w:hAnsi="Fira Sans"/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279CFCF" wp14:editId="5651E195">
                <wp:simplePos x="0" y="0"/>
                <wp:positionH relativeFrom="column">
                  <wp:posOffset>5318760</wp:posOffset>
                </wp:positionH>
                <wp:positionV relativeFrom="paragraph">
                  <wp:posOffset>307340</wp:posOffset>
                </wp:positionV>
                <wp:extent cx="1725295" cy="1333500"/>
                <wp:effectExtent l="0" t="0" r="0" b="0"/>
                <wp:wrapTight wrapText="bothSides">
                  <wp:wrapPolygon edited="0">
                    <wp:start x="715" y="0"/>
                    <wp:lineTo x="715" y="21291"/>
                    <wp:lineTo x="20749" y="21291"/>
                    <wp:lineTo x="20749" y="0"/>
                    <wp:lineTo x="715" y="0"/>
                  </wp:wrapPolygon>
                </wp:wrapTight>
                <wp:docPr id="11" name="Pole tekstowe 2" descr="26 badanych przedsiębiorstw zaobserwowało wpływ pandemii „koronawirusa” na ich działalność, z czego 16 firm oceniło go jako „negatywny nieznaczny”, a osiem jako „negatywny poważny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E2A" w:rsidRPr="005F7823" w:rsidRDefault="00FA5E2A" w:rsidP="00FA5E2A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26</w:t>
                            </w:r>
                            <w:r w:rsidRPr="00E77FD2">
                              <w:rPr>
                                <w:color w:val="002060"/>
                              </w:rPr>
                              <w:t xml:space="preserve"> badanych przedsiębiorstw zaobserwowało wpływ pandemii „</w:t>
                            </w:r>
                            <w:proofErr w:type="spellStart"/>
                            <w:r w:rsidRPr="00E77FD2">
                              <w:rPr>
                                <w:color w:val="002060"/>
                              </w:rPr>
                              <w:t>koronawirusa</w:t>
                            </w:r>
                            <w:proofErr w:type="spellEnd"/>
                            <w:r w:rsidRPr="00E77FD2">
                              <w:rPr>
                                <w:color w:val="002060"/>
                              </w:rPr>
                              <w:t>” na ich działalność</w:t>
                            </w:r>
                            <w:r>
                              <w:rPr>
                                <w:color w:val="002060"/>
                              </w:rPr>
                              <w:t>, z czego 16 firm oceniło go jako „negatywny nieznaczny”, a osiem jako „negatywny poważny”</w:t>
                            </w:r>
                          </w:p>
                          <w:p w:rsidR="007A2DC1" w:rsidRPr="005F7823" w:rsidRDefault="007A2DC1" w:rsidP="00074DD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9CFC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26 badanych przedsiębiorstw zaobserwowało wpływ pandemii „koronawirusa” na ich działalność, z czego 16 firm oceniło go jako „negatywny nieznaczny”, a osiem jako „negatywny poważny”" style="position:absolute;margin-left:418.8pt;margin-top:24.2pt;width:135.85pt;height:10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" filled="f" stroked="f">
                <v:textbox>
                  <w:txbxContent>
                    <w:p w:rsidR="00FA5E2A" w:rsidRPr="005F7823" w:rsidRDefault="00FA5E2A" w:rsidP="00FA5E2A">
                      <w:pPr>
                        <w:pStyle w:val="tekstzboku"/>
                        <w:spacing w:after="120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26</w:t>
                      </w:r>
                      <w:r w:rsidRPr="00E77FD2">
                        <w:rPr>
                          <w:color w:val="002060"/>
                        </w:rPr>
                        <w:t xml:space="preserve"> badanych przedsiębiorstw zaobserwowało wpływ pandemii „</w:t>
                      </w:r>
                      <w:proofErr w:type="spellStart"/>
                      <w:r w:rsidRPr="00E77FD2">
                        <w:rPr>
                          <w:color w:val="002060"/>
                        </w:rPr>
                        <w:t>koronawirusa</w:t>
                      </w:r>
                      <w:proofErr w:type="spellEnd"/>
                      <w:r w:rsidRPr="00E77FD2">
                        <w:rPr>
                          <w:color w:val="002060"/>
                        </w:rPr>
                        <w:t>” na ich działalność</w:t>
                      </w:r>
                      <w:r>
                        <w:rPr>
                          <w:color w:val="002060"/>
                        </w:rPr>
                        <w:t>, z czego 16 firm oceniło go jako „negatywny nieznaczny”, a osiem jako „negatywny poważny”</w:t>
                      </w:r>
                    </w:p>
                    <w:p w:rsidR="007A2DC1" w:rsidRPr="005F7823" w:rsidRDefault="007A2DC1" w:rsidP="00074DD8">
                      <w:pPr>
                        <w:pStyle w:val="tekstzboku"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Hlk106709528"/>
      <w:r w:rsidR="00B57E4A" w:rsidRPr="00783C22">
        <w:rPr>
          <w:rFonts w:ascii="Fira Sans" w:hAnsi="Fira Sans"/>
          <w:b/>
          <w:shd w:val="clear" w:color="auto" w:fill="FFFFFF"/>
        </w:rPr>
        <w:t xml:space="preserve">Podstawowe dane o przedsiębiorstwach </w:t>
      </w:r>
      <w:r w:rsidR="00C44429" w:rsidRPr="00783C22">
        <w:rPr>
          <w:rFonts w:ascii="Fira Sans" w:hAnsi="Fira Sans"/>
          <w:b/>
          <w:shd w:val="clear" w:color="auto" w:fill="FFFFFF"/>
        </w:rPr>
        <w:t>leasingowych</w:t>
      </w:r>
      <w:bookmarkEnd w:id="0"/>
    </w:p>
    <w:p w:rsidR="00FA5E2A" w:rsidRPr="00E13CBA" w:rsidRDefault="00FA5E2A" w:rsidP="00FA5E2A">
      <w:pPr>
        <w:spacing w:line="288" w:lineRule="auto"/>
        <w:rPr>
          <w:shd w:val="clear" w:color="auto" w:fill="FFFFFF"/>
        </w:rPr>
      </w:pPr>
      <w:r w:rsidRPr="00E13CBA">
        <w:rPr>
          <w:shd w:val="clear" w:color="auto" w:fill="FFFFFF"/>
        </w:rPr>
        <w:t>Badane podmioty (leasingodawcy) były reprezentowane przez spółki kapitałowe: 5</w:t>
      </w:r>
      <w:r>
        <w:rPr>
          <w:shd w:val="clear" w:color="auto" w:fill="FFFFFF"/>
        </w:rPr>
        <w:t>6</w:t>
      </w:r>
      <w:r w:rsidRPr="00E13CBA">
        <w:rPr>
          <w:shd w:val="clear" w:color="auto" w:fill="FFFFFF"/>
        </w:rPr>
        <w:t xml:space="preserve"> to spółki z ograniczoną odpowiedzialnością, 2</w:t>
      </w:r>
      <w:r>
        <w:rPr>
          <w:shd w:val="clear" w:color="auto" w:fill="FFFFFF"/>
        </w:rPr>
        <w:t>6</w:t>
      </w:r>
      <w:r w:rsidRPr="00E13CBA">
        <w:rPr>
          <w:shd w:val="clear" w:color="auto" w:fill="FFFFFF"/>
        </w:rPr>
        <w:t xml:space="preserve"> to spółki akcyjne</w:t>
      </w:r>
      <w:r>
        <w:rPr>
          <w:shd w:val="clear" w:color="auto" w:fill="FFFFFF"/>
        </w:rPr>
        <w:t xml:space="preserve"> i</w:t>
      </w:r>
      <w:r w:rsidRPr="00E13CBA">
        <w:rPr>
          <w:shd w:val="clear" w:color="auto" w:fill="FFFFFF"/>
        </w:rPr>
        <w:t xml:space="preserve"> </w:t>
      </w:r>
      <w:r>
        <w:rPr>
          <w:shd w:val="clear" w:color="auto" w:fill="FFFFFF"/>
        </w:rPr>
        <w:t>trzy</w:t>
      </w:r>
      <w:r w:rsidRPr="00E13CBA">
        <w:rPr>
          <w:shd w:val="clear" w:color="auto" w:fill="FFFFFF"/>
        </w:rPr>
        <w:t xml:space="preserve"> o innej formie prawnej. W </w:t>
      </w:r>
      <w:r>
        <w:rPr>
          <w:shd w:val="clear" w:color="auto" w:fill="FFFFFF"/>
        </w:rPr>
        <w:t>23</w:t>
      </w:r>
      <w:r w:rsidRPr="00E13CBA">
        <w:rPr>
          <w:shd w:val="clear" w:color="auto" w:fill="FFFFFF"/>
        </w:rPr>
        <w:t xml:space="preserve"> przedsiębiorstwach działalność leasingowa była jedynym rodzajem działalności, </w:t>
      </w:r>
      <w:r w:rsidRPr="00E13CBA">
        <w:rPr>
          <w:bCs/>
          <w:shd w:val="clear" w:color="auto" w:fill="FFFFFF"/>
        </w:rPr>
        <w:t xml:space="preserve">w </w:t>
      </w:r>
      <w:r>
        <w:rPr>
          <w:shd w:val="clear" w:color="auto" w:fill="FFFFFF"/>
        </w:rPr>
        <w:t>38</w:t>
      </w:r>
      <w:r w:rsidRPr="00E13CBA">
        <w:rPr>
          <w:shd w:val="clear" w:color="auto" w:fill="FFFFFF"/>
        </w:rPr>
        <w:t xml:space="preserve"> przedsiębiorstwach</w:t>
      </w:r>
      <w:r w:rsidRPr="00E13CBA">
        <w:rPr>
          <w:bCs/>
          <w:shd w:val="clear" w:color="auto" w:fill="FFFFFF"/>
        </w:rPr>
        <w:t xml:space="preserve"> dominu</w:t>
      </w:r>
      <w:r w:rsidRPr="00E13CBA">
        <w:rPr>
          <w:shd w:val="clear" w:color="auto" w:fill="FFFFFF"/>
        </w:rPr>
        <w:t xml:space="preserve">jącym, a </w:t>
      </w:r>
      <w:r w:rsidRPr="00E13CBA">
        <w:rPr>
          <w:bCs/>
          <w:shd w:val="clear" w:color="auto" w:fill="FFFFFF"/>
        </w:rPr>
        <w:t>w</w:t>
      </w:r>
      <w:r w:rsidRPr="00E13CBA">
        <w:rPr>
          <w:shd w:val="clear" w:color="auto" w:fill="FFFFFF"/>
        </w:rPr>
        <w:t xml:space="preserve"> 2</w:t>
      </w:r>
      <w:r>
        <w:rPr>
          <w:shd w:val="clear" w:color="auto" w:fill="FFFFFF"/>
        </w:rPr>
        <w:t>4</w:t>
      </w:r>
      <w:r w:rsidRPr="00E13CBA">
        <w:rPr>
          <w:shd w:val="clear" w:color="auto" w:fill="FFFFFF"/>
        </w:rPr>
        <w:t xml:space="preserve"> przedsiębiorstwach</w:t>
      </w:r>
      <w:r w:rsidRPr="00E13CBA">
        <w:rPr>
          <w:bCs/>
          <w:shd w:val="clear" w:color="auto" w:fill="FFFFFF"/>
        </w:rPr>
        <w:t xml:space="preserve"> </w:t>
      </w:r>
      <w:r w:rsidRPr="00E13CBA">
        <w:rPr>
          <w:shd w:val="clear" w:color="auto" w:fill="FFFFFF"/>
        </w:rPr>
        <w:t xml:space="preserve">ubocznym rodzajem działalności. </w:t>
      </w:r>
    </w:p>
    <w:p w:rsidR="00FA5E2A" w:rsidRPr="00E13CBA" w:rsidRDefault="00FA5E2A" w:rsidP="00FA5E2A">
      <w:pPr>
        <w:spacing w:line="288" w:lineRule="auto"/>
      </w:pPr>
      <w:r w:rsidRPr="00424A79">
        <w:rPr>
          <w:shd w:val="clear" w:color="auto" w:fill="FFFFFF"/>
        </w:rPr>
        <w:t>Z badanej zbiorowości przedsiębiorstw leasingowych do grup kapitałowych należało 6</w:t>
      </w:r>
      <w:r>
        <w:rPr>
          <w:shd w:val="clear" w:color="auto" w:fill="FFFFFF"/>
        </w:rPr>
        <w:t>5</w:t>
      </w:r>
      <w:r w:rsidRPr="00424A79">
        <w:rPr>
          <w:shd w:val="clear" w:color="auto" w:fill="FFFFFF"/>
        </w:rPr>
        <w:t xml:space="preserve"> </w:t>
      </w:r>
      <w:r>
        <w:rPr>
          <w:shd w:val="clear" w:color="auto" w:fill="FFFFFF"/>
        </w:rPr>
        <w:t>firm</w:t>
      </w:r>
      <w:r w:rsidRPr="00424A79">
        <w:rPr>
          <w:shd w:val="clear" w:color="auto" w:fill="FFFFFF"/>
        </w:rPr>
        <w:t>, w tym 5</w:t>
      </w:r>
      <w:r>
        <w:rPr>
          <w:shd w:val="clear" w:color="auto" w:fill="FFFFFF"/>
        </w:rPr>
        <w:t>1</w:t>
      </w:r>
      <w:r w:rsidRPr="00424A79">
        <w:rPr>
          <w:shd w:val="clear" w:color="auto" w:fill="FFFFFF"/>
        </w:rPr>
        <w:t xml:space="preserve"> było jednostkami zależnymi, </w:t>
      </w:r>
      <w:r>
        <w:rPr>
          <w:shd w:val="clear" w:color="auto" w:fill="FFFFFF"/>
        </w:rPr>
        <w:t>dziewięć</w:t>
      </w:r>
      <w:r w:rsidRPr="00424A79">
        <w:rPr>
          <w:shd w:val="clear" w:color="auto" w:fill="FFFFFF"/>
        </w:rPr>
        <w:t xml:space="preserve"> dominującymi, a </w:t>
      </w:r>
      <w:r>
        <w:rPr>
          <w:shd w:val="clear" w:color="auto" w:fill="FFFFFF"/>
        </w:rPr>
        <w:t>pięć</w:t>
      </w:r>
      <w:r w:rsidRPr="00424A79">
        <w:rPr>
          <w:shd w:val="clear" w:color="auto" w:fill="FFFFFF"/>
        </w:rPr>
        <w:t xml:space="preserve"> jednostkami dominującymi i zależnymi jednocześnie.</w:t>
      </w:r>
    </w:p>
    <w:p w:rsidR="00FA5E2A" w:rsidRPr="00E13CBA" w:rsidRDefault="00FA5E2A" w:rsidP="00FA5E2A">
      <w:pPr>
        <w:pStyle w:val="Nagwek1"/>
        <w:spacing w:before="120" w:line="288" w:lineRule="auto"/>
        <w:jc w:val="both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Według stanu na koniec 202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r. w badanych podmiotach pracowało 9,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8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osób zajmujących się leasingiem, w tym 7,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osób na podstawie umowy o pracę,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0,6 tys.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osó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b na podstawie umowy zlecenia, agencyjnej i umowy o dzieło. Ponadto w badanych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firmach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1,2 tys.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osób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prowadziło działalność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na podstawie samozatrudnienia.</w:t>
      </w:r>
    </w:p>
    <w:p w:rsidR="00FA5E2A" w:rsidRDefault="00FA5E2A" w:rsidP="00FA5E2A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Sieć dystrybucji produktów leasingowych tworzyło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prawie 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2,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Pr="00E13CB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oddziałów i autoryzowanych przedstawicielstw. </w:t>
      </w:r>
    </w:p>
    <w:p w:rsidR="00C333C1" w:rsidRPr="00783C22" w:rsidRDefault="00491C68" w:rsidP="005D51A7">
      <w:pPr>
        <w:pStyle w:val="Nagwek1"/>
        <w:spacing w:before="360"/>
        <w:rPr>
          <w:rFonts w:ascii="Fira Sans" w:hAnsi="Fira Sans"/>
          <w:b/>
        </w:rPr>
      </w:pPr>
      <w:r w:rsidRPr="00783C22">
        <w:rPr>
          <w:rFonts w:ascii="Fira Sans" w:hAnsi="Fira Sans"/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69D49324" wp14:editId="1B1DA8EB">
                <wp:simplePos x="0" y="0"/>
                <wp:positionH relativeFrom="column">
                  <wp:posOffset>5248275</wp:posOffset>
                </wp:positionH>
                <wp:positionV relativeFrom="paragraph">
                  <wp:posOffset>170180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2" name="Pole tekstowe 2" descr="Według stanu na koniec 2021 r. z usług przedsiębiorstw leasingowych skorzy-stało ogółem 1 045 tys. leasingobiorców, którzy wzięli w leasing 2 514 tys. środków/przedmiotów o wartości 131,6 mld zł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E2A" w:rsidRPr="005F7823" w:rsidRDefault="00FA5E2A" w:rsidP="00FA5E2A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Według stanu na koniec 2021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 r. z usług </w:t>
                            </w:r>
                            <w:r w:rsidRPr="00424A79">
                              <w:rPr>
                                <w:color w:val="002060"/>
                              </w:rPr>
                              <w:t xml:space="preserve">przedsiębiorstw leasingowych skorzystało ogółem </w:t>
                            </w:r>
                            <w:r>
                              <w:rPr>
                                <w:color w:val="002060"/>
                              </w:rPr>
                              <w:t>1 045</w:t>
                            </w:r>
                            <w:r w:rsidRPr="00424A79">
                              <w:rPr>
                                <w:color w:val="002060"/>
                              </w:rPr>
                              <w:t> tys</w:t>
                            </w:r>
                            <w:r w:rsidRPr="00424A79">
                              <w:rPr>
                                <w:color w:val="002060"/>
                                <w:u w:val="single"/>
                              </w:rPr>
                              <w:t>.</w:t>
                            </w:r>
                            <w:r w:rsidRPr="00424A79">
                              <w:rPr>
                                <w:color w:val="002060"/>
                              </w:rPr>
                              <w:t xml:space="preserve"> leasingobiorców, którzy wzięli w leasing 2 </w:t>
                            </w:r>
                            <w:r>
                              <w:rPr>
                                <w:color w:val="002060"/>
                              </w:rPr>
                              <w:t>514</w:t>
                            </w:r>
                            <w:r w:rsidRPr="00424A79">
                              <w:rPr>
                                <w:color w:val="002060"/>
                              </w:rPr>
                              <w:t> tys. środków/przedmiotów o wartości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 1</w:t>
                            </w:r>
                            <w:r>
                              <w:rPr>
                                <w:color w:val="002060"/>
                              </w:rPr>
                              <w:t>31,6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 mld zł </w:t>
                            </w:r>
                          </w:p>
                          <w:p w:rsidR="00491C68" w:rsidRPr="005F7823" w:rsidRDefault="00491C68" w:rsidP="00491C6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9324" id="_x0000_s1028" type="#_x0000_t202" alt="Według stanu na koniec 2021 r. z usług przedsiębiorstw leasingowych skorzy-stało ogółem 1 045 tys. leasingobiorców, którzy wzięli w leasing 2 514 tys. środków/przedmiotów o wartości 131,6 mld zł " style="position:absolute;margin-left:413.25pt;margin-top:13.4pt;width:135.85pt;height:123.7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" filled="f" stroked="f">
                <v:textbox>
                  <w:txbxContent>
                    <w:p w:rsidR="00FA5E2A" w:rsidRPr="005F7823" w:rsidRDefault="00FA5E2A" w:rsidP="00FA5E2A">
                      <w:pPr>
                        <w:pStyle w:val="tekstzboku"/>
                        <w:spacing w:after="120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Według stanu na koniec 2021</w:t>
                      </w:r>
                      <w:r w:rsidRPr="005F7823">
                        <w:rPr>
                          <w:color w:val="002060"/>
                        </w:rPr>
                        <w:t xml:space="preserve"> r. z usług </w:t>
                      </w:r>
                      <w:r w:rsidRPr="00424A79">
                        <w:rPr>
                          <w:color w:val="002060"/>
                        </w:rPr>
                        <w:t xml:space="preserve">przedsiębiorstw leasingowych skorzystało ogółem </w:t>
                      </w:r>
                      <w:r>
                        <w:rPr>
                          <w:color w:val="002060"/>
                        </w:rPr>
                        <w:t>1 045</w:t>
                      </w:r>
                      <w:r w:rsidRPr="00424A79">
                        <w:rPr>
                          <w:color w:val="002060"/>
                        </w:rPr>
                        <w:t> tys</w:t>
                      </w:r>
                      <w:r w:rsidRPr="00424A79">
                        <w:rPr>
                          <w:color w:val="002060"/>
                          <w:u w:val="single"/>
                        </w:rPr>
                        <w:t>.</w:t>
                      </w:r>
                      <w:r w:rsidRPr="00424A79">
                        <w:rPr>
                          <w:color w:val="002060"/>
                        </w:rPr>
                        <w:t xml:space="preserve"> leasingobiorców, którzy wzięli w leasing 2 </w:t>
                      </w:r>
                      <w:r>
                        <w:rPr>
                          <w:color w:val="002060"/>
                        </w:rPr>
                        <w:t>514</w:t>
                      </w:r>
                      <w:r w:rsidRPr="00424A79">
                        <w:rPr>
                          <w:color w:val="002060"/>
                        </w:rPr>
                        <w:t> tys. środków/przedmiotów o wartości</w:t>
                      </w:r>
                      <w:r w:rsidRPr="005F7823">
                        <w:rPr>
                          <w:color w:val="002060"/>
                        </w:rPr>
                        <w:t xml:space="preserve"> 1</w:t>
                      </w:r>
                      <w:r>
                        <w:rPr>
                          <w:color w:val="002060"/>
                        </w:rPr>
                        <w:t>31,6</w:t>
                      </w:r>
                      <w:r w:rsidRPr="005F7823">
                        <w:rPr>
                          <w:color w:val="002060"/>
                        </w:rPr>
                        <w:t xml:space="preserve"> mld zł </w:t>
                      </w:r>
                    </w:p>
                    <w:p w:rsidR="00491C68" w:rsidRPr="005F7823" w:rsidRDefault="00491C68" w:rsidP="00491C68">
                      <w:pPr>
                        <w:pStyle w:val="tekstzboku"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333C1" w:rsidRPr="00783C22">
        <w:rPr>
          <w:rFonts w:ascii="Fira Sans" w:hAnsi="Fira Sans"/>
          <w:b/>
          <w:shd w:val="clear" w:color="auto" w:fill="FFFFFF"/>
        </w:rPr>
        <w:t>Charakterystyka usług leasingowych</w:t>
      </w:r>
    </w:p>
    <w:p w:rsidR="00FA5E2A" w:rsidRDefault="00FA5E2A" w:rsidP="00FA5E2A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ciągu 202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r. badane przedsiębiorstwa leasingowe zawarły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659</w:t>
      </w: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nowych umów z 4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35</w:t>
      </w: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</w:t>
      </w:r>
      <w:r w:rsidRPr="001C126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leasingobiorców,</w:t>
      </w: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przekazując w leasing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782</w:t>
      </w: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środków/przedmiotów na kwotę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71 </w:t>
      </w:r>
      <w:r w:rsidR="005D37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684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mln zł. Przedmiotem tych umów leasingowych były zarówno środki/przedmioty nowe (o wartości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54</w:t>
      </w: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8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53</w:t>
      </w: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zł), jak i używane (1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</w:t>
      </w: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831</w:t>
      </w:r>
      <w:r w:rsidRPr="000431D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zł).</w:t>
      </w:r>
    </w:p>
    <w:p w:rsidR="00FA5E2A" w:rsidRPr="000622F7" w:rsidRDefault="00FA5E2A" w:rsidP="00FA5E2A">
      <w:pPr>
        <w:spacing w:before="360" w:line="240" w:lineRule="auto"/>
        <w:ind w:left="851" w:hanging="851"/>
        <w:rPr>
          <w:b/>
          <w:iCs/>
          <w:color w:val="000000" w:themeColor="text1"/>
          <w:szCs w:val="19"/>
        </w:rPr>
      </w:pPr>
      <w:r w:rsidRPr="000622F7">
        <w:rPr>
          <w:b/>
          <w:iCs/>
          <w:color w:val="000000" w:themeColor="text1"/>
          <w:szCs w:val="19"/>
        </w:rPr>
        <w:t xml:space="preserve">Tablica 1. </w:t>
      </w:r>
      <w:r w:rsidRPr="000622F7">
        <w:rPr>
          <w:b/>
          <w:iCs/>
          <w:color w:val="000000" w:themeColor="text1"/>
          <w:szCs w:val="19"/>
        </w:rPr>
        <w:tab/>
        <w:t>Ogólne informacje o przedsiębiorstwach i ich działalności leasingowej w okresie od 1 stycznia do 31 grudnia</w:t>
      </w:r>
    </w:p>
    <w:tbl>
      <w:tblPr>
        <w:tblStyle w:val="Siatkatabelijasna1"/>
        <w:tblpPr w:leftFromText="141" w:rightFromText="141" w:vertAnchor="text" w:horzAnchor="margin" w:tblpY="137"/>
        <w:tblW w:w="5000" w:type="pct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1. Ogólne informacje o przedsiębiorstwach i ich działalności leasingowej w okresie od 1 stycznia do 31 grudnia"/>
        <w:tblDescription w:val="W tablicy są informacje o liczbie badanych przedsiębiorstw leasingowych w 2021 r. - 85, liczbie leasingobiorców - 435 494, liczbie zawartych nowych umów - 658 737, licznie wyleasingowanych środków/przedmiotów -781 696 o wartości - 71 684 mln zł."/>
      </w:tblPr>
      <w:tblGrid>
        <w:gridCol w:w="5670"/>
        <w:gridCol w:w="1276"/>
        <w:gridCol w:w="1121"/>
      </w:tblGrid>
      <w:tr w:rsidR="00FA5E2A" w:rsidRPr="00424A79" w:rsidTr="00E33A0B">
        <w:trPr>
          <w:trHeight w:val="57"/>
        </w:trPr>
        <w:tc>
          <w:tcPr>
            <w:tcW w:w="3514" w:type="pct"/>
            <w:vAlign w:val="center"/>
          </w:tcPr>
          <w:p w:rsidR="00FA5E2A" w:rsidRPr="001C59CB" w:rsidRDefault="00FA5E2A" w:rsidP="00783C22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1C59CB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791" w:type="pct"/>
            <w:vAlign w:val="center"/>
          </w:tcPr>
          <w:p w:rsidR="00FA5E2A" w:rsidRPr="001C59CB" w:rsidRDefault="00FA5E2A" w:rsidP="00783C22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>2020</w:t>
            </w:r>
          </w:p>
        </w:tc>
        <w:tc>
          <w:tcPr>
            <w:tcW w:w="695" w:type="pct"/>
            <w:vAlign w:val="center"/>
          </w:tcPr>
          <w:p w:rsidR="00FA5E2A" w:rsidRPr="001C59CB" w:rsidRDefault="00FA5E2A" w:rsidP="00783C22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>2021</w:t>
            </w:r>
          </w:p>
        </w:tc>
      </w:tr>
      <w:tr w:rsidR="00FA5E2A" w:rsidRPr="00424A79" w:rsidTr="00E33A0B">
        <w:trPr>
          <w:trHeight w:val="381"/>
        </w:trPr>
        <w:tc>
          <w:tcPr>
            <w:tcW w:w="3514" w:type="pct"/>
            <w:vAlign w:val="center"/>
          </w:tcPr>
          <w:p w:rsidR="00FA5E2A" w:rsidRPr="001C59CB" w:rsidRDefault="00FA5E2A" w:rsidP="00783C22">
            <w:pPr>
              <w:spacing w:line="240" w:lineRule="auto"/>
              <w:rPr>
                <w:rFonts w:cs="Arial"/>
                <w:color w:val="000000" w:themeColor="text1"/>
                <w:szCs w:val="19"/>
              </w:rPr>
            </w:pPr>
            <w:r w:rsidRPr="001C59CB">
              <w:rPr>
                <w:rFonts w:cs="Arial"/>
                <w:color w:val="000000" w:themeColor="text1"/>
                <w:szCs w:val="19"/>
              </w:rPr>
              <w:t>Liczba badanych przedsiębiorstw</w:t>
            </w:r>
          </w:p>
        </w:tc>
        <w:tc>
          <w:tcPr>
            <w:tcW w:w="791" w:type="pct"/>
            <w:vAlign w:val="center"/>
          </w:tcPr>
          <w:p w:rsidR="00FA5E2A" w:rsidRPr="001C59CB" w:rsidRDefault="00FA5E2A" w:rsidP="00783C22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1C59CB">
              <w:rPr>
                <w:rFonts w:cs="Arial"/>
                <w:color w:val="000000" w:themeColor="text1"/>
                <w:szCs w:val="19"/>
              </w:rPr>
              <w:t>8</w:t>
            </w:r>
            <w:r>
              <w:rPr>
                <w:rFonts w:cs="Arial"/>
                <w:color w:val="000000" w:themeColor="text1"/>
                <w:szCs w:val="19"/>
              </w:rPr>
              <w:t>2</w:t>
            </w:r>
          </w:p>
        </w:tc>
        <w:tc>
          <w:tcPr>
            <w:tcW w:w="695" w:type="pct"/>
            <w:vAlign w:val="center"/>
          </w:tcPr>
          <w:p w:rsidR="00FA5E2A" w:rsidRPr="001C59CB" w:rsidRDefault="00FA5E2A" w:rsidP="00783C22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1C59CB">
              <w:rPr>
                <w:rFonts w:cs="Arial"/>
                <w:color w:val="000000" w:themeColor="text1"/>
                <w:szCs w:val="19"/>
              </w:rPr>
              <w:t>8</w:t>
            </w:r>
            <w:r>
              <w:rPr>
                <w:rFonts w:cs="Arial"/>
                <w:color w:val="000000" w:themeColor="text1"/>
                <w:szCs w:val="19"/>
              </w:rPr>
              <w:t>5</w:t>
            </w:r>
          </w:p>
        </w:tc>
      </w:tr>
      <w:tr w:rsidR="00FA5E2A" w:rsidRPr="00424A79" w:rsidTr="00E33A0B">
        <w:trPr>
          <w:trHeight w:val="57"/>
        </w:trPr>
        <w:tc>
          <w:tcPr>
            <w:tcW w:w="3514" w:type="pct"/>
            <w:vAlign w:val="center"/>
          </w:tcPr>
          <w:p w:rsidR="00FA5E2A" w:rsidRPr="001C59CB" w:rsidRDefault="00FA5E2A" w:rsidP="00783C22">
            <w:pPr>
              <w:spacing w:line="240" w:lineRule="auto"/>
              <w:rPr>
                <w:rFonts w:cs="Arial"/>
                <w:color w:val="000000" w:themeColor="text1"/>
                <w:szCs w:val="19"/>
              </w:rPr>
            </w:pPr>
            <w:r w:rsidRPr="001C59CB">
              <w:rPr>
                <w:rFonts w:cs="Arial"/>
                <w:color w:val="000000" w:themeColor="text1"/>
                <w:szCs w:val="19"/>
              </w:rPr>
              <w:t>Liczba leasingobiorców (klientów), którzy zawarli nowe umowy</w:t>
            </w:r>
          </w:p>
        </w:tc>
        <w:tc>
          <w:tcPr>
            <w:tcW w:w="791" w:type="pct"/>
            <w:vAlign w:val="center"/>
          </w:tcPr>
          <w:p w:rsidR="00FA5E2A" w:rsidRPr="001C59CB" w:rsidRDefault="00FA5E2A" w:rsidP="00783C22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1C59CB">
              <w:rPr>
                <w:rFonts w:cs="Arial"/>
                <w:color w:val="000000" w:themeColor="text1"/>
                <w:szCs w:val="19"/>
              </w:rPr>
              <w:t>44</w:t>
            </w:r>
            <w:r>
              <w:rPr>
                <w:rFonts w:cs="Arial"/>
                <w:color w:val="000000" w:themeColor="text1"/>
                <w:szCs w:val="19"/>
              </w:rPr>
              <w:t>2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373</w:t>
            </w:r>
          </w:p>
        </w:tc>
        <w:tc>
          <w:tcPr>
            <w:tcW w:w="695" w:type="pct"/>
            <w:vAlign w:val="center"/>
          </w:tcPr>
          <w:p w:rsidR="00FA5E2A" w:rsidRPr="001C59CB" w:rsidRDefault="00FA5E2A" w:rsidP="00783C22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 w:rsidRPr="001C59CB">
              <w:rPr>
                <w:rFonts w:cs="Arial"/>
                <w:color w:val="000000" w:themeColor="text1"/>
                <w:szCs w:val="19"/>
              </w:rPr>
              <w:t>4</w:t>
            </w:r>
            <w:r>
              <w:rPr>
                <w:rFonts w:cs="Arial"/>
                <w:color w:val="000000" w:themeColor="text1"/>
                <w:szCs w:val="19"/>
              </w:rPr>
              <w:t>35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494</w:t>
            </w:r>
          </w:p>
        </w:tc>
      </w:tr>
      <w:tr w:rsidR="00FA5E2A" w:rsidRPr="00424A79" w:rsidTr="00E33A0B">
        <w:trPr>
          <w:trHeight w:val="57"/>
        </w:trPr>
        <w:tc>
          <w:tcPr>
            <w:tcW w:w="3514" w:type="pct"/>
            <w:vAlign w:val="center"/>
          </w:tcPr>
          <w:p w:rsidR="00FA5E2A" w:rsidRPr="001C59CB" w:rsidRDefault="00FA5E2A" w:rsidP="00783C22">
            <w:pPr>
              <w:keepNext/>
              <w:keepLines/>
              <w:tabs>
                <w:tab w:val="right" w:leader="dot" w:pos="4156"/>
              </w:tabs>
              <w:spacing w:line="240" w:lineRule="auto"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>Liczba zawartych nowych umów</w:t>
            </w:r>
          </w:p>
        </w:tc>
        <w:tc>
          <w:tcPr>
            <w:tcW w:w="791" w:type="pct"/>
            <w:vAlign w:val="center"/>
          </w:tcPr>
          <w:p w:rsidR="00FA5E2A" w:rsidRPr="001C59CB" w:rsidRDefault="00FA5E2A" w:rsidP="00783C22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559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952</w:t>
            </w:r>
          </w:p>
        </w:tc>
        <w:tc>
          <w:tcPr>
            <w:tcW w:w="695" w:type="pct"/>
            <w:vAlign w:val="center"/>
          </w:tcPr>
          <w:p w:rsidR="00FA5E2A" w:rsidRPr="001C59CB" w:rsidRDefault="00FA5E2A" w:rsidP="00783C22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658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737</w:t>
            </w:r>
          </w:p>
        </w:tc>
      </w:tr>
      <w:tr w:rsidR="00FA5E2A" w:rsidRPr="00424A79" w:rsidTr="00E33A0B">
        <w:trPr>
          <w:trHeight w:val="57"/>
        </w:trPr>
        <w:tc>
          <w:tcPr>
            <w:tcW w:w="3514" w:type="pct"/>
            <w:vAlign w:val="center"/>
          </w:tcPr>
          <w:p w:rsidR="00FA5E2A" w:rsidRPr="001C59CB" w:rsidRDefault="00FA5E2A" w:rsidP="00783C22">
            <w:pPr>
              <w:keepNext/>
              <w:keepLines/>
              <w:tabs>
                <w:tab w:val="right" w:leader="dot" w:pos="4156"/>
              </w:tabs>
              <w:spacing w:line="240" w:lineRule="auto"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>Liczba wyleasingowanych środków/przedmiotów</w:t>
            </w:r>
          </w:p>
        </w:tc>
        <w:tc>
          <w:tcPr>
            <w:tcW w:w="791" w:type="pct"/>
            <w:vAlign w:val="center"/>
          </w:tcPr>
          <w:p w:rsidR="00FA5E2A" w:rsidRPr="001C59CB" w:rsidRDefault="00FA5E2A" w:rsidP="00783C22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654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3</w:t>
            </w:r>
            <w:r>
              <w:rPr>
                <w:rFonts w:cs="Arial"/>
                <w:color w:val="000000" w:themeColor="text1"/>
                <w:szCs w:val="19"/>
              </w:rPr>
              <w:t>18</w:t>
            </w:r>
          </w:p>
        </w:tc>
        <w:tc>
          <w:tcPr>
            <w:tcW w:w="695" w:type="pct"/>
            <w:vAlign w:val="center"/>
          </w:tcPr>
          <w:p w:rsidR="00FA5E2A" w:rsidRPr="001C59CB" w:rsidRDefault="00FA5E2A" w:rsidP="00783C22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781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696</w:t>
            </w:r>
          </w:p>
        </w:tc>
      </w:tr>
      <w:tr w:rsidR="00FA5E2A" w:rsidRPr="00424A79" w:rsidTr="00E33A0B">
        <w:trPr>
          <w:trHeight w:val="57"/>
        </w:trPr>
        <w:tc>
          <w:tcPr>
            <w:tcW w:w="3514" w:type="pct"/>
            <w:vAlign w:val="center"/>
          </w:tcPr>
          <w:p w:rsidR="00FA5E2A" w:rsidRPr="001C59CB" w:rsidRDefault="00FA5E2A" w:rsidP="00783C22">
            <w:pPr>
              <w:keepNext/>
              <w:keepLines/>
              <w:tabs>
                <w:tab w:val="right" w:leader="dot" w:pos="4156"/>
              </w:tabs>
              <w:spacing w:line="240" w:lineRule="auto"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>Wartość wyleasingowanych środków/przedmiotów według nowych umów</w:t>
            </w:r>
            <w:r>
              <w:rPr>
                <w:rFonts w:eastAsiaTheme="majorEastAsia" w:cstheme="majorBidi"/>
                <w:color w:val="000000" w:themeColor="text1"/>
                <w:szCs w:val="19"/>
              </w:rPr>
              <w:t xml:space="preserve"> </w:t>
            </w:r>
            <w:r w:rsidRPr="001C59CB">
              <w:rPr>
                <w:rFonts w:eastAsiaTheme="majorEastAsia" w:cstheme="majorBidi"/>
                <w:color w:val="000000" w:themeColor="text1"/>
                <w:szCs w:val="19"/>
              </w:rPr>
              <w:t xml:space="preserve"> w mln zł</w:t>
            </w:r>
          </w:p>
        </w:tc>
        <w:tc>
          <w:tcPr>
            <w:tcW w:w="791" w:type="pct"/>
            <w:vAlign w:val="center"/>
          </w:tcPr>
          <w:p w:rsidR="00FA5E2A" w:rsidRPr="001C59CB" w:rsidRDefault="00FA5E2A" w:rsidP="00783C22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50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191</w:t>
            </w:r>
          </w:p>
        </w:tc>
        <w:tc>
          <w:tcPr>
            <w:tcW w:w="695" w:type="pct"/>
            <w:vAlign w:val="center"/>
          </w:tcPr>
          <w:p w:rsidR="00FA5E2A" w:rsidRPr="001C59CB" w:rsidRDefault="00FA5E2A" w:rsidP="00783C22">
            <w:pPr>
              <w:spacing w:line="240" w:lineRule="auto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71</w:t>
            </w:r>
            <w:r w:rsidRPr="001C59CB">
              <w:rPr>
                <w:rFonts w:cs="Arial"/>
                <w:color w:val="000000" w:themeColor="text1"/>
                <w:szCs w:val="19"/>
              </w:rPr>
              <w:t xml:space="preserve"> </w:t>
            </w:r>
            <w:r>
              <w:rPr>
                <w:rFonts w:cs="Arial"/>
                <w:color w:val="000000" w:themeColor="text1"/>
                <w:szCs w:val="19"/>
              </w:rPr>
              <w:t>684</w:t>
            </w:r>
          </w:p>
        </w:tc>
      </w:tr>
    </w:tbl>
    <w:p w:rsidR="00FA5E2A" w:rsidRDefault="00FA5E2A" w:rsidP="009D676D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lastRenderedPageBreak/>
        <w:t xml:space="preserve">Główną pozycję w strukturze przedmiotowej nowych umów zajmował leasing środków transportu drogowego –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70</w:t>
      </w: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</w:t>
      </w: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ogółem. Udział samochodów osobowych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wynosił</w:t>
      </w: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57</w:t>
      </w: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62124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</w:t>
      </w:r>
      <w:r w:rsidR="000B07D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tych 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środków, a samochodów ciężarowych i dostawczych 1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6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%. Ważnym segmentem leasingu były maszyny i urządzenia przemysłowe, odpowiadające za 2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wartości nowo zawartych umów. W grupie tej 2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,1% wyleasingowanych środków stanowił sprzęt budowlany, 10,6% maszyny rolnicze, a 9,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maszyny do obróbki metali. Udział komputerów i sprzętu biurowego oraz nieruchomości oddanych w leasing wynosił odpowiednio 1,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oraz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0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Pr="00955CC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wartości ogółem nowych umów leasingu.</w:t>
      </w:r>
      <w:r w:rsidRPr="0045302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</w:p>
    <w:p w:rsidR="004A18A5" w:rsidRPr="00783C22" w:rsidRDefault="004A18A5" w:rsidP="004A18A5">
      <w:pPr>
        <w:pStyle w:val="Nagwek1"/>
        <w:rPr>
          <w:rFonts w:ascii="Fira Sans" w:hAnsi="Fira Sans"/>
          <w:b/>
        </w:rPr>
      </w:pPr>
      <w:r w:rsidRPr="00783C22">
        <w:rPr>
          <w:rFonts w:ascii="Fira Sans" w:hAnsi="Fira Sans"/>
          <w:b/>
          <w:shd w:val="clear" w:color="auto" w:fill="FFFFFF"/>
        </w:rPr>
        <w:t xml:space="preserve">Charakterystyka </w:t>
      </w:r>
      <w:r w:rsidR="00453027" w:rsidRPr="00783C22">
        <w:rPr>
          <w:rFonts w:ascii="Fira Sans" w:hAnsi="Fira Sans"/>
          <w:b/>
          <w:shd w:val="clear" w:color="auto" w:fill="FFFFFF"/>
        </w:rPr>
        <w:t>leasingobiorców</w:t>
      </w:r>
      <w:r w:rsidRPr="00783C22">
        <w:rPr>
          <w:rFonts w:ascii="Fira Sans" w:hAnsi="Fira Sans"/>
          <w:b/>
          <w:shd w:val="clear" w:color="auto" w:fill="FFFFFF"/>
        </w:rPr>
        <w:t xml:space="preserve"> (klientów)</w:t>
      </w:r>
    </w:p>
    <w:p w:rsidR="00B508BB" w:rsidRDefault="00356DDB" w:rsidP="00FA5E2A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61021B">
        <w:rPr>
          <w:rFonts w:ascii="Fira Sans" w:hAnsi="Fira Sans"/>
          <w:b/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6E0AA30D" wp14:editId="291E0C1B">
                <wp:simplePos x="0" y="0"/>
                <wp:positionH relativeFrom="column">
                  <wp:posOffset>5290820</wp:posOffset>
                </wp:positionH>
                <wp:positionV relativeFrom="paragraph">
                  <wp:posOffset>222885</wp:posOffset>
                </wp:positionV>
                <wp:extent cx="1725295" cy="978535"/>
                <wp:effectExtent l="0" t="0" r="0" b="0"/>
                <wp:wrapTight wrapText="bothSides">
                  <wp:wrapPolygon edited="0">
                    <wp:start x="715" y="0"/>
                    <wp:lineTo x="715" y="21025"/>
                    <wp:lineTo x="20749" y="21025"/>
                    <wp:lineTo x="20749" y="0"/>
                    <wp:lineTo x="715" y="0"/>
                  </wp:wrapPolygon>
                </wp:wrapTight>
                <wp:docPr id="6" name="Pole tekstowe 6" descr="Klienci z województwa mazowieckiego stanowili 39,4% liczby leasingobiorców, którzy zawarli nowe umowy w 2021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8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016" w:rsidRPr="005F7823" w:rsidRDefault="00F15016" w:rsidP="00F15016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</w:rPr>
                            </w:pPr>
                            <w:r w:rsidRPr="005F7823">
                              <w:rPr>
                                <w:color w:val="002060"/>
                              </w:rPr>
                              <w:t xml:space="preserve">Klienci z województwa mazowieckiego stanowili </w:t>
                            </w:r>
                            <w:r>
                              <w:rPr>
                                <w:color w:val="002060"/>
                              </w:rPr>
                              <w:t>39,4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% liczby leasingobiorców, </w:t>
                            </w:r>
                            <w:r>
                              <w:rPr>
                                <w:color w:val="002060"/>
                              </w:rPr>
                              <w:t>którzy zawarli nowe umowy w 2021</w:t>
                            </w:r>
                            <w:r w:rsidRPr="005F7823">
                              <w:rPr>
                                <w:color w:val="002060"/>
                              </w:rPr>
                              <w:t xml:space="preserve"> r. </w:t>
                            </w:r>
                          </w:p>
                          <w:p w:rsidR="004A18A5" w:rsidRPr="005F7823" w:rsidRDefault="004A18A5" w:rsidP="004A18A5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A30D" id="Pole tekstowe 6" o:spid="_x0000_s1029" type="#_x0000_t202" alt="Klienci z województwa mazowieckiego stanowili 39,4% liczby leasingobiorców, którzy zawarli nowe umowy w 2021 r. " style="position:absolute;margin-left:416.6pt;margin-top:17.55pt;width:135.85pt;height:77.0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" filled="f" stroked="f">
                <v:textbox>
                  <w:txbxContent>
                    <w:p w:rsidR="00F15016" w:rsidRPr="005F7823" w:rsidRDefault="00F15016" w:rsidP="00F15016">
                      <w:pPr>
                        <w:pStyle w:val="tekstzboku"/>
                        <w:spacing w:after="120"/>
                        <w:rPr>
                          <w:color w:val="002060"/>
                        </w:rPr>
                      </w:pPr>
                      <w:r w:rsidRPr="005F7823">
                        <w:rPr>
                          <w:color w:val="002060"/>
                        </w:rPr>
                        <w:t xml:space="preserve">Klienci z województwa mazowieckiego stanowili </w:t>
                      </w:r>
                      <w:r>
                        <w:rPr>
                          <w:color w:val="002060"/>
                        </w:rPr>
                        <w:t>39,4</w:t>
                      </w:r>
                      <w:r w:rsidRPr="005F7823">
                        <w:rPr>
                          <w:color w:val="002060"/>
                        </w:rPr>
                        <w:t xml:space="preserve">% liczby leasingobiorców, </w:t>
                      </w:r>
                      <w:r>
                        <w:rPr>
                          <w:color w:val="002060"/>
                        </w:rPr>
                        <w:t>którzy zawarli nowe umowy w 2021</w:t>
                      </w:r>
                      <w:r w:rsidRPr="005F7823">
                        <w:rPr>
                          <w:color w:val="002060"/>
                        </w:rPr>
                        <w:t xml:space="preserve"> r. </w:t>
                      </w:r>
                    </w:p>
                    <w:p w:rsidR="004A18A5" w:rsidRPr="005F7823" w:rsidRDefault="004A18A5" w:rsidP="004A18A5">
                      <w:pPr>
                        <w:pStyle w:val="tekstzboku"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W strukturze podmiotowej klientów (leasingobiorców) dominowały podmioty gospodarki narodowej. Wzięły one w leasing środki/przedmioty na kwotę </w:t>
      </w:r>
      <w:r w:rsidR="00BA72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71</w: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BA72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359</w: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mln zł (9</w:t>
      </w:r>
      <w:r w:rsidR="00BA72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9</w: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="00BA72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</w:t>
      </w:r>
      <w:r w:rsidR="00FA5E2A" w:rsidRPr="0061021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nowych umów ogółem). </w:t>
      </w:r>
      <w:bookmarkStart w:id="1" w:name="_GoBack"/>
      <w:bookmarkEnd w:id="1"/>
    </w:p>
    <w:p w:rsidR="001551D7" w:rsidRPr="00BA275D" w:rsidRDefault="00FA5E2A" w:rsidP="00FA5E2A">
      <w:pPr>
        <w:spacing w:line="288" w:lineRule="auto"/>
        <w:rPr>
          <w:shd w:val="clear" w:color="auto" w:fill="FFFFFF"/>
        </w:rPr>
      </w:pPr>
      <w:r w:rsidRPr="00E77FD2">
        <w:rPr>
          <w:spacing w:val="-2"/>
          <w:szCs w:val="19"/>
          <w:lang w:eastAsia="pl-PL"/>
        </w:rPr>
        <w:t>Biorąc pod uwagę kryterium rodzaju prowadzonej działalności</w:t>
      </w:r>
      <w:r>
        <w:rPr>
          <w:spacing w:val="-2"/>
          <w:szCs w:val="19"/>
          <w:lang w:eastAsia="pl-PL"/>
        </w:rPr>
        <w:t>,</w:t>
      </w:r>
      <w:r w:rsidRPr="00E77FD2">
        <w:rPr>
          <w:spacing w:val="-2"/>
          <w:szCs w:val="19"/>
          <w:lang w:eastAsia="pl-PL"/>
        </w:rPr>
        <w:t xml:space="preserve"> wśród leasingobiorców dominowały podmioty z sekcji handel hurtowy i detaliczny, tr</w:t>
      </w:r>
      <w:r>
        <w:rPr>
          <w:spacing w:val="-2"/>
          <w:szCs w:val="19"/>
          <w:lang w:eastAsia="pl-PL"/>
        </w:rPr>
        <w:t xml:space="preserve">ansport i gospodarka magazynowa, </w:t>
      </w:r>
      <w:r w:rsidRPr="00E77FD2">
        <w:rPr>
          <w:spacing w:val="-2"/>
          <w:szCs w:val="19"/>
          <w:lang w:eastAsia="pl-PL"/>
        </w:rPr>
        <w:t xml:space="preserve">przetwórstwo przemysłowe oraz budownictwo. Wspomniane branże zawarły nowe umowy o wartości </w:t>
      </w:r>
      <w:r>
        <w:rPr>
          <w:spacing w:val="-2"/>
          <w:szCs w:val="19"/>
          <w:lang w:eastAsia="pl-PL"/>
        </w:rPr>
        <w:t>4</w:t>
      </w:r>
      <w:r w:rsidRPr="00E77FD2">
        <w:rPr>
          <w:spacing w:val="-2"/>
          <w:szCs w:val="19"/>
          <w:lang w:eastAsia="pl-PL"/>
        </w:rPr>
        <w:t xml:space="preserve">9 </w:t>
      </w:r>
      <w:r>
        <w:rPr>
          <w:spacing w:val="-2"/>
          <w:szCs w:val="19"/>
          <w:lang w:eastAsia="pl-PL"/>
        </w:rPr>
        <w:t>793</w:t>
      </w:r>
      <w:r w:rsidRPr="00E77FD2">
        <w:rPr>
          <w:spacing w:val="-2"/>
          <w:szCs w:val="19"/>
          <w:lang w:eastAsia="pl-PL"/>
        </w:rPr>
        <w:t xml:space="preserve"> mln zł, co stanowiło </w:t>
      </w:r>
      <w:r>
        <w:rPr>
          <w:spacing w:val="-2"/>
          <w:szCs w:val="19"/>
          <w:lang w:eastAsia="pl-PL"/>
        </w:rPr>
        <w:t>6</w:t>
      </w:r>
      <w:r w:rsidRPr="00E77FD2">
        <w:rPr>
          <w:spacing w:val="-2"/>
          <w:szCs w:val="19"/>
          <w:lang w:eastAsia="pl-PL"/>
        </w:rPr>
        <w:t>9,</w:t>
      </w:r>
      <w:r>
        <w:rPr>
          <w:spacing w:val="-2"/>
          <w:szCs w:val="19"/>
          <w:lang w:eastAsia="pl-PL"/>
        </w:rPr>
        <w:t>5</w:t>
      </w:r>
      <w:r w:rsidRPr="00E77FD2">
        <w:rPr>
          <w:spacing w:val="-2"/>
          <w:szCs w:val="19"/>
          <w:lang w:eastAsia="pl-PL"/>
        </w:rPr>
        <w:t>% wartości umów ogółem</w:t>
      </w:r>
      <w:r w:rsidR="001551D7" w:rsidRPr="00E77FD2">
        <w:rPr>
          <w:spacing w:val="-2"/>
          <w:szCs w:val="19"/>
          <w:lang w:eastAsia="pl-PL"/>
        </w:rPr>
        <w:t>.</w:t>
      </w:r>
      <w:r w:rsidR="001551D7" w:rsidRPr="00BA275D">
        <w:rPr>
          <w:shd w:val="clear" w:color="auto" w:fill="FFFFFF"/>
        </w:rPr>
        <w:t xml:space="preserve"> </w:t>
      </w:r>
    </w:p>
    <w:p w:rsidR="001551D7" w:rsidRPr="00051B61" w:rsidRDefault="00311092" w:rsidP="001551D7">
      <w:pPr>
        <w:spacing w:before="240"/>
        <w:ind w:left="851" w:hanging="851"/>
        <w:rPr>
          <w:b/>
        </w:rPr>
      </w:pPr>
      <w:r w:rsidRPr="00051B61">
        <w:rPr>
          <w:b/>
        </w:rPr>
        <w:t>W</w:t>
      </w:r>
      <w:r w:rsidR="00552667" w:rsidRPr="00051B61">
        <w:rPr>
          <w:b/>
        </w:rPr>
        <w:t xml:space="preserve">ykres </w:t>
      </w:r>
      <w:r w:rsidR="00222FFE" w:rsidRPr="00051B61">
        <w:rPr>
          <w:b/>
        </w:rPr>
        <w:t>1</w:t>
      </w:r>
      <w:r w:rsidR="001551D7" w:rsidRPr="00051B61">
        <w:rPr>
          <w:b/>
        </w:rPr>
        <w:t>.</w:t>
      </w:r>
      <w:r w:rsidR="001551D7" w:rsidRPr="00051B61">
        <w:rPr>
          <w:b/>
          <w:shd w:val="clear" w:color="auto" w:fill="FFFFFF"/>
        </w:rPr>
        <w:t xml:space="preserve"> </w:t>
      </w:r>
      <w:r w:rsidR="008D1005" w:rsidRPr="00051B61">
        <w:rPr>
          <w:b/>
          <w:shd w:val="clear" w:color="auto" w:fill="FFFFFF"/>
        </w:rPr>
        <w:t xml:space="preserve">Wartość nowych umów leasingu </w:t>
      </w:r>
      <w:r w:rsidR="001551D7" w:rsidRPr="00051B61">
        <w:rPr>
          <w:b/>
          <w:shd w:val="clear" w:color="auto" w:fill="FFFFFF"/>
        </w:rPr>
        <w:t>według rodzaju prowadzonej działalności</w:t>
      </w:r>
      <w:r w:rsidR="008A5DCA" w:rsidRPr="00051B61">
        <w:rPr>
          <w:b/>
          <w:shd w:val="clear" w:color="auto" w:fill="FFFFFF"/>
        </w:rPr>
        <w:t xml:space="preserve"> </w:t>
      </w:r>
      <w:r w:rsidR="001551D7" w:rsidRPr="00051B61">
        <w:rPr>
          <w:b/>
          <w:shd w:val="clear" w:color="auto" w:fill="FFFFFF"/>
        </w:rPr>
        <w:t>(sekcji PKD)</w:t>
      </w:r>
      <w:r w:rsidR="008D1005" w:rsidRPr="00051B61">
        <w:rPr>
          <w:b/>
          <w:shd w:val="clear" w:color="auto" w:fill="FFFFFF"/>
        </w:rPr>
        <w:t xml:space="preserve"> leasingobiorcy</w:t>
      </w:r>
      <w:r w:rsidR="001551D7" w:rsidRPr="00051B61">
        <w:rPr>
          <w:b/>
          <w:shd w:val="clear" w:color="auto" w:fill="FFFFFF"/>
        </w:rPr>
        <w:t xml:space="preserve"> </w:t>
      </w:r>
    </w:p>
    <w:p w:rsidR="001551D7" w:rsidRPr="00051B61" w:rsidRDefault="001551D7" w:rsidP="001551D7">
      <w:pPr>
        <w:pStyle w:val="Tekstpodstawowywcity"/>
        <w:ind w:right="-144" w:firstLine="0"/>
        <w:jc w:val="both"/>
        <w:rPr>
          <w:rFonts w:ascii="Calibri" w:hAnsi="Calibri"/>
          <w:szCs w:val="24"/>
        </w:rPr>
      </w:pPr>
      <w:r w:rsidRPr="00051B61">
        <w:rPr>
          <w:rFonts w:ascii="Calibri" w:hAnsi="Calibri"/>
          <w:noProof/>
          <w:szCs w:val="24"/>
        </w:rPr>
        <w:drawing>
          <wp:inline distT="0" distB="0" distL="0" distR="0" wp14:anchorId="00C32E52" wp14:editId="5AD4B057">
            <wp:extent cx="5214620" cy="2546985"/>
            <wp:effectExtent l="0" t="0" r="0" b="0"/>
            <wp:docPr id="13" name="Wykres 13" descr="Wartość nowych umów leasingu w 2021 r. według rodzaju prowadzonej działalności (sekcji PKD) leasingobiorcy przetwórstwo i przemysł 11 279 mln zł, budownictwo 7 163 mln zł, handel 16 753, transport i gospodarka magazynowa 14 598 mln zł, pozostała działalność usługowa 3 862 mln zł, inne 18 028 mln z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95A07" w:rsidRPr="00783C22" w:rsidRDefault="00074E34" w:rsidP="00C44429">
      <w:pPr>
        <w:pStyle w:val="Nagwek1"/>
        <w:rPr>
          <w:rFonts w:ascii="Fira Sans" w:hAnsi="Fira Sans"/>
          <w:b/>
        </w:rPr>
      </w:pPr>
      <w:r w:rsidRPr="00783C22">
        <w:rPr>
          <w:rFonts w:ascii="Fira Sans" w:hAnsi="Fira Sans"/>
          <w:b/>
          <w:shd w:val="clear" w:color="auto" w:fill="FFFFFF"/>
        </w:rPr>
        <w:t xml:space="preserve">Sytuacja finansowa </w:t>
      </w:r>
      <w:r w:rsidR="001F1047">
        <w:rPr>
          <w:rFonts w:ascii="Fira Sans" w:hAnsi="Fira Sans"/>
          <w:b/>
          <w:shd w:val="clear" w:color="auto" w:fill="FFFFFF"/>
        </w:rPr>
        <w:t xml:space="preserve">badanych </w:t>
      </w:r>
      <w:r w:rsidR="00326658" w:rsidRPr="00783C22">
        <w:rPr>
          <w:rFonts w:ascii="Fira Sans" w:hAnsi="Fira Sans"/>
          <w:b/>
          <w:shd w:val="clear" w:color="auto" w:fill="FFFFFF"/>
        </w:rPr>
        <w:t>przedsiębiorstw leasingowych</w:t>
      </w:r>
    </w:p>
    <w:p w:rsidR="005D763F" w:rsidRDefault="005D763F" w:rsidP="00FA5E2A">
      <w:pPr>
        <w:spacing w:line="288" w:lineRule="auto"/>
        <w:rPr>
          <w:shd w:val="clear" w:color="auto" w:fill="FFFFFF"/>
        </w:rPr>
      </w:pPr>
      <w:r w:rsidRPr="008D2DDF">
        <w:rPr>
          <w:shd w:val="clear" w:color="auto" w:fill="FFFFFF"/>
        </w:rPr>
        <w:t xml:space="preserve">Do oceny sytuacji finansowej wzięto pod uwagę podmioty zajmujące się działalnością </w:t>
      </w:r>
      <w:r>
        <w:rPr>
          <w:shd w:val="clear" w:color="auto" w:fill="FFFFFF"/>
        </w:rPr>
        <w:t>leasingową</w:t>
      </w:r>
      <w:r w:rsidRPr="008D2DDF">
        <w:rPr>
          <w:shd w:val="clear" w:color="auto" w:fill="FFFFFF"/>
        </w:rPr>
        <w:t xml:space="preserve"> w zakresie jedynym lub dominującym oraz jednocześnie deklarujące w badaniu prowadzenie pełnej rachunkowości – 6</w:t>
      </w:r>
      <w:r>
        <w:rPr>
          <w:shd w:val="clear" w:color="auto" w:fill="FFFFFF"/>
        </w:rPr>
        <w:t>1</w:t>
      </w:r>
      <w:r w:rsidRPr="008D2DDF">
        <w:rPr>
          <w:shd w:val="clear" w:color="auto" w:fill="FFFFFF"/>
        </w:rPr>
        <w:t xml:space="preserve"> przedsiębiorstw.</w:t>
      </w:r>
    </w:p>
    <w:p w:rsidR="00FA5E2A" w:rsidRPr="00424A79" w:rsidRDefault="00242BAB" w:rsidP="00FA5E2A">
      <w:pPr>
        <w:spacing w:line="288" w:lineRule="auto"/>
        <w:rPr>
          <w:spacing w:val="-2"/>
          <w:szCs w:val="19"/>
          <w:lang w:eastAsia="pl-PL"/>
        </w:rPr>
      </w:pPr>
      <w:r w:rsidRPr="00783C2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2C7DEE6C" wp14:editId="76306AFD">
                <wp:simplePos x="0" y="0"/>
                <wp:positionH relativeFrom="column">
                  <wp:posOffset>5340985</wp:posOffset>
                </wp:positionH>
                <wp:positionV relativeFrom="paragraph">
                  <wp:posOffset>836295</wp:posOffset>
                </wp:positionV>
                <wp:extent cx="1725295" cy="1221105"/>
                <wp:effectExtent l="0" t="0" r="0" b="0"/>
                <wp:wrapTight wrapText="bothSides">
                  <wp:wrapPolygon edited="0">
                    <wp:start x="715" y="0"/>
                    <wp:lineTo x="715" y="21229"/>
                    <wp:lineTo x="20749" y="21229"/>
                    <wp:lineTo x="20749" y="0"/>
                    <wp:lineTo x="715" y="0"/>
                  </wp:wrapPolygon>
                </wp:wrapTight>
                <wp:docPr id="5" name="Pole tekstowe 5" descr="W 2021 r. zysk netto wypracowało 53 przedsiębiorstwa leasingowe na kwotę 1 534 mln zł, a 8 firm poniosło stratę w wysokości 34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016" w:rsidRPr="005F7823" w:rsidRDefault="00F15016" w:rsidP="00F15016">
                            <w:pP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r. zysk netto </w:t>
                            </w:r>
                            <w:r w:rsidR="00242BAB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wypracował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53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przedsiębiorstw</w:t>
                            </w:r>
                            <w:r w:rsidR="00242BAB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leasingow</w:t>
                            </w:r>
                            <w:r w:rsidR="00242BAB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na kwotę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1 534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mln zł, a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firm 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poniosło stratę w wysokości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34</w:t>
                            </w:r>
                            <w:r w:rsidRPr="00424A79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mln</w:t>
                            </w:r>
                            <w:r w:rsidRPr="005F7823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DEE6C" id="Pole tekstowe 5" o:spid="_x0000_s1030" type="#_x0000_t202" alt="W 2021 r. zysk netto wypracowało 53 przedsiębiorstwa leasingowe na kwotę 1 534 mln zł, a 8 firm poniosło stratę w wysokości 34 mln zł" style="position:absolute;margin-left:420.55pt;margin-top:65.85pt;width:135.85pt;height:96.1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" filled="f" stroked="f">
                <v:textbox>
                  <w:txbxContent>
                    <w:p w:rsidR="00F15016" w:rsidRPr="005F7823" w:rsidRDefault="00F15016" w:rsidP="00F15016">
                      <w:pP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202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r. zysk netto </w:t>
                      </w:r>
                      <w:r w:rsidR="00242BAB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wypracował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53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przedsiębiorstw</w:t>
                      </w:r>
                      <w:r w:rsidR="00242BAB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leasingow</w:t>
                      </w:r>
                      <w:r w:rsidR="00242BAB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na kwotę 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1 534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mln zł, a 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firm 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poniosło stratę w wysokości 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34</w:t>
                      </w:r>
                      <w:r w:rsidRPr="00424A79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mln</w:t>
                      </w:r>
                      <w:r w:rsidRPr="005F7823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D763F" w:rsidRPr="00051B61">
        <w:rPr>
          <w:shd w:val="clear" w:color="auto" w:fill="FFFFFF"/>
        </w:rPr>
        <w:t xml:space="preserve">Wartość aktywów </w:t>
      </w:r>
      <w:r w:rsidR="005D763F">
        <w:rPr>
          <w:shd w:val="clear" w:color="auto" w:fill="FFFFFF"/>
        </w:rPr>
        <w:t>tych 61</w:t>
      </w:r>
      <w:r w:rsidR="005D763F" w:rsidRPr="00051B61">
        <w:rPr>
          <w:shd w:val="clear" w:color="auto" w:fill="FFFFFF"/>
        </w:rPr>
        <w:t xml:space="preserve"> </w:t>
      </w:r>
      <w:r w:rsidR="005D763F">
        <w:rPr>
          <w:shd w:val="clear" w:color="auto" w:fill="FFFFFF"/>
        </w:rPr>
        <w:t>podmiotów</w:t>
      </w:r>
      <w:r w:rsidR="005D763F" w:rsidRPr="00051B61">
        <w:rPr>
          <w:shd w:val="clear" w:color="auto" w:fill="FFFFFF"/>
        </w:rPr>
        <w:t xml:space="preserve"> </w:t>
      </w:r>
      <w:r w:rsidR="00FA5E2A" w:rsidRPr="006E3FA6">
        <w:rPr>
          <w:shd w:val="clear" w:color="auto" w:fill="FFFFFF"/>
        </w:rPr>
        <w:t>wyniosła 1</w:t>
      </w:r>
      <w:r w:rsidR="00FA5E2A">
        <w:rPr>
          <w:shd w:val="clear" w:color="auto" w:fill="FFFFFF"/>
        </w:rPr>
        <w:t>61</w:t>
      </w:r>
      <w:r w:rsidR="00FA5E2A" w:rsidRPr="006E3FA6">
        <w:rPr>
          <w:shd w:val="clear" w:color="auto" w:fill="FFFFFF"/>
        </w:rPr>
        <w:t> </w:t>
      </w:r>
      <w:r w:rsidR="00FA5E2A">
        <w:rPr>
          <w:shd w:val="clear" w:color="auto" w:fill="FFFFFF"/>
        </w:rPr>
        <w:t>519</w:t>
      </w:r>
      <w:r w:rsidR="00FA5E2A" w:rsidRPr="006E3FA6">
        <w:rPr>
          <w:shd w:val="clear" w:color="auto" w:fill="FFFFFF"/>
        </w:rPr>
        <w:t xml:space="preserve"> mln zł według stanu na koniec 202</w:t>
      </w:r>
      <w:r w:rsidR="00FA5E2A">
        <w:rPr>
          <w:shd w:val="clear" w:color="auto" w:fill="FFFFFF"/>
        </w:rPr>
        <w:t>1</w:t>
      </w:r>
      <w:r w:rsidR="00FA5E2A" w:rsidRPr="006E3FA6">
        <w:rPr>
          <w:shd w:val="clear" w:color="auto" w:fill="FFFFFF"/>
        </w:rPr>
        <w:t> r., a n</w:t>
      </w:r>
      <w:r w:rsidR="00FA5E2A" w:rsidRPr="006E3FA6">
        <w:rPr>
          <w:spacing w:val="-2"/>
          <w:szCs w:val="19"/>
          <w:lang w:eastAsia="pl-PL"/>
        </w:rPr>
        <w:t>ajwiększą pozycję (6</w:t>
      </w:r>
      <w:r w:rsidR="00FA5E2A">
        <w:rPr>
          <w:spacing w:val="-2"/>
          <w:szCs w:val="19"/>
          <w:lang w:eastAsia="pl-PL"/>
        </w:rPr>
        <w:t>5</w:t>
      </w:r>
      <w:r w:rsidR="00FA5E2A" w:rsidRPr="006E3FA6">
        <w:rPr>
          <w:spacing w:val="-2"/>
          <w:szCs w:val="19"/>
          <w:lang w:eastAsia="pl-PL"/>
        </w:rPr>
        <w:t>,</w:t>
      </w:r>
      <w:r w:rsidR="00FA5E2A">
        <w:rPr>
          <w:spacing w:val="-2"/>
          <w:szCs w:val="19"/>
          <w:lang w:eastAsia="pl-PL"/>
        </w:rPr>
        <w:t>6</w:t>
      </w:r>
      <w:r w:rsidR="00FA5E2A" w:rsidRPr="006E3FA6">
        <w:rPr>
          <w:spacing w:val="-2"/>
          <w:szCs w:val="19"/>
          <w:lang w:eastAsia="pl-PL"/>
        </w:rPr>
        <w:t xml:space="preserve">%) stanowiły aktywa trwałe o </w:t>
      </w:r>
      <w:r w:rsidR="00FA5E2A" w:rsidRPr="006E3FA6">
        <w:rPr>
          <w:shd w:val="clear" w:color="auto" w:fill="FFFFFF"/>
        </w:rPr>
        <w:t xml:space="preserve">wartości </w:t>
      </w:r>
      <w:r w:rsidR="00FA5E2A">
        <w:rPr>
          <w:shd w:val="clear" w:color="auto" w:fill="FFFFFF"/>
        </w:rPr>
        <w:t>105</w:t>
      </w:r>
      <w:r w:rsidR="00FA5E2A" w:rsidRPr="006E3FA6">
        <w:rPr>
          <w:shd w:val="clear" w:color="auto" w:fill="FFFFFF"/>
        </w:rPr>
        <w:t> </w:t>
      </w:r>
      <w:r w:rsidR="00FA5E2A">
        <w:rPr>
          <w:shd w:val="clear" w:color="auto" w:fill="FFFFFF"/>
        </w:rPr>
        <w:t>982</w:t>
      </w:r>
      <w:r w:rsidR="00FA5E2A" w:rsidRPr="006E3FA6">
        <w:rPr>
          <w:shd w:val="clear" w:color="auto" w:fill="FFFFFF"/>
        </w:rPr>
        <w:t xml:space="preserve"> mln zł.</w:t>
      </w:r>
      <w:r w:rsidR="00FA5E2A" w:rsidRPr="006E3FA6">
        <w:rPr>
          <w:spacing w:val="-2"/>
          <w:szCs w:val="19"/>
          <w:lang w:eastAsia="pl-PL"/>
        </w:rPr>
        <w:t xml:space="preserve"> Aktywa obrotowe </w:t>
      </w:r>
      <w:r w:rsidR="00FA5E2A">
        <w:rPr>
          <w:spacing w:val="-2"/>
          <w:szCs w:val="19"/>
          <w:lang w:eastAsia="pl-PL"/>
        </w:rPr>
        <w:t>wyniosły</w:t>
      </w:r>
      <w:r w:rsidR="00FA5E2A" w:rsidRPr="006E3FA6">
        <w:rPr>
          <w:spacing w:val="-2"/>
          <w:szCs w:val="19"/>
          <w:lang w:eastAsia="pl-PL"/>
        </w:rPr>
        <w:t xml:space="preserve"> 5</w:t>
      </w:r>
      <w:r w:rsidR="00FA5E2A">
        <w:rPr>
          <w:spacing w:val="-2"/>
          <w:szCs w:val="19"/>
          <w:lang w:eastAsia="pl-PL"/>
        </w:rPr>
        <w:t>5</w:t>
      </w:r>
      <w:r w:rsidR="00FA5E2A" w:rsidRPr="006E3FA6">
        <w:rPr>
          <w:spacing w:val="-2"/>
          <w:szCs w:val="19"/>
          <w:lang w:eastAsia="pl-PL"/>
        </w:rPr>
        <w:t> </w:t>
      </w:r>
      <w:r w:rsidR="00FA5E2A">
        <w:rPr>
          <w:spacing w:val="-2"/>
          <w:szCs w:val="19"/>
          <w:lang w:eastAsia="pl-PL"/>
        </w:rPr>
        <w:t>537</w:t>
      </w:r>
      <w:r w:rsidR="00FA5E2A" w:rsidRPr="006E3FA6">
        <w:rPr>
          <w:spacing w:val="-2"/>
          <w:szCs w:val="19"/>
          <w:lang w:eastAsia="pl-PL"/>
        </w:rPr>
        <w:t xml:space="preserve"> mln zł, co stanowiło 3</w:t>
      </w:r>
      <w:r w:rsidR="00FA5E2A">
        <w:rPr>
          <w:spacing w:val="-2"/>
          <w:szCs w:val="19"/>
          <w:lang w:eastAsia="pl-PL"/>
        </w:rPr>
        <w:t>4</w:t>
      </w:r>
      <w:r w:rsidR="00FA5E2A" w:rsidRPr="006E3FA6">
        <w:rPr>
          <w:spacing w:val="-2"/>
          <w:szCs w:val="19"/>
          <w:lang w:eastAsia="pl-PL"/>
        </w:rPr>
        <w:t>,</w:t>
      </w:r>
      <w:r w:rsidR="00FA5E2A">
        <w:rPr>
          <w:spacing w:val="-2"/>
          <w:szCs w:val="19"/>
          <w:lang w:eastAsia="pl-PL"/>
        </w:rPr>
        <w:t>4</w:t>
      </w:r>
      <w:r w:rsidR="00FA5E2A" w:rsidRPr="006E3FA6">
        <w:rPr>
          <w:spacing w:val="-2"/>
          <w:szCs w:val="19"/>
          <w:lang w:eastAsia="pl-PL"/>
        </w:rPr>
        <w:t xml:space="preserve">% </w:t>
      </w:r>
      <w:r w:rsidR="00FA5E2A" w:rsidRPr="00424A79">
        <w:rPr>
          <w:spacing w:val="-2"/>
          <w:szCs w:val="19"/>
          <w:lang w:eastAsia="pl-PL"/>
        </w:rPr>
        <w:t xml:space="preserve">wartości majątku ogółem. W pasywach tej grupy przedsiębiorstw leasingowych </w:t>
      </w:r>
      <w:r w:rsidR="00FA5E2A">
        <w:rPr>
          <w:spacing w:val="-2"/>
          <w:szCs w:val="19"/>
          <w:lang w:eastAsia="pl-PL"/>
        </w:rPr>
        <w:t xml:space="preserve">dominowały </w:t>
      </w:r>
      <w:r w:rsidR="00FA5E2A" w:rsidRPr="00424A79">
        <w:rPr>
          <w:spacing w:val="-2"/>
          <w:szCs w:val="19"/>
          <w:lang w:eastAsia="pl-PL"/>
        </w:rPr>
        <w:t xml:space="preserve">zobowiązania </w:t>
      </w:r>
      <w:r w:rsidR="00FA5E2A">
        <w:rPr>
          <w:spacing w:val="-2"/>
          <w:szCs w:val="19"/>
          <w:lang w:eastAsia="pl-PL"/>
        </w:rPr>
        <w:t>i rezerwy na zobowiązania, których wartość wynosiła</w:t>
      </w:r>
      <w:r w:rsidR="00FA5E2A" w:rsidRPr="00424A79">
        <w:rPr>
          <w:spacing w:val="-2"/>
          <w:szCs w:val="19"/>
          <w:lang w:eastAsia="pl-PL"/>
        </w:rPr>
        <w:t xml:space="preserve"> 1</w:t>
      </w:r>
      <w:r w:rsidR="00FA5E2A">
        <w:rPr>
          <w:spacing w:val="-2"/>
          <w:szCs w:val="19"/>
          <w:lang w:eastAsia="pl-PL"/>
        </w:rPr>
        <w:t>5</w:t>
      </w:r>
      <w:r w:rsidR="00FA5E2A" w:rsidRPr="00424A79">
        <w:rPr>
          <w:spacing w:val="-2"/>
          <w:szCs w:val="19"/>
          <w:lang w:eastAsia="pl-PL"/>
        </w:rPr>
        <w:t xml:space="preserve">2 </w:t>
      </w:r>
      <w:r w:rsidR="00FA5E2A">
        <w:rPr>
          <w:spacing w:val="-2"/>
          <w:szCs w:val="19"/>
          <w:lang w:eastAsia="pl-PL"/>
        </w:rPr>
        <w:t>356</w:t>
      </w:r>
      <w:r w:rsidR="00FA5E2A" w:rsidRPr="00424A79">
        <w:rPr>
          <w:spacing w:val="-2"/>
          <w:szCs w:val="19"/>
          <w:lang w:eastAsia="pl-PL"/>
        </w:rPr>
        <w:t> mln zł</w:t>
      </w:r>
      <w:r w:rsidR="00FA5E2A">
        <w:rPr>
          <w:spacing w:val="-2"/>
          <w:szCs w:val="19"/>
          <w:lang w:eastAsia="pl-PL"/>
        </w:rPr>
        <w:t xml:space="preserve"> (</w:t>
      </w:r>
      <w:r w:rsidR="00FA5E2A" w:rsidRPr="00424A79">
        <w:rPr>
          <w:spacing w:val="-2"/>
          <w:szCs w:val="19"/>
          <w:lang w:eastAsia="pl-PL"/>
        </w:rPr>
        <w:t>94,</w:t>
      </w:r>
      <w:r w:rsidR="00FA5E2A">
        <w:rPr>
          <w:spacing w:val="-2"/>
          <w:szCs w:val="19"/>
          <w:lang w:eastAsia="pl-PL"/>
        </w:rPr>
        <w:t>3</w:t>
      </w:r>
      <w:r w:rsidR="00FA5E2A" w:rsidRPr="00424A79">
        <w:rPr>
          <w:spacing w:val="-2"/>
          <w:szCs w:val="19"/>
          <w:lang w:eastAsia="pl-PL"/>
        </w:rPr>
        <w:t>% wartości pasywów</w:t>
      </w:r>
      <w:r w:rsidR="00FA5E2A">
        <w:rPr>
          <w:spacing w:val="-2"/>
          <w:szCs w:val="19"/>
          <w:lang w:eastAsia="pl-PL"/>
        </w:rPr>
        <w:t xml:space="preserve"> ogółem)</w:t>
      </w:r>
      <w:r w:rsidR="00FA5E2A" w:rsidRPr="00424A79">
        <w:rPr>
          <w:spacing w:val="-2"/>
          <w:szCs w:val="19"/>
          <w:lang w:eastAsia="pl-PL"/>
        </w:rPr>
        <w:t xml:space="preserve">. </w:t>
      </w:r>
    </w:p>
    <w:p w:rsidR="001739F8" w:rsidRDefault="00FA5E2A" w:rsidP="00133F4A">
      <w:pPr>
        <w:spacing w:line="288" w:lineRule="auto"/>
      </w:pPr>
      <w:r w:rsidRPr="00424A79">
        <w:rPr>
          <w:spacing w:val="-2"/>
          <w:szCs w:val="19"/>
          <w:lang w:eastAsia="pl-PL"/>
        </w:rPr>
        <w:t>Przychody z całokształtu działalności</w:t>
      </w:r>
      <w:r w:rsidRPr="005E6CFB">
        <w:rPr>
          <w:spacing w:val="-2"/>
          <w:szCs w:val="19"/>
          <w:lang w:eastAsia="pl-PL"/>
        </w:rPr>
        <w:t xml:space="preserve"> przedsiębiorstw, w których </w:t>
      </w:r>
      <w:r w:rsidRPr="005E6CFB">
        <w:rPr>
          <w:shd w:val="clear" w:color="auto" w:fill="FFFFFF"/>
        </w:rPr>
        <w:t>działalność leasingowa była jedynym lub dominującym rodzajem działalności</w:t>
      </w:r>
      <w:r w:rsidRPr="005E6CFB">
        <w:rPr>
          <w:spacing w:val="-2"/>
          <w:szCs w:val="19"/>
          <w:lang w:eastAsia="pl-PL"/>
        </w:rPr>
        <w:t xml:space="preserve"> wyniosły 1</w:t>
      </w:r>
      <w:r>
        <w:rPr>
          <w:spacing w:val="-2"/>
          <w:szCs w:val="19"/>
          <w:lang w:eastAsia="pl-PL"/>
        </w:rPr>
        <w:t>4</w:t>
      </w:r>
      <w:r w:rsidRPr="005E6CFB">
        <w:rPr>
          <w:spacing w:val="-2"/>
          <w:szCs w:val="19"/>
          <w:lang w:eastAsia="pl-PL"/>
        </w:rPr>
        <w:t xml:space="preserve"> 5</w:t>
      </w:r>
      <w:r>
        <w:rPr>
          <w:spacing w:val="-2"/>
          <w:szCs w:val="19"/>
          <w:lang w:eastAsia="pl-PL"/>
        </w:rPr>
        <w:t>10</w:t>
      </w:r>
      <w:r w:rsidRPr="005E6CFB">
        <w:rPr>
          <w:spacing w:val="-2"/>
          <w:szCs w:val="19"/>
          <w:lang w:eastAsia="pl-PL"/>
        </w:rPr>
        <w:t xml:space="preserve"> mln zł. W strukturze tych przychodów największy udział miały przychody ze sprzedaży – </w:t>
      </w:r>
      <w:r>
        <w:rPr>
          <w:spacing w:val="-2"/>
          <w:szCs w:val="19"/>
          <w:lang w:eastAsia="pl-PL"/>
        </w:rPr>
        <w:t>77</w:t>
      </w:r>
      <w:r w:rsidRPr="005E6CFB">
        <w:rPr>
          <w:spacing w:val="-2"/>
          <w:szCs w:val="19"/>
          <w:lang w:eastAsia="pl-PL"/>
        </w:rPr>
        <w:t>,0%. Koszty z całokształtu działalności ukształtowały się na poziomie 1</w:t>
      </w:r>
      <w:r>
        <w:rPr>
          <w:spacing w:val="-2"/>
          <w:szCs w:val="19"/>
          <w:lang w:eastAsia="pl-PL"/>
        </w:rPr>
        <w:t>2</w:t>
      </w:r>
      <w:r w:rsidRPr="005E6CFB">
        <w:rPr>
          <w:spacing w:val="-2"/>
          <w:szCs w:val="19"/>
          <w:lang w:eastAsia="pl-PL"/>
        </w:rPr>
        <w:t> </w:t>
      </w:r>
      <w:r>
        <w:rPr>
          <w:spacing w:val="-2"/>
          <w:szCs w:val="19"/>
          <w:lang w:eastAsia="pl-PL"/>
        </w:rPr>
        <w:t>590</w:t>
      </w:r>
      <w:r w:rsidRPr="005E6CFB">
        <w:rPr>
          <w:spacing w:val="-2"/>
          <w:szCs w:val="19"/>
          <w:lang w:eastAsia="pl-PL"/>
        </w:rPr>
        <w:t xml:space="preserve"> mln zł, w tym </w:t>
      </w:r>
      <w:r>
        <w:rPr>
          <w:spacing w:val="-2"/>
          <w:szCs w:val="19"/>
          <w:lang w:eastAsia="pl-PL"/>
        </w:rPr>
        <w:t>57</w:t>
      </w:r>
      <w:r w:rsidRPr="005E6CFB">
        <w:rPr>
          <w:spacing w:val="-2"/>
          <w:szCs w:val="19"/>
          <w:lang w:eastAsia="pl-PL"/>
        </w:rPr>
        <w:t>,</w:t>
      </w:r>
      <w:r>
        <w:rPr>
          <w:spacing w:val="-2"/>
          <w:szCs w:val="19"/>
          <w:lang w:eastAsia="pl-PL"/>
        </w:rPr>
        <w:t>8</w:t>
      </w:r>
      <w:r w:rsidRPr="005E6CFB">
        <w:rPr>
          <w:spacing w:val="-2"/>
          <w:szCs w:val="19"/>
          <w:lang w:eastAsia="pl-PL"/>
        </w:rPr>
        <w:t xml:space="preserve">% stanowiły koszty działalności operacyjnej. </w:t>
      </w:r>
      <w:r w:rsidRPr="005E6CFB">
        <w:t xml:space="preserve">Wynik finansowy netto wyniósł </w:t>
      </w:r>
      <w:r>
        <w:t>1 500</w:t>
      </w:r>
      <w:r w:rsidRPr="005E6CFB">
        <w:t> mln zł.</w:t>
      </w:r>
      <w:r w:rsidRPr="00987586">
        <w:t xml:space="preserve"> </w:t>
      </w:r>
    </w:p>
    <w:p w:rsidR="00A52EFF" w:rsidRPr="00987586" w:rsidRDefault="00A52EFF" w:rsidP="001739F8">
      <w:pPr>
        <w:rPr>
          <w:rFonts w:ascii="Calibri" w:hAnsi="Calibri"/>
          <w:b/>
          <w:bCs/>
          <w:sz w:val="22"/>
        </w:rPr>
      </w:pPr>
    </w:p>
    <w:p w:rsidR="00694AF0" w:rsidRPr="00987586" w:rsidRDefault="00A52EFF" w:rsidP="00FA5E2A">
      <w:pPr>
        <w:spacing w:line="288" w:lineRule="auto"/>
        <w:rPr>
          <w:sz w:val="18"/>
        </w:rPr>
      </w:pPr>
      <w:r>
        <w:rPr>
          <w:color w:val="000000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694AF0" w:rsidRPr="00987586" w:rsidRDefault="00694AF0" w:rsidP="00E76D26">
      <w:pPr>
        <w:rPr>
          <w:sz w:val="18"/>
        </w:rPr>
        <w:sectPr w:rsidR="00694AF0" w:rsidRPr="00987586" w:rsidSect="00E556D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D0106" w:rsidTr="00E33A0B">
        <w:trPr>
          <w:trHeight w:val="1626"/>
        </w:trPr>
        <w:tc>
          <w:tcPr>
            <w:tcW w:w="4926" w:type="dxa"/>
          </w:tcPr>
          <w:p w:rsidR="00BD0106" w:rsidRPr="004A1D19" w:rsidRDefault="00BD0106" w:rsidP="00E33A0B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BD0106" w:rsidRPr="008925F0" w:rsidRDefault="00BD0106" w:rsidP="00E33A0B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Studiów Makroekonomicznych</w:t>
            </w:r>
            <w:r>
              <w:rPr>
                <w:rFonts w:cs="Arial"/>
                <w:b/>
                <w:color w:val="000000" w:themeColor="text1"/>
                <w:sz w:val="20"/>
              </w:rPr>
              <w:br/>
              <w:t>i Finansów</w:t>
            </w:r>
          </w:p>
          <w:p w:rsidR="00BD0106" w:rsidRPr="00AB1F20" w:rsidRDefault="00BD0106" w:rsidP="00E33A0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>
              <w:rPr>
                <w:b/>
                <w:sz w:val="20"/>
                <w:szCs w:val="20"/>
                <w:lang w:val="fi-FI"/>
              </w:rPr>
              <w:t>Mirosław Błażej</w:t>
            </w:r>
          </w:p>
          <w:p w:rsidR="00BD0106" w:rsidRPr="00AB24E4" w:rsidRDefault="00BD0106" w:rsidP="00E33A0B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608 37 73</w:t>
            </w:r>
          </w:p>
        </w:tc>
        <w:tc>
          <w:tcPr>
            <w:tcW w:w="4927" w:type="dxa"/>
          </w:tcPr>
          <w:p w:rsidR="00BD0106" w:rsidRPr="004A1D19" w:rsidRDefault="00BD0106" w:rsidP="00E33A0B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5F7611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BD0106" w:rsidRPr="00F03D62" w:rsidRDefault="00BD0106" w:rsidP="00E33A0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F03D62">
              <w:rPr>
                <w:b/>
                <w:sz w:val="20"/>
                <w:szCs w:val="20"/>
                <w:lang w:val="fi-FI"/>
              </w:rPr>
              <w:t>Karolina Banaszek</w:t>
            </w:r>
          </w:p>
          <w:p w:rsidR="00BD0106" w:rsidRPr="00331135" w:rsidRDefault="00BD0106" w:rsidP="00E33A0B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3113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695 255 011</w:t>
            </w:r>
          </w:p>
          <w:p w:rsidR="00BD0106" w:rsidRDefault="00BD0106" w:rsidP="00E33A0B">
            <w:pPr>
              <w:rPr>
                <w:sz w:val="18"/>
              </w:rPr>
            </w:pPr>
          </w:p>
        </w:tc>
      </w:tr>
      <w:tr w:rsidR="00BD0106" w:rsidTr="00E33A0B">
        <w:trPr>
          <w:trHeight w:val="418"/>
        </w:trPr>
        <w:tc>
          <w:tcPr>
            <w:tcW w:w="4926" w:type="dxa"/>
            <w:vMerge w:val="restart"/>
          </w:tcPr>
          <w:p w:rsidR="00BD0106" w:rsidRPr="00C91687" w:rsidRDefault="00BD0106" w:rsidP="00E33A0B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BD0106" w:rsidRPr="00C91687" w:rsidRDefault="00BD0106" w:rsidP="00E33A0B">
            <w:pPr>
              <w:spacing w:before="0" w:after="0"/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BD0106" w:rsidRPr="00F05FC7" w:rsidRDefault="00BD0106" w:rsidP="00E33A0B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BD0106" w:rsidRDefault="00BD0106" w:rsidP="00E33A0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0D7A0EFB" wp14:editId="1E9D6C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9" name="Obraz 29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BD0106" w:rsidTr="00E33A0B">
        <w:trPr>
          <w:trHeight w:val="418"/>
        </w:trPr>
        <w:tc>
          <w:tcPr>
            <w:tcW w:w="4926" w:type="dxa"/>
            <w:vMerge/>
          </w:tcPr>
          <w:p w:rsidR="00BD0106" w:rsidRPr="00C91687" w:rsidRDefault="00BD0106" w:rsidP="00E33A0B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BD0106" w:rsidRDefault="00BD0106" w:rsidP="00E33A0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6944" behindDoc="0" locked="0" layoutInCell="1" allowOverlap="1" wp14:anchorId="324BB572" wp14:editId="1D7CAA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0" name="Obraz 30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D0106" w:rsidTr="00E33A0B">
        <w:trPr>
          <w:trHeight w:val="476"/>
        </w:trPr>
        <w:tc>
          <w:tcPr>
            <w:tcW w:w="4926" w:type="dxa"/>
            <w:vMerge/>
          </w:tcPr>
          <w:p w:rsidR="00BD0106" w:rsidRPr="00C91687" w:rsidRDefault="00BD0106" w:rsidP="00E33A0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D0106" w:rsidRDefault="00BD0106" w:rsidP="00E33A0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7968" behindDoc="0" locked="0" layoutInCell="1" allowOverlap="1" wp14:anchorId="30DA3793" wp14:editId="3E92C26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1" name="Obraz 31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D0106" w:rsidTr="00E33A0B">
        <w:trPr>
          <w:trHeight w:val="426"/>
        </w:trPr>
        <w:tc>
          <w:tcPr>
            <w:tcW w:w="4926" w:type="dxa"/>
          </w:tcPr>
          <w:p w:rsidR="00BD0106" w:rsidRPr="00C91687" w:rsidRDefault="00BD0106" w:rsidP="00E33A0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D0106" w:rsidRDefault="00BD0106" w:rsidP="00E33A0B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8992" behindDoc="0" locked="0" layoutInCell="1" allowOverlap="1" wp14:anchorId="036337AF" wp14:editId="105BF5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2" name="Obraz 32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BD0106" w:rsidTr="00E33A0B">
        <w:trPr>
          <w:trHeight w:val="504"/>
        </w:trPr>
        <w:tc>
          <w:tcPr>
            <w:tcW w:w="4926" w:type="dxa"/>
          </w:tcPr>
          <w:p w:rsidR="00BD0106" w:rsidRPr="00C91687" w:rsidRDefault="00BD0106" w:rsidP="00E33A0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D0106" w:rsidRDefault="00BD0106" w:rsidP="00E33A0B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0016" behindDoc="0" locked="0" layoutInCell="1" allowOverlap="1" wp14:anchorId="73CF6BB9" wp14:editId="7764862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3" name="Obraz 33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BD0106" w:rsidTr="00E33A0B">
        <w:trPr>
          <w:trHeight w:val="1546"/>
        </w:trPr>
        <w:tc>
          <w:tcPr>
            <w:tcW w:w="4926" w:type="dxa"/>
          </w:tcPr>
          <w:p w:rsidR="00BD0106" w:rsidRPr="00C91687" w:rsidRDefault="00BD0106" w:rsidP="00E33A0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D0106" w:rsidRDefault="00BD0106" w:rsidP="00E33A0B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1040" behindDoc="0" locked="0" layoutInCell="1" allowOverlap="1" wp14:anchorId="0E3D981E" wp14:editId="6C016B3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4" name="Obraz 3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0106" w:rsidRPr="00876479" w:rsidTr="00E33A0B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BD0106" w:rsidRPr="00876479" w:rsidRDefault="00BD0106" w:rsidP="00E33A0B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BD0106" w:rsidRPr="00CF18EE" w:rsidRDefault="00BD0106" w:rsidP="00E33A0B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="00A41716">
              <w:rPr>
                <w:rFonts w:cs="Times New Roman"/>
              </w:rPr>
              <w:instrText>HYPERLINK "https://stat.gov.pl/obszary-tematyczne/podmioty-gospodarcze-wyniki-finansowe/przedsiebiorstwa-finansowe/wyspecjalizowane-segmenty-rynku-finansowego-2020,18,6.html" \o "Linko do opracowania pt. Wyspecjalizowane segmenty rynku finansowego 2020..."</w:instrText>
            </w:r>
            <w:r>
              <w:rPr>
                <w:rFonts w:cs="Times New Roman"/>
              </w:rPr>
              <w:fldChar w:fldCharType="separate"/>
            </w:r>
            <w:r w:rsidRPr="006C47D1">
              <w:rPr>
                <w:rStyle w:val="Hipercze"/>
              </w:rPr>
              <w:t>Wyspecjalizowane segmenty rynku finansowego 20</w:t>
            </w:r>
            <w:r w:rsidR="00E9732B">
              <w:rPr>
                <w:rStyle w:val="Hipercze"/>
              </w:rPr>
              <w:t>20</w:t>
            </w:r>
            <w:r w:rsidRPr="006C47D1">
              <w:rPr>
                <w:rStyle w:val="Hipercze"/>
              </w:rPr>
              <w:t xml:space="preserve"> </w:t>
            </w:r>
            <w:r w:rsidRPr="00CF18EE">
              <w:rPr>
                <w:rStyle w:val="Hipercze"/>
              </w:rPr>
              <w:t xml:space="preserve">  </w:t>
            </w:r>
          </w:p>
          <w:p w:rsidR="00BD0106" w:rsidRDefault="00BD0106" w:rsidP="00BD0106">
            <w:pPr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BD0106" w:rsidRPr="00694D63" w:rsidRDefault="00BD0106" w:rsidP="00E33A0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BD0106" w:rsidRPr="006C47D1" w:rsidRDefault="00FF62B5" w:rsidP="00BD0106">
            <w:pPr>
              <w:shd w:val="clear" w:color="auto" w:fill="D9D9D9" w:themeFill="background1" w:themeFillShade="D9"/>
              <w:rPr>
                <w:u w:val="single"/>
              </w:rPr>
            </w:pPr>
            <w:hyperlink r:id="rId23" w:history="1">
              <w:r w:rsidR="00BD0106" w:rsidRPr="006C47D1">
                <w:rPr>
                  <w:rStyle w:val="Hipercze"/>
                  <w:rFonts w:cstheme="minorBidi"/>
                </w:rPr>
                <w:t>Leasing</w:t>
              </w:r>
            </w:hyperlink>
          </w:p>
          <w:p w:rsidR="00BD0106" w:rsidRPr="006C47D1" w:rsidRDefault="00FF62B5" w:rsidP="00BD0106">
            <w:pPr>
              <w:shd w:val="clear" w:color="auto" w:fill="D9D9D9" w:themeFill="background1" w:themeFillShade="D9"/>
              <w:rPr>
                <w:u w:val="single"/>
              </w:rPr>
            </w:pPr>
            <w:hyperlink r:id="rId24" w:history="1">
              <w:r w:rsidR="00BD0106" w:rsidRPr="006C47D1">
                <w:rPr>
                  <w:rStyle w:val="Hipercze"/>
                  <w:rFonts w:cstheme="minorBidi"/>
                </w:rPr>
                <w:t>Leasingobiorca</w:t>
              </w:r>
            </w:hyperlink>
          </w:p>
          <w:p w:rsidR="00BD0106" w:rsidRDefault="00FF62B5" w:rsidP="00BD0106">
            <w:hyperlink r:id="rId25" w:history="1">
              <w:r w:rsidR="00BD0106" w:rsidRPr="006C47D1">
                <w:rPr>
                  <w:rStyle w:val="Hipercze"/>
                  <w:rFonts w:cstheme="minorBidi"/>
                </w:rPr>
                <w:t>Leasingodawca</w:t>
              </w:r>
            </w:hyperlink>
          </w:p>
          <w:p w:rsidR="00BD0106" w:rsidRPr="009B2A4A" w:rsidRDefault="00BD0106" w:rsidP="00E33A0B">
            <w:pPr>
              <w:rPr>
                <w:rStyle w:val="Hipercze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BD0106" w:rsidRPr="00876479" w:rsidRDefault="00BD0106" w:rsidP="00E33A0B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BD0106" w:rsidRDefault="00BD0106" w:rsidP="00743186">
      <w:pPr>
        <w:rPr>
          <w:sz w:val="18"/>
        </w:rPr>
      </w:pPr>
    </w:p>
    <w:p w:rsidR="00BD0106" w:rsidRDefault="00BD0106">
      <w:pPr>
        <w:spacing w:before="0" w:after="160" w:line="259" w:lineRule="auto"/>
        <w:rPr>
          <w:sz w:val="18"/>
        </w:rPr>
      </w:pPr>
    </w:p>
    <w:sectPr w:rsidR="00BD0106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2B5" w:rsidRDefault="00FF62B5" w:rsidP="000662E2">
      <w:pPr>
        <w:spacing w:after="0" w:line="240" w:lineRule="auto"/>
      </w:pPr>
      <w:r>
        <w:separator/>
      </w:r>
    </w:p>
  </w:endnote>
  <w:endnote w:type="continuationSeparator" w:id="0">
    <w:p w:rsidR="00FF62B5" w:rsidRDefault="00FF62B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A0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A0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A0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2B5" w:rsidRDefault="00FF62B5" w:rsidP="000662E2">
      <w:pPr>
        <w:spacing w:after="0" w:line="240" w:lineRule="auto"/>
      </w:pPr>
      <w:r>
        <w:separator/>
      </w:r>
    </w:p>
  </w:footnote>
  <w:footnote w:type="continuationSeparator" w:id="0">
    <w:p w:rsidR="00FF62B5" w:rsidRDefault="00FF62B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932DC0" wp14:editId="414F281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A29E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4A4D70" w:rsidP="00E13CBA">
    <w:pPr>
      <w:pStyle w:val="Nagwek"/>
      <w:tabs>
        <w:tab w:val="left" w:pos="623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C1F89D" wp14:editId="706B54FB">
              <wp:simplePos x="0" y="0"/>
              <wp:positionH relativeFrom="column">
                <wp:posOffset>5181600</wp:posOffset>
              </wp:positionH>
              <wp:positionV relativeFrom="paragraph">
                <wp:posOffset>438785</wp:posOffset>
              </wp:positionV>
              <wp:extent cx="1924050" cy="16249650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162496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61C9D4" id="Prostokąt 10" o:spid="_x0000_s1026" style="position:absolute;margin-left:408pt;margin-top:34.55pt;width:151.5pt;height:1279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" fillcolor="#f2f2f2" stroked="f" strokeweight="1pt"/>
          </w:pict>
        </mc:Fallback>
      </mc:AlternateContent>
    </w:r>
    <w:r w:rsidR="00743186">
      <w:rPr>
        <w:noProof/>
        <w:lang w:eastAsia="pl-PL"/>
      </w:rPr>
      <w:drawing>
        <wp:inline distT="0" distB="0" distL="0" distR="0" wp14:anchorId="60A818FE" wp14:editId="2BD3B333">
          <wp:extent cx="1153274" cy="720000"/>
          <wp:effectExtent l="0" t="0" r="0" b="4445"/>
          <wp:docPr id="14" name="Obraz 14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8E66B8" wp14:editId="39078DB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E66B8" id="Schemat blokowy: opóźnienie 6" o:spid="_x0000_s1031" alt="Informacja sygnalna" style="position:absolute;margin-left:396.6pt;margin-top:15.65pt;width:162.25pt;height:28.1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1D47C78" wp14:editId="7FB8035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28.06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FA5E2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D0E1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144C2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43186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13CB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47C7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a publikacji Informacji sygnalnej 28.06.2022 r." style="position:absolute;margin-left:411pt;margin-top:20.95pt;width:112.8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" filled="f" stroked="f">
              <v:textbox>
                <w:txbxContent>
                  <w:p w:rsidR="00F37172" w:rsidRPr="00C97596" w:rsidRDefault="00FA5E2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D0E1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144C2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43186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13CB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" o:bullet="t">
        <v:imagedata r:id="rId1" o:title=""/>
      </v:shape>
    </w:pict>
  </w:numPicBullet>
  <w:numPicBullet w:numPicBulletId="1">
    <w:pict>
      <v:shape id="_x0000_i1029" type="#_x0000_t75" style="width:123.6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5C1"/>
    <w:rsid w:val="00003437"/>
    <w:rsid w:val="00006635"/>
    <w:rsid w:val="0000709F"/>
    <w:rsid w:val="000108B8"/>
    <w:rsid w:val="000152F5"/>
    <w:rsid w:val="00021484"/>
    <w:rsid w:val="000275B2"/>
    <w:rsid w:val="000362CB"/>
    <w:rsid w:val="00041012"/>
    <w:rsid w:val="000431D3"/>
    <w:rsid w:val="0004582E"/>
    <w:rsid w:val="000470AA"/>
    <w:rsid w:val="00051B61"/>
    <w:rsid w:val="00051D3A"/>
    <w:rsid w:val="00057CA1"/>
    <w:rsid w:val="000662E2"/>
    <w:rsid w:val="0006659B"/>
    <w:rsid w:val="00066883"/>
    <w:rsid w:val="00066F0F"/>
    <w:rsid w:val="0006735D"/>
    <w:rsid w:val="00067BDE"/>
    <w:rsid w:val="00071E95"/>
    <w:rsid w:val="00074DD8"/>
    <w:rsid w:val="00074E34"/>
    <w:rsid w:val="00077C86"/>
    <w:rsid w:val="000806F7"/>
    <w:rsid w:val="00084656"/>
    <w:rsid w:val="00097840"/>
    <w:rsid w:val="000A0E02"/>
    <w:rsid w:val="000A393D"/>
    <w:rsid w:val="000B05B7"/>
    <w:rsid w:val="000B0727"/>
    <w:rsid w:val="000B07DB"/>
    <w:rsid w:val="000B0A84"/>
    <w:rsid w:val="000C135D"/>
    <w:rsid w:val="000C5DF0"/>
    <w:rsid w:val="000C7194"/>
    <w:rsid w:val="000D1D43"/>
    <w:rsid w:val="000D225C"/>
    <w:rsid w:val="000D2A5C"/>
    <w:rsid w:val="000D3B12"/>
    <w:rsid w:val="000D5C7B"/>
    <w:rsid w:val="000E0918"/>
    <w:rsid w:val="000E1C23"/>
    <w:rsid w:val="000F2697"/>
    <w:rsid w:val="000F26AD"/>
    <w:rsid w:val="000F5433"/>
    <w:rsid w:val="000F69AA"/>
    <w:rsid w:val="001011C3"/>
    <w:rsid w:val="00101A48"/>
    <w:rsid w:val="00106EB7"/>
    <w:rsid w:val="00110D87"/>
    <w:rsid w:val="00110E07"/>
    <w:rsid w:val="00111C91"/>
    <w:rsid w:val="00114DB9"/>
    <w:rsid w:val="00116087"/>
    <w:rsid w:val="00121EE8"/>
    <w:rsid w:val="001279FC"/>
    <w:rsid w:val="00130296"/>
    <w:rsid w:val="00133F4A"/>
    <w:rsid w:val="001375D8"/>
    <w:rsid w:val="001416D9"/>
    <w:rsid w:val="001423B6"/>
    <w:rsid w:val="001438E6"/>
    <w:rsid w:val="001448A7"/>
    <w:rsid w:val="001450E5"/>
    <w:rsid w:val="00146621"/>
    <w:rsid w:val="0014698C"/>
    <w:rsid w:val="00151187"/>
    <w:rsid w:val="001551D7"/>
    <w:rsid w:val="00160753"/>
    <w:rsid w:val="00162325"/>
    <w:rsid w:val="00170FCD"/>
    <w:rsid w:val="0017387D"/>
    <w:rsid w:val="001739F8"/>
    <w:rsid w:val="001745BE"/>
    <w:rsid w:val="001750F5"/>
    <w:rsid w:val="00175D85"/>
    <w:rsid w:val="00176646"/>
    <w:rsid w:val="00177132"/>
    <w:rsid w:val="00181421"/>
    <w:rsid w:val="00186A33"/>
    <w:rsid w:val="00192BA1"/>
    <w:rsid w:val="001951DA"/>
    <w:rsid w:val="001954FF"/>
    <w:rsid w:val="001A0406"/>
    <w:rsid w:val="001A35B4"/>
    <w:rsid w:val="001B3EEA"/>
    <w:rsid w:val="001B510D"/>
    <w:rsid w:val="001C1261"/>
    <w:rsid w:val="001C3269"/>
    <w:rsid w:val="001C5EE7"/>
    <w:rsid w:val="001D127F"/>
    <w:rsid w:val="001D1DB4"/>
    <w:rsid w:val="001D5E8F"/>
    <w:rsid w:val="001F1047"/>
    <w:rsid w:val="001F363F"/>
    <w:rsid w:val="001F472A"/>
    <w:rsid w:val="001F6E7A"/>
    <w:rsid w:val="00200EBD"/>
    <w:rsid w:val="002032F0"/>
    <w:rsid w:val="00203597"/>
    <w:rsid w:val="002067D4"/>
    <w:rsid w:val="002200CB"/>
    <w:rsid w:val="00222FFE"/>
    <w:rsid w:val="00232036"/>
    <w:rsid w:val="00233E28"/>
    <w:rsid w:val="00235BA6"/>
    <w:rsid w:val="00242BAB"/>
    <w:rsid w:val="00247057"/>
    <w:rsid w:val="00253DD6"/>
    <w:rsid w:val="002574F9"/>
    <w:rsid w:val="00262B61"/>
    <w:rsid w:val="0026387B"/>
    <w:rsid w:val="00265955"/>
    <w:rsid w:val="00275D12"/>
    <w:rsid w:val="00276811"/>
    <w:rsid w:val="0027706C"/>
    <w:rsid w:val="00282699"/>
    <w:rsid w:val="002832D8"/>
    <w:rsid w:val="002926DF"/>
    <w:rsid w:val="00295736"/>
    <w:rsid w:val="00296697"/>
    <w:rsid w:val="002969D1"/>
    <w:rsid w:val="002B0472"/>
    <w:rsid w:val="002B4A53"/>
    <w:rsid w:val="002B6B12"/>
    <w:rsid w:val="002C4D14"/>
    <w:rsid w:val="002C4E08"/>
    <w:rsid w:val="002C67BF"/>
    <w:rsid w:val="002D0E17"/>
    <w:rsid w:val="002E53D1"/>
    <w:rsid w:val="002E6140"/>
    <w:rsid w:val="002E6985"/>
    <w:rsid w:val="002E71B6"/>
    <w:rsid w:val="002F0B30"/>
    <w:rsid w:val="002F2039"/>
    <w:rsid w:val="002F689B"/>
    <w:rsid w:val="002F77C8"/>
    <w:rsid w:val="00304F22"/>
    <w:rsid w:val="00306028"/>
    <w:rsid w:val="00306C7C"/>
    <w:rsid w:val="00311092"/>
    <w:rsid w:val="003155DA"/>
    <w:rsid w:val="00322A28"/>
    <w:rsid w:val="00322EDD"/>
    <w:rsid w:val="003240A9"/>
    <w:rsid w:val="00326658"/>
    <w:rsid w:val="00332320"/>
    <w:rsid w:val="00333AD1"/>
    <w:rsid w:val="00335077"/>
    <w:rsid w:val="0034217F"/>
    <w:rsid w:val="00347D72"/>
    <w:rsid w:val="00351961"/>
    <w:rsid w:val="0035374F"/>
    <w:rsid w:val="00356DDB"/>
    <w:rsid w:val="00357611"/>
    <w:rsid w:val="00367237"/>
    <w:rsid w:val="0037056E"/>
    <w:rsid w:val="0037077F"/>
    <w:rsid w:val="00372411"/>
    <w:rsid w:val="00373882"/>
    <w:rsid w:val="00374254"/>
    <w:rsid w:val="00374D07"/>
    <w:rsid w:val="00377712"/>
    <w:rsid w:val="00381E7B"/>
    <w:rsid w:val="003843DB"/>
    <w:rsid w:val="0038579E"/>
    <w:rsid w:val="00393761"/>
    <w:rsid w:val="00397D18"/>
    <w:rsid w:val="003A1B36"/>
    <w:rsid w:val="003A73F2"/>
    <w:rsid w:val="003B1454"/>
    <w:rsid w:val="003B18B6"/>
    <w:rsid w:val="003B78B9"/>
    <w:rsid w:val="003C59E0"/>
    <w:rsid w:val="003C6C8D"/>
    <w:rsid w:val="003D4F95"/>
    <w:rsid w:val="003D5F42"/>
    <w:rsid w:val="003D60A9"/>
    <w:rsid w:val="003D7CE1"/>
    <w:rsid w:val="003F4C97"/>
    <w:rsid w:val="003F5778"/>
    <w:rsid w:val="003F7FE6"/>
    <w:rsid w:val="00400193"/>
    <w:rsid w:val="00402954"/>
    <w:rsid w:val="00405848"/>
    <w:rsid w:val="00406F34"/>
    <w:rsid w:val="00412FF2"/>
    <w:rsid w:val="0041690C"/>
    <w:rsid w:val="004212E7"/>
    <w:rsid w:val="0042446D"/>
    <w:rsid w:val="00424A79"/>
    <w:rsid w:val="00427BF8"/>
    <w:rsid w:val="00431C02"/>
    <w:rsid w:val="00437395"/>
    <w:rsid w:val="00445047"/>
    <w:rsid w:val="00453027"/>
    <w:rsid w:val="00453B02"/>
    <w:rsid w:val="00457A2D"/>
    <w:rsid w:val="00463E39"/>
    <w:rsid w:val="004657FC"/>
    <w:rsid w:val="00471212"/>
    <w:rsid w:val="004733F6"/>
    <w:rsid w:val="00474E69"/>
    <w:rsid w:val="004765E6"/>
    <w:rsid w:val="00485544"/>
    <w:rsid w:val="00491C68"/>
    <w:rsid w:val="004953B0"/>
    <w:rsid w:val="00495A07"/>
    <w:rsid w:val="0049621B"/>
    <w:rsid w:val="00496481"/>
    <w:rsid w:val="0049685A"/>
    <w:rsid w:val="004A18A5"/>
    <w:rsid w:val="004A4D70"/>
    <w:rsid w:val="004A5E8D"/>
    <w:rsid w:val="004B0259"/>
    <w:rsid w:val="004B0E6F"/>
    <w:rsid w:val="004B467D"/>
    <w:rsid w:val="004B5E99"/>
    <w:rsid w:val="004B645B"/>
    <w:rsid w:val="004B7CDB"/>
    <w:rsid w:val="004B7F53"/>
    <w:rsid w:val="004C0721"/>
    <w:rsid w:val="004C1895"/>
    <w:rsid w:val="004C4822"/>
    <w:rsid w:val="004C52B0"/>
    <w:rsid w:val="004C615F"/>
    <w:rsid w:val="004C6D40"/>
    <w:rsid w:val="004D1202"/>
    <w:rsid w:val="004E2945"/>
    <w:rsid w:val="004F071D"/>
    <w:rsid w:val="004F0C3C"/>
    <w:rsid w:val="004F1036"/>
    <w:rsid w:val="004F38D4"/>
    <w:rsid w:val="004F63FC"/>
    <w:rsid w:val="0050171B"/>
    <w:rsid w:val="00501DAA"/>
    <w:rsid w:val="00505A92"/>
    <w:rsid w:val="005116F3"/>
    <w:rsid w:val="00514C7A"/>
    <w:rsid w:val="00517085"/>
    <w:rsid w:val="005203F1"/>
    <w:rsid w:val="00521499"/>
    <w:rsid w:val="00521BC3"/>
    <w:rsid w:val="00522A11"/>
    <w:rsid w:val="005232C3"/>
    <w:rsid w:val="005238EC"/>
    <w:rsid w:val="00533632"/>
    <w:rsid w:val="00537336"/>
    <w:rsid w:val="00541E6E"/>
    <w:rsid w:val="0054251F"/>
    <w:rsid w:val="00544C4D"/>
    <w:rsid w:val="005520D8"/>
    <w:rsid w:val="00552667"/>
    <w:rsid w:val="00556CF1"/>
    <w:rsid w:val="00567167"/>
    <w:rsid w:val="00572B9B"/>
    <w:rsid w:val="005762A7"/>
    <w:rsid w:val="00581996"/>
    <w:rsid w:val="0058334E"/>
    <w:rsid w:val="0058372E"/>
    <w:rsid w:val="00585CA7"/>
    <w:rsid w:val="005916D7"/>
    <w:rsid w:val="00592443"/>
    <w:rsid w:val="005954D8"/>
    <w:rsid w:val="005A03D6"/>
    <w:rsid w:val="005A698C"/>
    <w:rsid w:val="005B5C68"/>
    <w:rsid w:val="005C0252"/>
    <w:rsid w:val="005C5B0D"/>
    <w:rsid w:val="005D0705"/>
    <w:rsid w:val="005D370A"/>
    <w:rsid w:val="005D391D"/>
    <w:rsid w:val="005D51A7"/>
    <w:rsid w:val="005D53B2"/>
    <w:rsid w:val="005D763F"/>
    <w:rsid w:val="005E0799"/>
    <w:rsid w:val="005E6CFB"/>
    <w:rsid w:val="005E7160"/>
    <w:rsid w:val="005F5A80"/>
    <w:rsid w:val="005F7823"/>
    <w:rsid w:val="006044FF"/>
    <w:rsid w:val="00607CC5"/>
    <w:rsid w:val="00607E39"/>
    <w:rsid w:val="0061021B"/>
    <w:rsid w:val="00621246"/>
    <w:rsid w:val="00624880"/>
    <w:rsid w:val="0062701D"/>
    <w:rsid w:val="00627D96"/>
    <w:rsid w:val="00627E5A"/>
    <w:rsid w:val="00633014"/>
    <w:rsid w:val="0063437B"/>
    <w:rsid w:val="00636AC3"/>
    <w:rsid w:val="00641B13"/>
    <w:rsid w:val="006673CA"/>
    <w:rsid w:val="0066785E"/>
    <w:rsid w:val="006727D3"/>
    <w:rsid w:val="00673C26"/>
    <w:rsid w:val="006812AF"/>
    <w:rsid w:val="0068327D"/>
    <w:rsid w:val="00686E01"/>
    <w:rsid w:val="00691D21"/>
    <w:rsid w:val="00694AF0"/>
    <w:rsid w:val="006A4686"/>
    <w:rsid w:val="006A63FB"/>
    <w:rsid w:val="006A7574"/>
    <w:rsid w:val="006B0E9E"/>
    <w:rsid w:val="006B3F66"/>
    <w:rsid w:val="006B5AE4"/>
    <w:rsid w:val="006C31C0"/>
    <w:rsid w:val="006D1507"/>
    <w:rsid w:val="006D4054"/>
    <w:rsid w:val="006E02EC"/>
    <w:rsid w:val="006E3FA6"/>
    <w:rsid w:val="006F2688"/>
    <w:rsid w:val="00705189"/>
    <w:rsid w:val="00705B6A"/>
    <w:rsid w:val="00716AA6"/>
    <w:rsid w:val="0072105E"/>
    <w:rsid w:val="007211B1"/>
    <w:rsid w:val="00723C71"/>
    <w:rsid w:val="0073033F"/>
    <w:rsid w:val="00743186"/>
    <w:rsid w:val="00744B57"/>
    <w:rsid w:val="00746187"/>
    <w:rsid w:val="00746922"/>
    <w:rsid w:val="00751F21"/>
    <w:rsid w:val="0075252C"/>
    <w:rsid w:val="0076174C"/>
    <w:rsid w:val="0076254F"/>
    <w:rsid w:val="00775617"/>
    <w:rsid w:val="00777430"/>
    <w:rsid w:val="0077748A"/>
    <w:rsid w:val="007801F5"/>
    <w:rsid w:val="00783C22"/>
    <w:rsid w:val="00783CA4"/>
    <w:rsid w:val="007842FB"/>
    <w:rsid w:val="00784552"/>
    <w:rsid w:val="00786124"/>
    <w:rsid w:val="00790A4B"/>
    <w:rsid w:val="0079439B"/>
    <w:rsid w:val="0079514B"/>
    <w:rsid w:val="007955AD"/>
    <w:rsid w:val="007A2DC1"/>
    <w:rsid w:val="007A3C43"/>
    <w:rsid w:val="007C3478"/>
    <w:rsid w:val="007D3319"/>
    <w:rsid w:val="007D335D"/>
    <w:rsid w:val="007D541D"/>
    <w:rsid w:val="007E3314"/>
    <w:rsid w:val="007E4B03"/>
    <w:rsid w:val="007E5CD1"/>
    <w:rsid w:val="007F0F16"/>
    <w:rsid w:val="007F2981"/>
    <w:rsid w:val="007F324B"/>
    <w:rsid w:val="0080476E"/>
    <w:rsid w:val="0080553C"/>
    <w:rsid w:val="00805B46"/>
    <w:rsid w:val="00815F1C"/>
    <w:rsid w:val="0082066D"/>
    <w:rsid w:val="00825DC2"/>
    <w:rsid w:val="0083098B"/>
    <w:rsid w:val="00834AD3"/>
    <w:rsid w:val="00840265"/>
    <w:rsid w:val="00843795"/>
    <w:rsid w:val="00847645"/>
    <w:rsid w:val="00847F0F"/>
    <w:rsid w:val="00852448"/>
    <w:rsid w:val="008543AD"/>
    <w:rsid w:val="00854710"/>
    <w:rsid w:val="0087158E"/>
    <w:rsid w:val="00877D50"/>
    <w:rsid w:val="0088258A"/>
    <w:rsid w:val="00886332"/>
    <w:rsid w:val="00886FEE"/>
    <w:rsid w:val="008908AF"/>
    <w:rsid w:val="008913BD"/>
    <w:rsid w:val="00894F92"/>
    <w:rsid w:val="008A26D9"/>
    <w:rsid w:val="008A5DCA"/>
    <w:rsid w:val="008B7E17"/>
    <w:rsid w:val="008C0C29"/>
    <w:rsid w:val="008C1F04"/>
    <w:rsid w:val="008C1FC6"/>
    <w:rsid w:val="008C5398"/>
    <w:rsid w:val="008D1005"/>
    <w:rsid w:val="008D73D1"/>
    <w:rsid w:val="008F3638"/>
    <w:rsid w:val="008F4441"/>
    <w:rsid w:val="008F6F31"/>
    <w:rsid w:val="008F74DF"/>
    <w:rsid w:val="008F7953"/>
    <w:rsid w:val="009002B1"/>
    <w:rsid w:val="009010C5"/>
    <w:rsid w:val="009127BA"/>
    <w:rsid w:val="00915A6A"/>
    <w:rsid w:val="009227A6"/>
    <w:rsid w:val="00933EC1"/>
    <w:rsid w:val="009530DB"/>
    <w:rsid w:val="00953676"/>
    <w:rsid w:val="00953DCB"/>
    <w:rsid w:val="00955187"/>
    <w:rsid w:val="00955CC6"/>
    <w:rsid w:val="009700B8"/>
    <w:rsid w:val="009705EE"/>
    <w:rsid w:val="00971B18"/>
    <w:rsid w:val="00973628"/>
    <w:rsid w:val="00977927"/>
    <w:rsid w:val="0098135C"/>
    <w:rsid w:val="0098156A"/>
    <w:rsid w:val="00985298"/>
    <w:rsid w:val="00985843"/>
    <w:rsid w:val="00987586"/>
    <w:rsid w:val="00987ACA"/>
    <w:rsid w:val="00991BAC"/>
    <w:rsid w:val="00997C1B"/>
    <w:rsid w:val="009A3365"/>
    <w:rsid w:val="009A6EA0"/>
    <w:rsid w:val="009B150B"/>
    <w:rsid w:val="009B4347"/>
    <w:rsid w:val="009B461A"/>
    <w:rsid w:val="009C1335"/>
    <w:rsid w:val="009C1AB2"/>
    <w:rsid w:val="009C370F"/>
    <w:rsid w:val="009C7251"/>
    <w:rsid w:val="009D2E69"/>
    <w:rsid w:val="009D676D"/>
    <w:rsid w:val="009E24A3"/>
    <w:rsid w:val="009E2733"/>
    <w:rsid w:val="009E2E91"/>
    <w:rsid w:val="009E5094"/>
    <w:rsid w:val="009E7BE1"/>
    <w:rsid w:val="009F14AC"/>
    <w:rsid w:val="00A01AE0"/>
    <w:rsid w:val="00A12E15"/>
    <w:rsid w:val="00A139F5"/>
    <w:rsid w:val="00A15C18"/>
    <w:rsid w:val="00A16B89"/>
    <w:rsid w:val="00A25E1D"/>
    <w:rsid w:val="00A35286"/>
    <w:rsid w:val="00A365F4"/>
    <w:rsid w:val="00A41716"/>
    <w:rsid w:val="00A45264"/>
    <w:rsid w:val="00A47D80"/>
    <w:rsid w:val="00A52EFF"/>
    <w:rsid w:val="00A53132"/>
    <w:rsid w:val="00A563F2"/>
    <w:rsid w:val="00A566E8"/>
    <w:rsid w:val="00A5723A"/>
    <w:rsid w:val="00A64D87"/>
    <w:rsid w:val="00A76CF4"/>
    <w:rsid w:val="00A810F9"/>
    <w:rsid w:val="00A848A0"/>
    <w:rsid w:val="00A86ECC"/>
    <w:rsid w:val="00A86FCC"/>
    <w:rsid w:val="00A90B06"/>
    <w:rsid w:val="00A91837"/>
    <w:rsid w:val="00A96570"/>
    <w:rsid w:val="00AA07B8"/>
    <w:rsid w:val="00AA32D1"/>
    <w:rsid w:val="00AA710D"/>
    <w:rsid w:val="00AB6D25"/>
    <w:rsid w:val="00AC5AD6"/>
    <w:rsid w:val="00AE2285"/>
    <w:rsid w:val="00AE235C"/>
    <w:rsid w:val="00AE2D4B"/>
    <w:rsid w:val="00AE4F99"/>
    <w:rsid w:val="00AE60A6"/>
    <w:rsid w:val="00AF02A1"/>
    <w:rsid w:val="00AF6BEB"/>
    <w:rsid w:val="00B04B8C"/>
    <w:rsid w:val="00B062DE"/>
    <w:rsid w:val="00B11B69"/>
    <w:rsid w:val="00B14952"/>
    <w:rsid w:val="00B2196A"/>
    <w:rsid w:val="00B23007"/>
    <w:rsid w:val="00B301FC"/>
    <w:rsid w:val="00B3093E"/>
    <w:rsid w:val="00B31E5A"/>
    <w:rsid w:val="00B33654"/>
    <w:rsid w:val="00B3485A"/>
    <w:rsid w:val="00B40557"/>
    <w:rsid w:val="00B43822"/>
    <w:rsid w:val="00B450E3"/>
    <w:rsid w:val="00B508BB"/>
    <w:rsid w:val="00B50A9F"/>
    <w:rsid w:val="00B572EC"/>
    <w:rsid w:val="00B57E4A"/>
    <w:rsid w:val="00B636CE"/>
    <w:rsid w:val="00B653AB"/>
    <w:rsid w:val="00B65F9E"/>
    <w:rsid w:val="00B66B19"/>
    <w:rsid w:val="00B67910"/>
    <w:rsid w:val="00B700C7"/>
    <w:rsid w:val="00B82DEA"/>
    <w:rsid w:val="00B914E9"/>
    <w:rsid w:val="00B926DB"/>
    <w:rsid w:val="00B955F9"/>
    <w:rsid w:val="00B956EE"/>
    <w:rsid w:val="00B96ECF"/>
    <w:rsid w:val="00BA275D"/>
    <w:rsid w:val="00BA2BA1"/>
    <w:rsid w:val="00BA3562"/>
    <w:rsid w:val="00BA3C4A"/>
    <w:rsid w:val="00BA5EF7"/>
    <w:rsid w:val="00BA6287"/>
    <w:rsid w:val="00BA7266"/>
    <w:rsid w:val="00BB4F09"/>
    <w:rsid w:val="00BB51A5"/>
    <w:rsid w:val="00BB7190"/>
    <w:rsid w:val="00BC419E"/>
    <w:rsid w:val="00BC7A42"/>
    <w:rsid w:val="00BD0106"/>
    <w:rsid w:val="00BD0A36"/>
    <w:rsid w:val="00BD4E33"/>
    <w:rsid w:val="00BE4C0F"/>
    <w:rsid w:val="00BF2DA4"/>
    <w:rsid w:val="00BF7D72"/>
    <w:rsid w:val="00C009BD"/>
    <w:rsid w:val="00C030DE"/>
    <w:rsid w:val="00C10643"/>
    <w:rsid w:val="00C147FB"/>
    <w:rsid w:val="00C14DE5"/>
    <w:rsid w:val="00C1609F"/>
    <w:rsid w:val="00C17386"/>
    <w:rsid w:val="00C22105"/>
    <w:rsid w:val="00C244B6"/>
    <w:rsid w:val="00C333C1"/>
    <w:rsid w:val="00C35922"/>
    <w:rsid w:val="00C3702F"/>
    <w:rsid w:val="00C40BDB"/>
    <w:rsid w:val="00C44429"/>
    <w:rsid w:val="00C4500A"/>
    <w:rsid w:val="00C54DA6"/>
    <w:rsid w:val="00C64A37"/>
    <w:rsid w:val="00C7158E"/>
    <w:rsid w:val="00C71719"/>
    <w:rsid w:val="00C7250B"/>
    <w:rsid w:val="00C7346B"/>
    <w:rsid w:val="00C77C0E"/>
    <w:rsid w:val="00C84316"/>
    <w:rsid w:val="00C868B7"/>
    <w:rsid w:val="00C91687"/>
    <w:rsid w:val="00C924A8"/>
    <w:rsid w:val="00C92E9C"/>
    <w:rsid w:val="00C945FE"/>
    <w:rsid w:val="00C96FAA"/>
    <w:rsid w:val="00C97A04"/>
    <w:rsid w:val="00CA02B3"/>
    <w:rsid w:val="00CA107B"/>
    <w:rsid w:val="00CA1409"/>
    <w:rsid w:val="00CA484D"/>
    <w:rsid w:val="00CA4FB6"/>
    <w:rsid w:val="00CB15F5"/>
    <w:rsid w:val="00CB3F4D"/>
    <w:rsid w:val="00CB4A01"/>
    <w:rsid w:val="00CC739E"/>
    <w:rsid w:val="00CD3988"/>
    <w:rsid w:val="00CD3F68"/>
    <w:rsid w:val="00CD58B7"/>
    <w:rsid w:val="00CE420A"/>
    <w:rsid w:val="00CE50D1"/>
    <w:rsid w:val="00CE7BD2"/>
    <w:rsid w:val="00CF3BAB"/>
    <w:rsid w:val="00CF4099"/>
    <w:rsid w:val="00D00796"/>
    <w:rsid w:val="00D01C19"/>
    <w:rsid w:val="00D03A73"/>
    <w:rsid w:val="00D053AB"/>
    <w:rsid w:val="00D07F7D"/>
    <w:rsid w:val="00D103C0"/>
    <w:rsid w:val="00D10900"/>
    <w:rsid w:val="00D13AA2"/>
    <w:rsid w:val="00D144C2"/>
    <w:rsid w:val="00D261A2"/>
    <w:rsid w:val="00D364C8"/>
    <w:rsid w:val="00D46DD5"/>
    <w:rsid w:val="00D616D2"/>
    <w:rsid w:val="00D624BE"/>
    <w:rsid w:val="00D637D5"/>
    <w:rsid w:val="00D63B5F"/>
    <w:rsid w:val="00D663CA"/>
    <w:rsid w:val="00D70B50"/>
    <w:rsid w:val="00D70EF7"/>
    <w:rsid w:val="00D7328D"/>
    <w:rsid w:val="00D76653"/>
    <w:rsid w:val="00D766E0"/>
    <w:rsid w:val="00D824A7"/>
    <w:rsid w:val="00D83373"/>
    <w:rsid w:val="00D8397C"/>
    <w:rsid w:val="00D83AB4"/>
    <w:rsid w:val="00D84611"/>
    <w:rsid w:val="00D87DF6"/>
    <w:rsid w:val="00D910DC"/>
    <w:rsid w:val="00D94B67"/>
    <w:rsid w:val="00D94EED"/>
    <w:rsid w:val="00D96026"/>
    <w:rsid w:val="00DA361E"/>
    <w:rsid w:val="00DA6968"/>
    <w:rsid w:val="00DA7C1C"/>
    <w:rsid w:val="00DB147A"/>
    <w:rsid w:val="00DB1B7A"/>
    <w:rsid w:val="00DB43A4"/>
    <w:rsid w:val="00DB4AB3"/>
    <w:rsid w:val="00DB7F99"/>
    <w:rsid w:val="00DC1AF2"/>
    <w:rsid w:val="00DC6708"/>
    <w:rsid w:val="00DD335F"/>
    <w:rsid w:val="00DD41D1"/>
    <w:rsid w:val="00DD5287"/>
    <w:rsid w:val="00DE00DB"/>
    <w:rsid w:val="00DE6013"/>
    <w:rsid w:val="00DE7EDE"/>
    <w:rsid w:val="00DF466F"/>
    <w:rsid w:val="00E01436"/>
    <w:rsid w:val="00E045BD"/>
    <w:rsid w:val="00E077F6"/>
    <w:rsid w:val="00E078AA"/>
    <w:rsid w:val="00E13CBA"/>
    <w:rsid w:val="00E17B77"/>
    <w:rsid w:val="00E23337"/>
    <w:rsid w:val="00E259EA"/>
    <w:rsid w:val="00E268DC"/>
    <w:rsid w:val="00E30716"/>
    <w:rsid w:val="00E31DCF"/>
    <w:rsid w:val="00E32061"/>
    <w:rsid w:val="00E42DEB"/>
    <w:rsid w:val="00E42FF9"/>
    <w:rsid w:val="00E4714C"/>
    <w:rsid w:val="00E51AEB"/>
    <w:rsid w:val="00E522A7"/>
    <w:rsid w:val="00E54452"/>
    <w:rsid w:val="00E556D9"/>
    <w:rsid w:val="00E607E5"/>
    <w:rsid w:val="00E618B5"/>
    <w:rsid w:val="00E664C5"/>
    <w:rsid w:val="00E671A2"/>
    <w:rsid w:val="00E735E0"/>
    <w:rsid w:val="00E76225"/>
    <w:rsid w:val="00E76D26"/>
    <w:rsid w:val="00E77FD2"/>
    <w:rsid w:val="00E8286B"/>
    <w:rsid w:val="00E93E65"/>
    <w:rsid w:val="00E942C9"/>
    <w:rsid w:val="00E9732B"/>
    <w:rsid w:val="00EB1390"/>
    <w:rsid w:val="00EB2C71"/>
    <w:rsid w:val="00EB4340"/>
    <w:rsid w:val="00EB556D"/>
    <w:rsid w:val="00EB5A7D"/>
    <w:rsid w:val="00EB6F62"/>
    <w:rsid w:val="00EC0634"/>
    <w:rsid w:val="00EC2CF7"/>
    <w:rsid w:val="00ED1618"/>
    <w:rsid w:val="00ED1AAF"/>
    <w:rsid w:val="00ED1EA3"/>
    <w:rsid w:val="00ED36FB"/>
    <w:rsid w:val="00ED4AB3"/>
    <w:rsid w:val="00ED55C0"/>
    <w:rsid w:val="00ED682B"/>
    <w:rsid w:val="00EE4130"/>
    <w:rsid w:val="00EE41D5"/>
    <w:rsid w:val="00EF5270"/>
    <w:rsid w:val="00EF573D"/>
    <w:rsid w:val="00EF6253"/>
    <w:rsid w:val="00F01EDF"/>
    <w:rsid w:val="00F037A4"/>
    <w:rsid w:val="00F107B6"/>
    <w:rsid w:val="00F15016"/>
    <w:rsid w:val="00F27C8F"/>
    <w:rsid w:val="00F30159"/>
    <w:rsid w:val="00F301ED"/>
    <w:rsid w:val="00F32749"/>
    <w:rsid w:val="00F33408"/>
    <w:rsid w:val="00F33E8E"/>
    <w:rsid w:val="00F370BF"/>
    <w:rsid w:val="00F37172"/>
    <w:rsid w:val="00F378D1"/>
    <w:rsid w:val="00F4477E"/>
    <w:rsid w:val="00F65280"/>
    <w:rsid w:val="00F67D8F"/>
    <w:rsid w:val="00F74247"/>
    <w:rsid w:val="00F802BE"/>
    <w:rsid w:val="00F80E93"/>
    <w:rsid w:val="00F86024"/>
    <w:rsid w:val="00F8611A"/>
    <w:rsid w:val="00F877CD"/>
    <w:rsid w:val="00F90314"/>
    <w:rsid w:val="00F915F2"/>
    <w:rsid w:val="00F95A99"/>
    <w:rsid w:val="00F97103"/>
    <w:rsid w:val="00FA1567"/>
    <w:rsid w:val="00FA2AB1"/>
    <w:rsid w:val="00FA5128"/>
    <w:rsid w:val="00FA5E2A"/>
    <w:rsid w:val="00FA5F66"/>
    <w:rsid w:val="00FB34B5"/>
    <w:rsid w:val="00FB42D4"/>
    <w:rsid w:val="00FB5906"/>
    <w:rsid w:val="00FB762F"/>
    <w:rsid w:val="00FC2AED"/>
    <w:rsid w:val="00FC2E47"/>
    <w:rsid w:val="00FC5BB6"/>
    <w:rsid w:val="00FC7E0A"/>
    <w:rsid w:val="00FD4E66"/>
    <w:rsid w:val="00FD5EA7"/>
    <w:rsid w:val="00FD6A06"/>
    <w:rsid w:val="00FE0F05"/>
    <w:rsid w:val="00FE4E37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018CA"/>
  <w15:docId w15:val="{8579B62A-2895-4DEB-B682-79A5D31B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3733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442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450E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3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35D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35D"/>
    <w:rPr>
      <w:rFonts w:ascii="Fira Sans" w:hAnsi="Fira Sans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3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35E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FA5E2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FA5E2A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A5E2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A5E2A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A5E2A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FA5E2A"/>
    <w:rPr>
      <w:rFonts w:ascii="Fira Sans" w:hAnsi="Fira Sans"/>
      <w:color w:val="FFFFFF" w:themeColor="background1"/>
      <w:sz w:val="20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5D51A7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5D51A7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5D51A7"/>
    <w:pPr>
      <w:spacing w:before="360"/>
    </w:pPr>
  </w:style>
  <w:style w:type="character" w:customStyle="1" w:styleId="LeadZnak">
    <w:name w:val="Lead Znak"/>
    <w:basedOn w:val="Domylnaczcionkaakapitu"/>
    <w:link w:val="Lead"/>
    <w:rsid w:val="005D51A7"/>
    <w:rPr>
      <w:rFonts w:ascii="Fira Sans" w:hAnsi="Fira Sans"/>
      <w:b/>
      <w:noProof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metainformacje/slownik-pojec/pojecia-stosowane-w-statystyce-publicznej/162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metainformacje/slownik-pojec/pojecia-stosowane-w-statystyce-publicznej/1626,pojeci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metainformacje/slownik-pojec/pojecia-stosowane-w-statystyce-publicznej/174,pojecie.htm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4778526527340441E-2"/>
          <c:y val="5.8864500576171437E-2"/>
          <c:w val="0.82987753661820041"/>
          <c:h val="0.70573062205608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A5C9"/>
            </a:solidFill>
            <a:ln w="12717">
              <a:noFill/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E91-49A8-B7B5-2055CF78906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E91-49A8-B7B5-2055CF78906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9E91-49A8-B7B5-2055CF78906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E91-49A8-B7B5-2055CF789066}"/>
              </c:ext>
            </c:extLst>
          </c:dPt>
          <c:dLbls>
            <c:dLbl>
              <c:idx val="0"/>
              <c:layout>
                <c:manualLayout>
                  <c:x val="0"/>
                  <c:y val="4.98628770880079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91-49A8-B7B5-2055CF789066}"/>
                </c:ext>
              </c:extLst>
            </c:dLbl>
            <c:dLbl>
              <c:idx val="1"/>
              <c:layout>
                <c:manualLayout>
                  <c:x val="-2.3827239568750937E-3"/>
                  <c:y val="1.4958863126402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91-49A8-B7B5-2055CF789066}"/>
                </c:ext>
              </c:extLst>
            </c:dLbl>
            <c:dLbl>
              <c:idx val="2"/>
              <c:layout>
                <c:manualLayout>
                  <c:x val="-7.147980102097609E-3"/>
                  <c:y val="1.1353031132888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91-49A8-B7B5-2055CF789066}"/>
                </c:ext>
              </c:extLst>
            </c:dLbl>
            <c:dLbl>
              <c:idx val="3"/>
              <c:layout>
                <c:manualLayout>
                  <c:x val="-2.4354603019970775E-3"/>
                  <c:y val="4.98628770880079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91-49A8-B7B5-2055CF789066}"/>
                </c:ext>
              </c:extLst>
            </c:dLbl>
            <c:dLbl>
              <c:idx val="4"/>
              <c:layout>
                <c:manualLayout>
                  <c:x val="-2.4354603019970775E-3"/>
                  <c:y val="1.9945150835203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9A-45E7-B70D-ABE0D9D68C9B}"/>
                </c:ext>
              </c:extLst>
            </c:dLbl>
            <c:dLbl>
              <c:idx val="5"/>
              <c:layout>
                <c:manualLayout>
                  <c:x val="-9.5307040589726576E-3"/>
                  <c:y val="1.4958863126402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91-49A8-B7B5-2055CF7890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</c:v>
                </c:pt>
                <c:pt idx="5">
                  <c:v>Inne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7815</c:v>
                </c:pt>
                <c:pt idx="1">
                  <c:v>5337</c:v>
                </c:pt>
                <c:pt idx="2">
                  <c:v>8719</c:v>
                </c:pt>
                <c:pt idx="3">
                  <c:v>8053</c:v>
                </c:pt>
                <c:pt idx="4">
                  <c:v>2396</c:v>
                </c:pt>
                <c:pt idx="5">
                  <c:v>17869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E91-49A8-B7B5-2055CF78906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334A92"/>
            </a:solidFill>
            <a:ln w="12717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7644727895144083E-3"/>
                  <c:y val="1.0830208723909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E91-49A8-B7B5-2055CF789066}"/>
                </c:ext>
              </c:extLst>
            </c:dLbl>
            <c:dLbl>
              <c:idx val="1"/>
              <c:layout>
                <c:manualLayout>
                  <c:x val="-4.4649589740742301E-17"/>
                  <c:y val="1.2205411496337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E91-49A8-B7B5-2055CF789066}"/>
                </c:ext>
              </c:extLst>
            </c:dLbl>
            <c:dLbl>
              <c:idx val="2"/>
              <c:layout>
                <c:manualLayout>
                  <c:x val="0"/>
                  <c:y val="1.3468013468013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E91-49A8-B7B5-2055CF789066}"/>
                </c:ext>
              </c:extLst>
            </c:dLbl>
            <c:dLbl>
              <c:idx val="3"/>
              <c:layout>
                <c:manualLayout>
                  <c:x val="2.3821486512919446E-3"/>
                  <c:y val="7.8799050642229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E91-49A8-B7B5-2055CF789066}"/>
                </c:ext>
              </c:extLst>
            </c:dLbl>
            <c:dLbl>
              <c:idx val="4"/>
              <c:layout>
                <c:manualLayout>
                  <c:x val="-2.4887719527022104E-3"/>
                  <c:y val="1.7151037938439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E91-49A8-B7B5-2055CF789066}"/>
                </c:ext>
              </c:extLst>
            </c:dLbl>
            <c:dLbl>
              <c:idx val="5"/>
              <c:layout>
                <c:manualLayout>
                  <c:x val="4.8709206039939763E-3"/>
                  <c:y val="2.9984471836308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E91-49A8-B7B5-2055CF7890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Sheet1!$B$1:$G$1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</c:v>
                </c:pt>
                <c:pt idx="5">
                  <c:v>Inne</c:v>
                </c:pt>
              </c:strCache>
            </c:strRef>
          </c:cat>
          <c:val>
            <c:numRef>
              <c:f>Sheet1!$B$3:$G$3</c:f>
              <c:numCache>
                <c:formatCode>#,##0</c:formatCode>
                <c:ptCount val="6"/>
                <c:pt idx="0">
                  <c:v>11279</c:v>
                </c:pt>
                <c:pt idx="1">
                  <c:v>7163</c:v>
                </c:pt>
                <c:pt idx="2">
                  <c:v>16753</c:v>
                </c:pt>
                <c:pt idx="3">
                  <c:v>14598</c:v>
                </c:pt>
                <c:pt idx="4">
                  <c:v>3862</c:v>
                </c:pt>
                <c:pt idx="5">
                  <c:v>18028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E91-49A8-B7B5-2055CF789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138906080"/>
        <c:axId val="138909888"/>
      </c:barChart>
      <c:catAx>
        <c:axId val="13890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>
                <a:solidFill>
                  <a:sysClr val="windowText" lastClr="000000"/>
                </a:solidFill>
              </a:defRPr>
            </a:pPr>
            <a:endParaRPr lang="pl-PL"/>
          </a:p>
        </c:txPr>
        <c:crossAx val="138909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8909888"/>
        <c:scaling>
          <c:orientation val="minMax"/>
          <c:max val="25000"/>
          <c:min val="0"/>
        </c:scaling>
        <c:delete val="1"/>
        <c:axPos val="l"/>
        <c:majorGridlines>
          <c:spPr>
            <a:ln w="3179">
              <a:solidFill>
                <a:srgbClr val="000000">
                  <a:alpha val="31000"/>
                </a:srgb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900"/>
                </a:pPr>
                <a:r>
                  <a:rPr lang="pl-PL" sz="900"/>
                  <a:t>w mln zł</a:t>
                </a:r>
              </a:p>
            </c:rich>
          </c:tx>
          <c:layout>
            <c:manualLayout>
              <c:xMode val="edge"/>
              <c:yMode val="edge"/>
              <c:x val="7.129129255823051E-2"/>
              <c:y val="1.3148879950215648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38906080"/>
        <c:crosses val="autoZero"/>
        <c:crossBetween val="between"/>
      </c:valAx>
      <c:spPr>
        <a:ln>
          <a:noFill/>
        </a:ln>
      </c:spPr>
    </c:plotArea>
    <c:legend>
      <c:legendPos val="r"/>
      <c:overlay val="0"/>
      <c:spPr>
        <a:noFill/>
        <a:ln w="3179">
          <a:noFill/>
          <a:prstDash val="solid"/>
        </a:ln>
      </c:spPr>
      <c:txPr>
        <a:bodyPr/>
        <a:lstStyle/>
        <a:p>
          <a:pPr>
            <a:defRPr sz="85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ysClr val="windowText" lastClr="000000"/>
          </a:solidFill>
          <a:latin typeface="Fira Sans" panose="020B0503050000020004" pitchFamily="34" charset="0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CECF1A5B-C403-4EDA-A084-616405F8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faktoringowa przedsiębiorstw finansowych w 2017 roku</vt:lpstr>
    </vt:vector>
  </TitlesOfParts>
  <Company>Główny Urząd Statystyczny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przedsiębiorstw leasingowych w 2021 roku</dc:title>
  <dc:subject>Działalność przedsiębiorstw leasingowych</dc:subject>
  <dc:creator>Główny Urząd Statystyczny</dc:creator>
  <cp:lastPrinted>2019-08-27T10:24:00Z</cp:lastPrinted>
  <dcterms:created xsi:type="dcterms:W3CDTF">2021-06-29T05:01:00Z</dcterms:created>
  <dcterms:modified xsi:type="dcterms:W3CDTF">2022-06-24T12:46:00Z</dcterms:modified>
  <cp:category>Przedsiębiorstwa finansowe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