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320B82A" w:rsidR="00393761" w:rsidRPr="007D605C" w:rsidRDefault="00AE03AD" w:rsidP="00F049AB">
      <w:pPr>
        <w:pStyle w:val="Tytuinfomacjisygnalnej"/>
      </w:pPr>
      <w:r>
        <w:t>Przedsiębiorstwa niefinansowe powstałe w 2021 r.</w:t>
      </w:r>
      <w:r w:rsidR="00364AF9" w:rsidRPr="007D605C">
        <w:rPr>
          <w:sz w:val="32"/>
        </w:rPr>
        <w:tab/>
      </w:r>
    </w:p>
    <w:p w14:paraId="1E690351" w14:textId="02A098EA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DCCFF6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19200"/>
                <wp:effectExtent l="0" t="0" r="5715" b="0"/>
                <wp:wrapSquare wrapText="bothSides"/>
                <wp:docPr id="6" name="Pole tekstowe 2" descr="52,2% Wskaźnik przeżycia pierwszego roku przedsiębiorstw niefinan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9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0904C94" w:rsidR="005C0CAC" w:rsidRPr="00AE03AD" w:rsidRDefault="00064307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06430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52,</w:t>
                            </w:r>
                            <w:r w:rsidR="004123F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AE03AD" w:rsidRPr="00AE03A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683210BD" w:rsidR="005C0CAC" w:rsidRPr="00AE03AD" w:rsidRDefault="00AE03AD" w:rsidP="00F049AB">
                            <w:pPr>
                              <w:pStyle w:val="Opiswskanika"/>
                            </w:pPr>
                            <w:r>
                              <w:t>Wskaźnik przeżycia pierwszego roku przedsiębiorstw niefinansowych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52,2% Wskaźnik przeżycia pierwszego roku przedsiębiorstw niefinansowych" style="position:absolute;margin-left:0;margin-top:3.6pt;width:173.55pt;height:96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" fillcolor="#001d77" stroked="f">
                <v:stroke joinstyle="miter"/>
                <v:textbox>
                  <w:txbxContent>
                    <w:p w14:paraId="30951E30" w14:textId="30904C94" w:rsidR="005C0CAC" w:rsidRPr="00AE03AD" w:rsidRDefault="00064307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</w:pPr>
                      <w:r w:rsidRPr="0006430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52,</w:t>
                      </w:r>
                      <w:r w:rsidR="004123F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AE03AD" w:rsidRPr="00AE03A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683210BD" w:rsidR="005C0CAC" w:rsidRPr="00AE03AD" w:rsidRDefault="00AE03AD" w:rsidP="00F049AB">
                      <w:pPr>
                        <w:pStyle w:val="Opiswskanika"/>
                      </w:pPr>
                      <w:r>
                        <w:t>Wskaźnik przeżycia pierwszego roku przedsiębiorstw niefinansowych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D607B" w:rsidRPr="006D607B">
        <w:t>Spośród przedsiębiorstw niefinansowych, deklarujących rozpoczęcie działalności w 202</w:t>
      </w:r>
      <w:r w:rsidR="0023554F">
        <w:t>1</w:t>
      </w:r>
      <w:r w:rsidR="006D607B" w:rsidRPr="006D607B">
        <w:t xml:space="preserve"> r., do roku 202</w:t>
      </w:r>
      <w:r w:rsidR="0023554F">
        <w:t>2</w:t>
      </w:r>
      <w:r w:rsidR="006D607B" w:rsidRPr="006D607B">
        <w:t xml:space="preserve"> aktywnych pozostało </w:t>
      </w:r>
      <w:r w:rsidR="005F19F9" w:rsidRPr="00064307">
        <w:t>146 947</w:t>
      </w:r>
      <w:r w:rsidR="006D607B" w:rsidRPr="00064307">
        <w:t xml:space="preserve"> jednostek, tj. </w:t>
      </w:r>
      <w:r w:rsidR="005F19F9" w:rsidRPr="00064307">
        <w:t>52,</w:t>
      </w:r>
      <w:r w:rsidR="004123FB">
        <w:t>1</w:t>
      </w:r>
      <w:bookmarkStart w:id="0" w:name="_GoBack"/>
      <w:bookmarkEnd w:id="0"/>
      <w:r w:rsidR="006D607B" w:rsidRPr="00064307">
        <w:t xml:space="preserve">%. Najwyższy wskaźnik przeżycia pierwszego roku zanotowano dla podmiotów z sekcji </w:t>
      </w:r>
      <w:r w:rsidR="005F19F9" w:rsidRPr="00064307">
        <w:t>informacja i komunikacja</w:t>
      </w:r>
      <w:r w:rsidR="006D607B" w:rsidRPr="00064307">
        <w:t xml:space="preserve"> (</w:t>
      </w:r>
      <w:r w:rsidR="005F19F9" w:rsidRPr="00064307">
        <w:t>66,8</w:t>
      </w:r>
      <w:r w:rsidR="006D607B" w:rsidRPr="00064307">
        <w:t>%).</w:t>
      </w:r>
      <w:r w:rsidR="00DE6B58" w:rsidRPr="00064307">
        <w:t xml:space="preserve"> </w:t>
      </w:r>
    </w:p>
    <w:p w14:paraId="3DB10F9F" w14:textId="315E7EE1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E72AE03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przedsiębiorstwach niefinansowych jednorocznych pracowało 283,8 tys. osób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E0BCCE8" w:rsidR="00D616D2" w:rsidRPr="00E95B8E" w:rsidRDefault="006D607B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D607B">
                              <w:t xml:space="preserve">W przedsiębiorstwach </w:t>
                            </w:r>
                            <w:r w:rsidR="00C92433" w:rsidRPr="006D607B">
                              <w:t>niefinansowych</w:t>
                            </w:r>
                            <w:r w:rsidRPr="006D607B">
                              <w:t xml:space="preserve"> jednorocznych pracowało </w:t>
                            </w:r>
                            <w:r w:rsidR="002B7E75" w:rsidRPr="002B7E75">
                              <w:t>283,8</w:t>
                            </w:r>
                            <w:r w:rsidRPr="006D607B">
                              <w:t xml:space="preserve"> tys. osób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rzedsiębiorstwach niefinansowych jednorocznych pracowało 283,8 tys. osób 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" filled="f" stroked="f">
                <v:textbox>
                  <w:txbxContent>
                    <w:p w14:paraId="66113316" w14:textId="2E0BCCE8" w:rsidR="00D616D2" w:rsidRPr="00E95B8E" w:rsidRDefault="006D607B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6D607B">
                        <w:t xml:space="preserve">W przedsiębiorstwach </w:t>
                      </w:r>
                      <w:r w:rsidR="00C92433" w:rsidRPr="006D607B">
                        <w:t>niefinansowych</w:t>
                      </w:r>
                      <w:r w:rsidRPr="006D607B">
                        <w:t xml:space="preserve"> jednorocznych pracowało </w:t>
                      </w:r>
                      <w:r w:rsidR="002B7E75" w:rsidRPr="002B7E75">
                        <w:t>283,8</w:t>
                      </w:r>
                      <w:r w:rsidRPr="006D607B">
                        <w:t xml:space="preserve"> tys. osób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bookmarkStart w:id="1" w:name="_Hlk114860744"/>
      <w:r w:rsidR="0023554F">
        <w:rPr>
          <w:rFonts w:ascii="Fira Sans" w:hAnsi="Fira Sans"/>
          <w:b/>
          <w:szCs w:val="19"/>
        </w:rPr>
        <w:t>Pracujący</w:t>
      </w:r>
    </w:p>
    <w:p w14:paraId="6189446F" w14:textId="77777777" w:rsidR="00DE6B58" w:rsidRPr="00216634" w:rsidRDefault="006D607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D607B">
        <w:rPr>
          <w:rFonts w:eastAsia="Times New Roman" w:cs="Times New Roman"/>
          <w:szCs w:val="19"/>
          <w:lang w:eastAsia="pl-PL"/>
        </w:rPr>
        <w:t xml:space="preserve">W przedsiębiorstwach </w:t>
      </w:r>
      <w:r w:rsidRPr="00144879">
        <w:rPr>
          <w:rFonts w:eastAsia="Times New Roman" w:cs="Times New Roman"/>
          <w:szCs w:val="19"/>
          <w:lang w:eastAsia="pl-PL"/>
        </w:rPr>
        <w:t>niefinansowych powstałych w 202</w:t>
      </w:r>
      <w:r w:rsidR="0023554F" w:rsidRPr="00144879">
        <w:rPr>
          <w:rFonts w:eastAsia="Times New Roman" w:cs="Times New Roman"/>
          <w:szCs w:val="19"/>
          <w:lang w:eastAsia="pl-PL"/>
        </w:rPr>
        <w:t>1</w:t>
      </w:r>
      <w:r w:rsidRPr="00144879">
        <w:rPr>
          <w:rFonts w:eastAsia="Times New Roman" w:cs="Times New Roman"/>
          <w:szCs w:val="19"/>
          <w:lang w:eastAsia="pl-PL"/>
        </w:rPr>
        <w:t xml:space="preserve"> r. i aktywnych do 202</w:t>
      </w:r>
      <w:r w:rsidR="0023554F" w:rsidRPr="00144879">
        <w:rPr>
          <w:rFonts w:eastAsia="Times New Roman" w:cs="Times New Roman"/>
          <w:szCs w:val="19"/>
          <w:lang w:eastAsia="pl-PL"/>
        </w:rPr>
        <w:t>2</w:t>
      </w:r>
      <w:r w:rsidRPr="00144879">
        <w:rPr>
          <w:rFonts w:eastAsia="Times New Roman" w:cs="Times New Roman"/>
          <w:szCs w:val="19"/>
          <w:lang w:eastAsia="pl-PL"/>
        </w:rPr>
        <w:t xml:space="preserve"> r. </w:t>
      </w:r>
      <w:r w:rsidR="0058639E" w:rsidRPr="00144879">
        <w:rPr>
          <w:rFonts w:eastAsia="Times New Roman" w:cs="Times New Roman"/>
          <w:szCs w:val="19"/>
          <w:lang w:eastAsia="pl-PL"/>
        </w:rPr>
        <w:t>pracowało</w:t>
      </w:r>
      <w:r w:rsidRPr="00144879">
        <w:rPr>
          <w:rFonts w:eastAsia="Times New Roman" w:cs="Times New Roman"/>
          <w:szCs w:val="19"/>
          <w:lang w:eastAsia="pl-PL"/>
        </w:rPr>
        <w:t xml:space="preserve"> łącznie </w:t>
      </w:r>
      <w:r w:rsidR="00144879" w:rsidRPr="00144879">
        <w:rPr>
          <w:rFonts w:eastAsia="Times New Roman" w:cs="Times New Roman"/>
          <w:szCs w:val="19"/>
          <w:lang w:eastAsia="pl-PL"/>
        </w:rPr>
        <w:t>283 831</w:t>
      </w:r>
      <w:r w:rsidRPr="00144879">
        <w:rPr>
          <w:rFonts w:eastAsia="Times New Roman" w:cs="Times New Roman"/>
          <w:szCs w:val="19"/>
          <w:lang w:eastAsia="pl-PL"/>
        </w:rPr>
        <w:t xml:space="preserve"> osób, z czego 6</w:t>
      </w:r>
      <w:r w:rsidR="00144879" w:rsidRPr="00144879">
        <w:rPr>
          <w:rFonts w:eastAsia="Times New Roman" w:cs="Times New Roman"/>
          <w:szCs w:val="19"/>
          <w:lang w:eastAsia="pl-PL"/>
        </w:rPr>
        <w:t>5,8</w:t>
      </w:r>
      <w:r w:rsidRPr="00144879">
        <w:rPr>
          <w:rFonts w:eastAsia="Times New Roman" w:cs="Times New Roman"/>
          <w:szCs w:val="19"/>
          <w:lang w:eastAsia="pl-PL"/>
        </w:rPr>
        <w:t>% przypadało na przedsiębiorstwa osób fizycznych, a 3</w:t>
      </w:r>
      <w:r w:rsidR="00144879" w:rsidRPr="00144879">
        <w:rPr>
          <w:rFonts w:eastAsia="Times New Roman" w:cs="Times New Roman"/>
          <w:szCs w:val="19"/>
          <w:lang w:eastAsia="pl-PL"/>
        </w:rPr>
        <w:t>4,2</w:t>
      </w:r>
      <w:r w:rsidRPr="00144879">
        <w:rPr>
          <w:rFonts w:eastAsia="Times New Roman" w:cs="Times New Roman"/>
          <w:szCs w:val="19"/>
          <w:lang w:eastAsia="pl-PL"/>
        </w:rPr>
        <w:t xml:space="preserve">% na przedsiębiorstwa osób </w:t>
      </w:r>
      <w:r w:rsidRPr="006D607B">
        <w:rPr>
          <w:rFonts w:eastAsia="Times New Roman" w:cs="Times New Roman"/>
          <w:szCs w:val="19"/>
          <w:lang w:eastAsia="pl-PL"/>
        </w:rPr>
        <w:t>prawnych</w:t>
      </w:r>
      <w:r w:rsidR="00D972F6" w:rsidRPr="00216634">
        <w:rPr>
          <w:rFonts w:eastAsia="Times New Roman" w:cs="Times New Roman"/>
          <w:szCs w:val="19"/>
          <w:lang w:eastAsia="pl-PL"/>
        </w:rPr>
        <w:t xml:space="preserve">. </w:t>
      </w:r>
    </w:p>
    <w:p w14:paraId="12C530BD" w14:textId="1B123489" w:rsidR="00E95B8E" w:rsidRPr="00A91BB1" w:rsidRDefault="00326D29" w:rsidP="00A91BB1">
      <w:pPr>
        <w:pStyle w:val="Tytuwykresu0"/>
        <w:tabs>
          <w:tab w:val="left" w:pos="851"/>
        </w:tabs>
        <w:ind w:left="851" w:hanging="851"/>
        <w:rPr>
          <w:b w:val="0"/>
        </w:rPr>
      </w:pPr>
      <w:r>
        <w:drawing>
          <wp:anchor distT="0" distB="0" distL="114300" distR="114300" simplePos="0" relativeHeight="251771904" behindDoc="0" locked="1" layoutInCell="1" allowOverlap="1" wp14:anchorId="7C81EA79" wp14:editId="00EA191A">
            <wp:simplePos x="0" y="0"/>
            <wp:positionH relativeFrom="margin">
              <wp:align>right</wp:align>
            </wp:positionH>
            <wp:positionV relativeFrom="paragraph">
              <wp:posOffset>555625</wp:posOffset>
            </wp:positionV>
            <wp:extent cx="5122800" cy="3614400"/>
            <wp:effectExtent l="0" t="0" r="1905" b="5715"/>
            <wp:wrapTopAndBottom/>
            <wp:docPr id="1" name="Wykres 1" descr="Wykres 1. Liczba pracujących w przedsiębiorstwach powstałych w 2021 r. i aktywnych do 2022 r. według sekcji PKD">
              <a:extLst xmlns:a="http://schemas.openxmlformats.org/drawingml/2006/main">
                <a:ext uri="{FF2B5EF4-FFF2-40B4-BE49-F238E27FC236}">
                  <a16:creationId xmlns:a16="http://schemas.microsoft.com/office/drawing/2014/main" id="{532B23B5-0745-4D6F-839B-5C93638268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07B" w:rsidRPr="006D607B">
        <w:rPr>
          <w:b w:val="0"/>
        </w:rPr>
        <w:t>Wykres 1.</w:t>
      </w:r>
      <w:r w:rsidR="006D607B">
        <w:rPr>
          <w:b w:val="0"/>
        </w:rPr>
        <w:tab/>
      </w:r>
      <w:r w:rsidR="006D607B" w:rsidRPr="006D607B">
        <w:rPr>
          <w:b w:val="0"/>
        </w:rPr>
        <w:t>Liczba pracujących w przedsiębiorstwach powstałych w 202</w:t>
      </w:r>
      <w:r w:rsidR="0023554F">
        <w:rPr>
          <w:b w:val="0"/>
        </w:rPr>
        <w:t>1</w:t>
      </w:r>
      <w:r w:rsidR="006D607B" w:rsidRPr="006D607B">
        <w:rPr>
          <w:b w:val="0"/>
        </w:rPr>
        <w:t xml:space="preserve"> r. i aktywnych do 202</w:t>
      </w:r>
      <w:r w:rsidR="0023554F">
        <w:rPr>
          <w:b w:val="0"/>
        </w:rPr>
        <w:t>2</w:t>
      </w:r>
      <w:r w:rsidR="006D607B" w:rsidRPr="006D607B">
        <w:rPr>
          <w:b w:val="0"/>
        </w:rPr>
        <w:t xml:space="preserve"> r. według sekcji PK</w:t>
      </w:r>
      <w:r w:rsidR="00A91BB1">
        <w:rPr>
          <w:b w:val="0"/>
        </w:rPr>
        <w:t>D</w:t>
      </w:r>
    </w:p>
    <w:p w14:paraId="1B13EEEC" w14:textId="58319C1A" w:rsidR="00A91BB1" w:rsidRPr="0022728E" w:rsidRDefault="00A91BB1" w:rsidP="00A91BB1">
      <w:pPr>
        <w:spacing w:line="288" w:lineRule="auto"/>
        <w:rPr>
          <w:shd w:val="clear" w:color="auto" w:fill="FFFFFF"/>
        </w:rPr>
      </w:pPr>
      <w:r w:rsidRPr="00A91BB1">
        <w:rPr>
          <w:shd w:val="clear" w:color="auto" w:fill="FFFFFF"/>
        </w:rPr>
        <w:t xml:space="preserve">Ze względu na przeważający rodzaj </w:t>
      </w:r>
      <w:r w:rsidRPr="0022728E">
        <w:rPr>
          <w:shd w:val="clear" w:color="auto" w:fill="FFFFFF"/>
        </w:rPr>
        <w:t xml:space="preserve">działalności, najwięcej osób pracowało w </w:t>
      </w:r>
      <w:r w:rsidR="002E0BEA" w:rsidRPr="0022728E">
        <w:rPr>
          <w:shd w:val="clear" w:color="auto" w:fill="FFFFFF"/>
        </w:rPr>
        <w:t>przedsiębiorstwach</w:t>
      </w:r>
      <w:r w:rsidRPr="0022728E">
        <w:rPr>
          <w:shd w:val="clear" w:color="auto" w:fill="FFFFFF"/>
        </w:rPr>
        <w:t xml:space="preserve"> prowadzących działalność w sekcjach: budownictwo (</w:t>
      </w:r>
      <w:r w:rsidR="0022728E" w:rsidRPr="0022728E">
        <w:rPr>
          <w:shd w:val="clear" w:color="auto" w:fill="FFFFFF"/>
        </w:rPr>
        <w:t>50 880</w:t>
      </w:r>
      <w:r w:rsidRPr="0022728E">
        <w:rPr>
          <w:shd w:val="clear" w:color="auto" w:fill="FFFFFF"/>
        </w:rPr>
        <w:t xml:space="preserve"> osób), handel; naprawa pojazdów samochodowych (</w:t>
      </w:r>
      <w:r w:rsidR="0022728E" w:rsidRPr="0022728E">
        <w:rPr>
          <w:shd w:val="clear" w:color="auto" w:fill="FFFFFF"/>
        </w:rPr>
        <w:t>47 072</w:t>
      </w:r>
      <w:r w:rsidRPr="0022728E">
        <w:rPr>
          <w:shd w:val="clear" w:color="auto" w:fill="FFFFFF"/>
        </w:rPr>
        <w:t xml:space="preserve"> osoby) i działalność profesjonalna, naukowa i techniczna (</w:t>
      </w:r>
      <w:r w:rsidR="0022728E" w:rsidRPr="0022728E">
        <w:rPr>
          <w:shd w:val="clear" w:color="auto" w:fill="FFFFFF"/>
        </w:rPr>
        <w:t>40 189</w:t>
      </w:r>
      <w:r w:rsidRPr="0022728E">
        <w:rPr>
          <w:shd w:val="clear" w:color="auto" w:fill="FFFFFF"/>
        </w:rPr>
        <w:t xml:space="preserve"> osób).</w:t>
      </w:r>
    </w:p>
    <w:p w14:paraId="0DC2A65B" w14:textId="167FF484" w:rsidR="00DA331D" w:rsidRPr="00F6237E" w:rsidRDefault="00A91BB1" w:rsidP="00A91BB1">
      <w:pPr>
        <w:spacing w:line="288" w:lineRule="auto"/>
        <w:rPr>
          <w:shd w:val="clear" w:color="auto" w:fill="FFFFFF"/>
        </w:rPr>
      </w:pPr>
      <w:r w:rsidRPr="00A91BB1">
        <w:rPr>
          <w:shd w:val="clear" w:color="auto" w:fill="FFFFFF"/>
        </w:rPr>
        <w:t xml:space="preserve">W podziale terytorialnym najwięcej osób pracowało w przedsiębiorstwach jednorocznych mających siedzibę w województwie </w:t>
      </w:r>
      <w:r w:rsidRPr="00F6237E">
        <w:rPr>
          <w:shd w:val="clear" w:color="auto" w:fill="FFFFFF"/>
        </w:rPr>
        <w:t>mazowieckim (</w:t>
      </w:r>
      <w:r w:rsidR="00F6237E" w:rsidRPr="00F6237E">
        <w:rPr>
          <w:shd w:val="clear" w:color="auto" w:fill="FFFFFF"/>
        </w:rPr>
        <w:t>62 451</w:t>
      </w:r>
      <w:r w:rsidRPr="00F6237E">
        <w:rPr>
          <w:shd w:val="clear" w:color="auto" w:fill="FFFFFF"/>
        </w:rPr>
        <w:t xml:space="preserve"> </w:t>
      </w:r>
      <w:r w:rsidR="00F6237E" w:rsidRPr="00F6237E">
        <w:rPr>
          <w:shd w:val="clear" w:color="auto" w:fill="FFFFFF"/>
        </w:rPr>
        <w:t>osób</w:t>
      </w:r>
      <w:r w:rsidRPr="00F6237E">
        <w:rPr>
          <w:shd w:val="clear" w:color="auto" w:fill="FFFFFF"/>
        </w:rPr>
        <w:t>).</w:t>
      </w:r>
    </w:p>
    <w:p w14:paraId="4F521F1F" w14:textId="45D43442" w:rsidR="007C5FBC" w:rsidRDefault="00F6237E" w:rsidP="007C5FBC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br w:type="column"/>
      </w:r>
      <w:r w:rsidR="007C5FBC">
        <w:rPr>
          <w:rFonts w:ascii="Fira Sans" w:hAnsi="Fira Sans"/>
          <w:b/>
          <w:szCs w:val="19"/>
        </w:rPr>
        <w:lastRenderedPageBreak/>
        <w:t>P</w:t>
      </w:r>
      <w:r w:rsidR="00304803">
        <w:rPr>
          <w:rFonts w:ascii="Fira Sans" w:hAnsi="Fira Sans"/>
          <w:b/>
          <w:szCs w:val="19"/>
        </w:rPr>
        <w:t>rzychody i koszty</w:t>
      </w:r>
    </w:p>
    <w:p w14:paraId="490F7D3B" w14:textId="11BA042D" w:rsidR="00A91BB1" w:rsidRPr="00A91BB1" w:rsidRDefault="00A91BB1" w:rsidP="00A91BB1">
      <w:pPr>
        <w:autoSpaceDE w:val="0"/>
        <w:autoSpaceDN w:val="0"/>
        <w:adjustRightInd w:val="0"/>
        <w:rPr>
          <w:szCs w:val="19"/>
        </w:rPr>
      </w:pPr>
      <w:r w:rsidRPr="00A91BB1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BBB2FBE" wp14:editId="29CA4BDB">
                <wp:simplePos x="0" y="0"/>
                <wp:positionH relativeFrom="page">
                  <wp:posOffset>5793740</wp:posOffset>
                </wp:positionH>
                <wp:positionV relativeFrom="paragraph">
                  <wp:posOffset>-45085</wp:posOffset>
                </wp:positionV>
                <wp:extent cx="1710000" cy="723600"/>
                <wp:effectExtent l="0" t="0" r="0" b="635"/>
                <wp:wrapNone/>
                <wp:docPr id="3" name="Text Box 21" descr="Jednoroczne przedsiębiorstwa niefinansowe wypracowały 66 933,3 mln zł przychodów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72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AEE68" w14:textId="2B340CDB" w:rsidR="00A91BB1" w:rsidRDefault="00A91BB1" w:rsidP="00A91BB1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Jednoroczne przedsiębiorstwa niefinansowe wypracowały </w:t>
                            </w:r>
                            <w:r w:rsidR="0058639E" w:rsidRPr="0058639E">
                              <w:t>66 933,3</w:t>
                            </w:r>
                            <w:r w:rsidRPr="007C5FBC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mln zł przychodów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B2FBE" id="Text Box 21" o:spid="_x0000_s1028" type="#_x0000_t202" alt="Jednoroczne przedsiębiorstwa niefinansowe wypracowały 66 933,3 mln zł przychodów ogółem" style="position:absolute;margin-left:456.2pt;margin-top:-3.55pt;width:134.65pt;height:57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" filled="f" stroked="f">
                <v:textbox>
                  <w:txbxContent>
                    <w:p w14:paraId="31BAEE68" w14:textId="2B340CDB" w:rsidR="00A91BB1" w:rsidRDefault="00A91BB1" w:rsidP="00A91BB1">
                      <w:pPr>
                        <w:pStyle w:val="tekstzboku"/>
                        <w:spacing w:before="0"/>
                      </w:pPr>
                      <w:r>
                        <w:t xml:space="preserve">Jednoroczne przedsiębiorstwa niefinansowe wypracowały </w:t>
                      </w:r>
                      <w:r w:rsidR="0058639E" w:rsidRPr="0058639E">
                        <w:t>66 933,3</w:t>
                      </w:r>
                      <w:r w:rsidRPr="007C5FBC">
                        <w:rPr>
                          <w:color w:val="FF0000"/>
                        </w:rPr>
                        <w:t xml:space="preserve"> </w:t>
                      </w:r>
                      <w:r>
                        <w:t>mln zł przychodów ogółem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91BB1">
        <w:rPr>
          <w:szCs w:val="19"/>
        </w:rPr>
        <w:t>Przedsiębiorstwa powstałe w 202</w:t>
      </w:r>
      <w:r w:rsidR="007C5FBC">
        <w:rPr>
          <w:szCs w:val="19"/>
        </w:rPr>
        <w:t>1</w:t>
      </w:r>
      <w:r w:rsidRPr="00A91BB1">
        <w:rPr>
          <w:szCs w:val="19"/>
        </w:rPr>
        <w:t xml:space="preserve"> r. i aktywne do roku 202</w:t>
      </w:r>
      <w:r w:rsidR="007C5FBC">
        <w:rPr>
          <w:szCs w:val="19"/>
        </w:rPr>
        <w:t>2</w:t>
      </w:r>
      <w:r w:rsidRPr="00A91BB1">
        <w:rPr>
          <w:szCs w:val="19"/>
        </w:rPr>
        <w:t xml:space="preserve"> wykazały </w:t>
      </w:r>
      <w:r w:rsidR="00A15EF2" w:rsidRPr="007E0C98">
        <w:rPr>
          <w:szCs w:val="19"/>
        </w:rPr>
        <w:t>66 933,3</w:t>
      </w:r>
      <w:r w:rsidRPr="007E0C98">
        <w:rPr>
          <w:szCs w:val="19"/>
        </w:rPr>
        <w:t> </w:t>
      </w:r>
      <w:r w:rsidRPr="00A91BB1">
        <w:rPr>
          <w:szCs w:val="19"/>
        </w:rPr>
        <w:t>mln zł przychodów ogółem.</w:t>
      </w:r>
    </w:p>
    <w:p w14:paraId="724422A9" w14:textId="621E6A62" w:rsidR="00A91BB1" w:rsidRPr="0015304B" w:rsidRDefault="00A91BB1" w:rsidP="00A91BB1">
      <w:pPr>
        <w:autoSpaceDE w:val="0"/>
        <w:autoSpaceDN w:val="0"/>
        <w:adjustRightInd w:val="0"/>
        <w:rPr>
          <w:szCs w:val="19"/>
        </w:rPr>
      </w:pPr>
      <w:r w:rsidRPr="00A91BB1">
        <w:rPr>
          <w:szCs w:val="19"/>
        </w:rPr>
        <w:t>Udział przychodów ogółem wygenerowanych w pierwszym roku</w:t>
      </w:r>
      <w:r w:rsidRPr="0015304B">
        <w:rPr>
          <w:szCs w:val="19"/>
        </w:rPr>
        <w:t xml:space="preserve"> prowadzenia </w:t>
      </w:r>
      <w:r w:rsidRPr="00547FDF">
        <w:rPr>
          <w:szCs w:val="19"/>
        </w:rPr>
        <w:t>działalności przez podmioty z zakresu handlu; naprawy pojazdów samochodowych wyniósł 44,</w:t>
      </w:r>
      <w:r w:rsidR="00547FDF" w:rsidRPr="00547FDF">
        <w:rPr>
          <w:szCs w:val="19"/>
        </w:rPr>
        <w:t>6</w:t>
      </w:r>
      <w:r w:rsidRPr="00547FDF">
        <w:rPr>
          <w:szCs w:val="19"/>
        </w:rPr>
        <w:t xml:space="preserve">% przychodów </w:t>
      </w:r>
      <w:r w:rsidRPr="0015304B">
        <w:rPr>
          <w:szCs w:val="19"/>
        </w:rPr>
        <w:t>wszystkich przedsiębiorstw jednorocznych</w:t>
      </w:r>
      <w:r>
        <w:rPr>
          <w:szCs w:val="19"/>
        </w:rPr>
        <w:t>.</w:t>
      </w:r>
    </w:p>
    <w:p w14:paraId="398A53C4" w14:textId="099E765B" w:rsidR="00A91BB1" w:rsidRPr="00BF49D6" w:rsidRDefault="00A91BB1" w:rsidP="00A91BB1">
      <w:pPr>
        <w:spacing w:line="288" w:lineRule="auto"/>
        <w:rPr>
          <w:szCs w:val="19"/>
        </w:rPr>
      </w:pPr>
      <w:r w:rsidRPr="00C01BBC">
        <w:rPr>
          <w:szCs w:val="19"/>
        </w:rPr>
        <w:t xml:space="preserve">Koszty ogółem przedsiębiorstw </w:t>
      </w:r>
      <w:r w:rsidRPr="00BF49D6">
        <w:rPr>
          <w:szCs w:val="19"/>
        </w:rPr>
        <w:t xml:space="preserve">jednorocznych wyniosły </w:t>
      </w:r>
      <w:r w:rsidR="00BF49D6" w:rsidRPr="00BF49D6">
        <w:rPr>
          <w:szCs w:val="19"/>
        </w:rPr>
        <w:t>55 688,3</w:t>
      </w:r>
      <w:r w:rsidRPr="00BF49D6">
        <w:rPr>
          <w:szCs w:val="19"/>
        </w:rPr>
        <w:t xml:space="preserve"> mln zł, z czego </w:t>
      </w:r>
      <w:r w:rsidR="00BF49D6" w:rsidRPr="00BF49D6">
        <w:rPr>
          <w:szCs w:val="19"/>
        </w:rPr>
        <w:t>47,7</w:t>
      </w:r>
      <w:r w:rsidRPr="00BF49D6">
        <w:rPr>
          <w:szCs w:val="19"/>
        </w:rPr>
        <w:t>% poniosły podmioty z sekcji handel; naprawa pojazdów samochodowych.</w:t>
      </w:r>
    </w:p>
    <w:p w14:paraId="650C7922" w14:textId="5CF5D914" w:rsidR="00A91BB1" w:rsidRPr="00A91BB1" w:rsidRDefault="00326D29" w:rsidP="00A91BB1">
      <w:pPr>
        <w:pStyle w:val="Tytuwykresu0"/>
        <w:tabs>
          <w:tab w:val="left" w:pos="851"/>
        </w:tabs>
        <w:ind w:left="851" w:hanging="851"/>
        <w:rPr>
          <w:b w:val="0"/>
        </w:rPr>
      </w:pPr>
      <w:r>
        <w:drawing>
          <wp:anchor distT="0" distB="0" distL="114300" distR="114300" simplePos="0" relativeHeight="251769856" behindDoc="0" locked="0" layoutInCell="1" allowOverlap="1" wp14:anchorId="13D5F7C9" wp14:editId="3F40C53B">
            <wp:simplePos x="0" y="0"/>
            <wp:positionH relativeFrom="margin">
              <wp:align>right</wp:align>
            </wp:positionH>
            <wp:positionV relativeFrom="paragraph">
              <wp:posOffset>508635</wp:posOffset>
            </wp:positionV>
            <wp:extent cx="5122545" cy="5004435"/>
            <wp:effectExtent l="0" t="0" r="1905" b="5715"/>
            <wp:wrapTopAndBottom/>
            <wp:docPr id="16" name="Wykres 16" descr="Wykres 2. Przychody ogółem oraz koszty ogółem przedsiębiorstw powstałych w 2021 r. i aktywnych do 2022 r. według sekcji PKD">
              <a:extLst xmlns:a="http://schemas.openxmlformats.org/drawingml/2006/main">
                <a:ext uri="{FF2B5EF4-FFF2-40B4-BE49-F238E27FC236}">
                  <a16:creationId xmlns:a16="http://schemas.microsoft.com/office/drawing/2014/main" id="{A991AD14-4167-49B1-9928-FEA0568983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BB1" w:rsidRPr="006D607B">
        <w:rPr>
          <w:b w:val="0"/>
        </w:rPr>
        <w:t xml:space="preserve">Wykres </w:t>
      </w:r>
      <w:r w:rsidR="00A91BB1">
        <w:rPr>
          <w:b w:val="0"/>
        </w:rPr>
        <w:t>2</w:t>
      </w:r>
      <w:r w:rsidR="00A91BB1" w:rsidRPr="006D607B">
        <w:rPr>
          <w:b w:val="0"/>
        </w:rPr>
        <w:t>.</w:t>
      </w:r>
      <w:r w:rsidR="00A91BB1">
        <w:rPr>
          <w:b w:val="0"/>
        </w:rPr>
        <w:tab/>
      </w:r>
      <w:r w:rsidR="00A91BB1" w:rsidRPr="00A91BB1">
        <w:rPr>
          <w:b w:val="0"/>
        </w:rPr>
        <w:t>Przychody ogółem oraz koszty ogółem przedsiębiorstw powstałych w 202</w:t>
      </w:r>
      <w:r w:rsidR="00257863">
        <w:rPr>
          <w:b w:val="0"/>
        </w:rPr>
        <w:t>1</w:t>
      </w:r>
      <w:r w:rsidR="00A91BB1" w:rsidRPr="00A91BB1">
        <w:rPr>
          <w:b w:val="0"/>
        </w:rPr>
        <w:t xml:space="preserve"> r. i aktywnych do 202</w:t>
      </w:r>
      <w:r w:rsidR="00257863">
        <w:rPr>
          <w:b w:val="0"/>
        </w:rPr>
        <w:t>2</w:t>
      </w:r>
      <w:r w:rsidR="00A91BB1" w:rsidRPr="00A91BB1">
        <w:rPr>
          <w:b w:val="0"/>
        </w:rPr>
        <w:t xml:space="preserve"> r. według sekcji PKD</w:t>
      </w:r>
    </w:p>
    <w:p w14:paraId="732335BB" w14:textId="77777777" w:rsidR="00BC4F13" w:rsidRDefault="00BC4F13" w:rsidP="00BC4F13">
      <w:pPr>
        <w:pStyle w:val="Tytuwykresu0"/>
        <w:spacing w:before="120"/>
        <w:rPr>
          <w:rFonts w:ascii="Fira Sans" w:eastAsiaTheme="minorHAnsi" w:hAnsi="Fira Sans" w:cstheme="minorBidi"/>
          <w:b w:val="0"/>
          <w:bCs w:val="0"/>
          <w:noProof w:val="0"/>
          <w:szCs w:val="22"/>
          <w:shd w:val="clear" w:color="auto" w:fill="FFFFFF"/>
          <w:lang w:eastAsia="en-US"/>
        </w:rPr>
      </w:pPr>
    </w:p>
    <w:p w14:paraId="608D1EF2" w14:textId="65F58691" w:rsidR="00C52EBC" w:rsidRPr="006C20F9" w:rsidRDefault="00125390" w:rsidP="00844DC7">
      <w:pPr>
        <w:spacing w:line="288" w:lineRule="auto"/>
        <w:rPr>
          <w:b/>
        </w:rPr>
      </w:pPr>
      <w:r>
        <w:rPr>
          <w:shd w:val="clear" w:color="auto" w:fill="FFFFFF"/>
        </w:rPr>
        <w:br w:type="column"/>
      </w:r>
      <w:r w:rsidR="00844DC7">
        <w:rPr>
          <w:shd w:val="clear" w:color="auto" w:fill="FFFFFF"/>
        </w:rPr>
        <w:lastRenderedPageBreak/>
        <w:t>Da</w:t>
      </w:r>
      <w:r w:rsidR="00C52EBC" w:rsidRPr="006C20F9">
        <w:t>ne prezentowane w niniejszym opracowaniu dotyczą przedsiębiorstw niefinansowych powstałych w 20</w:t>
      </w:r>
      <w:r w:rsidR="00C52EBC">
        <w:t>2</w:t>
      </w:r>
      <w:r w:rsidR="00304803">
        <w:t>1</w:t>
      </w:r>
      <w:r w:rsidR="00C52EBC" w:rsidRPr="006C20F9">
        <w:t xml:space="preserve"> r. i aktywnych do roku 202</w:t>
      </w:r>
      <w:r w:rsidR="00304803">
        <w:t>2</w:t>
      </w:r>
      <w:r w:rsidR="00C52EBC" w:rsidRPr="006C20F9">
        <w:t>, bez względu na liczbę pracujących. Dane nie obejmują rolnictwa, leśnictwa, łowiectwa i rybactwa (sekcja A według PKD 2007); działalności finansowej i ubezpieczeniowej (sekcja K według PKD 2007)</w:t>
      </w:r>
      <w:r w:rsidR="00C52EBC">
        <w:t xml:space="preserve">; </w:t>
      </w:r>
      <w:r w:rsidR="00C52EBC" w:rsidRPr="006C20F9">
        <w:t>szkół wyższych; samodzielnych publicznych zakładów opieki zdrowotnej; instytucji kultury posiadających osobowość prawną oraz związków zawodowych, organizacji religijnych i politycznych.</w:t>
      </w:r>
    </w:p>
    <w:p w14:paraId="20E909D3" w14:textId="26829419" w:rsidR="00C52EBC" w:rsidRPr="0015304B" w:rsidRDefault="00C52EBC" w:rsidP="00C52EBC">
      <w:pPr>
        <w:autoSpaceDE w:val="0"/>
        <w:autoSpaceDN w:val="0"/>
        <w:adjustRightInd w:val="0"/>
        <w:rPr>
          <w:szCs w:val="19"/>
        </w:rPr>
      </w:pPr>
      <w:r w:rsidRPr="0015304B">
        <w:rPr>
          <w:szCs w:val="19"/>
        </w:rPr>
        <w:t>Wyniki badania nowych przedsiębiorstw niefinansowych zostaną szerzej zaprezentowane w</w:t>
      </w:r>
      <w:r>
        <w:rPr>
          <w:szCs w:val="19"/>
        </w:rPr>
        <w:t> </w:t>
      </w:r>
      <w:r w:rsidRPr="0015304B">
        <w:rPr>
          <w:szCs w:val="19"/>
        </w:rPr>
        <w:t>publikacji „Przedsiębiorstwa niefinansowe powstałe w latach 201</w:t>
      </w:r>
      <w:r w:rsidR="00304803">
        <w:rPr>
          <w:szCs w:val="19"/>
        </w:rPr>
        <w:t>7</w:t>
      </w:r>
      <w:r w:rsidR="005B5F56">
        <w:rPr>
          <w:szCs w:val="19"/>
        </w:rPr>
        <w:t>–</w:t>
      </w:r>
      <w:r w:rsidRPr="0015304B">
        <w:rPr>
          <w:szCs w:val="19"/>
        </w:rPr>
        <w:t>202</w:t>
      </w:r>
      <w:r w:rsidR="00304803">
        <w:rPr>
          <w:szCs w:val="19"/>
        </w:rPr>
        <w:t>1</w:t>
      </w:r>
      <w:r w:rsidRPr="0015304B">
        <w:rPr>
          <w:szCs w:val="19"/>
        </w:rPr>
        <w:t>”.</w:t>
      </w:r>
    </w:p>
    <w:p w14:paraId="272AAA50" w14:textId="77777777" w:rsidR="00C52EBC" w:rsidRPr="0015304B" w:rsidRDefault="00C52EBC" w:rsidP="00C52EBC">
      <w:pPr>
        <w:autoSpaceDE w:val="0"/>
        <w:autoSpaceDN w:val="0"/>
        <w:adjustRightInd w:val="0"/>
        <w:rPr>
          <w:szCs w:val="19"/>
        </w:rPr>
      </w:pPr>
      <w:r w:rsidRPr="0015304B">
        <w:rPr>
          <w:szCs w:val="19"/>
        </w:rPr>
        <w:t>Ze względu na zaokrąglenia danych, w niektórych przypadkach sumy składników mogą się nieznacznie różnić od podanych wielkości ogółem.</w:t>
      </w:r>
    </w:p>
    <w:p w14:paraId="032032E7" w14:textId="6677029A" w:rsidR="00C52EBC" w:rsidRDefault="00C52EBC" w:rsidP="00C52EBC">
      <w:pPr>
        <w:rPr>
          <w:sz w:val="18"/>
        </w:rPr>
      </w:pPr>
      <w:r w:rsidRPr="006C20F9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</w:t>
      </w:r>
      <w:r>
        <w:t>”.</w:t>
      </w:r>
    </w:p>
    <w:bookmarkEnd w:id="1"/>
    <w:p w14:paraId="2B991E83" w14:textId="77777777" w:rsidR="00C52EBC" w:rsidRDefault="00C52EBC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23B4F05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Departamen</w:t>
            </w:r>
            <w:r w:rsidR="00304803">
              <w:rPr>
                <w:rFonts w:cs="Arial"/>
                <w:b/>
                <w:color w:val="000000" w:themeColor="text1"/>
                <w:sz w:val="20"/>
              </w:rPr>
              <w:t>t Przedsiębiorstw</w:t>
            </w:r>
          </w:p>
          <w:p w14:paraId="41A1AE38" w14:textId="18FD96F6" w:rsidR="00DE2400" w:rsidRPr="00DE2400" w:rsidRDefault="00FC0FCB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Dyrektor </w:t>
            </w:r>
            <w:r w:rsidR="00844DC7">
              <w:rPr>
                <w:b/>
                <w:lang w:val="fi-FI"/>
              </w:rPr>
              <w:t>Katarzyna Walkowska</w:t>
            </w:r>
          </w:p>
          <w:p w14:paraId="5425F0B4" w14:textId="677C7B4E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04803" w:rsidRPr="00432467">
              <w:rPr>
                <w:rFonts w:ascii="Fira Sans" w:hAnsi="Fira Sans" w:cs="Arial"/>
                <w:color w:val="000000" w:themeColor="text1"/>
                <w:sz w:val="20"/>
              </w:rPr>
              <w:t>608 35 66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789531C" w14:textId="5A099D14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>
              <w:instrText>HYPERLINK "https://stat.gov.pl/obszary-tematyczne/podmioty-gospodarcze-wyniki-finansowe/przedsiebiorstwa-niefinansowe/zeszyt-metodologiczny-badania-przedsiebiorstw-niefinansowych-2019,28,2.html" \o "Link do opracowania pt. \"Zeszyt metodologiczny. Badania przedsiębiorstw niefinansowych\"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Zeszyt metodologiczny. Badania przedsiębiorstw niefinansowych</w:t>
            </w:r>
          </w:p>
          <w:p w14:paraId="0A46060F" w14:textId="3E2D7F27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"https://stat.gov.pl/obszary-tematyczne/podmioty-gospodarcze-wyniki-finansowe/przedsiebiorstwa-niefinansowe/przedsiebiorstwa-niefinansowe-powstale-w-2020-r-,25,4.html" \o "Link do opracowania pt. \"Przedsiębiorstwa niefinansowe powstałe w 2020 r.\" 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Przedsiębiorstwa niefinansowe powstałe w 2020 r.</w:t>
            </w:r>
          </w:p>
          <w:p w14:paraId="6EC7A51E" w14:textId="5540F5E8" w:rsidR="00531873" w:rsidRPr="00694D63" w:rsidRDefault="00BE26C2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20D16DE" w14:textId="7DAA0F9B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>
              <w:instrText xml:space="preserve"> HYPERLINK "https://stat.gov.pl/metainformacje/slownik-pojec/pojecia-stosowane-w-statystyce-publicznej/395,pojecie.html" \o "Link do pojęcia \"Przychody ogółem (przychody z całokształtu działalności)\" 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Przychody ogółem (przychody z całokształtu działalności)</w:t>
            </w:r>
          </w:p>
          <w:p w14:paraId="6B32FFCA" w14:textId="2CA3A869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"https://stat.gov.pl/metainformacje/slownik-pojec/pojecia-stosowane-w-statystyce-publicznej/158,pojecie.html" \o "Link do pojęcia \"Koszty ogółem (koszty uzyskania przychodów z całokształtu działalności)\" 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Koszty ogółem (koszty uzyskania przychodów z całokształtu działalności)</w:t>
            </w:r>
          </w:p>
          <w:p w14:paraId="1E8BCA9E" w14:textId="6CC71CED" w:rsidR="00844DC7" w:rsidRPr="00417835" w:rsidRDefault="00BE26C2" w:rsidP="00844DC7">
            <w:pPr>
              <w:rPr>
                <w:rStyle w:val="Hipercze"/>
              </w:rPr>
            </w:pPr>
            <w:r>
              <w:fldChar w:fldCharType="end"/>
            </w:r>
            <w:r w:rsidR="00844DC7" w:rsidRPr="00417835">
              <w:rPr>
                <w:rStyle w:val="Hipercze"/>
              </w:rPr>
              <w:t xml:space="preserve"> </w:t>
            </w:r>
          </w:p>
          <w:p w14:paraId="32159E9A" w14:textId="7982EEA3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6713E" w14:textId="77777777" w:rsidR="00843293" w:rsidRDefault="00843293" w:rsidP="000662E2">
      <w:pPr>
        <w:spacing w:after="0" w:line="240" w:lineRule="auto"/>
      </w:pPr>
      <w:r>
        <w:separator/>
      </w:r>
    </w:p>
  </w:endnote>
  <w:endnote w:type="continuationSeparator" w:id="0">
    <w:p w14:paraId="59B6CDDE" w14:textId="77777777" w:rsidR="00843293" w:rsidRDefault="008432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D1B855A-484B-4709-8CEE-A8222523A5D1}"/>
    <w:embedBold r:id="rId2" w:fontKey="{F5A2F580-615A-4EB7-9204-A26DA3CC5C2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54A822D-2352-47BE-8255-A3A5D325886A}"/>
    <w:embedBold r:id="rId4" w:fontKey="{9A165D58-1FBA-4B7C-9E57-3B347D8CDD5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95CFEE9-8595-4E2A-8288-FCBA1D6F47BC}"/>
    <w:embedBold r:id="rId6" w:fontKey="{16C19A88-FB1D-444F-A43E-BFF78A31B61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974D48F-5408-46C4-B460-479ABE311F11}"/>
    <w:embedItalic r:id="rId8" w:fontKey="{9594D4FA-F29D-46CB-BA58-68168368CF9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03861A5-48E8-4396-9D08-692A499E8F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6AAD9C4-15E1-4AD1-BB8D-80F0BEDC1C8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ABB8A3C-A424-42FC-8ECD-453E2385C21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EFA44" w14:textId="77777777" w:rsidR="00843293" w:rsidRDefault="00843293" w:rsidP="000662E2">
      <w:pPr>
        <w:spacing w:after="0" w:line="240" w:lineRule="auto"/>
      </w:pPr>
      <w:r>
        <w:separator/>
      </w:r>
    </w:p>
  </w:footnote>
  <w:footnote w:type="continuationSeparator" w:id="0">
    <w:p w14:paraId="537E89F2" w14:textId="77777777" w:rsidR="00843293" w:rsidRDefault="0084329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98C8B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2" name="Obraz 3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BC35AC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.11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4B31F5C" w:rsidR="00F37172" w:rsidRPr="00A01B40" w:rsidRDefault="00AE03AD" w:rsidP="00F049AB">
                          <w:pPr>
                            <w:pStyle w:val="Datainformacjisygnalnej"/>
                          </w:pPr>
                          <w:r>
                            <w:t>24</w:t>
                          </w:r>
                          <w:r w:rsidR="00DE6B58">
                            <w:t>.</w:t>
                          </w: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4.11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whIAIAABQ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Em6cI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44B31F5C" w:rsidR="00F37172" w:rsidRPr="00A01B40" w:rsidRDefault="00AE03AD" w:rsidP="00F049AB">
                    <w:pPr>
                      <w:pStyle w:val="Datainformacjisygnalnej"/>
                    </w:pPr>
                    <w:r>
                      <w:t>24</w:t>
                    </w:r>
                    <w:r w:rsidR="00DE6B58">
                      <w:t>.</w:t>
                    </w:r>
                    <w:r>
                      <w:t>11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31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A58"/>
    <w:rsid w:val="000152F5"/>
    <w:rsid w:val="0004582E"/>
    <w:rsid w:val="000470AA"/>
    <w:rsid w:val="00057CA1"/>
    <w:rsid w:val="00064307"/>
    <w:rsid w:val="000647A9"/>
    <w:rsid w:val="000662E2"/>
    <w:rsid w:val="00066883"/>
    <w:rsid w:val="00071B39"/>
    <w:rsid w:val="00074DD8"/>
    <w:rsid w:val="00075759"/>
    <w:rsid w:val="000806F7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0F509D"/>
    <w:rsid w:val="001011C3"/>
    <w:rsid w:val="00106DA3"/>
    <w:rsid w:val="00110214"/>
    <w:rsid w:val="00110D87"/>
    <w:rsid w:val="00112399"/>
    <w:rsid w:val="00114DB9"/>
    <w:rsid w:val="00116087"/>
    <w:rsid w:val="00117711"/>
    <w:rsid w:val="00125390"/>
    <w:rsid w:val="00130296"/>
    <w:rsid w:val="00134145"/>
    <w:rsid w:val="00135FDB"/>
    <w:rsid w:val="00136736"/>
    <w:rsid w:val="00136740"/>
    <w:rsid w:val="00136D67"/>
    <w:rsid w:val="001423B6"/>
    <w:rsid w:val="00144879"/>
    <w:rsid w:val="001448A7"/>
    <w:rsid w:val="00146621"/>
    <w:rsid w:val="001617E3"/>
    <w:rsid w:val="00162325"/>
    <w:rsid w:val="001951DA"/>
    <w:rsid w:val="00197ACB"/>
    <w:rsid w:val="001A0DFA"/>
    <w:rsid w:val="001B053D"/>
    <w:rsid w:val="001B4D85"/>
    <w:rsid w:val="001C3269"/>
    <w:rsid w:val="001D19B6"/>
    <w:rsid w:val="001D1DB4"/>
    <w:rsid w:val="001D23F1"/>
    <w:rsid w:val="001D25F9"/>
    <w:rsid w:val="001D61ED"/>
    <w:rsid w:val="001E5B2D"/>
    <w:rsid w:val="0020156C"/>
    <w:rsid w:val="00210F82"/>
    <w:rsid w:val="00216634"/>
    <w:rsid w:val="0022728E"/>
    <w:rsid w:val="0023554F"/>
    <w:rsid w:val="00242D31"/>
    <w:rsid w:val="0025481E"/>
    <w:rsid w:val="002574F9"/>
    <w:rsid w:val="00257863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B7E75"/>
    <w:rsid w:val="002C21F0"/>
    <w:rsid w:val="002D01DF"/>
    <w:rsid w:val="002E0BEA"/>
    <w:rsid w:val="002E3EB3"/>
    <w:rsid w:val="002E6140"/>
    <w:rsid w:val="002E6985"/>
    <w:rsid w:val="002E71B6"/>
    <w:rsid w:val="002F35F6"/>
    <w:rsid w:val="002F77C8"/>
    <w:rsid w:val="00304803"/>
    <w:rsid w:val="00304F22"/>
    <w:rsid w:val="00306C7C"/>
    <w:rsid w:val="00314F86"/>
    <w:rsid w:val="00317F4D"/>
    <w:rsid w:val="00322EDD"/>
    <w:rsid w:val="00326D29"/>
    <w:rsid w:val="003309FA"/>
    <w:rsid w:val="00332320"/>
    <w:rsid w:val="00347D72"/>
    <w:rsid w:val="00352EBD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8DA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4C97"/>
    <w:rsid w:val="003F666D"/>
    <w:rsid w:val="003F7FE6"/>
    <w:rsid w:val="00400193"/>
    <w:rsid w:val="004035DD"/>
    <w:rsid w:val="004123F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A38A4"/>
    <w:rsid w:val="004C1895"/>
    <w:rsid w:val="004C5BD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47FDF"/>
    <w:rsid w:val="005520D8"/>
    <w:rsid w:val="00555CFB"/>
    <w:rsid w:val="00556ADB"/>
    <w:rsid w:val="00556CF1"/>
    <w:rsid w:val="005619E9"/>
    <w:rsid w:val="005762A7"/>
    <w:rsid w:val="0058639E"/>
    <w:rsid w:val="00587CEE"/>
    <w:rsid w:val="005916D7"/>
    <w:rsid w:val="0059427F"/>
    <w:rsid w:val="005A698C"/>
    <w:rsid w:val="005B5F56"/>
    <w:rsid w:val="005C0CAC"/>
    <w:rsid w:val="005D062E"/>
    <w:rsid w:val="005D2F6B"/>
    <w:rsid w:val="005E0799"/>
    <w:rsid w:val="005E10F9"/>
    <w:rsid w:val="005E1200"/>
    <w:rsid w:val="005F19F9"/>
    <w:rsid w:val="005F45EE"/>
    <w:rsid w:val="005F5A80"/>
    <w:rsid w:val="006044FF"/>
    <w:rsid w:val="00607CC5"/>
    <w:rsid w:val="0061179B"/>
    <w:rsid w:val="006125F9"/>
    <w:rsid w:val="00631B82"/>
    <w:rsid w:val="00633014"/>
    <w:rsid w:val="0063437B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2836"/>
    <w:rsid w:val="00693880"/>
    <w:rsid w:val="00694AF0"/>
    <w:rsid w:val="006A4686"/>
    <w:rsid w:val="006B0E9E"/>
    <w:rsid w:val="006B486D"/>
    <w:rsid w:val="006B5AE4"/>
    <w:rsid w:val="006D1507"/>
    <w:rsid w:val="006D4054"/>
    <w:rsid w:val="006D607B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C5FBC"/>
    <w:rsid w:val="007C7D79"/>
    <w:rsid w:val="007D0869"/>
    <w:rsid w:val="007D14C4"/>
    <w:rsid w:val="007D3319"/>
    <w:rsid w:val="007D335D"/>
    <w:rsid w:val="007D605C"/>
    <w:rsid w:val="007E0C98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743"/>
    <w:rsid w:val="00834AD3"/>
    <w:rsid w:val="008410C1"/>
    <w:rsid w:val="00843293"/>
    <w:rsid w:val="00843795"/>
    <w:rsid w:val="00844DC7"/>
    <w:rsid w:val="00847F0F"/>
    <w:rsid w:val="00852448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7662"/>
    <w:rsid w:val="009446AD"/>
    <w:rsid w:val="009529FB"/>
    <w:rsid w:val="009530DB"/>
    <w:rsid w:val="00953676"/>
    <w:rsid w:val="00956F30"/>
    <w:rsid w:val="00966C9A"/>
    <w:rsid w:val="009705EE"/>
    <w:rsid w:val="00970F64"/>
    <w:rsid w:val="00977927"/>
    <w:rsid w:val="0098135C"/>
    <w:rsid w:val="0098156A"/>
    <w:rsid w:val="00986F01"/>
    <w:rsid w:val="00991BAC"/>
    <w:rsid w:val="0099757D"/>
    <w:rsid w:val="009A6EA0"/>
    <w:rsid w:val="009C1335"/>
    <w:rsid w:val="009C1AB2"/>
    <w:rsid w:val="009C7251"/>
    <w:rsid w:val="009E2E91"/>
    <w:rsid w:val="00A01B40"/>
    <w:rsid w:val="00A139F5"/>
    <w:rsid w:val="00A15EF2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1BB1"/>
    <w:rsid w:val="00A971E5"/>
    <w:rsid w:val="00AA710D"/>
    <w:rsid w:val="00AB64F3"/>
    <w:rsid w:val="00AB6D25"/>
    <w:rsid w:val="00AD0E56"/>
    <w:rsid w:val="00AE03AD"/>
    <w:rsid w:val="00AE229B"/>
    <w:rsid w:val="00AE2D4B"/>
    <w:rsid w:val="00AE4F99"/>
    <w:rsid w:val="00AE7BA9"/>
    <w:rsid w:val="00B11B69"/>
    <w:rsid w:val="00B14952"/>
    <w:rsid w:val="00B16871"/>
    <w:rsid w:val="00B25B45"/>
    <w:rsid w:val="00B31E5A"/>
    <w:rsid w:val="00B33EDD"/>
    <w:rsid w:val="00B47359"/>
    <w:rsid w:val="00B56FF3"/>
    <w:rsid w:val="00B653AB"/>
    <w:rsid w:val="00B65F9E"/>
    <w:rsid w:val="00B66B19"/>
    <w:rsid w:val="00B7386E"/>
    <w:rsid w:val="00B827AB"/>
    <w:rsid w:val="00B84C43"/>
    <w:rsid w:val="00B87BC0"/>
    <w:rsid w:val="00B914E9"/>
    <w:rsid w:val="00B956EE"/>
    <w:rsid w:val="00BA2BA1"/>
    <w:rsid w:val="00BA3447"/>
    <w:rsid w:val="00BA3562"/>
    <w:rsid w:val="00BB4F09"/>
    <w:rsid w:val="00BB54B5"/>
    <w:rsid w:val="00BC4F13"/>
    <w:rsid w:val="00BD4E33"/>
    <w:rsid w:val="00BE26C2"/>
    <w:rsid w:val="00BF49D6"/>
    <w:rsid w:val="00C030DE"/>
    <w:rsid w:val="00C051A8"/>
    <w:rsid w:val="00C22105"/>
    <w:rsid w:val="00C244B6"/>
    <w:rsid w:val="00C27BF1"/>
    <w:rsid w:val="00C3702F"/>
    <w:rsid w:val="00C4500A"/>
    <w:rsid w:val="00C52EBC"/>
    <w:rsid w:val="00C62238"/>
    <w:rsid w:val="00C64A37"/>
    <w:rsid w:val="00C7158E"/>
    <w:rsid w:val="00C7250B"/>
    <w:rsid w:val="00C7346B"/>
    <w:rsid w:val="00C77C0E"/>
    <w:rsid w:val="00C91687"/>
    <w:rsid w:val="00C92433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52CBF"/>
    <w:rsid w:val="00D616D2"/>
    <w:rsid w:val="00D63B5F"/>
    <w:rsid w:val="00D70EF7"/>
    <w:rsid w:val="00D8397C"/>
    <w:rsid w:val="00D86614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3739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BA8"/>
    <w:rsid w:val="00F6237E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0FCB"/>
    <w:rsid w:val="00FC2AED"/>
    <w:rsid w:val="00FD08AE"/>
    <w:rsid w:val="00FD5EA7"/>
    <w:rsid w:val="00FE36CF"/>
    <w:rsid w:val="00FE4A1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97A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355208851681646"/>
          <c:y val="3.9320811095167621E-2"/>
          <c:w val="0.46207144181326781"/>
          <c:h val="0.877742919031725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" sourceLinked="0"/>
            <c:spPr>
              <a:solidFill>
                <a:schemeClr val="bg1"/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'1'!$A$3:$A$15</c:f>
              <c:strCache>
                <c:ptCount val="13"/>
                <c:pt idx="0">
                  <c:v>Przemysł</c:v>
                </c:pt>
                <c:pt idx="1">
                  <c:v>Budownictwo</c:v>
                </c:pt>
                <c:pt idx="2">
                  <c:v>Handel; naprawa pojazdów samochodowych</c:v>
                </c:pt>
                <c:pt idx="3">
                  <c:v>Transport i gospodarka magazynowa</c:v>
                </c:pt>
                <c:pt idx="4">
                  <c:v>Zakwaterowanie i gastronomia</c:v>
                </c:pt>
                <c:pt idx="5">
                  <c:v>Informacja i komunikacja</c:v>
                </c:pt>
                <c:pt idx="6">
                  <c:v>Obsługa rynku nieruchomości</c:v>
                </c:pt>
                <c:pt idx="7">
                  <c:v>Działalność profesjonalna, naukowa i techniczna</c:v>
                </c:pt>
                <c:pt idx="8">
                  <c:v>Administrowanie i działalność wspierająca</c:v>
                </c:pt>
                <c:pt idx="9">
                  <c:v>Edukacja</c:v>
                </c:pt>
                <c:pt idx="10">
                  <c:v>Opieka zdrowotna i pomoc społeczna</c:v>
                </c:pt>
                <c:pt idx="11">
                  <c:v>Kultura, rozrywka i rekreacja</c:v>
                </c:pt>
                <c:pt idx="12">
                  <c:v>Pozostała działalność usługowa</c:v>
                </c:pt>
              </c:strCache>
            </c:strRef>
          </c:cat>
          <c:val>
            <c:numRef>
              <c:f>'1'!$B$3:$B$15</c:f>
              <c:numCache>
                <c:formatCode>#,##0</c:formatCode>
                <c:ptCount val="13"/>
                <c:pt idx="0">
                  <c:v>36738</c:v>
                </c:pt>
                <c:pt idx="1">
                  <c:v>50880</c:v>
                </c:pt>
                <c:pt idx="2">
                  <c:v>47072</c:v>
                </c:pt>
                <c:pt idx="3">
                  <c:v>19333</c:v>
                </c:pt>
                <c:pt idx="4">
                  <c:v>4766</c:v>
                </c:pt>
                <c:pt idx="5">
                  <c:v>31607</c:v>
                </c:pt>
                <c:pt idx="6">
                  <c:v>4650</c:v>
                </c:pt>
                <c:pt idx="7">
                  <c:v>40189</c:v>
                </c:pt>
                <c:pt idx="8">
                  <c:v>15370</c:v>
                </c:pt>
                <c:pt idx="9">
                  <c:v>6909</c:v>
                </c:pt>
                <c:pt idx="10">
                  <c:v>15463</c:v>
                </c:pt>
                <c:pt idx="11">
                  <c:v>1376</c:v>
                </c:pt>
                <c:pt idx="12">
                  <c:v>9402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4F-4EF8-A475-E748ABD80B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-18"/>
        <c:axId val="164138368"/>
        <c:axId val="164140160"/>
      </c:barChart>
      <c:catAx>
        <c:axId val="16413836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/>
        </c:spPr>
        <c:crossAx val="164140160"/>
        <c:crosses val="autoZero"/>
        <c:auto val="1"/>
        <c:lblAlgn val="ctr"/>
        <c:lblOffset val="100"/>
        <c:noMultiLvlLbl val="0"/>
      </c:catAx>
      <c:valAx>
        <c:axId val="164140160"/>
        <c:scaling>
          <c:orientation val="minMax"/>
          <c:max val="60000"/>
        </c:scaling>
        <c:delete val="0"/>
        <c:axPos val="t"/>
        <c:majorGridlines>
          <c:spPr>
            <a:ln>
              <a:solidFill>
                <a:schemeClr val="bg1">
                  <a:lumMod val="65000"/>
                </a:schemeClr>
              </a:solidFill>
            </a:ln>
          </c:spPr>
        </c:majorGridlines>
        <c:numFmt formatCode="#,##0" sourceLinked="0"/>
        <c:majorTickMark val="out"/>
        <c:minorTickMark val="none"/>
        <c:tickLblPos val="high"/>
        <c:spPr>
          <a:ln>
            <a:noFill/>
          </a:ln>
        </c:spPr>
        <c:crossAx val="164138368"/>
        <c:crosses val="autoZero"/>
        <c:crossBetween val="between"/>
        <c:majorUnit val="3000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119961955161998"/>
          <c:y val="3.9320811095167621E-2"/>
          <c:w val="0.42486874628240212"/>
          <c:h val="0.830957987820805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'2'!$B$4</c:f>
              <c:strCache>
                <c:ptCount val="1"/>
                <c:pt idx="0">
                  <c:v>Przychody ogółem</c:v>
                </c:pt>
              </c:strCache>
            </c:strRef>
          </c:tx>
          <c:spPr>
            <a:solidFill>
              <a:srgbClr val="334A92"/>
            </a:solidFill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'2'!$A$5:$A$17</c:f>
              <c:strCache>
                <c:ptCount val="13"/>
                <c:pt idx="0">
                  <c:v>Przemysł</c:v>
                </c:pt>
                <c:pt idx="1">
                  <c:v>Budownictwo</c:v>
                </c:pt>
                <c:pt idx="2">
                  <c:v>Handel; naprawa pojazdów samochodowych</c:v>
                </c:pt>
                <c:pt idx="3">
                  <c:v>Transport i gospodarka magazynowa</c:v>
                </c:pt>
                <c:pt idx="4">
                  <c:v>Zakwaterowanie i gastronomia</c:v>
                </c:pt>
                <c:pt idx="5">
                  <c:v>Informacja i komunikacja</c:v>
                </c:pt>
                <c:pt idx="6">
                  <c:v>Obsługa rynku nieruchomości</c:v>
                </c:pt>
                <c:pt idx="7">
                  <c:v>Działalność profesjonalna, naukowa i techniczna</c:v>
                </c:pt>
                <c:pt idx="8">
                  <c:v>Administrowanie i działalność wspierająca</c:v>
                </c:pt>
                <c:pt idx="9">
                  <c:v>Edukacja</c:v>
                </c:pt>
                <c:pt idx="10">
                  <c:v>Opieka zdrowotna i pomoc społeczna</c:v>
                </c:pt>
                <c:pt idx="11">
                  <c:v>Kultura, rozrywka i rekreacja</c:v>
                </c:pt>
                <c:pt idx="12">
                  <c:v>Pozostała działalność usługowa</c:v>
                </c:pt>
              </c:strCache>
            </c:strRef>
          </c:cat>
          <c:val>
            <c:numRef>
              <c:f>'2'!$B$5:$B$17</c:f>
              <c:numCache>
                <c:formatCode>#\ ##0.0</c:formatCode>
                <c:ptCount val="13"/>
                <c:pt idx="0">
                  <c:v>8366.8989999999994</c:v>
                </c:pt>
                <c:pt idx="1">
                  <c:v>7195.17</c:v>
                </c:pt>
                <c:pt idx="2">
                  <c:v>29839.465</c:v>
                </c:pt>
                <c:pt idx="3">
                  <c:v>4173.6980000000003</c:v>
                </c:pt>
                <c:pt idx="4">
                  <c:v>880.74199999999996</c:v>
                </c:pt>
                <c:pt idx="5">
                  <c:v>4975.0460000000003</c:v>
                </c:pt>
                <c:pt idx="6">
                  <c:v>1021.69</c:v>
                </c:pt>
                <c:pt idx="7">
                  <c:v>4734.5200000000004</c:v>
                </c:pt>
                <c:pt idx="8">
                  <c:v>1965.712</c:v>
                </c:pt>
                <c:pt idx="9">
                  <c:v>503.923</c:v>
                </c:pt>
                <c:pt idx="10">
                  <c:v>2156.4409999999998</c:v>
                </c:pt>
                <c:pt idx="11">
                  <c:v>81.052000000000007</c:v>
                </c:pt>
                <c:pt idx="12">
                  <c:v>296.92899999999997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55-4A0F-977C-F95C30B2F895}"/>
            </c:ext>
          </c:extLst>
        </c:ser>
        <c:ser>
          <c:idx val="1"/>
          <c:order val="1"/>
          <c:tx>
            <c:strRef>
              <c:f>'2'!$C$4</c:f>
              <c:strCache>
                <c:ptCount val="1"/>
                <c:pt idx="0">
                  <c:v>Koszty ogółem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'2'!$A$5:$A$17</c:f>
              <c:strCache>
                <c:ptCount val="13"/>
                <c:pt idx="0">
                  <c:v>Przemysł</c:v>
                </c:pt>
                <c:pt idx="1">
                  <c:v>Budownictwo</c:v>
                </c:pt>
                <c:pt idx="2">
                  <c:v>Handel; naprawa pojazdów samochodowych</c:v>
                </c:pt>
                <c:pt idx="3">
                  <c:v>Transport i gospodarka magazynowa</c:v>
                </c:pt>
                <c:pt idx="4">
                  <c:v>Zakwaterowanie i gastronomia</c:v>
                </c:pt>
                <c:pt idx="5">
                  <c:v>Informacja i komunikacja</c:v>
                </c:pt>
                <c:pt idx="6">
                  <c:v>Obsługa rynku nieruchomości</c:v>
                </c:pt>
                <c:pt idx="7">
                  <c:v>Działalność profesjonalna, naukowa i techniczna</c:v>
                </c:pt>
                <c:pt idx="8">
                  <c:v>Administrowanie i działalność wspierająca</c:v>
                </c:pt>
                <c:pt idx="9">
                  <c:v>Edukacja</c:v>
                </c:pt>
                <c:pt idx="10">
                  <c:v>Opieka zdrowotna i pomoc społeczna</c:v>
                </c:pt>
                <c:pt idx="11">
                  <c:v>Kultura, rozrywka i rekreacja</c:v>
                </c:pt>
                <c:pt idx="12">
                  <c:v>Pozostała działalność usługowa</c:v>
                </c:pt>
              </c:strCache>
            </c:strRef>
          </c:cat>
          <c:val>
            <c:numRef>
              <c:f>'2'!$C$5:$C$17</c:f>
              <c:numCache>
                <c:formatCode>#\ ##0.0</c:formatCode>
                <c:ptCount val="13"/>
                <c:pt idx="0">
                  <c:v>7448.8040000000001</c:v>
                </c:pt>
                <c:pt idx="1">
                  <c:v>5241.4690000000001</c:v>
                </c:pt>
                <c:pt idx="2">
                  <c:v>26554.169000000002</c:v>
                </c:pt>
                <c:pt idx="3">
                  <c:v>3786.3290000000002</c:v>
                </c:pt>
                <c:pt idx="4">
                  <c:v>698.61199999999997</c:v>
                </c:pt>
                <c:pt idx="5">
                  <c:v>4320.6580000000004</c:v>
                </c:pt>
                <c:pt idx="6">
                  <c:v>766.42499999999995</c:v>
                </c:pt>
                <c:pt idx="7">
                  <c:v>3425.877</c:v>
                </c:pt>
                <c:pt idx="8">
                  <c:v>1849.7650000000001</c:v>
                </c:pt>
                <c:pt idx="9">
                  <c:v>327.995</c:v>
                </c:pt>
                <c:pt idx="10">
                  <c:v>728.34799999999996</c:v>
                </c:pt>
                <c:pt idx="11">
                  <c:v>61.868000000000002</c:v>
                </c:pt>
                <c:pt idx="12">
                  <c:v>343.65199999999999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55-4A0F-977C-F95C30B2F8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-10"/>
        <c:axId val="163506048"/>
        <c:axId val="163507584"/>
      </c:barChart>
      <c:catAx>
        <c:axId val="16350604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crossAx val="163507584"/>
        <c:crosses val="autoZero"/>
        <c:auto val="1"/>
        <c:lblAlgn val="ctr"/>
        <c:lblOffset val="100"/>
        <c:noMultiLvlLbl val="0"/>
      </c:catAx>
      <c:valAx>
        <c:axId val="163507584"/>
        <c:scaling>
          <c:orientation val="minMax"/>
          <c:max val="30000"/>
        </c:scaling>
        <c:delete val="0"/>
        <c:axPos val="b"/>
        <c:majorGridlines>
          <c:spPr>
            <a:ln>
              <a:solidFill>
                <a:schemeClr val="bg1">
                  <a:lumMod val="65000"/>
                </a:schemeClr>
              </a:solidFill>
            </a:ln>
          </c:spPr>
        </c:majorGridlines>
        <c:numFmt formatCode="#,##0" sourceLinked="0"/>
        <c:majorTickMark val="in"/>
        <c:minorTickMark val="none"/>
        <c:tickLblPos val="high"/>
        <c:spPr>
          <a:ln>
            <a:noFill/>
          </a:ln>
        </c:spPr>
        <c:crossAx val="163506048"/>
        <c:crosses val="max"/>
        <c:crossBetween val="between"/>
        <c:majorUnit val="10000"/>
      </c:valAx>
      <c:spPr>
        <a:noFill/>
        <a:ln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0.88476</cdr:x>
      <cdr:y>0.87379</cdr:y>
    </cdr:from>
    <cdr:to>
      <cdr:x>1</cdr:x>
      <cdr:y>0.91231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544167" y="4455603"/>
          <a:ext cx="591878" cy="1964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/>
            <a:t>     </a:t>
          </a:r>
          <a:r>
            <a:rPr lang="pl-PL" sz="800">
              <a:latin typeface="Fira Sans" pitchFamily="34" charset="0"/>
              <a:ea typeface="Fira Sans" pitchFamily="34" charset="0"/>
            </a:rPr>
            <a:t>mln zł</a:t>
          </a:r>
        </a:p>
      </cdr:txBody>
    </cdr:sp>
  </cdr:relSizeAnchor>
  <cdr:relSizeAnchor xmlns:cdr="http://schemas.openxmlformats.org/drawingml/2006/chartDrawing">
    <cdr:from>
      <cdr:x>0.42511</cdr:x>
      <cdr:y>0.94889</cdr:y>
    </cdr:from>
    <cdr:to>
      <cdr:x>0.99203</cdr:x>
      <cdr:y>0.9983</cdr:y>
    </cdr:to>
    <cdr:grpSp>
      <cdr:nvGrpSpPr>
        <cdr:cNvPr id="3" name="Grupa 2">
          <a:extLst xmlns:a="http://schemas.openxmlformats.org/drawingml/2006/main">
            <a:ext uri="{FF2B5EF4-FFF2-40B4-BE49-F238E27FC236}">
              <a16:creationId xmlns:a16="http://schemas.microsoft.com/office/drawing/2014/main" id="{638104E4-7B88-4881-B976-966C40B34A9B}"/>
            </a:ext>
          </a:extLst>
        </cdr:cNvPr>
        <cdr:cNvGrpSpPr/>
      </cdr:nvGrpSpPr>
      <cdr:grpSpPr>
        <a:xfrm xmlns:a="http://schemas.openxmlformats.org/drawingml/2006/main">
          <a:off x="2219062" y="4838548"/>
          <a:ext cx="2959319" cy="251982"/>
          <a:chOff x="1111796" y="505276"/>
          <a:chExt cx="2965096" cy="256790"/>
        </a:xfrm>
      </cdr:grpSpPr>
      <cdr:grpSp>
        <cdr:nvGrpSpPr>
          <cdr:cNvPr id="4" name="Grupa 3">
            <a:extLst xmlns:a="http://schemas.openxmlformats.org/drawingml/2006/main">
              <a:ext uri="{FF2B5EF4-FFF2-40B4-BE49-F238E27FC236}">
                <a16:creationId xmlns:a16="http://schemas.microsoft.com/office/drawing/2014/main" id="{DFEA2D7F-CD7A-420E-B77E-663EBFEF164A}"/>
              </a:ext>
            </a:extLst>
          </cdr:cNvPr>
          <cdr:cNvGrpSpPr/>
        </cdr:nvGrpSpPr>
        <cdr:grpSpPr>
          <a:xfrm xmlns:a="http://schemas.openxmlformats.org/drawingml/2006/main">
            <a:off x="1288583" y="505276"/>
            <a:ext cx="2788309" cy="256790"/>
            <a:chOff x="1239847" y="670546"/>
            <a:chExt cx="2674481" cy="340783"/>
          </a:xfrm>
        </cdr:grpSpPr>
        <cdr:grpSp>
          <cdr:nvGrpSpPr>
            <cdr:cNvPr id="7" name="Grupa 6">
              <a:extLst xmlns:a="http://schemas.openxmlformats.org/drawingml/2006/main">
                <a:ext uri="{FF2B5EF4-FFF2-40B4-BE49-F238E27FC236}">
                  <a16:creationId xmlns:a16="http://schemas.microsoft.com/office/drawing/2014/main" id="{21BF8E86-5A70-4BB4-8A15-675042ECE64D}"/>
                </a:ext>
              </a:extLst>
            </cdr:cNvPr>
            <cdr:cNvGrpSpPr/>
          </cdr:nvGrpSpPr>
          <cdr:grpSpPr>
            <a:xfrm xmlns:a="http://schemas.openxmlformats.org/drawingml/2006/main">
              <a:off x="1239847" y="670546"/>
              <a:ext cx="2674481" cy="340783"/>
              <a:chOff x="1191384" y="252626"/>
              <a:chExt cx="2553176" cy="128389"/>
            </a:xfrm>
          </cdr:grpSpPr>
          <cdr:grpSp>
            <cdr:nvGrpSpPr>
              <cdr:cNvPr id="8" name="Grupa 7">
                <a:extLst xmlns:a="http://schemas.openxmlformats.org/drawingml/2006/main">
                  <a:ext uri="{FF2B5EF4-FFF2-40B4-BE49-F238E27FC236}">
                    <a16:creationId xmlns:a16="http://schemas.microsoft.com/office/drawing/2014/main" id="{89A104D1-C883-4B61-9835-E8801885EF72}"/>
                  </a:ext>
                </a:extLst>
              </cdr:cNvPr>
              <cdr:cNvGrpSpPr/>
            </cdr:nvGrpSpPr>
            <cdr:grpSpPr>
              <a:xfrm xmlns:a="http://schemas.openxmlformats.org/drawingml/2006/main">
                <a:off x="1191384" y="252626"/>
                <a:ext cx="2553176" cy="128389"/>
                <a:chOff x="1664400" y="2059513"/>
                <a:chExt cx="3737159" cy="1046680"/>
              </a:xfrm>
            </cdr:grpSpPr>
            <cdr:sp macro="" textlink="">
              <cdr:nvSpPr>
                <cdr:cNvPr id="9" name="pole tekstow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147994-A511-43B8-A364-3170A601B38E}"/>
                    </a:ext>
                  </a:extLst>
                </cdr:cNvPr>
                <cdr:cNvSpPr txBox="1"/>
              </cdr:nvSpPr>
              <cdr:spPr>
                <a:xfrm xmlns:a="http://schemas.openxmlformats.org/drawingml/2006/main">
                  <a:off x="1664400" y="2059513"/>
                  <a:ext cx="3737159" cy="1046680"/>
                </a:xfrm>
                <a:prstGeom xmlns:a="http://schemas.openxmlformats.org/drawingml/2006/main" prst="rect">
                  <a:avLst/>
                </a:prstGeom>
              </cdr:spPr>
              <cdr:txBody>
                <a:bodyPr xmlns:a="http://schemas.openxmlformats.org/drawingml/2006/main" wrap="none" rtlCol="0"/>
                <a:lstStyle xmlns:a="http://schemas.openxmlformats.org/drawingml/2006/main">
                  <a:lvl1pPr marL="0" indent="0">
                    <a:defRPr sz="1100">
                      <a:latin typeface="+mn-lt"/>
                      <a:ea typeface="+mn-ea"/>
                      <a:cs typeface="+mn-cs"/>
                    </a:defRPr>
                  </a:lvl1pPr>
                  <a:lvl2pPr marL="457200" indent="0">
                    <a:defRPr sz="1100">
                      <a:latin typeface="+mn-lt"/>
                      <a:ea typeface="+mn-ea"/>
                      <a:cs typeface="+mn-cs"/>
                    </a:defRPr>
                  </a:lvl2pPr>
                  <a:lvl3pPr marL="914400" indent="0">
                    <a:defRPr sz="1100">
                      <a:latin typeface="+mn-lt"/>
                      <a:ea typeface="+mn-ea"/>
                      <a:cs typeface="+mn-cs"/>
                    </a:defRPr>
                  </a:lvl3pPr>
                  <a:lvl4pPr marL="1371600" indent="0">
                    <a:defRPr sz="1100">
                      <a:latin typeface="+mn-lt"/>
                      <a:ea typeface="+mn-ea"/>
                      <a:cs typeface="+mn-cs"/>
                    </a:defRPr>
                  </a:lvl4pPr>
                  <a:lvl5pPr marL="1828800" indent="0">
                    <a:defRPr sz="1100">
                      <a:latin typeface="+mn-lt"/>
                      <a:ea typeface="+mn-ea"/>
                      <a:cs typeface="+mn-cs"/>
                    </a:defRPr>
                  </a:lvl5pPr>
                  <a:lvl6pPr marL="2286000" indent="0">
                    <a:defRPr sz="1100">
                      <a:latin typeface="+mn-lt"/>
                      <a:ea typeface="+mn-ea"/>
                      <a:cs typeface="+mn-cs"/>
                    </a:defRPr>
                  </a:lvl6pPr>
                  <a:lvl7pPr marL="2743200" indent="0">
                    <a:defRPr sz="1100">
                      <a:latin typeface="+mn-lt"/>
                      <a:ea typeface="+mn-ea"/>
                      <a:cs typeface="+mn-cs"/>
                    </a:defRPr>
                  </a:lvl7pPr>
                  <a:lvl8pPr marL="3200400" indent="0">
                    <a:defRPr sz="1100">
                      <a:latin typeface="+mn-lt"/>
                      <a:ea typeface="+mn-ea"/>
                      <a:cs typeface="+mn-cs"/>
                    </a:defRPr>
                  </a:lvl8pPr>
                  <a:lvl9pPr marL="3657600" indent="0">
                    <a:defRPr sz="1100">
                      <a:latin typeface="+mn-lt"/>
                      <a:ea typeface="+mn-ea"/>
                      <a:cs typeface="+mn-cs"/>
                    </a:defRPr>
                  </a:lvl9pPr>
                </a:lstStyle>
                <a:p xmlns:a="http://schemas.openxmlformats.org/drawingml/2006/main">
                  <a:r>
                    <a:rPr lang="pl-PL" sz="800" i="1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     </a:t>
                  </a:r>
                  <a:r>
                    <a:rPr lang="pl-PL" sz="800" i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Przychody ogółem    </a:t>
                  </a:r>
                  <a:r>
                    <a:rPr lang="pl-PL" sz="800" i="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                            Koszty ogółem</a:t>
                  </a:r>
                  <a:r>
                    <a:rPr lang="pl-PL" sz="800" i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    </a:t>
                  </a:r>
                </a:p>
                <a:p xmlns:a="http://schemas.openxmlformats.org/drawingml/2006/main">
                  <a:r>
                    <a:rPr lang="pl-PL" sz="800" i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                          </a:t>
                  </a:r>
                </a:p>
                <a:p xmlns:a="http://schemas.openxmlformats.org/drawingml/2006/main">
                  <a:endParaRPr lang="pl-PL" sz="500" i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endParaRPr>
                </a:p>
              </cdr:txBody>
            </cdr:sp>
          </cdr:grpSp>
        </cdr:grpSp>
      </cdr:grpSp>
      <cdr:sp macro="" textlink="">
        <cdr:nvSpPr>
          <cdr:cNvPr id="5" name="Prostokąt 4">
            <a:extLst xmlns:a="http://schemas.openxmlformats.org/drawingml/2006/main">
              <a:ext uri="{FF2B5EF4-FFF2-40B4-BE49-F238E27FC236}">
                <a16:creationId xmlns:a16="http://schemas.microsoft.com/office/drawing/2014/main" id="{BA5BCAAC-CA55-412F-886A-650B8F129CDB}"/>
              </a:ext>
            </a:extLst>
          </cdr:cNvPr>
          <cdr:cNvSpPr/>
        </cdr:nvSpPr>
        <cdr:spPr bwMode="auto">
          <a:xfrm xmlns:a="http://schemas.openxmlformats.org/drawingml/2006/main">
            <a:off x="1111796" y="528637"/>
            <a:ext cx="357541" cy="162631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6677AD"/>
          </a:solidFill>
          <a:ln xmlns:a="http://schemas.openxmlformats.org/drawingml/2006/main">
            <a:noFill/>
          </a:ln>
          <a:effectLst xmlns:a="http://schemas.openxmlformats.org/drawingml/2006/main"/>
          <a:extLst xmlns:a="http://schemas.openxmlformats.org/drawingml/2006/main"/>
        </cdr:spPr>
        <cdr:txBody>
          <a:bodyPr xmlns:a="http://schemas.openxmlformats.org/drawingml/2006/main" wrap="square" lIns="18288" tIns="0" rIns="0" bIns="0" upright="1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endParaRPr lang="pl-PL"/>
          </a:p>
        </cdr:txBody>
      </cdr:sp>
      <cdr:sp macro="" textlink="">
        <cdr:nvSpPr>
          <cdr:cNvPr id="6" name="Prostokąt 5">
            <a:extLst xmlns:a="http://schemas.openxmlformats.org/drawingml/2006/main">
              <a:ext uri="{FF2B5EF4-FFF2-40B4-BE49-F238E27FC236}">
                <a16:creationId xmlns:a16="http://schemas.microsoft.com/office/drawing/2014/main" id="{F7F5CB52-EB33-4891-BC77-B31CB530E5AF}"/>
              </a:ext>
            </a:extLst>
          </cdr:cNvPr>
          <cdr:cNvSpPr/>
        </cdr:nvSpPr>
        <cdr:spPr bwMode="auto">
          <a:xfrm xmlns:a="http://schemas.openxmlformats.org/drawingml/2006/main">
            <a:off x="2839909" y="532196"/>
            <a:ext cx="357540" cy="162631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C9D2E4"/>
          </a:solidFill>
          <a:ln xmlns:a="http://schemas.openxmlformats.org/drawingml/2006/main">
            <a:noFill/>
          </a:ln>
          <a:effectLst xmlns:a="http://schemas.openxmlformats.org/drawingml/2006/main"/>
          <a:extLst xmlns:a="http://schemas.openxmlformats.org/drawingml/2006/main"/>
        </cdr:spPr>
        <cdr:txBody>
          <a:bodyPr xmlns:a="http://schemas.openxmlformats.org/drawingml/2006/main" wrap="square" lIns="18288" tIns="0" rIns="0" bIns="0" upright="1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endParaRPr lang="pl-PL"/>
          </a:p>
        </cdr:txBody>
      </cdr:sp>
    </cdr:grp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Przedsiębiorstwa niefinansowe powstałe w 2021.docx.docx</NazwaPliku>
    <Odbiorcy2 xmlns="AD3641B4-23D9-4536-AF9E-7D0EADDEB824" xsi:nil="true"/>
    <Osoba xmlns="AD3641B4-23D9-4536-AF9E-7D0EADDEB824">STAT\PLATEKA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C78F9-6AD4-4400-AEFE-DC2622941A0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0D323E84-D34B-4EE2-9FEB-5752650F3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2022-02-04T14:14:00Z</dcterms:created>
  <dcterms:modified xsi:type="dcterms:W3CDTF">2022-11-23T10:13:00Z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