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DD" w:rsidRDefault="00B656DD" w:rsidP="00E4613A">
      <w:pPr>
        <w:pStyle w:val="tytuinformacji"/>
        <w:spacing w:after="600"/>
        <w:rPr>
          <w:shd w:val="clear" w:color="auto" w:fill="FFFFFF"/>
        </w:rPr>
      </w:pPr>
      <w:r>
        <w:rPr>
          <w:shd w:val="clear" w:color="auto" w:fill="FFFFFF"/>
        </w:rPr>
        <w:t>Obrót nieruchomościami w 20</w:t>
      </w:r>
      <w:r w:rsidR="00624C6A">
        <w:rPr>
          <w:shd w:val="clear" w:color="auto" w:fill="FFFFFF"/>
        </w:rPr>
        <w:t>2</w:t>
      </w:r>
      <w:r w:rsidR="00C942D1">
        <w:rPr>
          <w:shd w:val="clear" w:color="auto" w:fill="FFFFFF"/>
        </w:rPr>
        <w:t>1</w:t>
      </w:r>
      <w:r w:rsidRPr="00BF0C5F">
        <w:rPr>
          <w:shd w:val="clear" w:color="auto" w:fill="FFFFFF"/>
        </w:rPr>
        <w:t xml:space="preserve"> r.</w:t>
      </w:r>
    </w:p>
    <w:p w:rsidR="00005BF5" w:rsidRPr="00005BF5" w:rsidRDefault="00C942D1" w:rsidP="00C942D1">
      <w:pPr>
        <w:pStyle w:val="LID"/>
        <w:ind w:left="284"/>
        <w:rPr>
          <w:shd w:val="clear" w:color="auto" w:fill="FFFFFF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1E4397C0" wp14:editId="222164B6">
                <wp:simplePos x="0" y="0"/>
                <wp:positionH relativeFrom="margin">
                  <wp:posOffset>133350</wp:posOffset>
                </wp:positionH>
                <wp:positionV relativeFrom="paragraph">
                  <wp:posOffset>147320</wp:posOffset>
                </wp:positionV>
                <wp:extent cx="2095500" cy="1524000"/>
                <wp:effectExtent l="0" t="0" r="0" b="0"/>
                <wp:wrapSquare wrapText="bothSides"/>
                <wp:docPr id="6" name="Pole tekstowe 2" descr="Wartość wskaźnika 24,3%&#10;Wzrost liczby aktów notarialnych dot. sprzedaży nieruchomości w porównaniu do 2020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524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2D1" w:rsidRPr="00AA35E5" w:rsidRDefault="00C942D1" w:rsidP="00C942D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A35E5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Pr="00AA35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01AE9" w:rsidRPr="00AA35E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24,3</w:t>
                            </w:r>
                            <w:r w:rsidRPr="00AA35E5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C942D1" w:rsidRPr="007D605C" w:rsidRDefault="00D01AE9" w:rsidP="00AA35E5">
                            <w:pPr>
                              <w:pStyle w:val="Opiswskanika"/>
                              <w:spacing w:before="120"/>
                              <w:ind w:right="-75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 xml:space="preserve">Wzrost liczby aktów notarialnych dot. sprzedaży nieruchomości </w:t>
                            </w:r>
                            <w:r w:rsidRPr="00D01AE9">
                              <w:t>w porównaniu do 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397C0" id="Pole tekstowe 2" o:spid="_x0000_s1026" alt="Wartość wskaźnika 24,3%&#10;Wzrost liczby aktów notarialnych dot. sprzedaży nieruchomości w porównaniu do 2020 r." style="position:absolute;left:0;text-align:left;margin-left:10.5pt;margin-top:11.6pt;width:165pt;height:120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" fillcolor="#001d77" stroked="f">
                <v:stroke joinstyle="miter"/>
                <v:textbox>
                  <w:txbxContent>
                    <w:p w:rsidR="00C942D1" w:rsidRPr="00AA35E5" w:rsidRDefault="00C942D1" w:rsidP="00C942D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AA35E5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 w:rsidRPr="00AA35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D01AE9" w:rsidRPr="00AA35E5">
                        <w:rPr>
                          <w:rStyle w:val="WartowskanikaZnak"/>
                          <w:sz w:val="72"/>
                          <w:szCs w:val="72"/>
                        </w:rPr>
                        <w:t>24,3</w:t>
                      </w:r>
                      <w:r w:rsidRPr="00AA35E5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:rsidR="00C942D1" w:rsidRPr="007D605C" w:rsidRDefault="00D01AE9" w:rsidP="00AA35E5">
                      <w:pPr>
                        <w:pStyle w:val="Opiswskanika"/>
                        <w:spacing w:before="120"/>
                        <w:ind w:right="-75"/>
                        <w:rPr>
                          <w:sz w:val="18"/>
                          <w:szCs w:val="20"/>
                        </w:rPr>
                      </w:pPr>
                      <w:r>
                        <w:t xml:space="preserve">Wzrost liczby aktów notarialnych dot. sprzedaży nieruchomości </w:t>
                      </w:r>
                      <w:r w:rsidRPr="00D01AE9">
                        <w:t>w porównaniu do 2020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656DD">
        <w:rPr>
          <w:noProof w:val="0"/>
          <w:lang w:eastAsia="en-US"/>
        </w:rPr>
        <w:t>W 20</w:t>
      </w:r>
      <w:r w:rsidR="00624C6A">
        <w:rPr>
          <w:noProof w:val="0"/>
          <w:lang w:eastAsia="en-US"/>
        </w:rPr>
        <w:t>2</w:t>
      </w:r>
      <w:r>
        <w:rPr>
          <w:noProof w:val="0"/>
          <w:lang w:eastAsia="en-US"/>
        </w:rPr>
        <w:t>1</w:t>
      </w:r>
      <w:r w:rsidR="00B656DD">
        <w:rPr>
          <w:noProof w:val="0"/>
          <w:lang w:eastAsia="en-US"/>
        </w:rPr>
        <w:t xml:space="preserve"> r</w:t>
      </w:r>
      <w:r w:rsidR="009676CA">
        <w:rPr>
          <w:noProof w:val="0"/>
          <w:lang w:eastAsia="en-US"/>
        </w:rPr>
        <w:t>.</w:t>
      </w:r>
      <w:r w:rsidR="00B656DD">
        <w:rPr>
          <w:noProof w:val="0"/>
          <w:lang w:eastAsia="en-US"/>
        </w:rPr>
        <w:t xml:space="preserve"> podpisano </w:t>
      </w:r>
      <w:r w:rsidR="00763D1B">
        <w:rPr>
          <w:noProof w:val="0"/>
          <w:lang w:eastAsia="en-US"/>
        </w:rPr>
        <w:t>701,5</w:t>
      </w:r>
      <w:r w:rsidR="00B656DD">
        <w:rPr>
          <w:noProof w:val="0"/>
          <w:lang w:eastAsia="en-US"/>
        </w:rPr>
        <w:t xml:space="preserve"> </w:t>
      </w:r>
      <w:r w:rsidR="00B656DD" w:rsidRPr="007068CE">
        <w:rPr>
          <w:noProof w:val="0"/>
          <w:lang w:eastAsia="en-US"/>
        </w:rPr>
        <w:t>tys. aktów notarialnych dotycząc</w:t>
      </w:r>
      <w:r w:rsidR="00B656DD">
        <w:rPr>
          <w:noProof w:val="0"/>
          <w:lang w:eastAsia="en-US"/>
        </w:rPr>
        <w:t>ych</w:t>
      </w:r>
      <w:r w:rsidR="00B656DD">
        <w:t xml:space="preserve"> sprzedaży nieruchomości, o</w:t>
      </w:r>
      <w:r w:rsidR="00AA35E5">
        <w:t> </w:t>
      </w:r>
      <w:r w:rsidR="00B656DD">
        <w:t xml:space="preserve"> </w:t>
      </w:r>
      <w:r w:rsidR="00763D1B">
        <w:t>24,3</w:t>
      </w:r>
      <w:r w:rsidR="00B656DD">
        <w:t>% więcej niż rok wcześ</w:t>
      </w:r>
      <w:r w:rsidR="00B656DD" w:rsidRPr="007068CE">
        <w:t>niej.</w:t>
      </w:r>
      <w:r w:rsidR="00B656DD">
        <w:t xml:space="preserve"> </w:t>
      </w:r>
      <w:r w:rsidR="00B656DD">
        <w:rPr>
          <w:shd w:val="clear" w:color="auto" w:fill="FFFFFF"/>
        </w:rPr>
        <w:t xml:space="preserve">W porównaniu z </w:t>
      </w:r>
      <w:r w:rsidR="00624C6A">
        <w:rPr>
          <w:shd w:val="clear" w:color="auto" w:fill="FFFFFF"/>
        </w:rPr>
        <w:t>20</w:t>
      </w:r>
      <w:r w:rsidR="00763D1B">
        <w:rPr>
          <w:shd w:val="clear" w:color="auto" w:fill="FFFFFF"/>
        </w:rPr>
        <w:t>20</w:t>
      </w:r>
      <w:r w:rsidR="00860B98">
        <w:rPr>
          <w:shd w:val="clear" w:color="auto" w:fill="FFFFFF"/>
        </w:rPr>
        <w:t xml:space="preserve"> r.</w:t>
      </w:r>
      <w:r w:rsidR="00B656DD" w:rsidRPr="007068CE">
        <w:rPr>
          <w:shd w:val="clear" w:color="auto" w:fill="FFFFFF"/>
        </w:rPr>
        <w:t xml:space="preserve"> </w:t>
      </w:r>
      <w:r w:rsidR="00B656DD" w:rsidRPr="00933917">
        <w:rPr>
          <w:noProof w:val="0"/>
          <w:lang w:eastAsia="en-US"/>
        </w:rPr>
        <w:t xml:space="preserve">największy wzrost liczby aktów notarialnych wystąpił w przypadku sprzedaży działek niezabudowanych (o </w:t>
      </w:r>
      <w:r w:rsidR="00763D1B">
        <w:rPr>
          <w:noProof w:val="0"/>
          <w:lang w:eastAsia="en-US"/>
        </w:rPr>
        <w:t>33,3</w:t>
      </w:r>
      <w:r w:rsidR="00B656DD" w:rsidRPr="00933917">
        <w:rPr>
          <w:noProof w:val="0"/>
          <w:lang w:eastAsia="en-US"/>
        </w:rPr>
        <w:t>%)</w:t>
      </w:r>
      <w:r w:rsidR="00624C6A" w:rsidRPr="00933917">
        <w:rPr>
          <w:noProof w:val="0"/>
          <w:lang w:eastAsia="en-US"/>
        </w:rPr>
        <w:t xml:space="preserve">. </w:t>
      </w:r>
      <w:r w:rsidR="00B656DD" w:rsidRPr="00933917">
        <w:rPr>
          <w:noProof w:val="0"/>
          <w:lang w:eastAsia="en-US"/>
        </w:rPr>
        <w:t>Na</w:t>
      </w:r>
      <w:r w:rsidR="00546D08">
        <w:rPr>
          <w:noProof w:val="0"/>
          <w:lang w:eastAsia="en-US"/>
        </w:rPr>
        <w:t>j</w:t>
      </w:r>
      <w:r w:rsidR="00763D1B">
        <w:rPr>
          <w:noProof w:val="0"/>
          <w:lang w:eastAsia="en-US"/>
        </w:rPr>
        <w:t>mniej</w:t>
      </w:r>
      <w:r w:rsidR="00B656DD" w:rsidRPr="00933917">
        <w:rPr>
          <w:noProof w:val="0"/>
          <w:lang w:eastAsia="en-US"/>
        </w:rPr>
        <w:t xml:space="preserve">szy </w:t>
      </w:r>
      <w:r w:rsidR="00446B4F">
        <w:rPr>
          <w:noProof w:val="0"/>
          <w:lang w:eastAsia="en-US"/>
        </w:rPr>
        <w:t>wzrost</w:t>
      </w:r>
      <w:r w:rsidR="00B656DD" w:rsidRPr="00933917">
        <w:rPr>
          <w:noProof w:val="0"/>
          <w:lang w:eastAsia="en-US"/>
        </w:rPr>
        <w:t xml:space="preserve"> odnotowano natomiast w przypadku aktów notarialnych dotyczących </w:t>
      </w:r>
      <w:r w:rsidR="00624C6A" w:rsidRPr="00933917">
        <w:rPr>
          <w:noProof w:val="0"/>
          <w:lang w:eastAsia="en-US"/>
        </w:rPr>
        <w:t>sprzedaży nieruchomości na rzecz Skarbu Państwa lub jednostek samorządu terytorialnego (o </w:t>
      </w:r>
      <w:r w:rsidR="00763D1B">
        <w:rPr>
          <w:noProof w:val="0"/>
          <w:lang w:eastAsia="en-US"/>
        </w:rPr>
        <w:t>12,8</w:t>
      </w:r>
      <w:r w:rsidR="00624C6A" w:rsidRPr="00933917">
        <w:rPr>
          <w:noProof w:val="0"/>
          <w:lang w:eastAsia="en-US"/>
        </w:rPr>
        <w:t xml:space="preserve">%) i sprzedaży </w:t>
      </w:r>
      <w:r w:rsidR="00763D1B">
        <w:rPr>
          <w:noProof w:val="0"/>
          <w:lang w:eastAsia="en-US"/>
        </w:rPr>
        <w:t>nieruchomości innych</w:t>
      </w:r>
      <w:r w:rsidR="00624C6A" w:rsidRPr="00933917">
        <w:rPr>
          <w:noProof w:val="0"/>
          <w:lang w:eastAsia="en-US"/>
        </w:rPr>
        <w:t xml:space="preserve"> </w:t>
      </w:r>
      <w:r w:rsidR="00005BF5" w:rsidRPr="00933917">
        <w:rPr>
          <w:noProof w:val="0"/>
          <w:lang w:eastAsia="en-US"/>
        </w:rPr>
        <w:t>(o</w:t>
      </w:r>
      <w:r w:rsidR="00005BF5" w:rsidRPr="00005BF5">
        <w:rPr>
          <w:shd w:val="clear" w:color="auto" w:fill="FFFFFF"/>
        </w:rPr>
        <w:t xml:space="preserve"> </w:t>
      </w:r>
      <w:r w:rsidR="00763D1B">
        <w:rPr>
          <w:shd w:val="clear" w:color="auto" w:fill="FFFFFF"/>
        </w:rPr>
        <w:t>13,4</w:t>
      </w:r>
      <w:r w:rsidR="00005BF5" w:rsidRPr="00005BF5">
        <w:rPr>
          <w:shd w:val="clear" w:color="auto" w:fill="FFFFFF"/>
        </w:rPr>
        <w:t>%)</w:t>
      </w:r>
      <w:r w:rsidR="00005BF5">
        <w:rPr>
          <w:shd w:val="clear" w:color="auto" w:fill="FFFFFF"/>
        </w:rPr>
        <w:t>.</w:t>
      </w:r>
    </w:p>
    <w:p w:rsidR="00B656DD" w:rsidRPr="00546D08" w:rsidRDefault="00BE6E48" w:rsidP="00AA35E5">
      <w:pPr>
        <w:pStyle w:val="Nagwek1"/>
        <w:spacing w:before="360"/>
        <w:rPr>
          <w:rFonts w:ascii="Fira Sans" w:hAnsi="Fira Sans"/>
          <w:b/>
          <w:color w:val="auto"/>
          <w:sz w:val="20"/>
          <w:szCs w:val="20"/>
        </w:rPr>
      </w:pPr>
      <w:r w:rsidRPr="00546D0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3911451D" wp14:editId="66952AB9">
                <wp:simplePos x="0" y="0"/>
                <wp:positionH relativeFrom="column">
                  <wp:posOffset>5362575</wp:posOffset>
                </wp:positionH>
                <wp:positionV relativeFrom="paragraph">
                  <wp:posOffset>1029335</wp:posOffset>
                </wp:positionV>
                <wp:extent cx="1657350" cy="1300480"/>
                <wp:effectExtent l="0" t="0" r="0" b="0"/>
                <wp:wrapTight wrapText="bothSides">
                  <wp:wrapPolygon edited="0">
                    <wp:start x="745" y="0"/>
                    <wp:lineTo x="745" y="21199"/>
                    <wp:lineTo x="20607" y="21199"/>
                    <wp:lineTo x="20607" y="0"/>
                    <wp:lineTo x="745" y="0"/>
                  </wp:wrapPolygon>
                </wp:wrapTight>
                <wp:docPr id="28" name="Pole tekstowe 28" descr="W 2021 r. największy wzrost liczby aktów notarialnych &#10;odnotowano w przypadku sprzedaży działek niezabudowanych (o 33,3%) w porównaniu z rokiem poprzedni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6DD" w:rsidRPr="00074DD8" w:rsidRDefault="009F1C47" w:rsidP="00B656DD">
                            <w:pPr>
                              <w:pStyle w:val="tekstzboku"/>
                            </w:pPr>
                            <w:r>
                              <w:t>W 202</w:t>
                            </w:r>
                            <w:r w:rsidR="00763D1B">
                              <w:t>1</w:t>
                            </w:r>
                            <w:r>
                              <w:t xml:space="preserve"> r. n</w:t>
                            </w:r>
                            <w:r w:rsidR="00B656DD" w:rsidRPr="00437162">
                              <w:t xml:space="preserve">ajwiększy wzrost liczby aktów notarialnych </w:t>
                            </w:r>
                            <w:r>
                              <w:br/>
                            </w:r>
                            <w:r w:rsidR="00B656DD" w:rsidRPr="00437162">
                              <w:t xml:space="preserve">odnotowano </w:t>
                            </w:r>
                            <w:r w:rsidR="00B656DD">
                              <w:t>w przypadku</w:t>
                            </w:r>
                            <w:r w:rsidR="00B656DD" w:rsidRPr="00437162">
                              <w:t xml:space="preserve"> sprzedaży działek </w:t>
                            </w:r>
                            <w:r w:rsidR="00B656DD">
                              <w:t>nie</w:t>
                            </w:r>
                            <w:r w:rsidR="00B656DD" w:rsidRPr="00437162">
                              <w:t>zabu</w:t>
                            </w:r>
                            <w:r w:rsidR="005C3317">
                              <w:t>d</w:t>
                            </w:r>
                            <w:r w:rsidR="00B656DD" w:rsidRPr="00437162">
                              <w:t xml:space="preserve">owanych </w:t>
                            </w:r>
                            <w:r w:rsidR="00B656DD">
                              <w:t xml:space="preserve">(o </w:t>
                            </w:r>
                            <w:r w:rsidR="00763D1B">
                              <w:t>33,3</w:t>
                            </w:r>
                            <w:r w:rsidR="00B656DD" w:rsidRPr="00437162">
                              <w:t>%)</w:t>
                            </w:r>
                            <w:r>
                              <w:t xml:space="preserve"> w porównaniu z rokiem poprzednim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1451D" id="_x0000_t202" coordsize="21600,21600" o:spt="202" path="m,l,21600r21600,l21600,xe">
                <v:stroke joinstyle="miter"/>
                <v:path gradientshapeok="t" o:connecttype="rect"/>
              </v:shapetype>
              <v:shape id="Pole tekstowe 28" o:spid="_x0000_s1027" type="#_x0000_t202" alt="W 2021 r. największy wzrost liczby aktów notarialnych &#10;odnotowano w przypadku sprzedaży działek niezabudowanych (o 33,3%) w porównaniu z rokiem poprzednim&#10;" style="position:absolute;margin-left:422.25pt;margin-top:81.05pt;width:130.5pt;height:102.4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" filled="f" stroked="f">
                <v:textbox>
                  <w:txbxContent>
                    <w:p w:rsidR="00B656DD" w:rsidRPr="00074DD8" w:rsidRDefault="009F1C47" w:rsidP="00B656DD">
                      <w:pPr>
                        <w:pStyle w:val="tekstzboku"/>
                      </w:pPr>
                      <w:r>
                        <w:t>W 202</w:t>
                      </w:r>
                      <w:r w:rsidR="00763D1B">
                        <w:t>1</w:t>
                      </w:r>
                      <w:r>
                        <w:t xml:space="preserve"> r. n</w:t>
                      </w:r>
                      <w:r w:rsidR="00B656DD" w:rsidRPr="00437162">
                        <w:t xml:space="preserve">ajwiększy wzrost liczby aktów notarialnych </w:t>
                      </w:r>
                      <w:r>
                        <w:br/>
                      </w:r>
                      <w:r w:rsidR="00B656DD" w:rsidRPr="00437162">
                        <w:t xml:space="preserve">odnotowano </w:t>
                      </w:r>
                      <w:r w:rsidR="00B656DD">
                        <w:t>w przypadku</w:t>
                      </w:r>
                      <w:r w:rsidR="00B656DD" w:rsidRPr="00437162">
                        <w:t xml:space="preserve"> sprzedaży działek </w:t>
                      </w:r>
                      <w:r w:rsidR="00B656DD">
                        <w:t>nie</w:t>
                      </w:r>
                      <w:r w:rsidR="00B656DD" w:rsidRPr="00437162">
                        <w:t>zabu</w:t>
                      </w:r>
                      <w:r w:rsidR="005C3317">
                        <w:t>d</w:t>
                      </w:r>
                      <w:r w:rsidR="00B656DD" w:rsidRPr="00437162">
                        <w:t xml:space="preserve">owanych </w:t>
                      </w:r>
                      <w:r w:rsidR="00B656DD">
                        <w:t xml:space="preserve">(o </w:t>
                      </w:r>
                      <w:r w:rsidR="00763D1B">
                        <w:t>33,3</w:t>
                      </w:r>
                      <w:r w:rsidR="00B656DD" w:rsidRPr="00437162">
                        <w:t>%)</w:t>
                      </w:r>
                      <w:r>
                        <w:t xml:space="preserve"> w porównaniu z rokiem poprzednim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656DD" w:rsidRPr="00546D08">
        <w:rPr>
          <w:rFonts w:ascii="Fira Sans" w:hAnsi="Fira Sans"/>
          <w:b/>
          <w:color w:val="auto"/>
          <w:sz w:val="20"/>
          <w:szCs w:val="20"/>
        </w:rPr>
        <w:t>Tablica 1. Akty notarialne dot. sprzedaży nieruchomości zawarte w 20</w:t>
      </w:r>
      <w:r w:rsidR="00624C6A" w:rsidRPr="00546D08">
        <w:rPr>
          <w:rFonts w:ascii="Fira Sans" w:hAnsi="Fira Sans"/>
          <w:b/>
          <w:color w:val="auto"/>
          <w:sz w:val="20"/>
          <w:szCs w:val="20"/>
        </w:rPr>
        <w:t>2</w:t>
      </w:r>
      <w:r w:rsidR="00C942D1" w:rsidRPr="00546D08">
        <w:rPr>
          <w:rFonts w:ascii="Fira Sans" w:hAnsi="Fira Sans"/>
          <w:b/>
          <w:color w:val="auto"/>
          <w:sz w:val="20"/>
          <w:szCs w:val="20"/>
        </w:rPr>
        <w:t>1</w:t>
      </w:r>
      <w:r w:rsidR="00B656DD" w:rsidRPr="00546D08">
        <w:rPr>
          <w:rFonts w:ascii="Fira Sans" w:hAnsi="Fira Sans"/>
          <w:b/>
          <w:color w:val="auto"/>
          <w:sz w:val="20"/>
          <w:szCs w:val="20"/>
        </w:rPr>
        <w:t xml:space="preserve"> r.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single" w:sz="4" w:space="0" w:color="000A81"/>
          <w:left w:val="none" w:sz="0" w:space="0" w:color="auto"/>
          <w:bottom w:val="single" w:sz="4" w:space="0" w:color="000A81"/>
          <w:right w:val="none" w:sz="0" w:space="0" w:color="auto"/>
          <w:insideH w:val="single" w:sz="4" w:space="0" w:color="000A81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388"/>
        <w:gridCol w:w="1392"/>
        <w:gridCol w:w="1287"/>
      </w:tblGrid>
      <w:tr w:rsidR="00B656DD" w:rsidRPr="00907E1E" w:rsidTr="00763D1B">
        <w:trPr>
          <w:trHeight w:val="510"/>
        </w:trPr>
        <w:tc>
          <w:tcPr>
            <w:tcW w:w="3339" w:type="pct"/>
            <w:vAlign w:val="center"/>
          </w:tcPr>
          <w:p w:rsidR="00B656DD" w:rsidRPr="00763D1B" w:rsidRDefault="00C942D1" w:rsidP="003B55F1">
            <w:pPr>
              <w:jc w:val="center"/>
              <w:rPr>
                <w:szCs w:val="19"/>
              </w:rPr>
            </w:pPr>
            <w:r w:rsidRPr="00763D1B">
              <w:rPr>
                <w:szCs w:val="19"/>
              </w:rPr>
              <w:t>Wyszczególnienie</w:t>
            </w:r>
          </w:p>
        </w:tc>
        <w:tc>
          <w:tcPr>
            <w:tcW w:w="863" w:type="pct"/>
            <w:vAlign w:val="center"/>
          </w:tcPr>
          <w:p w:rsidR="00B656DD" w:rsidRPr="00763D1B" w:rsidRDefault="00B656DD" w:rsidP="003B55F1">
            <w:pPr>
              <w:jc w:val="center"/>
              <w:rPr>
                <w:szCs w:val="19"/>
              </w:rPr>
            </w:pPr>
            <w:r w:rsidRPr="00763D1B">
              <w:rPr>
                <w:szCs w:val="19"/>
              </w:rPr>
              <w:t>20</w:t>
            </w:r>
            <w:r w:rsidR="00624C6A" w:rsidRPr="00763D1B">
              <w:rPr>
                <w:szCs w:val="19"/>
              </w:rPr>
              <w:t>2</w:t>
            </w:r>
            <w:r w:rsidR="00C942D1" w:rsidRPr="00763D1B">
              <w:rPr>
                <w:szCs w:val="19"/>
              </w:rPr>
              <w:t>1</w:t>
            </w:r>
          </w:p>
        </w:tc>
        <w:tc>
          <w:tcPr>
            <w:tcW w:w="798" w:type="pct"/>
            <w:vAlign w:val="center"/>
          </w:tcPr>
          <w:p w:rsidR="00B656DD" w:rsidRPr="00763D1B" w:rsidRDefault="00624C6A" w:rsidP="003B55F1">
            <w:pPr>
              <w:jc w:val="center"/>
              <w:rPr>
                <w:szCs w:val="19"/>
              </w:rPr>
            </w:pPr>
            <w:r w:rsidRPr="00763D1B">
              <w:rPr>
                <w:szCs w:val="19"/>
              </w:rPr>
              <w:t>20</w:t>
            </w:r>
            <w:r w:rsidR="00C942D1" w:rsidRPr="00763D1B">
              <w:rPr>
                <w:szCs w:val="19"/>
              </w:rPr>
              <w:t>20</w:t>
            </w:r>
            <w:r w:rsidR="00B656DD" w:rsidRPr="00763D1B">
              <w:rPr>
                <w:szCs w:val="19"/>
              </w:rPr>
              <w:t>=100</w:t>
            </w:r>
          </w:p>
        </w:tc>
      </w:tr>
      <w:tr w:rsidR="00C942D1" w:rsidRPr="00624C6A" w:rsidTr="00763D1B">
        <w:trPr>
          <w:trHeight w:val="510"/>
        </w:trPr>
        <w:tc>
          <w:tcPr>
            <w:tcW w:w="3339" w:type="pct"/>
            <w:vAlign w:val="center"/>
          </w:tcPr>
          <w:p w:rsidR="00C942D1" w:rsidRPr="00763D1B" w:rsidRDefault="00763D1B" w:rsidP="003B55F1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63D1B">
              <w:rPr>
                <w:rFonts w:ascii="Fira Sans" w:hAnsi="Fira Sans"/>
                <w:color w:val="000000" w:themeColor="text1"/>
                <w:sz w:val="19"/>
                <w:szCs w:val="19"/>
              </w:rPr>
              <w:t>Ogółem</w:t>
            </w:r>
          </w:p>
        </w:tc>
        <w:tc>
          <w:tcPr>
            <w:tcW w:w="863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701 462</w:t>
            </w:r>
          </w:p>
        </w:tc>
        <w:tc>
          <w:tcPr>
            <w:tcW w:w="798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124,3</w:t>
            </w:r>
          </w:p>
        </w:tc>
      </w:tr>
      <w:tr w:rsidR="00C942D1" w:rsidRPr="00624C6A" w:rsidTr="00763D1B">
        <w:trPr>
          <w:trHeight w:val="510"/>
        </w:trPr>
        <w:tc>
          <w:tcPr>
            <w:tcW w:w="3339" w:type="pct"/>
          </w:tcPr>
          <w:p w:rsidR="00C942D1" w:rsidRPr="00763D1B" w:rsidRDefault="00C942D1" w:rsidP="003B55F1">
            <w:pPr>
              <w:rPr>
                <w:szCs w:val="19"/>
              </w:rPr>
            </w:pPr>
            <w:r w:rsidRPr="00763D1B">
              <w:rPr>
                <w:szCs w:val="19"/>
              </w:rPr>
              <w:t>Sprzedaż lokali</w:t>
            </w:r>
          </w:p>
        </w:tc>
        <w:tc>
          <w:tcPr>
            <w:tcW w:w="863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257 274</w:t>
            </w:r>
          </w:p>
        </w:tc>
        <w:tc>
          <w:tcPr>
            <w:tcW w:w="798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122,9</w:t>
            </w:r>
          </w:p>
        </w:tc>
      </w:tr>
      <w:tr w:rsidR="00C942D1" w:rsidRPr="00624C6A" w:rsidTr="00763D1B">
        <w:trPr>
          <w:trHeight w:val="510"/>
        </w:trPr>
        <w:tc>
          <w:tcPr>
            <w:tcW w:w="3339" w:type="pct"/>
          </w:tcPr>
          <w:p w:rsidR="00C942D1" w:rsidRPr="00763D1B" w:rsidRDefault="00C942D1" w:rsidP="003B55F1">
            <w:pPr>
              <w:rPr>
                <w:szCs w:val="19"/>
              </w:rPr>
            </w:pPr>
            <w:r w:rsidRPr="00763D1B">
              <w:rPr>
                <w:szCs w:val="19"/>
              </w:rPr>
              <w:t>Sprzedaż działek niezabudowanych</w:t>
            </w:r>
          </w:p>
        </w:tc>
        <w:tc>
          <w:tcPr>
            <w:tcW w:w="863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188 334</w:t>
            </w:r>
          </w:p>
        </w:tc>
        <w:tc>
          <w:tcPr>
            <w:tcW w:w="798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133,3</w:t>
            </w:r>
          </w:p>
        </w:tc>
      </w:tr>
      <w:tr w:rsidR="00C942D1" w:rsidRPr="00624C6A" w:rsidTr="00763D1B">
        <w:trPr>
          <w:trHeight w:val="510"/>
        </w:trPr>
        <w:tc>
          <w:tcPr>
            <w:tcW w:w="3339" w:type="pct"/>
          </w:tcPr>
          <w:p w:rsidR="00C942D1" w:rsidRPr="00763D1B" w:rsidRDefault="00C942D1" w:rsidP="003B55F1">
            <w:pPr>
              <w:rPr>
                <w:szCs w:val="19"/>
              </w:rPr>
            </w:pPr>
            <w:r w:rsidRPr="00763D1B">
              <w:rPr>
                <w:szCs w:val="19"/>
              </w:rPr>
              <w:t>Sprzedaż nieruchomości rolnych</w:t>
            </w:r>
          </w:p>
        </w:tc>
        <w:tc>
          <w:tcPr>
            <w:tcW w:w="863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76 675</w:t>
            </w:r>
          </w:p>
        </w:tc>
        <w:tc>
          <w:tcPr>
            <w:tcW w:w="798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121,9</w:t>
            </w:r>
          </w:p>
        </w:tc>
      </w:tr>
      <w:tr w:rsidR="00C942D1" w:rsidRPr="00624C6A" w:rsidTr="00763D1B">
        <w:trPr>
          <w:trHeight w:val="510"/>
        </w:trPr>
        <w:tc>
          <w:tcPr>
            <w:tcW w:w="3339" w:type="pct"/>
          </w:tcPr>
          <w:p w:rsidR="00C942D1" w:rsidRPr="00763D1B" w:rsidRDefault="00C942D1" w:rsidP="003B55F1">
            <w:pPr>
              <w:rPr>
                <w:szCs w:val="19"/>
              </w:rPr>
            </w:pPr>
            <w:r w:rsidRPr="00763D1B">
              <w:rPr>
                <w:szCs w:val="19"/>
              </w:rPr>
              <w:t>Sprzedaż działek zabudowanych budynkiem mieszkalnym</w:t>
            </w:r>
          </w:p>
        </w:tc>
        <w:tc>
          <w:tcPr>
            <w:tcW w:w="863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73 064</w:t>
            </w:r>
          </w:p>
        </w:tc>
        <w:tc>
          <w:tcPr>
            <w:tcW w:w="798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121,9</w:t>
            </w:r>
          </w:p>
        </w:tc>
      </w:tr>
      <w:tr w:rsidR="00C942D1" w:rsidRPr="00624C6A" w:rsidTr="00763D1B">
        <w:trPr>
          <w:trHeight w:val="510"/>
        </w:trPr>
        <w:tc>
          <w:tcPr>
            <w:tcW w:w="3339" w:type="pct"/>
          </w:tcPr>
          <w:p w:rsidR="00C942D1" w:rsidRPr="00763D1B" w:rsidRDefault="00C942D1" w:rsidP="003B55F1">
            <w:pPr>
              <w:rPr>
                <w:szCs w:val="19"/>
              </w:rPr>
            </w:pPr>
            <w:r w:rsidRPr="00763D1B">
              <w:rPr>
                <w:szCs w:val="19"/>
              </w:rPr>
              <w:t>Sprzedaż spółdzielczego własnościowego prawa do lokalu</w:t>
            </w:r>
          </w:p>
        </w:tc>
        <w:tc>
          <w:tcPr>
            <w:tcW w:w="863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51 469</w:t>
            </w:r>
          </w:p>
        </w:tc>
        <w:tc>
          <w:tcPr>
            <w:tcW w:w="798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119,0</w:t>
            </w:r>
          </w:p>
        </w:tc>
      </w:tr>
      <w:tr w:rsidR="00C942D1" w:rsidRPr="00624C6A" w:rsidTr="00763D1B">
        <w:trPr>
          <w:trHeight w:val="510"/>
        </w:trPr>
        <w:tc>
          <w:tcPr>
            <w:tcW w:w="3339" w:type="pct"/>
          </w:tcPr>
          <w:p w:rsidR="00C942D1" w:rsidRPr="00763D1B" w:rsidRDefault="00C942D1" w:rsidP="003B55F1">
            <w:pPr>
              <w:rPr>
                <w:szCs w:val="19"/>
              </w:rPr>
            </w:pPr>
            <w:r w:rsidRPr="00763D1B">
              <w:rPr>
                <w:szCs w:val="19"/>
              </w:rPr>
              <w:t>Sprzedaż nieruchomości innych</w:t>
            </w:r>
          </w:p>
        </w:tc>
        <w:tc>
          <w:tcPr>
            <w:tcW w:w="863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26 425</w:t>
            </w:r>
          </w:p>
        </w:tc>
        <w:tc>
          <w:tcPr>
            <w:tcW w:w="798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113,4</w:t>
            </w:r>
          </w:p>
        </w:tc>
      </w:tr>
      <w:tr w:rsidR="00C942D1" w:rsidRPr="00624C6A" w:rsidTr="00763D1B">
        <w:trPr>
          <w:trHeight w:val="510"/>
        </w:trPr>
        <w:tc>
          <w:tcPr>
            <w:tcW w:w="3339" w:type="pct"/>
          </w:tcPr>
          <w:p w:rsidR="00C942D1" w:rsidRPr="00763D1B" w:rsidRDefault="00C942D1" w:rsidP="003B55F1">
            <w:pPr>
              <w:ind w:left="176" w:hanging="176"/>
              <w:rPr>
                <w:szCs w:val="19"/>
              </w:rPr>
            </w:pPr>
            <w:r w:rsidRPr="00763D1B">
              <w:rPr>
                <w:szCs w:val="19"/>
              </w:rPr>
              <w:t>Sprzedaż działek zabudowanych budynkiem o innym przeznaczeniu</w:t>
            </w:r>
          </w:p>
        </w:tc>
        <w:tc>
          <w:tcPr>
            <w:tcW w:w="863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18 959</w:t>
            </w:r>
          </w:p>
        </w:tc>
        <w:tc>
          <w:tcPr>
            <w:tcW w:w="798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116,6</w:t>
            </w:r>
          </w:p>
        </w:tc>
      </w:tr>
      <w:tr w:rsidR="00C942D1" w:rsidRPr="00624C6A" w:rsidTr="00763D1B">
        <w:trPr>
          <w:trHeight w:val="510"/>
        </w:trPr>
        <w:tc>
          <w:tcPr>
            <w:tcW w:w="3339" w:type="pct"/>
          </w:tcPr>
          <w:p w:rsidR="00C942D1" w:rsidRPr="00763D1B" w:rsidRDefault="00C942D1" w:rsidP="003B55F1">
            <w:pPr>
              <w:rPr>
                <w:szCs w:val="19"/>
              </w:rPr>
            </w:pPr>
            <w:r w:rsidRPr="00763D1B">
              <w:rPr>
                <w:szCs w:val="19"/>
              </w:rPr>
              <w:t>Sprzedaż prawa użytkowania wieczystego</w:t>
            </w:r>
          </w:p>
        </w:tc>
        <w:tc>
          <w:tcPr>
            <w:tcW w:w="863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6 101</w:t>
            </w:r>
          </w:p>
        </w:tc>
        <w:tc>
          <w:tcPr>
            <w:tcW w:w="798" w:type="pct"/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116,2</w:t>
            </w:r>
          </w:p>
        </w:tc>
      </w:tr>
      <w:tr w:rsidR="00C942D1" w:rsidRPr="00624C6A" w:rsidTr="00941485">
        <w:trPr>
          <w:trHeight w:val="510"/>
        </w:trPr>
        <w:tc>
          <w:tcPr>
            <w:tcW w:w="3339" w:type="pct"/>
            <w:tcBorders>
              <w:bottom w:val="single" w:sz="4" w:space="0" w:color="000A81"/>
            </w:tcBorders>
          </w:tcPr>
          <w:p w:rsidR="00C942D1" w:rsidRPr="00763D1B" w:rsidRDefault="00C942D1" w:rsidP="003B55F1">
            <w:pPr>
              <w:rPr>
                <w:szCs w:val="19"/>
              </w:rPr>
            </w:pPr>
            <w:r w:rsidRPr="00763D1B">
              <w:rPr>
                <w:szCs w:val="19"/>
              </w:rPr>
              <w:t>Sprzedaż nieruchomości na rzecz Skarbu Państwa lub JST</w:t>
            </w:r>
          </w:p>
        </w:tc>
        <w:tc>
          <w:tcPr>
            <w:tcW w:w="863" w:type="pct"/>
            <w:tcBorders>
              <w:bottom w:val="single" w:sz="4" w:space="0" w:color="000A81"/>
            </w:tcBorders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2 952</w:t>
            </w:r>
          </w:p>
        </w:tc>
        <w:tc>
          <w:tcPr>
            <w:tcW w:w="798" w:type="pct"/>
            <w:tcBorders>
              <w:bottom w:val="single" w:sz="4" w:space="0" w:color="000A81"/>
            </w:tcBorders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112,8</w:t>
            </w:r>
          </w:p>
        </w:tc>
      </w:tr>
      <w:tr w:rsidR="00C942D1" w:rsidRPr="00624C6A" w:rsidTr="00941485">
        <w:trPr>
          <w:trHeight w:val="510"/>
        </w:trPr>
        <w:tc>
          <w:tcPr>
            <w:tcW w:w="3339" w:type="pct"/>
            <w:tcBorders>
              <w:bottom w:val="nil"/>
            </w:tcBorders>
          </w:tcPr>
          <w:p w:rsidR="00C942D1" w:rsidRPr="00763D1B" w:rsidRDefault="00C942D1" w:rsidP="003B55F1">
            <w:pPr>
              <w:ind w:left="176" w:hanging="176"/>
              <w:rPr>
                <w:szCs w:val="19"/>
              </w:rPr>
            </w:pPr>
            <w:r w:rsidRPr="00763D1B">
              <w:rPr>
                <w:szCs w:val="19"/>
              </w:rPr>
              <w:t>Oddanie przez Skarb Państwa lub jednostki samorządu terytorialnego w użytkowanie wieczyste wraz ze sprzedażą budynku</w:t>
            </w:r>
          </w:p>
        </w:tc>
        <w:tc>
          <w:tcPr>
            <w:tcW w:w="863" w:type="pct"/>
            <w:tcBorders>
              <w:bottom w:val="nil"/>
            </w:tcBorders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209</w:t>
            </w:r>
          </w:p>
        </w:tc>
        <w:tc>
          <w:tcPr>
            <w:tcW w:w="798" w:type="pct"/>
            <w:tcBorders>
              <w:bottom w:val="nil"/>
            </w:tcBorders>
          </w:tcPr>
          <w:p w:rsidR="00C942D1" w:rsidRPr="00763D1B" w:rsidRDefault="00C942D1" w:rsidP="003B55F1">
            <w:pPr>
              <w:jc w:val="right"/>
              <w:rPr>
                <w:szCs w:val="19"/>
              </w:rPr>
            </w:pPr>
            <w:r w:rsidRPr="00763D1B">
              <w:rPr>
                <w:szCs w:val="19"/>
              </w:rPr>
              <w:t>122,9</w:t>
            </w:r>
          </w:p>
        </w:tc>
      </w:tr>
    </w:tbl>
    <w:p w:rsidR="00FC51AE" w:rsidRPr="00B656DD" w:rsidRDefault="00B656DD" w:rsidP="00FC51AE">
      <w:pPr>
        <w:pStyle w:val="LID"/>
        <w:rPr>
          <w:b w:val="0"/>
        </w:rPr>
      </w:pPr>
      <w:r w:rsidRPr="00B656DD">
        <w:rPr>
          <w:b w:val="0"/>
          <w:sz w:val="16"/>
          <w:shd w:val="clear" w:color="auto" w:fill="FFFFFF"/>
        </w:rPr>
        <w:t>Źródło: dane Ministerstwa Sprawiedliwości</w:t>
      </w:r>
    </w:p>
    <w:p w:rsidR="00FC51AE" w:rsidRDefault="00FC51AE" w:rsidP="00FC51AE">
      <w:pPr>
        <w:pStyle w:val="LID"/>
        <w:rPr>
          <w:b w:val="0"/>
        </w:rPr>
      </w:pPr>
    </w:p>
    <w:p w:rsidR="00FC51AE" w:rsidRDefault="00FC51AE" w:rsidP="00FC51AE">
      <w:pPr>
        <w:pStyle w:val="LID"/>
      </w:pPr>
      <w:r>
        <w:rPr>
          <w:b w:val="0"/>
        </w:rPr>
        <w:t xml:space="preserve"> </w:t>
      </w:r>
    </w:p>
    <w:p w:rsidR="004E6AB7" w:rsidRDefault="004E6AB7">
      <w:pPr>
        <w:spacing w:before="0" w:after="160" w:line="259" w:lineRule="auto"/>
        <w:rPr>
          <w:noProof/>
          <w:szCs w:val="19"/>
          <w:lang w:eastAsia="pl-PL"/>
        </w:rPr>
      </w:pPr>
      <w:r>
        <w:rPr>
          <w:b/>
        </w:rPr>
        <w:br w:type="page"/>
      </w:r>
    </w:p>
    <w:p w:rsidR="00584789" w:rsidRPr="00B813D6" w:rsidRDefault="00584789" w:rsidP="00584789">
      <w:pPr>
        <w:pStyle w:val="LID"/>
      </w:pPr>
      <w:r w:rsidRPr="00FD2D95">
        <w:rPr>
          <w:b w:val="0"/>
        </w:rPr>
        <w:lastRenderedPageBreak/>
        <w:t>Według danych pozyskanych z Rejestru Cen Nieruchomości (RCN) w 20</w:t>
      </w:r>
      <w:r w:rsidR="004E6AB7">
        <w:rPr>
          <w:b w:val="0"/>
        </w:rPr>
        <w:t>2</w:t>
      </w:r>
      <w:r w:rsidR="00763D1B">
        <w:rPr>
          <w:b w:val="0"/>
        </w:rPr>
        <w:t>1</w:t>
      </w:r>
      <w:r w:rsidRPr="00FD2D95">
        <w:rPr>
          <w:b w:val="0"/>
        </w:rPr>
        <w:t xml:space="preserve"> r. </w:t>
      </w:r>
      <w:r w:rsidRPr="000577AB">
        <w:rPr>
          <w:b w:val="0"/>
        </w:rPr>
        <w:t xml:space="preserve">zawarto </w:t>
      </w:r>
      <w:r w:rsidR="00B813D6">
        <w:rPr>
          <w:b w:val="0"/>
        </w:rPr>
        <w:t>614,3</w:t>
      </w:r>
      <w:r w:rsidRPr="000577AB">
        <w:rPr>
          <w:b w:val="0"/>
        </w:rPr>
        <w:t xml:space="preserve"> tys. transakcji kupna/sprzedaży nieuchomości na łączną wartość </w:t>
      </w:r>
      <w:r w:rsidR="0060175C" w:rsidRPr="000577AB">
        <w:rPr>
          <w:b w:val="0"/>
        </w:rPr>
        <w:t xml:space="preserve">ponad </w:t>
      </w:r>
      <w:r w:rsidR="00B813D6">
        <w:rPr>
          <w:b w:val="0"/>
        </w:rPr>
        <w:t xml:space="preserve">197 </w:t>
      </w:r>
      <w:r w:rsidRPr="000577AB">
        <w:rPr>
          <w:b w:val="0"/>
        </w:rPr>
        <w:t xml:space="preserve">mld zł. </w:t>
      </w:r>
    </w:p>
    <w:p w:rsidR="003B55F1" w:rsidRDefault="00FC51AE" w:rsidP="00E26CBD">
      <w:pPr>
        <w:pStyle w:val="LID"/>
        <w:spacing w:before="360"/>
        <w:rPr>
          <w:sz w:val="16"/>
          <w:szCs w:val="18"/>
          <w:vertAlign w:val="superscript"/>
        </w:rPr>
      </w:pPr>
      <w:r w:rsidRPr="00FA7E22">
        <w:t>Tablica 2. Wielkość obrotu nieruchomościami (wg stanu RCN w dniu 2</w:t>
      </w:r>
      <w:r w:rsidR="00D01AE9" w:rsidRPr="00FA7E22">
        <w:t>5</w:t>
      </w:r>
      <w:r w:rsidRPr="00FA7E22">
        <w:t xml:space="preserve"> kwietnia 20</w:t>
      </w:r>
      <w:r w:rsidR="00891A93" w:rsidRPr="00FA7E22">
        <w:t>2</w:t>
      </w:r>
      <w:r w:rsidR="00763D1B" w:rsidRPr="00FA7E22">
        <w:t>2</w:t>
      </w:r>
      <w:r w:rsidR="00891A93" w:rsidRPr="00FA7E22">
        <w:t xml:space="preserve"> r.</w:t>
      </w:r>
      <w:r w:rsidRPr="00FA7E22">
        <w:t>)</w:t>
      </w:r>
      <w:r w:rsidR="00C277EB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0394D619" wp14:editId="3ACA4C85">
                <wp:simplePos x="0" y="0"/>
                <wp:positionH relativeFrom="column">
                  <wp:posOffset>5365750</wp:posOffset>
                </wp:positionH>
                <wp:positionV relativeFrom="paragraph">
                  <wp:posOffset>1025525</wp:posOffset>
                </wp:positionV>
                <wp:extent cx="1610995" cy="1402080"/>
                <wp:effectExtent l="0" t="0" r="0" b="0"/>
                <wp:wrapTight wrapText="bothSides">
                  <wp:wrapPolygon edited="0">
                    <wp:start x="766" y="0"/>
                    <wp:lineTo x="766" y="21130"/>
                    <wp:lineTo x="20689" y="21130"/>
                    <wp:lineTo x="20689" y="0"/>
                    <wp:lineTo x="76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402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1AE" w:rsidRDefault="00FC51AE" w:rsidP="00FC51AE">
                            <w:pPr>
                              <w:pStyle w:val="tekstzboku"/>
                            </w:pPr>
                            <w:r w:rsidRPr="007C475F">
                              <w:t>W 20</w:t>
                            </w:r>
                            <w:r w:rsidR="004E6AB7">
                              <w:t>2</w:t>
                            </w:r>
                            <w:r w:rsidR="00D01AE9">
                              <w:t>1</w:t>
                            </w:r>
                            <w:r w:rsidRPr="007C475F">
                              <w:t xml:space="preserve"> r</w:t>
                            </w:r>
                            <w:r w:rsidR="009676CA">
                              <w:t>.</w:t>
                            </w:r>
                            <w:r w:rsidRPr="007C475F">
                              <w:t xml:space="preserve"> </w:t>
                            </w:r>
                            <w:r w:rsidR="00860B98" w:rsidRPr="007C475F">
                              <w:t>naj</w:t>
                            </w:r>
                            <w:r w:rsidR="0046113F">
                              <w:t>większy</w:t>
                            </w:r>
                            <w:r w:rsidR="00860B98">
                              <w:t xml:space="preserve"> udział</w:t>
                            </w:r>
                            <w:r w:rsidR="00A71C78">
                              <w:t xml:space="preserve"> zarówno</w:t>
                            </w:r>
                            <w:r w:rsidR="00860B98">
                              <w:t xml:space="preserve"> w liczbie</w:t>
                            </w:r>
                            <w:r w:rsidR="00375B98">
                              <w:t>, jak i</w:t>
                            </w:r>
                            <w:r w:rsidR="00AF4493">
                              <w:t xml:space="preserve"> w </w:t>
                            </w:r>
                            <w:r w:rsidR="00375B98">
                              <w:t>wartości</w:t>
                            </w:r>
                            <w:r w:rsidR="00860B98">
                              <w:t xml:space="preserve"> </w:t>
                            </w:r>
                            <w:r w:rsidRPr="007C475F">
                              <w:t xml:space="preserve">transakcji kupna/sprzedaży </w:t>
                            </w:r>
                            <w:r w:rsidR="00AF4493">
                              <w:br/>
                            </w:r>
                            <w:r w:rsidRPr="007C475F">
                              <w:t xml:space="preserve">nieruchomości dotyczył sprzedaży nieruchomości lokalowych </w:t>
                            </w:r>
                            <w:r w:rsidR="00891A93">
                              <w:t>(</w:t>
                            </w:r>
                            <w:r w:rsidR="00E84F6F">
                              <w:t xml:space="preserve">odpowiednio </w:t>
                            </w:r>
                            <w:r w:rsidR="00891A93" w:rsidRPr="000577AB">
                              <w:t>4</w:t>
                            </w:r>
                            <w:r w:rsidR="004E6AB7">
                              <w:t>4</w:t>
                            </w:r>
                            <w:r w:rsidR="00FD2D95" w:rsidRPr="000577AB">
                              <w:t>,</w:t>
                            </w:r>
                            <w:r w:rsidR="005C3317">
                              <w:t>0</w:t>
                            </w:r>
                            <w:r w:rsidRPr="00B4095C">
                              <w:t>%</w:t>
                            </w:r>
                            <w:r w:rsidR="00E84F6F">
                              <w:t xml:space="preserve"> i 4</w:t>
                            </w:r>
                            <w:r w:rsidR="005C3317">
                              <w:t>7,6</w:t>
                            </w:r>
                            <w:r w:rsidR="00E84F6F">
                              <w:t>%</w:t>
                            </w:r>
                            <w:r w:rsidRPr="00B4095C">
                              <w:t>)</w:t>
                            </w:r>
                          </w:p>
                          <w:p w:rsidR="00FC51AE" w:rsidRPr="00074DD8" w:rsidRDefault="00FC51AE" w:rsidP="00FC51AE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4D619" id="Pole tekstowe 19" o:spid="_x0000_s1028" type="#_x0000_t202" style="position:absolute;margin-left:422.5pt;margin-top:80.75pt;width:126.85pt;height:110.4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" filled="f" stroked="f">
                <v:textbox>
                  <w:txbxContent>
                    <w:p w:rsidR="00FC51AE" w:rsidRDefault="00FC51AE" w:rsidP="00FC51AE">
                      <w:pPr>
                        <w:pStyle w:val="tekstzboku"/>
                      </w:pPr>
                      <w:r w:rsidRPr="007C475F">
                        <w:t>W 20</w:t>
                      </w:r>
                      <w:r w:rsidR="004E6AB7">
                        <w:t>2</w:t>
                      </w:r>
                      <w:r w:rsidR="00D01AE9">
                        <w:t>1</w:t>
                      </w:r>
                      <w:r w:rsidRPr="007C475F">
                        <w:t xml:space="preserve"> r</w:t>
                      </w:r>
                      <w:r w:rsidR="009676CA">
                        <w:t>.</w:t>
                      </w:r>
                      <w:r w:rsidRPr="007C475F">
                        <w:t xml:space="preserve"> </w:t>
                      </w:r>
                      <w:r w:rsidR="00860B98" w:rsidRPr="007C475F">
                        <w:t>naj</w:t>
                      </w:r>
                      <w:r w:rsidR="0046113F">
                        <w:t>większy</w:t>
                      </w:r>
                      <w:r w:rsidR="00860B98">
                        <w:t xml:space="preserve"> udział</w:t>
                      </w:r>
                      <w:r w:rsidR="00A71C78">
                        <w:t xml:space="preserve"> zarówno</w:t>
                      </w:r>
                      <w:r w:rsidR="00860B98">
                        <w:t xml:space="preserve"> w liczbie</w:t>
                      </w:r>
                      <w:r w:rsidR="00375B98">
                        <w:t>, jak i</w:t>
                      </w:r>
                      <w:r w:rsidR="00AF4493">
                        <w:t xml:space="preserve"> w </w:t>
                      </w:r>
                      <w:r w:rsidR="00375B98">
                        <w:t>wartości</w:t>
                      </w:r>
                      <w:r w:rsidR="00860B98">
                        <w:t xml:space="preserve"> </w:t>
                      </w:r>
                      <w:r w:rsidRPr="007C475F">
                        <w:t xml:space="preserve">transakcji kupna/sprzedaży </w:t>
                      </w:r>
                      <w:r w:rsidR="00AF4493">
                        <w:br/>
                      </w:r>
                      <w:r w:rsidRPr="007C475F">
                        <w:t xml:space="preserve">nieruchomości dotyczył sprzedaży nieruchomości lokalowych </w:t>
                      </w:r>
                      <w:r w:rsidR="00891A93">
                        <w:t>(</w:t>
                      </w:r>
                      <w:r w:rsidR="00E84F6F">
                        <w:t xml:space="preserve">odpowiednio </w:t>
                      </w:r>
                      <w:r w:rsidR="00891A93" w:rsidRPr="000577AB">
                        <w:t>4</w:t>
                      </w:r>
                      <w:r w:rsidR="004E6AB7">
                        <w:t>4</w:t>
                      </w:r>
                      <w:r w:rsidR="00FD2D95" w:rsidRPr="000577AB">
                        <w:t>,</w:t>
                      </w:r>
                      <w:r w:rsidR="005C3317">
                        <w:t>0</w:t>
                      </w:r>
                      <w:r w:rsidRPr="00B4095C">
                        <w:t>%</w:t>
                      </w:r>
                      <w:r w:rsidR="00E84F6F">
                        <w:t xml:space="preserve"> i 4</w:t>
                      </w:r>
                      <w:r w:rsidR="005C3317">
                        <w:t>7,6</w:t>
                      </w:r>
                      <w:r w:rsidR="00E84F6F">
                        <w:t>%</w:t>
                      </w:r>
                      <w:r w:rsidRPr="00B4095C">
                        <w:t>)</w:t>
                      </w:r>
                    </w:p>
                    <w:p w:rsidR="00FC51AE" w:rsidRPr="00074DD8" w:rsidRDefault="00FC51AE" w:rsidP="00FC51AE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Siatkatabelijasna2"/>
        <w:tblpPr w:leftFromText="141" w:rightFromText="141" w:vertAnchor="text" w:horzAnchor="margin" w:tblpYSpec="top"/>
        <w:tblW w:w="8080" w:type="dxa"/>
        <w:tblBorders>
          <w:top w:val="single" w:sz="4" w:space="0" w:color="001D81"/>
          <w:left w:val="none" w:sz="0" w:space="0" w:color="auto"/>
          <w:bottom w:val="single" w:sz="4" w:space="0" w:color="001D81"/>
          <w:right w:val="none" w:sz="0" w:space="0" w:color="auto"/>
          <w:insideH w:val="single" w:sz="4" w:space="0" w:color="001D81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20"/>
        <w:gridCol w:w="908"/>
        <w:gridCol w:w="850"/>
        <w:gridCol w:w="851"/>
        <w:gridCol w:w="850"/>
        <w:gridCol w:w="851"/>
        <w:gridCol w:w="850"/>
      </w:tblGrid>
      <w:tr w:rsidR="00E26CBD" w:rsidRPr="00C1142A" w:rsidTr="00E26CBD">
        <w:trPr>
          <w:trHeight w:val="57"/>
        </w:trPr>
        <w:tc>
          <w:tcPr>
            <w:tcW w:w="2920" w:type="dxa"/>
            <w:vMerge w:val="restart"/>
            <w:vAlign w:val="center"/>
          </w:tcPr>
          <w:p w:rsidR="00E26CBD" w:rsidRPr="00763D1B" w:rsidRDefault="00E26CBD" w:rsidP="00E26CB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63D1B">
              <w:rPr>
                <w:szCs w:val="19"/>
              </w:rPr>
              <w:t>Wyszczególnienie</w:t>
            </w:r>
          </w:p>
        </w:tc>
        <w:tc>
          <w:tcPr>
            <w:tcW w:w="2609" w:type="dxa"/>
            <w:gridSpan w:val="3"/>
            <w:vAlign w:val="center"/>
          </w:tcPr>
          <w:p w:rsidR="00E26CBD" w:rsidRPr="00763D1B" w:rsidRDefault="00E26CBD" w:rsidP="00E26CBD">
            <w:pPr>
              <w:jc w:val="center"/>
              <w:rPr>
                <w:rFonts w:eastAsia="Times New Roman" w:cs="Calibri"/>
                <w:color w:val="000000"/>
                <w:szCs w:val="19"/>
                <w:vertAlign w:val="superscript"/>
                <w:lang w:eastAsia="pl-PL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>Liczba transakcji</w:t>
            </w:r>
          </w:p>
        </w:tc>
        <w:tc>
          <w:tcPr>
            <w:tcW w:w="2551" w:type="dxa"/>
            <w:gridSpan w:val="3"/>
            <w:vAlign w:val="center"/>
          </w:tcPr>
          <w:p w:rsidR="00E26CBD" w:rsidRPr="00763D1B" w:rsidRDefault="00E26CBD" w:rsidP="00E26CB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>Wartość transakcji</w:t>
            </w:r>
          </w:p>
        </w:tc>
      </w:tr>
      <w:tr w:rsidR="00E26CBD" w:rsidRPr="00C1142A" w:rsidTr="00E26CBD">
        <w:trPr>
          <w:trHeight w:val="57"/>
        </w:trPr>
        <w:tc>
          <w:tcPr>
            <w:tcW w:w="2920" w:type="dxa"/>
            <w:vMerge/>
            <w:vAlign w:val="center"/>
          </w:tcPr>
          <w:p w:rsidR="00E26CBD" w:rsidRPr="00763D1B" w:rsidRDefault="00E26CBD" w:rsidP="00E26CB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08" w:type="dxa"/>
            <w:vAlign w:val="center"/>
          </w:tcPr>
          <w:p w:rsidR="00E26CBD" w:rsidRPr="00C1142A" w:rsidRDefault="00E26CBD" w:rsidP="00E26CBD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2020</w:t>
            </w:r>
          </w:p>
        </w:tc>
        <w:tc>
          <w:tcPr>
            <w:tcW w:w="1701" w:type="dxa"/>
            <w:gridSpan w:val="2"/>
            <w:vAlign w:val="center"/>
          </w:tcPr>
          <w:p w:rsidR="00E26CBD" w:rsidRPr="00C1142A" w:rsidRDefault="00E26CBD" w:rsidP="00E26CBD">
            <w:pPr>
              <w:ind w:left="-1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2021</w:t>
            </w:r>
          </w:p>
        </w:tc>
        <w:tc>
          <w:tcPr>
            <w:tcW w:w="850" w:type="dxa"/>
            <w:vAlign w:val="center"/>
          </w:tcPr>
          <w:p w:rsidR="00E26CBD" w:rsidRPr="00C1142A" w:rsidRDefault="00E26CBD" w:rsidP="00E26CBD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2020</w:t>
            </w:r>
          </w:p>
        </w:tc>
        <w:tc>
          <w:tcPr>
            <w:tcW w:w="1701" w:type="dxa"/>
            <w:gridSpan w:val="2"/>
            <w:vAlign w:val="center"/>
          </w:tcPr>
          <w:p w:rsidR="00E26CBD" w:rsidRPr="00C1142A" w:rsidRDefault="00E26CBD" w:rsidP="00E26CBD">
            <w:pPr>
              <w:ind w:left="-108"/>
              <w:jc w:val="center"/>
              <w:rPr>
                <w:szCs w:val="19"/>
                <w:shd w:val="clear" w:color="auto" w:fill="FFFFFF"/>
              </w:rPr>
            </w:pPr>
            <w:r w:rsidRPr="00C1142A">
              <w:rPr>
                <w:szCs w:val="19"/>
                <w:shd w:val="clear" w:color="auto" w:fill="FFFFFF"/>
              </w:rPr>
              <w:t>2021</w:t>
            </w:r>
          </w:p>
        </w:tc>
      </w:tr>
      <w:tr w:rsidR="00E26CBD" w:rsidRPr="00C1142A" w:rsidTr="00E26CBD">
        <w:trPr>
          <w:trHeight w:val="57"/>
        </w:trPr>
        <w:tc>
          <w:tcPr>
            <w:tcW w:w="2920" w:type="dxa"/>
            <w:vMerge/>
            <w:vAlign w:val="center"/>
          </w:tcPr>
          <w:p w:rsidR="00E26CBD" w:rsidRPr="00763D1B" w:rsidRDefault="00E26CBD" w:rsidP="00E26CBD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E26CBD" w:rsidRPr="00E26CBD" w:rsidRDefault="00E26CBD" w:rsidP="00E26CBD">
            <w:pPr>
              <w:jc w:val="center"/>
              <w:rPr>
                <w:szCs w:val="19"/>
                <w:shd w:val="clear" w:color="auto" w:fill="FFFFFF"/>
              </w:rPr>
            </w:pPr>
            <w:r w:rsidRPr="00E26CBD">
              <w:rPr>
                <w:szCs w:val="19"/>
                <w:shd w:val="clear" w:color="auto" w:fill="FFFFFF"/>
              </w:rPr>
              <w:t>w szt.</w:t>
            </w:r>
          </w:p>
        </w:tc>
        <w:tc>
          <w:tcPr>
            <w:tcW w:w="851" w:type="dxa"/>
            <w:vAlign w:val="center"/>
          </w:tcPr>
          <w:p w:rsidR="00E26CBD" w:rsidRPr="00C1142A" w:rsidRDefault="00E26CBD" w:rsidP="00E26CBD">
            <w:pPr>
              <w:ind w:left="-108" w:right="-108"/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C1142A">
              <w:rPr>
                <w:szCs w:val="19"/>
                <w:shd w:val="clear" w:color="auto" w:fill="FFFFFF"/>
                <w:lang w:val="en-GB"/>
              </w:rPr>
              <w:t>2020=100</w:t>
            </w:r>
          </w:p>
        </w:tc>
        <w:tc>
          <w:tcPr>
            <w:tcW w:w="1701" w:type="dxa"/>
            <w:gridSpan w:val="2"/>
            <w:vAlign w:val="center"/>
          </w:tcPr>
          <w:p w:rsidR="00E26CBD" w:rsidRPr="00C1142A" w:rsidRDefault="00E26CBD" w:rsidP="00E26CBD">
            <w:pPr>
              <w:jc w:val="center"/>
              <w:rPr>
                <w:szCs w:val="19"/>
                <w:shd w:val="clear" w:color="auto" w:fill="FFFFFF"/>
                <w:lang w:val="en-GB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  <w:tc>
          <w:tcPr>
            <w:tcW w:w="850" w:type="dxa"/>
            <w:vAlign w:val="center"/>
          </w:tcPr>
          <w:p w:rsidR="00E26CBD" w:rsidRPr="00C1142A" w:rsidRDefault="00E26CBD" w:rsidP="00E26CBD">
            <w:pPr>
              <w:ind w:left="-108" w:right="-98"/>
              <w:jc w:val="center"/>
              <w:rPr>
                <w:szCs w:val="19"/>
                <w:shd w:val="clear" w:color="auto" w:fill="FFFFFF"/>
              </w:rPr>
            </w:pPr>
            <w:r w:rsidRPr="00C1142A">
              <w:rPr>
                <w:szCs w:val="19"/>
                <w:shd w:val="clear" w:color="auto" w:fill="FFFFFF"/>
              </w:rPr>
              <w:t>2020=100</w:t>
            </w:r>
          </w:p>
        </w:tc>
      </w:tr>
      <w:tr w:rsidR="00E26CBD" w:rsidRPr="009E71CF" w:rsidTr="00E26CBD">
        <w:trPr>
          <w:trHeight w:val="57"/>
        </w:trPr>
        <w:tc>
          <w:tcPr>
            <w:tcW w:w="2920" w:type="dxa"/>
            <w:vAlign w:val="center"/>
          </w:tcPr>
          <w:p w:rsidR="00E26CBD" w:rsidRPr="00546D08" w:rsidRDefault="00E26CBD" w:rsidP="00E26CBD">
            <w:pPr>
              <w:jc w:val="both"/>
              <w:rPr>
                <w:rFonts w:eastAsia="Times New Roman" w:cs="Calibri"/>
                <w:bCs/>
                <w:color w:val="000000"/>
                <w:szCs w:val="19"/>
                <w:lang w:eastAsia="pl-PL"/>
              </w:rPr>
            </w:pPr>
            <w:r w:rsidRPr="00546D08">
              <w:rPr>
                <w:rFonts w:eastAsia="Times New Roman" w:cs="Calibri"/>
                <w:bCs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908" w:type="dxa"/>
          </w:tcPr>
          <w:p w:rsidR="00E26CBD" w:rsidRPr="009E71CF" w:rsidRDefault="00E26CBD" w:rsidP="00E26CBD">
            <w:pPr>
              <w:ind w:left="-51" w:right="-7"/>
              <w:jc w:val="right"/>
            </w:pPr>
            <w:r w:rsidRPr="009E71CF">
              <w:t>504 870</w:t>
            </w:r>
          </w:p>
        </w:tc>
        <w:tc>
          <w:tcPr>
            <w:tcW w:w="850" w:type="dxa"/>
          </w:tcPr>
          <w:p w:rsidR="00E26CBD" w:rsidRPr="009E71CF" w:rsidRDefault="00E26CBD" w:rsidP="00E26CBD">
            <w:pPr>
              <w:ind w:left="-108"/>
              <w:jc w:val="right"/>
            </w:pPr>
            <w:r w:rsidRPr="009E71CF">
              <w:t>614 260</w:t>
            </w:r>
          </w:p>
        </w:tc>
        <w:tc>
          <w:tcPr>
            <w:tcW w:w="851" w:type="dxa"/>
          </w:tcPr>
          <w:p w:rsidR="00E26CBD" w:rsidRPr="009E71CF" w:rsidRDefault="00E26CBD" w:rsidP="00E26CBD">
            <w:pPr>
              <w:jc w:val="right"/>
            </w:pPr>
            <w:r w:rsidRPr="009E71CF">
              <w:t>121</w:t>
            </w:r>
            <w:r>
              <w:t>,</w:t>
            </w:r>
            <w:r w:rsidRPr="009E71CF">
              <w:t>7</w:t>
            </w:r>
          </w:p>
        </w:tc>
        <w:tc>
          <w:tcPr>
            <w:tcW w:w="850" w:type="dxa"/>
          </w:tcPr>
          <w:p w:rsidR="00E26CBD" w:rsidRPr="009E71CF" w:rsidRDefault="00E26CBD" w:rsidP="00E4613A">
            <w:pPr>
              <w:ind w:left="-12"/>
              <w:jc w:val="right"/>
            </w:pPr>
            <w:r w:rsidRPr="009E71CF">
              <w:t>143 099</w:t>
            </w:r>
          </w:p>
        </w:tc>
        <w:tc>
          <w:tcPr>
            <w:tcW w:w="851" w:type="dxa"/>
          </w:tcPr>
          <w:p w:rsidR="00E26CBD" w:rsidRPr="009E71CF" w:rsidRDefault="00E26CBD" w:rsidP="00E26CBD">
            <w:pPr>
              <w:jc w:val="right"/>
            </w:pPr>
            <w:r w:rsidRPr="009E71CF">
              <w:t>197 140</w:t>
            </w:r>
          </w:p>
        </w:tc>
        <w:tc>
          <w:tcPr>
            <w:tcW w:w="850" w:type="dxa"/>
          </w:tcPr>
          <w:p w:rsidR="00E26CBD" w:rsidRPr="009E71CF" w:rsidRDefault="00E26CBD" w:rsidP="00E26CBD">
            <w:pPr>
              <w:jc w:val="right"/>
            </w:pPr>
            <w:r w:rsidRPr="009E71CF">
              <w:t>137</w:t>
            </w:r>
            <w:r>
              <w:t>,</w:t>
            </w:r>
            <w:r w:rsidRPr="009E71CF">
              <w:t>8</w:t>
            </w:r>
          </w:p>
        </w:tc>
      </w:tr>
      <w:tr w:rsidR="00E26CBD" w:rsidRPr="009E71CF" w:rsidTr="00E26CBD">
        <w:trPr>
          <w:trHeight w:val="57"/>
        </w:trPr>
        <w:tc>
          <w:tcPr>
            <w:tcW w:w="2920" w:type="dxa"/>
            <w:vAlign w:val="center"/>
          </w:tcPr>
          <w:p w:rsidR="00E26CBD" w:rsidRPr="00763D1B" w:rsidRDefault="00E26CBD" w:rsidP="00E26CBD">
            <w:pPr>
              <w:ind w:right="-68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Nieruchomości lokalowe </w:t>
            </w:r>
            <w:r w:rsidRPr="00D01AE9">
              <w:rPr>
                <w:rFonts w:eastAsia="Times New Roman" w:cs="Calibri"/>
                <w:color w:val="000000"/>
                <w:szCs w:val="19"/>
                <w:vertAlign w:val="superscript"/>
                <w:lang w:eastAsia="pl-PL"/>
              </w:rPr>
              <w:t>1</w:t>
            </w:r>
          </w:p>
        </w:tc>
        <w:tc>
          <w:tcPr>
            <w:tcW w:w="908" w:type="dxa"/>
          </w:tcPr>
          <w:p w:rsidR="00E26CBD" w:rsidRPr="009E71CF" w:rsidRDefault="00E26CBD" w:rsidP="00E26CBD">
            <w:pPr>
              <w:ind w:left="-51" w:right="-7"/>
              <w:jc w:val="right"/>
            </w:pPr>
            <w:r w:rsidRPr="009E71CF">
              <w:t>220 576</w:t>
            </w:r>
          </w:p>
        </w:tc>
        <w:tc>
          <w:tcPr>
            <w:tcW w:w="850" w:type="dxa"/>
          </w:tcPr>
          <w:p w:rsidR="00E26CBD" w:rsidRPr="009E71CF" w:rsidRDefault="00E26CBD" w:rsidP="00E26CBD">
            <w:pPr>
              <w:ind w:left="-108"/>
              <w:jc w:val="right"/>
            </w:pPr>
            <w:r w:rsidRPr="009E71CF">
              <w:t>270 466</w:t>
            </w:r>
          </w:p>
        </w:tc>
        <w:tc>
          <w:tcPr>
            <w:tcW w:w="851" w:type="dxa"/>
          </w:tcPr>
          <w:p w:rsidR="00E26CBD" w:rsidRPr="009E71CF" w:rsidRDefault="00E26CBD" w:rsidP="00E26CBD">
            <w:pPr>
              <w:jc w:val="right"/>
            </w:pPr>
            <w:r w:rsidRPr="009E71CF">
              <w:t>122</w:t>
            </w:r>
            <w:r>
              <w:t>,</w:t>
            </w:r>
            <w:r w:rsidRPr="009E71CF">
              <w:t>6</w:t>
            </w:r>
          </w:p>
        </w:tc>
        <w:tc>
          <w:tcPr>
            <w:tcW w:w="850" w:type="dxa"/>
          </w:tcPr>
          <w:p w:rsidR="00E26CBD" w:rsidRPr="009E71CF" w:rsidRDefault="00E26CBD" w:rsidP="00E26CBD">
            <w:pPr>
              <w:jc w:val="right"/>
            </w:pPr>
            <w:r w:rsidRPr="009E71CF">
              <w:t>67 700</w:t>
            </w:r>
          </w:p>
        </w:tc>
        <w:tc>
          <w:tcPr>
            <w:tcW w:w="851" w:type="dxa"/>
          </w:tcPr>
          <w:p w:rsidR="00E26CBD" w:rsidRPr="009E71CF" w:rsidRDefault="00E26CBD" w:rsidP="00E26CBD">
            <w:pPr>
              <w:jc w:val="right"/>
            </w:pPr>
            <w:r w:rsidRPr="009E71CF">
              <w:t>93 867</w:t>
            </w:r>
          </w:p>
        </w:tc>
        <w:tc>
          <w:tcPr>
            <w:tcW w:w="850" w:type="dxa"/>
          </w:tcPr>
          <w:p w:rsidR="00E26CBD" w:rsidRPr="009E71CF" w:rsidRDefault="00E26CBD" w:rsidP="00E26CBD">
            <w:pPr>
              <w:jc w:val="right"/>
            </w:pPr>
            <w:r w:rsidRPr="009E71CF">
              <w:t>138</w:t>
            </w:r>
            <w:r>
              <w:t>,</w:t>
            </w:r>
            <w:r w:rsidRPr="009E71CF">
              <w:t>7</w:t>
            </w:r>
          </w:p>
        </w:tc>
      </w:tr>
      <w:tr w:rsidR="00E26CBD" w:rsidRPr="009E71CF" w:rsidTr="00E26CBD">
        <w:trPr>
          <w:trHeight w:val="57"/>
        </w:trPr>
        <w:tc>
          <w:tcPr>
            <w:tcW w:w="2920" w:type="dxa"/>
            <w:tcBorders>
              <w:bottom w:val="single" w:sz="4" w:space="0" w:color="001D81"/>
            </w:tcBorders>
            <w:vAlign w:val="center"/>
          </w:tcPr>
          <w:p w:rsidR="00E26CBD" w:rsidRPr="00763D1B" w:rsidRDefault="00E26CBD" w:rsidP="00E26CBD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Nieruchomości zabudowane </w:t>
            </w:r>
            <w:r w:rsidRPr="00763D1B">
              <w:rPr>
                <w:rFonts w:eastAsia="Times New Roman" w:cs="Calibri"/>
                <w:color w:val="000000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908" w:type="dxa"/>
            <w:tcBorders>
              <w:bottom w:val="single" w:sz="4" w:space="0" w:color="001D81"/>
            </w:tcBorders>
          </w:tcPr>
          <w:p w:rsidR="00E26CBD" w:rsidRPr="009E71CF" w:rsidRDefault="00E26CBD" w:rsidP="00E26CBD">
            <w:pPr>
              <w:ind w:left="-51" w:right="-7"/>
              <w:jc w:val="right"/>
            </w:pPr>
            <w:r w:rsidRPr="009E71CF">
              <w:t>84 368</w:t>
            </w:r>
          </w:p>
        </w:tc>
        <w:tc>
          <w:tcPr>
            <w:tcW w:w="850" w:type="dxa"/>
            <w:tcBorders>
              <w:bottom w:val="single" w:sz="4" w:space="0" w:color="001D81"/>
            </w:tcBorders>
          </w:tcPr>
          <w:p w:rsidR="00E26CBD" w:rsidRPr="009E71CF" w:rsidRDefault="00E26CBD" w:rsidP="00E26CBD">
            <w:pPr>
              <w:ind w:left="-108"/>
              <w:jc w:val="right"/>
            </w:pPr>
            <w:r w:rsidRPr="009E71CF">
              <w:t>94 849</w:t>
            </w:r>
          </w:p>
        </w:tc>
        <w:tc>
          <w:tcPr>
            <w:tcW w:w="851" w:type="dxa"/>
            <w:tcBorders>
              <w:bottom w:val="single" w:sz="4" w:space="0" w:color="001D81"/>
            </w:tcBorders>
          </w:tcPr>
          <w:p w:rsidR="00E26CBD" w:rsidRPr="009E71CF" w:rsidRDefault="00E26CBD" w:rsidP="00E26CBD">
            <w:pPr>
              <w:jc w:val="right"/>
            </w:pPr>
            <w:r w:rsidRPr="009E71CF">
              <w:t>112</w:t>
            </w:r>
            <w:r>
              <w:t>,</w:t>
            </w:r>
            <w:r w:rsidRPr="009E71CF">
              <w:t>4</w:t>
            </w:r>
          </w:p>
        </w:tc>
        <w:tc>
          <w:tcPr>
            <w:tcW w:w="850" w:type="dxa"/>
            <w:tcBorders>
              <w:bottom w:val="single" w:sz="4" w:space="0" w:color="001D81"/>
            </w:tcBorders>
          </w:tcPr>
          <w:p w:rsidR="00E26CBD" w:rsidRPr="009E71CF" w:rsidRDefault="00E26CBD" w:rsidP="00E26CBD">
            <w:pPr>
              <w:jc w:val="right"/>
            </w:pPr>
            <w:r w:rsidRPr="009E71CF">
              <w:t>40 721</w:t>
            </w:r>
          </w:p>
        </w:tc>
        <w:tc>
          <w:tcPr>
            <w:tcW w:w="851" w:type="dxa"/>
            <w:tcBorders>
              <w:bottom w:val="single" w:sz="4" w:space="0" w:color="001D81"/>
            </w:tcBorders>
          </w:tcPr>
          <w:p w:rsidR="00E26CBD" w:rsidRPr="009E71CF" w:rsidRDefault="00E26CBD" w:rsidP="00E26CBD">
            <w:pPr>
              <w:jc w:val="right"/>
            </w:pPr>
            <w:r w:rsidRPr="009E71CF">
              <w:t>50 140</w:t>
            </w:r>
          </w:p>
        </w:tc>
        <w:tc>
          <w:tcPr>
            <w:tcW w:w="850" w:type="dxa"/>
            <w:tcBorders>
              <w:bottom w:val="single" w:sz="4" w:space="0" w:color="001D81"/>
            </w:tcBorders>
          </w:tcPr>
          <w:p w:rsidR="00E26CBD" w:rsidRPr="009E71CF" w:rsidRDefault="00E26CBD" w:rsidP="00E26CBD">
            <w:pPr>
              <w:jc w:val="right"/>
            </w:pPr>
            <w:r w:rsidRPr="009E71CF">
              <w:t>123</w:t>
            </w:r>
            <w:r>
              <w:t>,</w:t>
            </w:r>
            <w:r w:rsidRPr="009E71CF">
              <w:t>1</w:t>
            </w:r>
          </w:p>
        </w:tc>
      </w:tr>
      <w:tr w:rsidR="00E26CBD" w:rsidTr="00E26CBD">
        <w:trPr>
          <w:trHeight w:val="57"/>
        </w:trPr>
        <w:tc>
          <w:tcPr>
            <w:tcW w:w="2920" w:type="dxa"/>
            <w:tcBorders>
              <w:bottom w:val="nil"/>
            </w:tcBorders>
            <w:vAlign w:val="center"/>
          </w:tcPr>
          <w:p w:rsidR="00E26CBD" w:rsidRPr="00763D1B" w:rsidRDefault="00E26CBD" w:rsidP="00E26CBD">
            <w:pPr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763D1B">
              <w:rPr>
                <w:rFonts w:eastAsia="Times New Roman" w:cs="Calibri"/>
                <w:color w:val="000000"/>
                <w:szCs w:val="19"/>
                <w:lang w:eastAsia="pl-PL"/>
              </w:rPr>
              <w:t>Nieruchomości niezabudowane</w:t>
            </w:r>
          </w:p>
        </w:tc>
        <w:tc>
          <w:tcPr>
            <w:tcW w:w="908" w:type="dxa"/>
            <w:tcBorders>
              <w:bottom w:val="nil"/>
            </w:tcBorders>
          </w:tcPr>
          <w:p w:rsidR="00E26CBD" w:rsidRPr="009E71CF" w:rsidRDefault="00E26CBD" w:rsidP="00E26CBD">
            <w:pPr>
              <w:ind w:left="-51" w:right="-7"/>
              <w:jc w:val="right"/>
            </w:pPr>
            <w:r w:rsidRPr="009E71CF">
              <w:t>199 926</w:t>
            </w:r>
          </w:p>
        </w:tc>
        <w:tc>
          <w:tcPr>
            <w:tcW w:w="850" w:type="dxa"/>
            <w:tcBorders>
              <w:bottom w:val="nil"/>
            </w:tcBorders>
          </w:tcPr>
          <w:p w:rsidR="00E26CBD" w:rsidRPr="009E71CF" w:rsidRDefault="00E26CBD" w:rsidP="00E26CBD">
            <w:pPr>
              <w:ind w:left="-108"/>
              <w:jc w:val="right"/>
            </w:pPr>
            <w:r w:rsidRPr="009E71CF">
              <w:t>248 945</w:t>
            </w:r>
          </w:p>
        </w:tc>
        <w:tc>
          <w:tcPr>
            <w:tcW w:w="851" w:type="dxa"/>
            <w:tcBorders>
              <w:bottom w:val="nil"/>
            </w:tcBorders>
          </w:tcPr>
          <w:p w:rsidR="00E26CBD" w:rsidRPr="009E71CF" w:rsidRDefault="00E26CBD" w:rsidP="00E26CBD">
            <w:pPr>
              <w:jc w:val="right"/>
            </w:pPr>
            <w:r w:rsidRPr="009E71CF">
              <w:t>124</w:t>
            </w:r>
            <w:r>
              <w:t>,</w:t>
            </w:r>
            <w:r w:rsidRPr="009E71CF"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E26CBD" w:rsidRPr="009E71CF" w:rsidRDefault="00E26CBD" w:rsidP="00E26CBD">
            <w:pPr>
              <w:jc w:val="right"/>
            </w:pPr>
            <w:r w:rsidRPr="009E71CF">
              <w:t>34 678</w:t>
            </w:r>
          </w:p>
        </w:tc>
        <w:tc>
          <w:tcPr>
            <w:tcW w:w="851" w:type="dxa"/>
            <w:tcBorders>
              <w:bottom w:val="nil"/>
            </w:tcBorders>
          </w:tcPr>
          <w:p w:rsidR="00E26CBD" w:rsidRPr="009E71CF" w:rsidRDefault="00E26CBD" w:rsidP="00E26CBD">
            <w:pPr>
              <w:jc w:val="right"/>
            </w:pPr>
            <w:r w:rsidRPr="009E71CF">
              <w:t>53 133</w:t>
            </w:r>
          </w:p>
        </w:tc>
        <w:tc>
          <w:tcPr>
            <w:tcW w:w="850" w:type="dxa"/>
            <w:tcBorders>
              <w:bottom w:val="nil"/>
            </w:tcBorders>
          </w:tcPr>
          <w:p w:rsidR="00E26CBD" w:rsidRDefault="00E26CBD" w:rsidP="00E26CBD">
            <w:pPr>
              <w:jc w:val="right"/>
            </w:pPr>
            <w:r w:rsidRPr="009E71CF">
              <w:t>153</w:t>
            </w:r>
            <w:r>
              <w:t>,</w:t>
            </w:r>
            <w:r w:rsidRPr="009E71CF">
              <w:t>2</w:t>
            </w:r>
          </w:p>
        </w:tc>
      </w:tr>
    </w:tbl>
    <w:p w:rsidR="004A0769" w:rsidRPr="00B813D6" w:rsidRDefault="004A0769" w:rsidP="00CD4BCD">
      <w:pPr>
        <w:pStyle w:val="Tekstprzypisudolnego"/>
        <w:ind w:right="-13"/>
        <w:rPr>
          <w:sz w:val="16"/>
          <w:szCs w:val="18"/>
        </w:rPr>
      </w:pPr>
      <w:r w:rsidRPr="00177074">
        <w:rPr>
          <w:sz w:val="16"/>
          <w:szCs w:val="18"/>
          <w:vertAlign w:val="superscript"/>
        </w:rPr>
        <w:t xml:space="preserve">1  </w:t>
      </w:r>
      <w:r>
        <w:rPr>
          <w:sz w:val="16"/>
          <w:szCs w:val="18"/>
        </w:rPr>
        <w:t xml:space="preserve">Dane częściowo szacunkowe; uwzględniono szacunek </w:t>
      </w:r>
      <w:r w:rsidR="007077A0">
        <w:rPr>
          <w:sz w:val="16"/>
          <w:szCs w:val="18"/>
        </w:rPr>
        <w:t xml:space="preserve">dla </w:t>
      </w:r>
      <w:r>
        <w:rPr>
          <w:sz w:val="16"/>
          <w:szCs w:val="18"/>
        </w:rPr>
        <w:t xml:space="preserve">niezaewidencjonowanych </w:t>
      </w:r>
      <w:r w:rsidRPr="00177074">
        <w:rPr>
          <w:sz w:val="16"/>
          <w:szCs w:val="18"/>
        </w:rPr>
        <w:t>transakcj</w:t>
      </w:r>
      <w:r>
        <w:rPr>
          <w:sz w:val="16"/>
          <w:szCs w:val="18"/>
        </w:rPr>
        <w:t>i</w:t>
      </w:r>
      <w:r w:rsidRPr="00177074">
        <w:rPr>
          <w:sz w:val="16"/>
          <w:szCs w:val="18"/>
        </w:rPr>
        <w:t xml:space="preserve"> kupna/sprzedaży nieruchomości dokonanych w </w:t>
      </w:r>
      <w:r w:rsidR="00D01AE9">
        <w:rPr>
          <w:sz w:val="16"/>
          <w:szCs w:val="18"/>
        </w:rPr>
        <w:t>3</w:t>
      </w:r>
      <w:r w:rsidR="004E6AB7">
        <w:rPr>
          <w:sz w:val="16"/>
          <w:szCs w:val="18"/>
        </w:rPr>
        <w:t xml:space="preserve"> </w:t>
      </w:r>
      <w:r w:rsidRPr="00177074">
        <w:rPr>
          <w:sz w:val="16"/>
          <w:szCs w:val="18"/>
        </w:rPr>
        <w:t>miastach na prawach powiatu, których proces rejestracji odb</w:t>
      </w:r>
      <w:bookmarkStart w:id="0" w:name="_GoBack"/>
      <w:bookmarkEnd w:id="0"/>
      <w:r w:rsidRPr="00177074">
        <w:rPr>
          <w:sz w:val="16"/>
          <w:szCs w:val="18"/>
        </w:rPr>
        <w:t>ywał się w</w:t>
      </w:r>
      <w:r w:rsidR="00B813D6">
        <w:rPr>
          <w:sz w:val="16"/>
          <w:szCs w:val="18"/>
        </w:rPr>
        <w:t> </w:t>
      </w:r>
      <w:r w:rsidRPr="00177074">
        <w:rPr>
          <w:sz w:val="16"/>
          <w:szCs w:val="18"/>
        </w:rPr>
        <w:t xml:space="preserve"> okresie do 2</w:t>
      </w:r>
      <w:r w:rsidR="00D01AE9">
        <w:rPr>
          <w:sz w:val="16"/>
          <w:szCs w:val="18"/>
        </w:rPr>
        <w:t>5</w:t>
      </w:r>
      <w:r w:rsidRPr="00177074">
        <w:rPr>
          <w:sz w:val="16"/>
          <w:szCs w:val="18"/>
        </w:rPr>
        <w:t xml:space="preserve"> kwietnia 202</w:t>
      </w:r>
      <w:r w:rsidR="00D01AE9">
        <w:rPr>
          <w:sz w:val="16"/>
          <w:szCs w:val="18"/>
        </w:rPr>
        <w:t>2</w:t>
      </w:r>
      <w:r w:rsidRPr="00177074">
        <w:rPr>
          <w:sz w:val="16"/>
          <w:szCs w:val="18"/>
        </w:rPr>
        <w:t xml:space="preserve"> r.</w:t>
      </w:r>
      <w:r w:rsidRPr="004A0769">
        <w:rPr>
          <w:sz w:val="16"/>
          <w:szCs w:val="18"/>
        </w:rPr>
        <w:t xml:space="preserve"> </w:t>
      </w:r>
    </w:p>
    <w:p w:rsidR="004A0769" w:rsidRDefault="004A0769" w:rsidP="004A0769">
      <w:pPr>
        <w:pStyle w:val="Tekstprzypisudolnego"/>
        <w:rPr>
          <w:sz w:val="16"/>
          <w:szCs w:val="18"/>
        </w:rPr>
      </w:pPr>
      <w:r>
        <w:rPr>
          <w:sz w:val="16"/>
          <w:szCs w:val="18"/>
          <w:vertAlign w:val="superscript"/>
        </w:rPr>
        <w:t>2</w:t>
      </w:r>
      <w:r>
        <w:rPr>
          <w:sz w:val="16"/>
          <w:szCs w:val="18"/>
        </w:rPr>
        <w:t xml:space="preserve"> </w:t>
      </w:r>
      <w:r w:rsidRPr="00B86DF8">
        <w:rPr>
          <w:sz w:val="16"/>
          <w:szCs w:val="18"/>
        </w:rPr>
        <w:t>Obejmuje nieruchomości zabudowane budynkami mieszkalnymi, zabudowane nieruchomości rolne, nieruchomości zabudowane budynkami pełniącymi inne funkcje niż zagrodowa i mieszkaniowa oraz nieruchomości budynkowe</w:t>
      </w:r>
      <w:r>
        <w:rPr>
          <w:sz w:val="16"/>
          <w:szCs w:val="18"/>
        </w:rPr>
        <w:t>.</w:t>
      </w:r>
    </w:p>
    <w:p w:rsidR="00FC51AE" w:rsidRDefault="00584789" w:rsidP="00446B4F">
      <w:pPr>
        <w:spacing w:before="240"/>
        <w:rPr>
          <w:szCs w:val="19"/>
        </w:rPr>
      </w:pPr>
      <w:r>
        <w:rPr>
          <w:szCs w:val="19"/>
        </w:rPr>
        <w:t>Największy udział w</w:t>
      </w:r>
      <w:r w:rsidR="00FC51AE" w:rsidRPr="007C475F">
        <w:rPr>
          <w:szCs w:val="19"/>
        </w:rPr>
        <w:t xml:space="preserve"> ogólnej liczbie transakcji kupna/sprzedaży nieruchomości </w:t>
      </w:r>
      <w:r>
        <w:rPr>
          <w:szCs w:val="19"/>
        </w:rPr>
        <w:t xml:space="preserve">stanowiły </w:t>
      </w:r>
      <w:r w:rsidR="00CD4BCD">
        <w:rPr>
          <w:szCs w:val="19"/>
        </w:rPr>
        <w:br/>
      </w:r>
      <w:r>
        <w:rPr>
          <w:szCs w:val="19"/>
        </w:rPr>
        <w:t xml:space="preserve">lokale </w:t>
      </w:r>
      <w:r w:rsidRPr="007C475F">
        <w:rPr>
          <w:szCs w:val="19"/>
        </w:rPr>
        <w:t xml:space="preserve"> </w:t>
      </w:r>
      <w:r w:rsidRPr="00CD4BCD">
        <w:rPr>
          <w:szCs w:val="19"/>
        </w:rPr>
        <w:t>(</w:t>
      </w:r>
      <w:r w:rsidR="00FC51AE" w:rsidRPr="00CD4BCD">
        <w:rPr>
          <w:szCs w:val="19"/>
        </w:rPr>
        <w:t>w województw</w:t>
      </w:r>
      <w:r w:rsidR="005D4FBE" w:rsidRPr="00CD4BCD">
        <w:rPr>
          <w:szCs w:val="19"/>
        </w:rPr>
        <w:t>ach:</w:t>
      </w:r>
      <w:r w:rsidR="005C3317">
        <w:rPr>
          <w:szCs w:val="19"/>
        </w:rPr>
        <w:t xml:space="preserve"> </w:t>
      </w:r>
      <w:r w:rsidR="005C3317" w:rsidRPr="00CD4BCD">
        <w:rPr>
          <w:szCs w:val="19"/>
        </w:rPr>
        <w:t xml:space="preserve">pomorskim, </w:t>
      </w:r>
      <w:r w:rsidR="00CD4BCD" w:rsidRPr="00CD4BCD">
        <w:rPr>
          <w:szCs w:val="19"/>
        </w:rPr>
        <w:t>dolnośląskim</w:t>
      </w:r>
      <w:r w:rsidR="005C3317">
        <w:rPr>
          <w:szCs w:val="19"/>
        </w:rPr>
        <w:t xml:space="preserve"> i</w:t>
      </w:r>
      <w:r w:rsidR="00CD4BCD" w:rsidRPr="00CD4BCD">
        <w:rPr>
          <w:szCs w:val="19"/>
        </w:rPr>
        <w:t xml:space="preserve"> </w:t>
      </w:r>
      <w:r w:rsidR="00FC51AE" w:rsidRPr="00CD4BCD">
        <w:rPr>
          <w:szCs w:val="19"/>
        </w:rPr>
        <w:t>mazowieckim</w:t>
      </w:r>
      <w:r w:rsidRPr="00CD4BCD">
        <w:rPr>
          <w:szCs w:val="19"/>
        </w:rPr>
        <w:t xml:space="preserve">) oraz </w:t>
      </w:r>
      <w:r w:rsidR="00FC51AE" w:rsidRPr="00CD4BCD">
        <w:rPr>
          <w:szCs w:val="19"/>
        </w:rPr>
        <w:t>nieruchomości</w:t>
      </w:r>
      <w:r w:rsidRPr="00CD4BCD">
        <w:rPr>
          <w:szCs w:val="19"/>
        </w:rPr>
        <w:t xml:space="preserve"> niezabudowane (w </w:t>
      </w:r>
      <w:r w:rsidR="00FC51AE" w:rsidRPr="00CD4BCD">
        <w:rPr>
          <w:szCs w:val="19"/>
        </w:rPr>
        <w:t>województw</w:t>
      </w:r>
      <w:r w:rsidR="005D4FBE" w:rsidRPr="00CD4BCD">
        <w:rPr>
          <w:szCs w:val="19"/>
        </w:rPr>
        <w:t>ach:</w:t>
      </w:r>
      <w:r w:rsidR="00FC51AE" w:rsidRPr="00CD4BCD">
        <w:rPr>
          <w:szCs w:val="19"/>
        </w:rPr>
        <w:t xml:space="preserve"> </w:t>
      </w:r>
      <w:r w:rsidR="005C3317" w:rsidRPr="00CD4BCD">
        <w:rPr>
          <w:szCs w:val="19"/>
        </w:rPr>
        <w:t>lubelskim</w:t>
      </w:r>
      <w:r w:rsidR="005C3317">
        <w:rPr>
          <w:szCs w:val="19"/>
        </w:rPr>
        <w:t xml:space="preserve">, </w:t>
      </w:r>
      <w:r w:rsidR="00FC51AE" w:rsidRPr="00CD4BCD">
        <w:rPr>
          <w:szCs w:val="19"/>
        </w:rPr>
        <w:t>podkarpackim</w:t>
      </w:r>
      <w:r w:rsidR="00964F91">
        <w:rPr>
          <w:szCs w:val="19"/>
        </w:rPr>
        <w:t xml:space="preserve"> i </w:t>
      </w:r>
      <w:r w:rsidR="00964F91" w:rsidRPr="00CD4BCD">
        <w:rPr>
          <w:szCs w:val="19"/>
        </w:rPr>
        <w:t>świętokrzyskim</w:t>
      </w:r>
      <w:r w:rsidRPr="00CD4BCD">
        <w:rPr>
          <w:szCs w:val="19"/>
        </w:rPr>
        <w:t>)</w:t>
      </w:r>
      <w:r w:rsidR="00FC51AE" w:rsidRPr="00CD4BCD">
        <w:rPr>
          <w:szCs w:val="19"/>
        </w:rPr>
        <w:t>.</w:t>
      </w:r>
    </w:p>
    <w:p w:rsidR="00B813D6" w:rsidRPr="006B0714" w:rsidRDefault="00B813D6" w:rsidP="00FC51AE">
      <w:pPr>
        <w:rPr>
          <w:szCs w:val="19"/>
        </w:rPr>
      </w:pPr>
    </w:p>
    <w:p w:rsidR="00FC51AE" w:rsidRPr="00B813D6" w:rsidRDefault="00FC51AE" w:rsidP="00B813D6">
      <w:pPr>
        <w:spacing w:before="240"/>
        <w:ind w:left="851" w:hanging="851"/>
        <w:rPr>
          <w:b/>
          <w:szCs w:val="19"/>
          <w:shd w:val="clear" w:color="auto" w:fill="FFFFFF"/>
        </w:rPr>
      </w:pPr>
      <w:r w:rsidRPr="00B813D6">
        <w:rPr>
          <w:b/>
          <w:szCs w:val="19"/>
        </w:rPr>
        <w:t>Wykres 1.</w:t>
      </w:r>
      <w:r w:rsidRPr="00B813D6">
        <w:rPr>
          <w:b/>
          <w:szCs w:val="19"/>
          <w:shd w:val="clear" w:color="auto" w:fill="FFFFFF"/>
        </w:rPr>
        <w:t xml:space="preserve">  Struktura liczby transakcji kupna/sprzedaży nieruchomości wg rodzaju w województwach w 20</w:t>
      </w:r>
      <w:r w:rsidR="004E6AB7" w:rsidRPr="00B813D6">
        <w:rPr>
          <w:b/>
          <w:szCs w:val="19"/>
          <w:shd w:val="clear" w:color="auto" w:fill="FFFFFF"/>
        </w:rPr>
        <w:t>2</w:t>
      </w:r>
      <w:r w:rsidR="005C3317" w:rsidRPr="00B813D6">
        <w:rPr>
          <w:b/>
          <w:szCs w:val="19"/>
          <w:shd w:val="clear" w:color="auto" w:fill="FFFFFF"/>
        </w:rPr>
        <w:t>1</w:t>
      </w:r>
      <w:r w:rsidRPr="00B813D6">
        <w:rPr>
          <w:b/>
          <w:szCs w:val="19"/>
          <w:shd w:val="clear" w:color="auto" w:fill="FFFFFF"/>
        </w:rPr>
        <w:t xml:space="preserve"> r</w:t>
      </w:r>
      <w:r w:rsidR="009676CA" w:rsidRPr="00B813D6">
        <w:rPr>
          <w:b/>
          <w:szCs w:val="19"/>
          <w:shd w:val="clear" w:color="auto" w:fill="FFFFFF"/>
        </w:rPr>
        <w:t>.</w:t>
      </w:r>
    </w:p>
    <w:p w:rsidR="00891A93" w:rsidRDefault="00446B4F" w:rsidP="0044250C">
      <w:pPr>
        <w:spacing w:before="0" w:after="160" w:line="259" w:lineRule="auto"/>
        <w:jc w:val="both"/>
        <w:rPr>
          <w:b/>
          <w:spacing w:val="-2"/>
          <w:sz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inline distT="0" distB="0" distL="0" distR="0" wp14:anchorId="0B620087">
            <wp:extent cx="5163820" cy="3596640"/>
            <wp:effectExtent l="0" t="0" r="0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359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51AE" w:rsidRPr="00FA7E22" w:rsidRDefault="00FC51AE" w:rsidP="00FC51AE">
      <w:pPr>
        <w:spacing w:before="240"/>
        <w:rPr>
          <w:b/>
          <w:spacing w:val="-2"/>
          <w:szCs w:val="19"/>
          <w:shd w:val="clear" w:color="auto" w:fill="FFFFFF"/>
        </w:rPr>
      </w:pPr>
      <w:r w:rsidRPr="00FA7E22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12DCB889" wp14:editId="08184ADF">
                <wp:simplePos x="0" y="0"/>
                <wp:positionH relativeFrom="column">
                  <wp:posOffset>5309235</wp:posOffset>
                </wp:positionH>
                <wp:positionV relativeFrom="paragraph">
                  <wp:posOffset>257175</wp:posOffset>
                </wp:positionV>
                <wp:extent cx="1725295" cy="1167765"/>
                <wp:effectExtent l="0" t="0" r="0" b="0"/>
                <wp:wrapTight wrapText="bothSides">
                  <wp:wrapPolygon edited="0">
                    <wp:start x="715" y="0"/>
                    <wp:lineTo x="715" y="21142"/>
                    <wp:lineTo x="20749" y="21142"/>
                    <wp:lineTo x="20749" y="0"/>
                    <wp:lineTo x="715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1AE" w:rsidRPr="00074DD8" w:rsidRDefault="00FC51AE" w:rsidP="00FC51AE">
                            <w:pPr>
                              <w:pStyle w:val="tekstzboku"/>
                            </w:pPr>
                            <w:r w:rsidRPr="00907E1E">
                              <w:t xml:space="preserve">Ceny lokali mieszkalnych </w:t>
                            </w:r>
                            <w:r>
                              <w:br/>
                              <w:t>w 20</w:t>
                            </w:r>
                            <w:r w:rsidR="00C35C37">
                              <w:t>2</w:t>
                            </w:r>
                            <w:r w:rsidR="006A68CE">
                              <w:t>1</w:t>
                            </w:r>
                            <w:r>
                              <w:t xml:space="preserve"> </w:t>
                            </w:r>
                            <w:r w:rsidR="009676CA">
                              <w:t>r.</w:t>
                            </w:r>
                            <w:r w:rsidR="009676CA" w:rsidRPr="00907E1E">
                              <w:t xml:space="preserve"> </w:t>
                            </w:r>
                            <w:r w:rsidRPr="00907E1E">
                              <w:t xml:space="preserve">w stosunku do </w:t>
                            </w:r>
                            <w:r>
                              <w:br/>
                            </w:r>
                            <w:r w:rsidR="00891A93">
                              <w:t xml:space="preserve">roku </w:t>
                            </w:r>
                            <w:r w:rsidRPr="00907E1E">
                              <w:t xml:space="preserve">poprzedniego wzrosły </w:t>
                            </w:r>
                            <w:r>
                              <w:br/>
                              <w:t xml:space="preserve">o </w:t>
                            </w:r>
                            <w:r w:rsidR="006A68CE">
                              <w:t>9,2</w:t>
                            </w:r>
                            <w:r w:rsidRPr="00907E1E">
                              <w:t xml:space="preserve">% </w:t>
                            </w:r>
                            <w:r>
                              <w:t xml:space="preserve">(w tym na rynku pierwotnym – o </w:t>
                            </w:r>
                            <w:r w:rsidR="006A68CE">
                              <w:t>9,1</w:t>
                            </w:r>
                            <w:r>
                              <w:t xml:space="preserve">% i na rynku wtórnym – o </w:t>
                            </w:r>
                            <w:r w:rsidR="006A68CE">
                              <w:t>9,3</w:t>
                            </w:r>
                            <w: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CB889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9" type="#_x0000_t202" style="position:absolute;margin-left:418.05pt;margin-top:20.25pt;width:135.85pt;height:91.9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" filled="f" stroked="f">
                <v:textbox>
                  <w:txbxContent>
                    <w:p w:rsidR="00FC51AE" w:rsidRPr="00074DD8" w:rsidRDefault="00FC51AE" w:rsidP="00FC51AE">
                      <w:pPr>
                        <w:pStyle w:val="tekstzboku"/>
                      </w:pPr>
                      <w:r w:rsidRPr="00907E1E">
                        <w:t xml:space="preserve">Ceny lokali mieszkalnych </w:t>
                      </w:r>
                      <w:r>
                        <w:br/>
                        <w:t>w 20</w:t>
                      </w:r>
                      <w:r w:rsidR="00C35C37">
                        <w:t>2</w:t>
                      </w:r>
                      <w:r w:rsidR="006A68CE">
                        <w:t>1</w:t>
                      </w:r>
                      <w:r>
                        <w:t xml:space="preserve"> </w:t>
                      </w:r>
                      <w:r w:rsidR="009676CA">
                        <w:t>r.</w:t>
                      </w:r>
                      <w:r w:rsidR="009676CA" w:rsidRPr="00907E1E">
                        <w:t xml:space="preserve"> </w:t>
                      </w:r>
                      <w:r w:rsidRPr="00907E1E">
                        <w:t xml:space="preserve">w stosunku do </w:t>
                      </w:r>
                      <w:r>
                        <w:br/>
                      </w:r>
                      <w:r w:rsidR="00891A93">
                        <w:t xml:space="preserve">roku </w:t>
                      </w:r>
                      <w:r w:rsidRPr="00907E1E">
                        <w:t xml:space="preserve">poprzedniego wzrosły </w:t>
                      </w:r>
                      <w:r>
                        <w:br/>
                        <w:t xml:space="preserve">o </w:t>
                      </w:r>
                      <w:r w:rsidR="006A68CE">
                        <w:t>9,2</w:t>
                      </w:r>
                      <w:r w:rsidRPr="00907E1E">
                        <w:t xml:space="preserve">% </w:t>
                      </w:r>
                      <w:r>
                        <w:t xml:space="preserve">(w tym na rynku pierwotnym – o </w:t>
                      </w:r>
                      <w:r w:rsidR="006A68CE">
                        <w:t>9,1</w:t>
                      </w:r>
                      <w:r>
                        <w:t xml:space="preserve">% i na rynku wtórnym – o </w:t>
                      </w:r>
                      <w:r w:rsidR="006A68CE">
                        <w:t>9,3</w:t>
                      </w:r>
                      <w: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A7E22">
        <w:rPr>
          <w:b/>
          <w:spacing w:val="-2"/>
          <w:szCs w:val="19"/>
          <w:shd w:val="clear" w:color="auto" w:fill="FFFFFF"/>
        </w:rPr>
        <w:t xml:space="preserve">Tablica 3. Wskaźniki cen lokali mieszkalnych w </w:t>
      </w:r>
      <w:r w:rsidR="0004372E" w:rsidRPr="00FA7E22">
        <w:rPr>
          <w:b/>
          <w:spacing w:val="-2"/>
          <w:szCs w:val="19"/>
          <w:shd w:val="clear" w:color="auto" w:fill="FFFFFF"/>
        </w:rPr>
        <w:t>2021</w:t>
      </w:r>
      <w:r w:rsidR="0044250C" w:rsidRPr="00FA7E22">
        <w:rPr>
          <w:b/>
          <w:spacing w:val="-2"/>
          <w:szCs w:val="19"/>
          <w:shd w:val="clear" w:color="auto" w:fill="FFFFFF"/>
        </w:rPr>
        <w:t xml:space="preserve"> r.</w:t>
      </w:r>
    </w:p>
    <w:tbl>
      <w:tblPr>
        <w:tblStyle w:val="Siatkatabelijasna11"/>
        <w:tblW w:w="7763" w:type="dxa"/>
        <w:tblBorders>
          <w:top w:val="single" w:sz="4" w:space="0" w:color="001D81"/>
          <w:left w:val="none" w:sz="0" w:space="0" w:color="auto"/>
          <w:bottom w:val="single" w:sz="4" w:space="0" w:color="001D81"/>
          <w:right w:val="none" w:sz="0" w:space="0" w:color="auto"/>
          <w:insideH w:val="single" w:sz="4" w:space="0" w:color="001D81"/>
          <w:insideV w:val="single" w:sz="4" w:space="0" w:color="001D81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31"/>
        <w:gridCol w:w="2306"/>
        <w:gridCol w:w="2126"/>
      </w:tblGrid>
      <w:tr w:rsidR="00FC51AE" w:rsidRPr="00BA474D" w:rsidTr="0049257D">
        <w:trPr>
          <w:trHeight w:val="113"/>
        </w:trPr>
        <w:tc>
          <w:tcPr>
            <w:tcW w:w="3331" w:type="dxa"/>
            <w:vMerge w:val="restart"/>
            <w:vAlign w:val="center"/>
          </w:tcPr>
          <w:p w:rsidR="00FC51AE" w:rsidRPr="0004372E" w:rsidRDefault="0004372E" w:rsidP="00FA7E22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Cs w:val="19"/>
                <w:lang w:eastAsia="pl-PL"/>
              </w:rPr>
            </w:pPr>
            <w:r w:rsidRPr="0004372E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4432" w:type="dxa"/>
            <w:gridSpan w:val="2"/>
            <w:vAlign w:val="center"/>
          </w:tcPr>
          <w:p w:rsidR="00FC51AE" w:rsidRPr="0004372E" w:rsidRDefault="0004372E" w:rsidP="00FA7E22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04372E">
              <w:rPr>
                <w:rFonts w:eastAsiaTheme="majorEastAsia" w:cstheme="majorBidi"/>
                <w:color w:val="000000" w:themeColor="text1"/>
                <w:szCs w:val="19"/>
              </w:rPr>
              <w:t>2021</w:t>
            </w:r>
          </w:p>
        </w:tc>
      </w:tr>
      <w:tr w:rsidR="00FC51AE" w:rsidRPr="001A0E04" w:rsidTr="0049257D">
        <w:trPr>
          <w:trHeight w:val="113"/>
        </w:trPr>
        <w:tc>
          <w:tcPr>
            <w:tcW w:w="3331" w:type="dxa"/>
            <w:vMerge/>
            <w:vAlign w:val="center"/>
          </w:tcPr>
          <w:p w:rsidR="00FC51AE" w:rsidRPr="0004372E" w:rsidRDefault="00FC51AE" w:rsidP="00FA7E22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306" w:type="dxa"/>
            <w:vAlign w:val="center"/>
          </w:tcPr>
          <w:p w:rsidR="00FC51AE" w:rsidRPr="0004372E" w:rsidRDefault="0004372E" w:rsidP="00FA7E22">
            <w:pPr>
              <w:spacing w:line="240" w:lineRule="auto"/>
              <w:jc w:val="center"/>
              <w:rPr>
                <w:color w:val="000000" w:themeColor="text1"/>
                <w:szCs w:val="19"/>
              </w:rPr>
            </w:pPr>
            <w:r w:rsidRPr="0004372E">
              <w:rPr>
                <w:color w:val="000000" w:themeColor="text1"/>
                <w:szCs w:val="19"/>
              </w:rPr>
              <w:t>2021</w:t>
            </w:r>
            <w:r w:rsidR="00FC51AE" w:rsidRPr="0004372E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126" w:type="dxa"/>
            <w:vAlign w:val="center"/>
          </w:tcPr>
          <w:p w:rsidR="00FC51AE" w:rsidRPr="0004372E" w:rsidRDefault="00FC51AE" w:rsidP="00FA7E22">
            <w:pPr>
              <w:spacing w:line="240" w:lineRule="auto"/>
              <w:jc w:val="center"/>
              <w:rPr>
                <w:color w:val="000000" w:themeColor="text1"/>
                <w:szCs w:val="19"/>
              </w:rPr>
            </w:pPr>
            <w:r w:rsidRPr="0004372E">
              <w:rPr>
                <w:color w:val="000000" w:themeColor="text1"/>
                <w:szCs w:val="19"/>
              </w:rPr>
              <w:t>2015=100</w:t>
            </w:r>
          </w:p>
        </w:tc>
      </w:tr>
      <w:tr w:rsidR="0015020E" w:rsidRPr="00437A70" w:rsidTr="0049257D">
        <w:trPr>
          <w:trHeight w:val="113"/>
        </w:trPr>
        <w:tc>
          <w:tcPr>
            <w:tcW w:w="3331" w:type="dxa"/>
            <w:vAlign w:val="center"/>
          </w:tcPr>
          <w:p w:rsidR="0015020E" w:rsidRPr="0004372E" w:rsidRDefault="0015020E" w:rsidP="0015020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Ogółem</w:t>
            </w:r>
          </w:p>
        </w:tc>
        <w:tc>
          <w:tcPr>
            <w:tcW w:w="2306" w:type="dxa"/>
            <w:shd w:val="clear" w:color="auto" w:fill="auto"/>
          </w:tcPr>
          <w:p w:rsidR="0015020E" w:rsidRPr="008D54D8" w:rsidRDefault="0015020E" w:rsidP="006A68CE">
            <w:pPr>
              <w:jc w:val="right"/>
            </w:pPr>
            <w:r w:rsidRPr="008D54D8">
              <w:t>109,2</w:t>
            </w:r>
          </w:p>
        </w:tc>
        <w:tc>
          <w:tcPr>
            <w:tcW w:w="2126" w:type="dxa"/>
            <w:shd w:val="clear" w:color="auto" w:fill="auto"/>
          </w:tcPr>
          <w:p w:rsidR="0015020E" w:rsidRPr="008D54D8" w:rsidRDefault="0015020E" w:rsidP="006A68CE">
            <w:pPr>
              <w:jc w:val="right"/>
            </w:pPr>
            <w:r w:rsidRPr="008D54D8">
              <w:t>139,9</w:t>
            </w:r>
          </w:p>
        </w:tc>
      </w:tr>
      <w:tr w:rsidR="0015020E" w:rsidRPr="00437A70" w:rsidTr="00FC2731">
        <w:trPr>
          <w:trHeight w:val="113"/>
        </w:trPr>
        <w:tc>
          <w:tcPr>
            <w:tcW w:w="3331" w:type="dxa"/>
            <w:tcBorders>
              <w:bottom w:val="single" w:sz="4" w:space="0" w:color="001D81"/>
            </w:tcBorders>
            <w:vAlign w:val="center"/>
          </w:tcPr>
          <w:p w:rsidR="0015020E" w:rsidRPr="0004372E" w:rsidRDefault="0015020E" w:rsidP="0015020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04372E">
              <w:rPr>
                <w:rFonts w:eastAsiaTheme="majorEastAsia" w:cstheme="majorBidi"/>
                <w:color w:val="000000" w:themeColor="text1"/>
                <w:szCs w:val="19"/>
              </w:rPr>
              <w:t>Rynek pierwotny</w:t>
            </w:r>
          </w:p>
        </w:tc>
        <w:tc>
          <w:tcPr>
            <w:tcW w:w="2306" w:type="dxa"/>
            <w:tcBorders>
              <w:bottom w:val="single" w:sz="4" w:space="0" w:color="001D81"/>
            </w:tcBorders>
            <w:shd w:val="clear" w:color="auto" w:fill="auto"/>
          </w:tcPr>
          <w:p w:rsidR="0015020E" w:rsidRPr="008D54D8" w:rsidRDefault="0015020E" w:rsidP="006A68CE">
            <w:pPr>
              <w:jc w:val="right"/>
            </w:pPr>
            <w:r w:rsidRPr="008D54D8">
              <w:t>109,1</w:t>
            </w:r>
          </w:p>
        </w:tc>
        <w:tc>
          <w:tcPr>
            <w:tcW w:w="2126" w:type="dxa"/>
            <w:tcBorders>
              <w:bottom w:val="single" w:sz="4" w:space="0" w:color="001D81"/>
            </w:tcBorders>
            <w:shd w:val="clear" w:color="auto" w:fill="auto"/>
          </w:tcPr>
          <w:p w:rsidR="0015020E" w:rsidRPr="008D54D8" w:rsidRDefault="0015020E" w:rsidP="006A68CE">
            <w:pPr>
              <w:jc w:val="right"/>
            </w:pPr>
            <w:r w:rsidRPr="008D54D8">
              <w:t>134,3</w:t>
            </w:r>
          </w:p>
        </w:tc>
      </w:tr>
      <w:tr w:rsidR="0015020E" w:rsidRPr="00437A70" w:rsidTr="00FC2731">
        <w:trPr>
          <w:trHeight w:val="113"/>
        </w:trPr>
        <w:tc>
          <w:tcPr>
            <w:tcW w:w="3331" w:type="dxa"/>
            <w:tcBorders>
              <w:bottom w:val="nil"/>
            </w:tcBorders>
            <w:vAlign w:val="center"/>
          </w:tcPr>
          <w:p w:rsidR="0015020E" w:rsidRPr="0004372E" w:rsidRDefault="0015020E" w:rsidP="0015020E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Cs w:val="19"/>
              </w:rPr>
            </w:pPr>
            <w:r w:rsidRPr="0004372E">
              <w:rPr>
                <w:color w:val="000000" w:themeColor="text1"/>
                <w:szCs w:val="19"/>
              </w:rPr>
              <w:t>Rynek wtórny</w:t>
            </w:r>
          </w:p>
        </w:tc>
        <w:tc>
          <w:tcPr>
            <w:tcW w:w="2306" w:type="dxa"/>
            <w:tcBorders>
              <w:bottom w:val="nil"/>
            </w:tcBorders>
            <w:shd w:val="clear" w:color="auto" w:fill="auto"/>
          </w:tcPr>
          <w:p w:rsidR="0015020E" w:rsidRPr="008D54D8" w:rsidRDefault="0015020E" w:rsidP="006A68CE">
            <w:pPr>
              <w:jc w:val="right"/>
            </w:pPr>
            <w:r w:rsidRPr="008D54D8">
              <w:t>109,3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15020E" w:rsidRPr="008D54D8" w:rsidRDefault="0015020E" w:rsidP="006A68CE">
            <w:pPr>
              <w:jc w:val="right"/>
            </w:pPr>
            <w:r w:rsidRPr="008D54D8">
              <w:t>146,7</w:t>
            </w:r>
          </w:p>
        </w:tc>
      </w:tr>
    </w:tbl>
    <w:p w:rsidR="00FC51AE" w:rsidRPr="00FA7E22" w:rsidRDefault="00FC51AE" w:rsidP="00FA7E22">
      <w:pPr>
        <w:spacing w:before="240"/>
        <w:rPr>
          <w:b/>
          <w:szCs w:val="19"/>
        </w:rPr>
      </w:pPr>
      <w:r w:rsidRPr="00FA7E22">
        <w:rPr>
          <w:b/>
          <w:szCs w:val="19"/>
        </w:rPr>
        <w:t xml:space="preserve">Wykres 2. </w:t>
      </w:r>
      <w:r w:rsidR="0044250C" w:rsidRPr="00FA7E22">
        <w:rPr>
          <w:b/>
          <w:szCs w:val="19"/>
        </w:rPr>
        <w:t>Zmiany c</w:t>
      </w:r>
      <w:r w:rsidRPr="00FA7E22">
        <w:rPr>
          <w:b/>
          <w:szCs w:val="19"/>
        </w:rPr>
        <w:t>en lokali mieszkalnych w stosunku do roku</w:t>
      </w:r>
      <w:r w:rsidR="0044250C" w:rsidRPr="00FA7E22">
        <w:rPr>
          <w:b/>
          <w:szCs w:val="19"/>
        </w:rPr>
        <w:t xml:space="preserve"> poprzedniego</w:t>
      </w:r>
    </w:p>
    <w:p w:rsidR="00C35C37" w:rsidRDefault="00BC3CBA" w:rsidP="00FC51AE">
      <w:pPr>
        <w:rPr>
          <w:noProof/>
          <w:lang w:eastAsia="pl-PL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5153660" cy="284792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284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68CE" w:rsidRDefault="006A68CE" w:rsidP="00FC51AE">
      <w:pPr>
        <w:rPr>
          <w:noProof/>
          <w:lang w:eastAsia="pl-PL"/>
        </w:rPr>
      </w:pPr>
    </w:p>
    <w:p w:rsidR="00C35C37" w:rsidRDefault="00C35C37" w:rsidP="00FC51AE">
      <w:pPr>
        <w:rPr>
          <w:noProof/>
          <w:lang w:eastAsia="pl-PL"/>
        </w:rPr>
      </w:pPr>
    </w:p>
    <w:p w:rsidR="00C35C37" w:rsidRDefault="00C35C37" w:rsidP="00FC51AE">
      <w:pPr>
        <w:rPr>
          <w:noProof/>
          <w:lang w:eastAsia="pl-PL"/>
        </w:rPr>
      </w:pPr>
    </w:p>
    <w:p w:rsidR="00C35C37" w:rsidRDefault="00C35C37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Default="0044250C" w:rsidP="00FC51AE">
      <w:pPr>
        <w:rPr>
          <w:b/>
          <w:sz w:val="18"/>
        </w:rPr>
      </w:pPr>
    </w:p>
    <w:p w:rsidR="0044250C" w:rsidRPr="0049257D" w:rsidRDefault="0044250C" w:rsidP="00FC51AE">
      <w:pPr>
        <w:rPr>
          <w:b/>
          <w:szCs w:val="19"/>
        </w:rPr>
      </w:pPr>
    </w:p>
    <w:p w:rsidR="00FC51AE" w:rsidRPr="00FA7E22" w:rsidRDefault="00FC51AE" w:rsidP="00FA7E22">
      <w:pPr>
        <w:rPr>
          <w:b/>
          <w:szCs w:val="19"/>
        </w:rPr>
      </w:pPr>
      <w:r w:rsidRPr="00FA7E22">
        <w:rPr>
          <w:b/>
          <w:szCs w:val="19"/>
        </w:rPr>
        <w:t xml:space="preserve">Wykres 3. </w:t>
      </w:r>
      <w:r w:rsidR="00044459" w:rsidRPr="00FA7E22">
        <w:rPr>
          <w:b/>
          <w:szCs w:val="19"/>
        </w:rPr>
        <w:t>Zmiany c</w:t>
      </w:r>
      <w:r w:rsidRPr="00FA7E22">
        <w:rPr>
          <w:b/>
          <w:szCs w:val="19"/>
        </w:rPr>
        <w:t>en lokali mieszkalnych w stosunku do 2015 r.</w:t>
      </w:r>
    </w:p>
    <w:p w:rsidR="00044459" w:rsidRDefault="00A512FC" w:rsidP="00FC51AE">
      <w:pPr>
        <w:rPr>
          <w:b/>
          <w:sz w:val="18"/>
        </w:rPr>
      </w:pPr>
      <w:r>
        <w:rPr>
          <w:b/>
          <w:noProof/>
          <w:sz w:val="18"/>
          <w:lang w:eastAsia="pl-PL"/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5193030" cy="3305175"/>
            <wp:effectExtent l="0" t="0" r="7620" b="9525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06" cy="3312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044459" w:rsidRDefault="00044459" w:rsidP="00FC51AE">
      <w:pPr>
        <w:rPr>
          <w:b/>
          <w:sz w:val="18"/>
        </w:rPr>
      </w:pPr>
    </w:p>
    <w:p w:rsidR="00A639D0" w:rsidRDefault="00A639D0" w:rsidP="00E76D26"/>
    <w:p w:rsidR="002021D2" w:rsidRDefault="002021D2" w:rsidP="00E76D26">
      <w:pPr>
        <w:rPr>
          <w:b/>
          <w:sz w:val="18"/>
          <w:szCs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566" w:type="dxa"/>
        <w:tblLook w:val="04A0" w:firstRow="1" w:lastRow="0" w:firstColumn="1" w:lastColumn="0" w:noHBand="0" w:noVBand="1"/>
      </w:tblPr>
      <w:tblGrid>
        <w:gridCol w:w="5309"/>
        <w:gridCol w:w="5257"/>
      </w:tblGrid>
      <w:tr w:rsidR="006A68CE" w:rsidTr="00585B16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6A68CE" w:rsidRPr="004A1D19" w:rsidRDefault="006A68CE" w:rsidP="00585B1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6A68CE" w:rsidRPr="008925F0" w:rsidRDefault="006A68CE" w:rsidP="00585B1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6A68CE" w:rsidRPr="00DE2400" w:rsidRDefault="006A68CE" w:rsidP="00585B1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Adach–Stankiewicz</w:t>
            </w:r>
          </w:p>
          <w:p w:rsidR="006A68CE" w:rsidRDefault="006A68CE" w:rsidP="00585B16">
            <w:pPr>
              <w:spacing w:before="0"/>
              <w:rPr>
                <w:sz w:val="18"/>
              </w:rPr>
            </w:pP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6A68CE" w:rsidRPr="004A1D19" w:rsidRDefault="006A68CE" w:rsidP="00585B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6A68CE" w:rsidRPr="004A1D19" w:rsidRDefault="006A68CE" w:rsidP="00585B1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6A68CE" w:rsidRPr="004A1D19" w:rsidRDefault="006A68CE" w:rsidP="00585B1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6A68CE" w:rsidRDefault="006A68CE" w:rsidP="00585B16">
            <w:pPr>
              <w:rPr>
                <w:sz w:val="18"/>
              </w:rPr>
            </w:pPr>
          </w:p>
        </w:tc>
      </w:tr>
      <w:tr w:rsidR="006A68CE" w:rsidTr="00585B16"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68CE" w:rsidRPr="00C91687" w:rsidRDefault="006A68CE" w:rsidP="00585B1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6A68CE" w:rsidRPr="00C91687" w:rsidRDefault="006A68CE" w:rsidP="00585B1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6A68CE" w:rsidRPr="0092372C" w:rsidRDefault="006A68CE" w:rsidP="00585B1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8CE" w:rsidRDefault="006A68CE" w:rsidP="00585B16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6960" behindDoc="0" locked="0" layoutInCell="1" allowOverlap="1" wp14:anchorId="4701DF4B" wp14:editId="2DE01D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6" name="Obraz 16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6A68CE" w:rsidTr="00585B16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68CE" w:rsidRDefault="006A68CE" w:rsidP="00585B16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68CE" w:rsidRDefault="006A68CE" w:rsidP="00585B16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7984" behindDoc="0" locked="0" layoutInCell="1" allowOverlap="1" wp14:anchorId="1AB73D72" wp14:editId="02BCFAE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6A68CE" w:rsidTr="00585B16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68CE" w:rsidRDefault="006A68CE" w:rsidP="00585B16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6A68CE" w:rsidRDefault="006A68CE" w:rsidP="00585B16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2343AE4B" wp14:editId="7682284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6A68CE" w:rsidRPr="003D5F42" w:rsidTr="00585B16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6A68CE" w:rsidRDefault="006A68CE" w:rsidP="00585B16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6A68CE" w:rsidRPr="003D5F42" w:rsidRDefault="006A68CE" w:rsidP="00585B16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54FDE167" wp14:editId="2ABD0B2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6A68CE" w:rsidRPr="003D5F42" w:rsidTr="00585B16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6A68CE" w:rsidRDefault="006A68CE" w:rsidP="00585B16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6A68CE" w:rsidRPr="003D5F42" w:rsidRDefault="006A68CE" w:rsidP="00585B16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23C63507" wp14:editId="05ED0EB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6A68CE" w:rsidRPr="003D5F42" w:rsidTr="00585B16">
        <w:trPr>
          <w:trHeight w:val="1548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6A68CE" w:rsidRDefault="006A68CE" w:rsidP="00585B16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6A68CE" w:rsidRPr="003D5F42" w:rsidRDefault="006A68CE" w:rsidP="00585B16">
            <w:pPr>
              <w:ind w:left="82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1E056684" wp14:editId="503A8E0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9" name="Obraz 29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A68CE" w:rsidTr="00F2381E">
        <w:trPr>
          <w:trHeight w:val="7317"/>
        </w:trPr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8CE" w:rsidRDefault="006A68CE" w:rsidP="00585B16">
            <w:pPr>
              <w:spacing w:before="0" w:after="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23104" behindDoc="0" locked="0" layoutInCell="1" allowOverlap="1" wp14:anchorId="005FB737" wp14:editId="73047B4A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202565</wp:posOffset>
                      </wp:positionV>
                      <wp:extent cx="6559550" cy="4362450"/>
                      <wp:effectExtent l="0" t="0" r="12700" b="19050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4362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8CE" w:rsidRDefault="006A68CE" w:rsidP="006A68C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6A68CE" w:rsidRPr="00EE456A" w:rsidRDefault="006A68CE" w:rsidP="006A68CE">
                                  <w:pPr>
                                    <w:rPr>
                                      <w:b/>
                                    </w:rPr>
                                  </w:pPr>
                                  <w:r w:rsidRPr="00EE456A">
                                    <w:rPr>
                                      <w:b/>
                                    </w:rPr>
                                    <w:t>Powiązane opracowania</w:t>
                                  </w:r>
                                </w:p>
                                <w:p w:rsidR="006A68CE" w:rsidRPr="00174B78" w:rsidRDefault="006A68CE" w:rsidP="006A68CE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"https://stat.gov.pl/sygnalne/komunikaty-i-obwieszczenia/8,2022,kategoria.html" \o "Link do Obwieszczenia w sprawie wskaźników zmian cen dla lokali mieszkalnych z podziałem na województwa"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Obwieszczenie w sprawie wskaźników zmian cen dla lokali mieszkalnych z podziałem na województwa</w:t>
                                  </w:r>
                                </w:p>
                                <w:p w:rsidR="006A68CE" w:rsidRPr="00174B78" w:rsidRDefault="006A68CE" w:rsidP="006A68CE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"https://stat.gov.pl/sygnalne/komunikaty-i-obwieszczenia/lista-komunikatow-i-obwieszczen/komunikat-w-sprawie-ceny-1-m2-powierzchni-uzytkowej-budynku-mieszkalnego-za-pierwszy-kwartal-2022-r-,265,34.html" \o "Link do Komunikatu w sprawie ceny 1 m2 powierzchni użytkowej budynku mieszkalnego za I kwartał 2022 r."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Komunikat w sprawie ceny 1 m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  <w:vertAlign w:val="superscript"/>
                                    </w:rPr>
                                    <w:t>2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powierzchni użytkowej budynku mieszkalnego</w:t>
                                  </w:r>
                                </w:p>
                                <w:p w:rsidR="006A68CE" w:rsidRPr="00F163E2" w:rsidRDefault="006A68CE" w:rsidP="006A68CE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ipercze"/>
                                      <w:rFonts w:cs="Arial"/>
                                    </w:rPr>
                                    <w:instrText>HYPERLINK "https://stat.gov.pl/obszary-tematyczne/infrastruktura-komunalna-nieruchomosci/nieruchomosci-budynki-infrastruktura-komunalna/obrot-nieruchomosciami-w-2020-roku,4,18.html" \o "Link do publikacji \"Obrót nieruchomościami w 2020 r.\" 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 w 2020 r</w:t>
                                  </w:r>
                                  <w:r w:rsidRPr="00F163E2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.</w:t>
                                  </w:r>
                                </w:p>
                                <w:p w:rsidR="006A68CE" w:rsidRPr="00EE456A" w:rsidRDefault="006A68CE" w:rsidP="006A68CE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end"/>
                                  </w:r>
                                </w:p>
                                <w:p w:rsidR="006A68CE" w:rsidRPr="002940EF" w:rsidRDefault="006A68CE" w:rsidP="006A68CE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940EF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Temat dostępny w bazach danych</w:t>
                                  </w:r>
                                </w:p>
                                <w:p w:rsidR="006A68CE" w:rsidRPr="00174B78" w:rsidRDefault="006A68CE" w:rsidP="006A68CE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"http://swaid.stat.gov.pl/SitePagesDBW/Ceny.aspx" \o "Link do Dziedzinowej Bazy Wiedzy (DBW) Ceny"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Dziedzinowa Baza Wiedzy (DBW) Ceny</w:t>
                                  </w:r>
                                </w:p>
                                <w:p w:rsidR="006A68CE" w:rsidRPr="00174B78" w:rsidRDefault="006A68CE" w:rsidP="006A68CE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"https://bdl.stat.gov.pl/BDL/dane/podgrup/temat" \o "Link do Banku Danych Lokalnych - Rynek Nieruchomości"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Bank Danych Lokalnych – Rynek nieruchomości</w:t>
                                  </w:r>
                                </w:p>
                                <w:p w:rsidR="006A68CE" w:rsidRDefault="006A68CE" w:rsidP="006A68CE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</w:p>
                                <w:p w:rsidR="006A68CE" w:rsidRDefault="006A68CE" w:rsidP="006A68CE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Ważniejsze</w:t>
                                  </w:r>
                                  <w:r w:rsidRPr="00505A92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 pojęcia dostępne w słowniku</w:t>
                                  </w:r>
                                </w:p>
                                <w:p w:rsidR="006A68CE" w:rsidRPr="00174B78" w:rsidRDefault="006A68CE" w:rsidP="006A68CE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"http://stat.gov.pl/metainformacje/slownik-pojec/pojecia-stosowane-w-statystyce-publicznej/966,pojecie.html" \o "Link do pojęcia: Obrót nieruchomościami"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</w:t>
                                  </w:r>
                                </w:p>
                                <w:p w:rsidR="006A68CE" w:rsidRPr="00174B78" w:rsidRDefault="006A68CE" w:rsidP="006A68CE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Rejestr Cen Nieruchomości (RCN)</w:t>
                                  </w:r>
                                </w:p>
                                <w:p w:rsidR="006A68CE" w:rsidRPr="00174B78" w:rsidRDefault="006A68CE" w:rsidP="006A68CE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hyperlink r:id="rId24" w:tooltip="Link do pojęcia: Lokal" w:history="1">
                                    <w:r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Lokal</w:t>
                                    </w:r>
                                  </w:hyperlink>
                                </w:p>
                                <w:p w:rsidR="006A68CE" w:rsidRDefault="00E4613A" w:rsidP="006A68CE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hyperlink r:id="rId25" w:tooltip="Link do pojęcia: Wskaźniki cen lokali mieszkalnych" w:history="1">
                                    <w:r w:rsidR="006A68CE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Wskaźniki cen lokali mieszkalnych</w:t>
                                    </w:r>
                                  </w:hyperlink>
                                </w:p>
                                <w:p w:rsidR="00446B4F" w:rsidRPr="00723E94" w:rsidRDefault="00E4613A" w:rsidP="00F2381E">
                                  <w:pPr>
                                    <w:spacing w:after="480"/>
                                    <w:rPr>
                                      <w:rStyle w:val="Hipercze"/>
                                      <w:rFonts w:cs="Arial"/>
                                      <w:color w:val="001D77"/>
                                    </w:rPr>
                                  </w:pPr>
                                  <w:hyperlink r:id="rId26" w:tooltip="Link do pojęcia: Transakcja kupna/sprzedaży nieruchomości" w:history="1">
                                    <w:r w:rsidR="00446B4F" w:rsidRPr="00446B4F">
                                      <w:rPr>
                                        <w:rStyle w:val="Hipercze"/>
                                        <w:rFonts w:cs="Arial"/>
                                      </w:rPr>
                                      <w:t>Transakcja kupna/sprzedaży nieruchomości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FB737" id="_x0000_s1030" type="#_x0000_t202" style="position:absolute;margin-left:-.15pt;margin-top:15.95pt;width:516.5pt;height:343.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" fillcolor="#f2f2f2 [3052]" strokecolor="white [3212]">
                      <v:textbox>
                        <w:txbxContent>
                          <w:p w:rsidR="006A68CE" w:rsidRDefault="006A68CE" w:rsidP="006A68CE">
                            <w:pPr>
                              <w:rPr>
                                <w:b/>
                              </w:rPr>
                            </w:pPr>
                          </w:p>
                          <w:p w:rsidR="006A68CE" w:rsidRPr="00EE456A" w:rsidRDefault="006A68CE" w:rsidP="006A68CE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6A68CE" w:rsidRPr="00174B78" w:rsidRDefault="006A68CE" w:rsidP="006A68C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"https://stat.gov.pl/sygnalne/komunikaty-i-obwieszczenia/8,2022,kategoria.html" \o "Link do Obwieszczenia w sprawie wskaźników zmian cen dla lokali mieszkalnych z podziałem na województwa"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 w sprawie wskaźników zmian cen dla lokali mieszkalnych z podziałem na województwa</w:t>
                            </w:r>
                          </w:p>
                          <w:p w:rsidR="006A68CE" w:rsidRPr="00174B78" w:rsidRDefault="006A68CE" w:rsidP="006A68C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"https://stat.gov.pl/sygnalne/komunikaty-i-obwieszczenia/lista-komunikatow-i-obwieszczen/komunikat-w-sprawie-ceny-1-m2-powierzchni-uzytkowej-budynku-mieszkalnego-za-pierwszy-kwartal-2022-r-,265,34.html" \o "Link do Komunikatu w sprawie ceny 1 m2 powierzchni użytkowej budynku mieszkalnego za I kwartał 2022 r."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:rsidR="006A68CE" w:rsidRPr="00F163E2" w:rsidRDefault="006A68CE" w:rsidP="006A68C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</w:rPr>
                              <w:instrText>HYPERLINK "https://stat.gov.pl/obszary-tematyczne/infrastruktura-komunalna-nieruchomosci/nieruchomosci-budynki-infrastruktura-komunalna/obrot-nieruchomosciami-w-2020-roku,4,18.html" \o "Link do publikacji \"Obrót nieruchomościami w 2020 r.\" 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 w 2020 r</w:t>
                            </w:r>
                            <w:r w:rsidRPr="00F163E2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.</w:t>
                            </w:r>
                          </w:p>
                          <w:p w:rsidR="006A68CE" w:rsidRPr="00EE456A" w:rsidRDefault="006A68CE" w:rsidP="006A68C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end"/>
                            </w:r>
                          </w:p>
                          <w:p w:rsidR="006A68CE" w:rsidRPr="002940EF" w:rsidRDefault="006A68CE" w:rsidP="006A68C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6A68CE" w:rsidRPr="00174B78" w:rsidRDefault="006A68CE" w:rsidP="006A68C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"http://swaid.stat.gov.pl/SitePagesDBW/Ceny.aspx" \o "Link do Dziedzinowej Bazy Wiedzy (DBW) Ceny"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Dziedzinowa Baza Wiedzy (DBW) Ceny</w:t>
                            </w:r>
                          </w:p>
                          <w:p w:rsidR="006A68CE" w:rsidRPr="00174B78" w:rsidRDefault="006A68CE" w:rsidP="006A68C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"https://bdl.stat.gov.pl/BDL/dane/podgrup/temat" \o "Link do Banku Danych Lokalnych - Rynek Nieruchomości"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Bank Danych Lokalnych – Rynek nieruchomości</w:t>
                            </w:r>
                          </w:p>
                          <w:p w:rsidR="006A68CE" w:rsidRDefault="006A68CE" w:rsidP="006A68C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="006A68CE" w:rsidRDefault="006A68CE" w:rsidP="006A68C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6A68CE" w:rsidRPr="00174B78" w:rsidRDefault="006A68CE" w:rsidP="006A68C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"http://stat.gov.pl/metainformacje/slownik-pojec/pojecia-stosowane-w-statystyce-publicznej/966,pojecie.html" \o "Link do pojęcia: Obrót nieruchomościami"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nieruchomościami</w:t>
                            </w:r>
                          </w:p>
                          <w:p w:rsidR="006A68CE" w:rsidRPr="00174B78" w:rsidRDefault="006A68CE" w:rsidP="006A68C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Rejestr Cen Nieruchomości (RCN)</w:t>
                            </w:r>
                          </w:p>
                          <w:p w:rsidR="006A68CE" w:rsidRPr="00174B78" w:rsidRDefault="006A68CE" w:rsidP="006A68C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tooltip="Link do pojęcia: Lokal" w:history="1">
                              <w:r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:rsidR="006A68CE" w:rsidRDefault="00F2381E" w:rsidP="006A68CE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tooltip="Link do pojęcia: Wskaźniki cen lokali mieszkalnych" w:history="1">
                              <w:r w:rsidR="006A68CE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  <w:p w:rsidR="00446B4F" w:rsidRPr="00723E94" w:rsidRDefault="00446B4F" w:rsidP="00F2381E">
                            <w:pPr>
                              <w:spacing w:after="480"/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9" w:tooltip="Link do pojęcia: Transakcja kupna/sprzedaży nieruchomości" w:history="1">
                              <w:r w:rsidRPr="00446B4F">
                                <w:rPr>
                                  <w:rStyle w:val="Hipercze"/>
                                  <w:rFonts w:cs="Arial"/>
                                </w:rPr>
                                <w:t>Transakcja kupna/sprzedaży n</w:t>
                              </w:r>
                              <w:r w:rsidRPr="00446B4F">
                                <w:rPr>
                                  <w:rStyle w:val="Hipercze"/>
                                  <w:rFonts w:cs="Arial"/>
                                </w:rPr>
                                <w:t>i</w:t>
                              </w:r>
                              <w:r w:rsidRPr="00446B4F">
                                <w:rPr>
                                  <w:rStyle w:val="Hipercze"/>
                                  <w:rFonts w:cs="Arial"/>
                                </w:rPr>
                                <w:t>eruchomości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D261A2" w:rsidRPr="00001C5B" w:rsidRDefault="00D261A2" w:rsidP="006A68CE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E45" w:rsidRDefault="00936E45" w:rsidP="000662E2">
      <w:pPr>
        <w:spacing w:after="0" w:line="240" w:lineRule="auto"/>
      </w:pPr>
      <w:r>
        <w:separator/>
      </w:r>
    </w:p>
  </w:endnote>
  <w:endnote w:type="continuationSeparator" w:id="0">
    <w:p w:rsidR="00936E45" w:rsidRDefault="00936E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61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61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461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E45" w:rsidRDefault="00936E45" w:rsidP="000662E2">
      <w:pPr>
        <w:spacing w:after="0" w:line="240" w:lineRule="auto"/>
      </w:pPr>
      <w:r>
        <w:separator/>
      </w:r>
    </w:p>
  </w:footnote>
  <w:footnote w:type="continuationSeparator" w:id="0">
    <w:p w:rsidR="00936E45" w:rsidRDefault="00936E4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D86A7B" wp14:editId="3D79BE7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751C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28C7D2D" wp14:editId="62AAE5B0">
              <wp:simplePos x="0" y="0"/>
              <wp:positionH relativeFrom="column">
                <wp:posOffset>5219700</wp:posOffset>
              </wp:positionH>
              <wp:positionV relativeFrom="paragraph">
                <wp:posOffset>791210</wp:posOffset>
              </wp:positionV>
              <wp:extent cx="1431290" cy="336550"/>
              <wp:effectExtent l="0" t="0" r="0" b="6350"/>
              <wp:wrapNone/>
              <wp:docPr id="4" name="Pole tekstowe 2" descr="Data publikacji: 28.07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16F3" w:rsidRPr="00C97596" w:rsidRDefault="00BE6E48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C942D1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B4363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4E5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C4844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B16F3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C4E57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C942D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C7D2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: 28.07.2022" style="position:absolute;margin-left:411pt;margin-top:62.3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" filled="f" stroked="f">
              <v:textbox>
                <w:txbxContent>
                  <w:p w:rsidR="00FB16F3" w:rsidRPr="00C97596" w:rsidRDefault="00BE6E48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C942D1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B4363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4E5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C4844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B16F3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C4E57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C942D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513A6F93" wp14:editId="49D734B1">
          <wp:extent cx="1219200" cy="677383"/>
          <wp:effectExtent l="0" t="0" r="0" b="8890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0D3F6B" wp14:editId="7746D2E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0D3F6B" id="Schemat blokowy: opóźnienie 6" o:spid="_x0000_s1032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NnHbwYAAFg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3159206" wp14:editId="1D8FF3AE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626715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6842BA9" wp14:editId="078BB6E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Informacje sygnal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C942D1">
                            <w:rPr>
                              <w:rFonts w:ascii="Fira Sans SemiBold" w:hAnsi="Fira Sans SemiBold"/>
                              <w:color w:val="001D77"/>
                            </w:rPr>
                            <w:t>a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842BA9" id="_x0000_s1033" type="#_x0000_t202" alt="Informacje sygnalne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" filled="f" stroked="f">
              <v:textbox>
                <w:txbxContent>
                  <w:p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C942D1">
                      <w:rPr>
                        <w:rFonts w:ascii="Fira Sans SemiBold" w:hAnsi="Fira Sans SemiBold"/>
                        <w:color w:val="001D77"/>
                      </w:rPr>
                      <w:t>a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F22BD7">
    <w:pPr>
      <w:pStyle w:val="Nagwek"/>
    </w:pPr>
  </w:p>
  <w:p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5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5BF5"/>
    <w:rsid w:val="0000709F"/>
    <w:rsid w:val="000108B8"/>
    <w:rsid w:val="00015039"/>
    <w:rsid w:val="000152F5"/>
    <w:rsid w:val="0002593D"/>
    <w:rsid w:val="000303A9"/>
    <w:rsid w:val="00032582"/>
    <w:rsid w:val="00033383"/>
    <w:rsid w:val="000359A8"/>
    <w:rsid w:val="000361EC"/>
    <w:rsid w:val="00043692"/>
    <w:rsid w:val="0004372E"/>
    <w:rsid w:val="00044459"/>
    <w:rsid w:val="0004582E"/>
    <w:rsid w:val="000470AA"/>
    <w:rsid w:val="00053CA1"/>
    <w:rsid w:val="000577AB"/>
    <w:rsid w:val="00057CA1"/>
    <w:rsid w:val="00057DB8"/>
    <w:rsid w:val="000631B8"/>
    <w:rsid w:val="000648F2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47E6A"/>
    <w:rsid w:val="0015020E"/>
    <w:rsid w:val="0015664B"/>
    <w:rsid w:val="00162325"/>
    <w:rsid w:val="00171C8A"/>
    <w:rsid w:val="00177074"/>
    <w:rsid w:val="00177518"/>
    <w:rsid w:val="001829BB"/>
    <w:rsid w:val="0018393E"/>
    <w:rsid w:val="001951DA"/>
    <w:rsid w:val="001A297A"/>
    <w:rsid w:val="001A3839"/>
    <w:rsid w:val="001B12D0"/>
    <w:rsid w:val="001C3269"/>
    <w:rsid w:val="001C6A8D"/>
    <w:rsid w:val="001D1DB4"/>
    <w:rsid w:val="001E05F2"/>
    <w:rsid w:val="001E1388"/>
    <w:rsid w:val="001E4EDE"/>
    <w:rsid w:val="001F043B"/>
    <w:rsid w:val="001F32F0"/>
    <w:rsid w:val="001F4522"/>
    <w:rsid w:val="001F4FD0"/>
    <w:rsid w:val="002021D2"/>
    <w:rsid w:val="00204445"/>
    <w:rsid w:val="00211688"/>
    <w:rsid w:val="00213227"/>
    <w:rsid w:val="0021361D"/>
    <w:rsid w:val="002240B0"/>
    <w:rsid w:val="00233ED1"/>
    <w:rsid w:val="00241DC5"/>
    <w:rsid w:val="0025161B"/>
    <w:rsid w:val="002535A3"/>
    <w:rsid w:val="0025568B"/>
    <w:rsid w:val="002574F1"/>
    <w:rsid w:val="002574F9"/>
    <w:rsid w:val="00262B61"/>
    <w:rsid w:val="00266F56"/>
    <w:rsid w:val="00276811"/>
    <w:rsid w:val="00282699"/>
    <w:rsid w:val="0028505D"/>
    <w:rsid w:val="00287AF2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5A84"/>
    <w:rsid w:val="002F5DCE"/>
    <w:rsid w:val="002F77C8"/>
    <w:rsid w:val="00302288"/>
    <w:rsid w:val="0030246A"/>
    <w:rsid w:val="00304F22"/>
    <w:rsid w:val="00306C7C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75B98"/>
    <w:rsid w:val="003843DB"/>
    <w:rsid w:val="00393761"/>
    <w:rsid w:val="003971EE"/>
    <w:rsid w:val="00397D18"/>
    <w:rsid w:val="003A04BD"/>
    <w:rsid w:val="003A1B36"/>
    <w:rsid w:val="003B1454"/>
    <w:rsid w:val="003B18B6"/>
    <w:rsid w:val="003B46F7"/>
    <w:rsid w:val="003B55F1"/>
    <w:rsid w:val="003B56C8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3071"/>
    <w:rsid w:val="0042446D"/>
    <w:rsid w:val="00427BF8"/>
    <w:rsid w:val="004313A1"/>
    <w:rsid w:val="00431C02"/>
    <w:rsid w:val="00431FFC"/>
    <w:rsid w:val="00437162"/>
    <w:rsid w:val="00437395"/>
    <w:rsid w:val="00437A70"/>
    <w:rsid w:val="0044250C"/>
    <w:rsid w:val="00445047"/>
    <w:rsid w:val="00446B4F"/>
    <w:rsid w:val="0046113F"/>
    <w:rsid w:val="00462BE1"/>
    <w:rsid w:val="00463E39"/>
    <w:rsid w:val="004657FC"/>
    <w:rsid w:val="00471400"/>
    <w:rsid w:val="004733F6"/>
    <w:rsid w:val="00474E69"/>
    <w:rsid w:val="00480C23"/>
    <w:rsid w:val="004922E6"/>
    <w:rsid w:val="0049257D"/>
    <w:rsid w:val="0049621B"/>
    <w:rsid w:val="004A0769"/>
    <w:rsid w:val="004A2309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E6AB7"/>
    <w:rsid w:val="004F0C3C"/>
    <w:rsid w:val="004F1692"/>
    <w:rsid w:val="004F407F"/>
    <w:rsid w:val="004F5944"/>
    <w:rsid w:val="004F63FC"/>
    <w:rsid w:val="004F7947"/>
    <w:rsid w:val="0050168A"/>
    <w:rsid w:val="00505A92"/>
    <w:rsid w:val="00516876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46D08"/>
    <w:rsid w:val="0055059C"/>
    <w:rsid w:val="005520D8"/>
    <w:rsid w:val="005537CD"/>
    <w:rsid w:val="00556CF1"/>
    <w:rsid w:val="00562CA5"/>
    <w:rsid w:val="00563A09"/>
    <w:rsid w:val="005649A4"/>
    <w:rsid w:val="00573E8B"/>
    <w:rsid w:val="00574B3E"/>
    <w:rsid w:val="00575628"/>
    <w:rsid w:val="005762A7"/>
    <w:rsid w:val="005767A1"/>
    <w:rsid w:val="00577E69"/>
    <w:rsid w:val="00584789"/>
    <w:rsid w:val="005916D7"/>
    <w:rsid w:val="0059548E"/>
    <w:rsid w:val="005A45AB"/>
    <w:rsid w:val="005A4B04"/>
    <w:rsid w:val="005A698C"/>
    <w:rsid w:val="005A7651"/>
    <w:rsid w:val="005B370F"/>
    <w:rsid w:val="005B4788"/>
    <w:rsid w:val="005C0760"/>
    <w:rsid w:val="005C3317"/>
    <w:rsid w:val="005D03A6"/>
    <w:rsid w:val="005D4FBE"/>
    <w:rsid w:val="005E0799"/>
    <w:rsid w:val="005E2468"/>
    <w:rsid w:val="005E3B8D"/>
    <w:rsid w:val="005F5A80"/>
    <w:rsid w:val="005F65FB"/>
    <w:rsid w:val="005F746D"/>
    <w:rsid w:val="0060175C"/>
    <w:rsid w:val="006044FF"/>
    <w:rsid w:val="00607CC5"/>
    <w:rsid w:val="00611B9A"/>
    <w:rsid w:val="0061228C"/>
    <w:rsid w:val="0061700A"/>
    <w:rsid w:val="006214C4"/>
    <w:rsid w:val="00624C6A"/>
    <w:rsid w:val="006254B7"/>
    <w:rsid w:val="00633014"/>
    <w:rsid w:val="0063437B"/>
    <w:rsid w:val="00634382"/>
    <w:rsid w:val="0064699F"/>
    <w:rsid w:val="00652B3E"/>
    <w:rsid w:val="00652F27"/>
    <w:rsid w:val="00653B61"/>
    <w:rsid w:val="00662CA4"/>
    <w:rsid w:val="00663083"/>
    <w:rsid w:val="00666E74"/>
    <w:rsid w:val="006673CA"/>
    <w:rsid w:val="00672450"/>
    <w:rsid w:val="00673C26"/>
    <w:rsid w:val="006755C8"/>
    <w:rsid w:val="006812AF"/>
    <w:rsid w:val="0068327D"/>
    <w:rsid w:val="00687D91"/>
    <w:rsid w:val="00694AF0"/>
    <w:rsid w:val="006A014C"/>
    <w:rsid w:val="006A2B3A"/>
    <w:rsid w:val="006A2E32"/>
    <w:rsid w:val="006A4686"/>
    <w:rsid w:val="006A68CE"/>
    <w:rsid w:val="006B0714"/>
    <w:rsid w:val="006B0E9E"/>
    <w:rsid w:val="006B20B0"/>
    <w:rsid w:val="006B220B"/>
    <w:rsid w:val="006B5AE4"/>
    <w:rsid w:val="006C24D2"/>
    <w:rsid w:val="006D1507"/>
    <w:rsid w:val="006D245B"/>
    <w:rsid w:val="006D2B55"/>
    <w:rsid w:val="006D4054"/>
    <w:rsid w:val="006E01B6"/>
    <w:rsid w:val="006E02EC"/>
    <w:rsid w:val="006E095C"/>
    <w:rsid w:val="006E6B15"/>
    <w:rsid w:val="006F2F4D"/>
    <w:rsid w:val="006F46FF"/>
    <w:rsid w:val="006F47D9"/>
    <w:rsid w:val="006F57E5"/>
    <w:rsid w:val="0070110C"/>
    <w:rsid w:val="00705D93"/>
    <w:rsid w:val="007068CE"/>
    <w:rsid w:val="00706967"/>
    <w:rsid w:val="007077A0"/>
    <w:rsid w:val="00712005"/>
    <w:rsid w:val="00713D6B"/>
    <w:rsid w:val="007211B1"/>
    <w:rsid w:val="00721227"/>
    <w:rsid w:val="0072213E"/>
    <w:rsid w:val="00723E94"/>
    <w:rsid w:val="007306DB"/>
    <w:rsid w:val="0073274E"/>
    <w:rsid w:val="007343FA"/>
    <w:rsid w:val="007347BF"/>
    <w:rsid w:val="0074184B"/>
    <w:rsid w:val="00741F37"/>
    <w:rsid w:val="00743605"/>
    <w:rsid w:val="00746187"/>
    <w:rsid w:val="00746E58"/>
    <w:rsid w:val="00747143"/>
    <w:rsid w:val="00755AF9"/>
    <w:rsid w:val="0076254F"/>
    <w:rsid w:val="00763D1B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F324B"/>
    <w:rsid w:val="0080553C"/>
    <w:rsid w:val="00805B46"/>
    <w:rsid w:val="008115B1"/>
    <w:rsid w:val="00816B15"/>
    <w:rsid w:val="0081720D"/>
    <w:rsid w:val="0082084A"/>
    <w:rsid w:val="0082214F"/>
    <w:rsid w:val="00825DC2"/>
    <w:rsid w:val="00832823"/>
    <w:rsid w:val="00834AD3"/>
    <w:rsid w:val="00836A8E"/>
    <w:rsid w:val="00841A4C"/>
    <w:rsid w:val="00841D7A"/>
    <w:rsid w:val="00843795"/>
    <w:rsid w:val="008464A2"/>
    <w:rsid w:val="008468D8"/>
    <w:rsid w:val="00847F0F"/>
    <w:rsid w:val="00852448"/>
    <w:rsid w:val="00854874"/>
    <w:rsid w:val="00855753"/>
    <w:rsid w:val="00860B98"/>
    <w:rsid w:val="0087115A"/>
    <w:rsid w:val="0088088D"/>
    <w:rsid w:val="0088258A"/>
    <w:rsid w:val="0088490C"/>
    <w:rsid w:val="00885566"/>
    <w:rsid w:val="00886332"/>
    <w:rsid w:val="008916D9"/>
    <w:rsid w:val="00891A93"/>
    <w:rsid w:val="008A080B"/>
    <w:rsid w:val="008A26D9"/>
    <w:rsid w:val="008A6DEF"/>
    <w:rsid w:val="008B15C2"/>
    <w:rsid w:val="008B5D9F"/>
    <w:rsid w:val="008B63C3"/>
    <w:rsid w:val="008B6C7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059"/>
    <w:rsid w:val="0090392A"/>
    <w:rsid w:val="00907E1E"/>
    <w:rsid w:val="009127BA"/>
    <w:rsid w:val="00914BE5"/>
    <w:rsid w:val="00921153"/>
    <w:rsid w:val="009227A6"/>
    <w:rsid w:val="00923C49"/>
    <w:rsid w:val="00925DF7"/>
    <w:rsid w:val="00933917"/>
    <w:rsid w:val="00933EC1"/>
    <w:rsid w:val="00936E45"/>
    <w:rsid w:val="00941485"/>
    <w:rsid w:val="009530DB"/>
    <w:rsid w:val="00953676"/>
    <w:rsid w:val="00964F91"/>
    <w:rsid w:val="0096551C"/>
    <w:rsid w:val="009676CA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1C47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636"/>
    <w:rsid w:val="00A42BEF"/>
    <w:rsid w:val="00A47D80"/>
    <w:rsid w:val="00A512FC"/>
    <w:rsid w:val="00A5235A"/>
    <w:rsid w:val="00A53132"/>
    <w:rsid w:val="00A55A03"/>
    <w:rsid w:val="00A563F2"/>
    <w:rsid w:val="00A566E8"/>
    <w:rsid w:val="00A56866"/>
    <w:rsid w:val="00A6355F"/>
    <w:rsid w:val="00A639D0"/>
    <w:rsid w:val="00A665AD"/>
    <w:rsid w:val="00A66CBC"/>
    <w:rsid w:val="00A71C78"/>
    <w:rsid w:val="00A7751E"/>
    <w:rsid w:val="00A810F9"/>
    <w:rsid w:val="00A86ECC"/>
    <w:rsid w:val="00A86FCC"/>
    <w:rsid w:val="00AA35E5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AF4493"/>
    <w:rsid w:val="00B0437F"/>
    <w:rsid w:val="00B05AE7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2F77"/>
    <w:rsid w:val="00B4363A"/>
    <w:rsid w:val="00B51CB3"/>
    <w:rsid w:val="00B523E7"/>
    <w:rsid w:val="00B653AB"/>
    <w:rsid w:val="00B656DD"/>
    <w:rsid w:val="00B65F9E"/>
    <w:rsid w:val="00B66B19"/>
    <w:rsid w:val="00B73097"/>
    <w:rsid w:val="00B76A98"/>
    <w:rsid w:val="00B7755D"/>
    <w:rsid w:val="00B813D6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70E"/>
    <w:rsid w:val="00BC3CBA"/>
    <w:rsid w:val="00BC4844"/>
    <w:rsid w:val="00BC7A84"/>
    <w:rsid w:val="00BD4E33"/>
    <w:rsid w:val="00BD5E55"/>
    <w:rsid w:val="00BE6E48"/>
    <w:rsid w:val="00BF0C5F"/>
    <w:rsid w:val="00BF5920"/>
    <w:rsid w:val="00C02346"/>
    <w:rsid w:val="00C030DE"/>
    <w:rsid w:val="00C073C5"/>
    <w:rsid w:val="00C135F6"/>
    <w:rsid w:val="00C1695A"/>
    <w:rsid w:val="00C22105"/>
    <w:rsid w:val="00C244B6"/>
    <w:rsid w:val="00C25A0A"/>
    <w:rsid w:val="00C277EB"/>
    <w:rsid w:val="00C3032C"/>
    <w:rsid w:val="00C33B6A"/>
    <w:rsid w:val="00C356C0"/>
    <w:rsid w:val="00C35C37"/>
    <w:rsid w:val="00C366D2"/>
    <w:rsid w:val="00C3702F"/>
    <w:rsid w:val="00C44EB3"/>
    <w:rsid w:val="00C4500A"/>
    <w:rsid w:val="00C454D0"/>
    <w:rsid w:val="00C45AAB"/>
    <w:rsid w:val="00C47C55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2D1"/>
    <w:rsid w:val="00C945FE"/>
    <w:rsid w:val="00C96FAA"/>
    <w:rsid w:val="00C97A04"/>
    <w:rsid w:val="00CA107B"/>
    <w:rsid w:val="00CA484D"/>
    <w:rsid w:val="00CA4FB6"/>
    <w:rsid w:val="00CA7351"/>
    <w:rsid w:val="00CC20A6"/>
    <w:rsid w:val="00CC739E"/>
    <w:rsid w:val="00CC7C9C"/>
    <w:rsid w:val="00CD1D82"/>
    <w:rsid w:val="00CD4BCD"/>
    <w:rsid w:val="00CD5410"/>
    <w:rsid w:val="00CD58B7"/>
    <w:rsid w:val="00CD75A6"/>
    <w:rsid w:val="00CE0575"/>
    <w:rsid w:val="00CE4556"/>
    <w:rsid w:val="00CE5833"/>
    <w:rsid w:val="00CF3D9C"/>
    <w:rsid w:val="00CF4099"/>
    <w:rsid w:val="00D00796"/>
    <w:rsid w:val="00D01AE9"/>
    <w:rsid w:val="00D04E46"/>
    <w:rsid w:val="00D17E99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4742E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26CBD"/>
    <w:rsid w:val="00E32061"/>
    <w:rsid w:val="00E33AFB"/>
    <w:rsid w:val="00E34475"/>
    <w:rsid w:val="00E42FF9"/>
    <w:rsid w:val="00E43A8F"/>
    <w:rsid w:val="00E4613A"/>
    <w:rsid w:val="00E465DD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5984"/>
    <w:rsid w:val="00E75DDF"/>
    <w:rsid w:val="00E76D26"/>
    <w:rsid w:val="00E80DC2"/>
    <w:rsid w:val="00E84F6F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80E"/>
    <w:rsid w:val="00EB7EE4"/>
    <w:rsid w:val="00EC1EE7"/>
    <w:rsid w:val="00ED5044"/>
    <w:rsid w:val="00ED55C0"/>
    <w:rsid w:val="00ED682B"/>
    <w:rsid w:val="00EE41D5"/>
    <w:rsid w:val="00EE456A"/>
    <w:rsid w:val="00EE4611"/>
    <w:rsid w:val="00EE565D"/>
    <w:rsid w:val="00EF3DC7"/>
    <w:rsid w:val="00EF4CB9"/>
    <w:rsid w:val="00F037A4"/>
    <w:rsid w:val="00F111EF"/>
    <w:rsid w:val="00F11DE6"/>
    <w:rsid w:val="00F140E4"/>
    <w:rsid w:val="00F22BD7"/>
    <w:rsid w:val="00F2381E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A7E22"/>
    <w:rsid w:val="00FB16F3"/>
    <w:rsid w:val="00FB42D4"/>
    <w:rsid w:val="00FB5906"/>
    <w:rsid w:val="00FB762F"/>
    <w:rsid w:val="00FC2731"/>
    <w:rsid w:val="00FC2AED"/>
    <w:rsid w:val="00FC370E"/>
    <w:rsid w:val="00FC3B75"/>
    <w:rsid w:val="00FC4E4F"/>
    <w:rsid w:val="00FC5121"/>
    <w:rsid w:val="00FC51AE"/>
    <w:rsid w:val="00FD22C1"/>
    <w:rsid w:val="00FD2D95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6C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6CA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942D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942D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942D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942D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942D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942D1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878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metainformacje/slownik-pojec/pojecia-stosowane-w-statystyce-publicznej/4103,pojecie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3878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1984,pojecie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Obrót_nieruchomości_w_2021_roku_informacja_sygnalna.docx</NazwaPliku>
    <Odbiorcy2 xmlns="AD3641B4-23D9-4536-AF9E-7D0EADDEB824" xsi:nil="true"/>
    <Osoba xmlns="AD3641B4-23D9-4536-AF9E-7D0EADDEB824">STAT\KACZORM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40148-7780-4728-A8CF-E69DE12EA4A6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E9FFD821-C783-4F5D-A4A6-7CE50791BA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546</Words>
  <Characters>3282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Główny Urząd Statystyczny</dc:creator>
  <cp:keywords>obrót nieruchomościami; ceny nieruchomości; sprzedaż nieruchomości; transakcje kupna i sprzedaży nieruchomościami; wskaźniki zmian cen lokali mieszkalnych; lokale mieszkalne; lokale niemieszkalne; budynki; nieruchomości zabudowane; ieruchomości niezabudowane</cp:keywords>
  <cp:lastPrinted>2022-07-27T06:13:00Z</cp:lastPrinted>
  <dcterms:created xsi:type="dcterms:W3CDTF">2021-07-23T08:08:00Z</dcterms:created>
  <dcterms:modified xsi:type="dcterms:W3CDTF">2022-07-27T06:14:00Z</dcterms:modified>
  <cp:category>Nieruchomości, budynki, infrastruktura komunalna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