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6CCE73EA" w:rsidR="00393761" w:rsidRPr="007D605C" w:rsidRDefault="00DD5C23" w:rsidP="00F049AB">
      <w:pPr>
        <w:pStyle w:val="Tytuinfomacjisygnalnej"/>
      </w:pPr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styczeń-</w:t>
      </w:r>
      <w:r w:rsidR="00F0522F">
        <w:t xml:space="preserve"> listopad</w:t>
      </w:r>
      <w:r w:rsidR="00224210">
        <w:t xml:space="preserve"> 2022</w:t>
      </w:r>
      <w:r w:rsidRPr="00DD5C23">
        <w:t xml:space="preserve"> r.</w:t>
      </w:r>
      <w:r w:rsidR="00364AF9" w:rsidRPr="007D605C">
        <w:rPr>
          <w:sz w:val="32"/>
        </w:rPr>
        <w:tab/>
      </w:r>
    </w:p>
    <w:p w14:paraId="1E690351" w14:textId="3FB7F357"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CDB3092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1,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6B85662F" w:rsidR="005C0CAC" w:rsidRPr="007D605C" w:rsidRDefault="00DD197E" w:rsidP="00CE2AFA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E723A4">
                              <w:rPr>
                                <w:rStyle w:val="WartowskanikaZnak"/>
                              </w:rPr>
                              <w:t>101,</w:t>
                            </w:r>
                            <w:r w:rsidR="00F0522F">
                              <w:rPr>
                                <w:rStyle w:val="WartowskanikaZnak"/>
                              </w:rPr>
                              <w:t>7</w:t>
                            </w:r>
                          </w:p>
                          <w:p w14:paraId="63B3F253" w14:textId="3A66C1C4"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101,7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" fillcolor="#001d77" stroked="f">
                <v:stroke joinstyle="miter"/>
                <v:textbox>
                  <w:txbxContent>
                    <w:p w14:paraId="30951E30" w14:textId="6B85662F" w:rsidR="005C0CAC" w:rsidRPr="007D605C" w:rsidRDefault="00DD197E" w:rsidP="00CE2AFA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E723A4">
                        <w:rPr>
                          <w:rStyle w:val="WartowskanikaZnak"/>
                        </w:rPr>
                        <w:t>101,</w:t>
                      </w:r>
                      <w:r w:rsidR="00F0522F">
                        <w:rPr>
                          <w:rStyle w:val="WartowskanikaZnak"/>
                        </w:rPr>
                        <w:t>7</w:t>
                      </w:r>
                    </w:p>
                    <w:p w14:paraId="63B3F253" w14:textId="3A66C1C4"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29709E">
        <w:t>Od</w:t>
      </w:r>
      <w:r w:rsidR="00C62A7E">
        <w:t xml:space="preserve"> </w:t>
      </w:r>
      <w:r w:rsidR="0029709E">
        <w:t xml:space="preserve">stycznia do końca </w:t>
      </w:r>
      <w:r w:rsidR="00F0522F">
        <w:t>listopada</w:t>
      </w:r>
      <w:r w:rsidR="0029709E">
        <w:t xml:space="preserve"> br.</w:t>
      </w:r>
      <w:r w:rsidR="00354E9A" w:rsidRPr="00D019E7">
        <w:t xml:space="preserve"> oddano do </w:t>
      </w:r>
      <w:r w:rsidR="00B95343" w:rsidRPr="00D019E7">
        <w:t xml:space="preserve">użytkowania </w:t>
      </w:r>
      <w:r w:rsidR="00DD197E">
        <w:t>więcej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DD197E">
        <w:t>natomiast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14:paraId="3DB10F9F" w14:textId="7234040F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51FFC952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0,5% i 38,0% ogólnej liczby mieszkań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5A393DF7"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="00AF1FE9" w:rsidRPr="00AF1FE9">
                              <w:rPr>
                                <w:color w:val="auto"/>
                              </w:rPr>
                              <w:t>:</w:t>
                            </w:r>
                            <w:r w:rsidRPr="00AF1FE9">
                              <w:t xml:space="preserve"> </w:t>
                            </w:r>
                            <w:r w:rsidR="008165F3">
                              <w:t>60,5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D62809">
                              <w:t>3</w:t>
                            </w:r>
                            <w:r w:rsidR="00E723A4">
                              <w:t>8,</w:t>
                            </w:r>
                            <w:r w:rsidR="008165F3">
                              <w:t>0</w:t>
                            </w:r>
                            <w:r w:rsidRPr="00AF1FE9">
                              <w:t xml:space="preserve">%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: 60,5% i 38,0% ogólnej liczby mieszkań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" filled="f" stroked="f">
                <v:textbox>
                  <w:txbxContent>
                    <w:p w14:paraId="66113316" w14:textId="5A393DF7"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="00AF1FE9" w:rsidRPr="00AF1FE9">
                        <w:rPr>
                          <w:color w:val="auto"/>
                        </w:rPr>
                        <w:t>:</w:t>
                      </w:r>
                      <w:r w:rsidRPr="00AF1FE9">
                        <w:t xml:space="preserve"> </w:t>
                      </w:r>
                      <w:r w:rsidR="008165F3">
                        <w:t>60,5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D62809">
                        <w:t>3</w:t>
                      </w:r>
                      <w:r w:rsidR="00E723A4">
                        <w:t>8,</w:t>
                      </w:r>
                      <w:r w:rsidR="008165F3">
                        <w:t>0</w:t>
                      </w:r>
                      <w:r w:rsidRPr="00AF1FE9">
                        <w:t xml:space="preserve">%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3D8F5A0A" w14:textId="5B46AFE6"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okresie styczeń- </w:t>
      </w:r>
      <w:r w:rsidR="00F0522F">
        <w:rPr>
          <w:rFonts w:eastAsia="Times New Roman" w:cs="Times New Roman"/>
          <w:spacing w:val="-2"/>
          <w:szCs w:val="19"/>
          <w:lang w:eastAsia="pl-PL"/>
        </w:rPr>
        <w:t>listopad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>2022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F0522F">
        <w:rPr>
          <w:rFonts w:eastAsia="Times New Roman" w:cs="Times New Roman"/>
          <w:spacing w:val="-2"/>
          <w:szCs w:val="19"/>
          <w:lang w:eastAsia="pl-PL"/>
        </w:rPr>
        <w:t>214,2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E723A4">
        <w:rPr>
          <w:rFonts w:eastAsia="Times New Roman" w:cs="Times New Roman"/>
          <w:spacing w:val="-2"/>
          <w:szCs w:val="19"/>
          <w:lang w:eastAsia="pl-PL"/>
        </w:rPr>
        <w:t>1,</w:t>
      </w:r>
      <w:r w:rsidR="00F0522F">
        <w:rPr>
          <w:rFonts w:eastAsia="Times New Roman" w:cs="Times New Roman"/>
          <w:spacing w:val="-2"/>
          <w:szCs w:val="19"/>
          <w:lang w:eastAsia="pl-PL"/>
        </w:rPr>
        <w:t>7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>więcej niż w roku ubiegłym</w:t>
      </w:r>
      <w:r w:rsidRPr="00D2057C">
        <w:rPr>
          <w:rFonts w:eastAsia="Times New Roman" w:cs="Times New Roman"/>
          <w:spacing w:val="-2"/>
          <w:szCs w:val="19"/>
          <w:lang w:eastAsia="pl-PL"/>
        </w:rPr>
        <w:t xml:space="preserve">.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Deweloperzy przekazali 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do eksploatacji </w:t>
      </w:r>
      <w:r w:rsidR="008165F3">
        <w:rPr>
          <w:rFonts w:eastAsia="Times New Roman" w:cs="Times New Roman"/>
          <w:spacing w:val="-2"/>
          <w:szCs w:val="19"/>
          <w:lang w:eastAsia="pl-PL"/>
        </w:rPr>
        <w:t>129,6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Pr="00AF1FE9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8165F3">
        <w:rPr>
          <w:rFonts w:eastAsia="Times New Roman" w:cs="Times New Roman"/>
          <w:spacing w:val="-2"/>
          <w:szCs w:val="19"/>
          <w:lang w:eastAsia="pl-PL"/>
        </w:rPr>
        <w:t>1,5</w:t>
      </w:r>
      <w:r w:rsidR="00511A82">
        <w:rPr>
          <w:rFonts w:eastAsia="Times New Roman" w:cs="Times New Roman"/>
          <w:spacing w:val="-2"/>
          <w:szCs w:val="19"/>
          <w:lang w:eastAsia="pl-PL"/>
        </w:rPr>
        <w:t>%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32CCF">
        <w:rPr>
          <w:rFonts w:eastAsia="Times New Roman" w:cs="Times New Roman"/>
          <w:spacing w:val="-2"/>
          <w:szCs w:val="19"/>
          <w:lang w:eastAsia="pl-PL"/>
        </w:rPr>
        <w:t>więcej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 xml:space="preserve"> niż w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AF1FE9">
        <w:rPr>
          <w:rFonts w:eastAsia="Times New Roman" w:cs="Times New Roman"/>
          <w:spacing w:val="-2"/>
          <w:szCs w:val="19"/>
          <w:lang w:eastAsia="pl-PL"/>
        </w:rPr>
        <w:t>202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r., natomiast inwestorzy indywidualni – </w:t>
      </w:r>
      <w:r w:rsidR="008165F3">
        <w:rPr>
          <w:rFonts w:eastAsia="Times New Roman" w:cs="Times New Roman"/>
          <w:spacing w:val="-2"/>
          <w:szCs w:val="19"/>
          <w:lang w:eastAsia="pl-PL"/>
        </w:rPr>
        <w:t>81,4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F8237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="008165F3">
        <w:rPr>
          <w:rFonts w:eastAsia="Times New Roman" w:cs="Times New Roman"/>
          <w:spacing w:val="-2"/>
          <w:szCs w:val="19"/>
          <w:lang w:eastAsia="pl-PL"/>
        </w:rPr>
        <w:t>3,4</w:t>
      </w:r>
      <w:r w:rsidR="00B530F8">
        <w:rPr>
          <w:rFonts w:eastAsia="Times New Roman" w:cs="Times New Roman"/>
          <w:spacing w:val="-2"/>
          <w:szCs w:val="19"/>
          <w:lang w:eastAsia="pl-PL"/>
        </w:rPr>
        <w:t>%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więcej. W ramach tych form b</w:t>
      </w:r>
      <w:r w:rsidR="001853FF" w:rsidRPr="00AF1FE9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="001853FF" w:rsidRPr="00385844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98,</w:t>
      </w:r>
      <w:r w:rsidR="008165F3">
        <w:rPr>
          <w:rFonts w:eastAsia="Times New Roman" w:cs="Times New Roman"/>
          <w:spacing w:val="-2"/>
          <w:szCs w:val="19"/>
          <w:lang w:eastAsia="pl-PL"/>
        </w:rPr>
        <w:t>5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 spółdzielczej, komunalnej, społecznej czynszowej i zakładowej, oddano do użytkowania łącznie </w:t>
      </w:r>
      <w:r w:rsidR="001219E6">
        <w:rPr>
          <w:rFonts w:eastAsia="Times New Roman" w:cs="Times New Roman"/>
          <w:spacing w:val="-2"/>
          <w:szCs w:val="19"/>
          <w:lang w:eastAsia="pl-PL"/>
        </w:rPr>
        <w:t>3,2</w:t>
      </w:r>
      <w:r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mieszka</w:t>
      </w:r>
      <w:r w:rsidR="008165F3">
        <w:rPr>
          <w:rFonts w:eastAsia="Times New Roman" w:cs="Times New Roman"/>
          <w:spacing w:val="-2"/>
          <w:szCs w:val="19"/>
          <w:lang w:eastAsia="pl-PL"/>
        </w:rPr>
        <w:t>ń</w:t>
      </w:r>
      <w:r w:rsidR="00010204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00045E">
        <w:rPr>
          <w:rFonts w:eastAsia="Times New Roman" w:cs="Times New Roman"/>
          <w:spacing w:val="-2"/>
          <w:szCs w:val="19"/>
          <w:lang w:eastAsia="pl-PL"/>
        </w:rPr>
        <w:t>4,3 tys.</w:t>
      </w:r>
      <w:r w:rsidR="002C4B21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14:paraId="6189446F" w14:textId="6A683B48"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8165F3">
        <w:rPr>
          <w:rFonts w:eastAsia="Times New Roman" w:cs="Times New Roman"/>
          <w:spacing w:val="-2"/>
          <w:szCs w:val="19"/>
          <w:lang w:eastAsia="pl-PL"/>
        </w:rPr>
        <w:t>19,7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E723A4">
        <w:rPr>
          <w:rFonts w:eastAsia="Times New Roman" w:cs="Times New Roman"/>
          <w:spacing w:val="-2"/>
          <w:szCs w:val="19"/>
          <w:lang w:eastAsia="pl-PL"/>
        </w:rPr>
        <w:t>1,</w:t>
      </w:r>
      <w:r w:rsidR="008165F3">
        <w:rPr>
          <w:rFonts w:eastAsia="Times New Roman" w:cs="Times New Roman"/>
          <w:spacing w:val="-2"/>
          <w:szCs w:val="19"/>
          <w:lang w:eastAsia="pl-PL"/>
        </w:rPr>
        <w:t>3</w:t>
      </w:r>
      <w:r w:rsidR="00BC646E">
        <w:rPr>
          <w:rFonts w:eastAsia="Times New Roman" w:cs="Times New Roman"/>
          <w:spacing w:val="-2"/>
          <w:szCs w:val="19"/>
          <w:lang w:eastAsia="pl-PL"/>
        </w:rPr>
        <w:t>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530F8">
        <w:rPr>
          <w:rFonts w:eastAsia="Times New Roman" w:cs="Times New Roman"/>
          <w:spacing w:val="-2"/>
          <w:szCs w:val="19"/>
          <w:lang w:eastAsia="pl-PL"/>
        </w:rPr>
        <w:t>9</w:t>
      </w:r>
      <w:r w:rsidR="008165F3">
        <w:rPr>
          <w:rFonts w:eastAsia="Times New Roman" w:cs="Times New Roman"/>
          <w:spacing w:val="-2"/>
          <w:szCs w:val="19"/>
          <w:lang w:eastAsia="pl-PL"/>
        </w:rPr>
        <w:t>2,2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7C36352D" w14:textId="6E621B10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1134"/>
        <w:gridCol w:w="1058"/>
      </w:tblGrid>
      <w:tr w:rsidR="00364671" w:rsidRPr="00267F90" w14:paraId="6B69BA32" w14:textId="77777777" w:rsidTr="007A17DE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092EDE3" w14:textId="4FE96B6B"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D3419FF" w14:textId="2736B803" w:rsidR="00364671" w:rsidRPr="00267F90" w:rsidRDefault="00ED016B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596220">
              <w:rPr>
                <w:color w:val="000000" w:themeColor="text1"/>
                <w:sz w:val="16"/>
                <w:szCs w:val="16"/>
              </w:rPr>
              <w:t>1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4CF84487" w14:textId="1F82F0A4" w:rsidR="00364671" w:rsidRPr="00267F90" w:rsidRDefault="00FD2877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596220">
              <w:rPr>
                <w:color w:val="000000" w:themeColor="text1"/>
                <w:sz w:val="16"/>
                <w:szCs w:val="16"/>
              </w:rPr>
              <w:t>1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B73C02" w:rsidRPr="00267F90" w14:paraId="43E4DA85" w14:textId="6A8BE078" w:rsidTr="007A17DE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194FE9F" w14:textId="77777777"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BF8D062" w14:textId="77777777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5F2967" w14:textId="2917D53E" w:rsidR="00364671" w:rsidRPr="00267F90" w:rsidRDefault="00ED016B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596220">
              <w:rPr>
                <w:color w:val="000000" w:themeColor="text1"/>
                <w:sz w:val="16"/>
                <w:szCs w:val="16"/>
              </w:rPr>
              <w:t>1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4C425A5" w14:textId="7A51D907" w:rsidR="00364671" w:rsidRPr="00267F90" w:rsidRDefault="00596220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>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46ABA42" w14:textId="102A4354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32F5ECC" w14:textId="159BF34C" w:rsidR="00364671" w:rsidRPr="00267F90" w:rsidRDefault="00364671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596220">
              <w:rPr>
                <w:color w:val="000000" w:themeColor="text1"/>
                <w:sz w:val="16"/>
                <w:szCs w:val="16"/>
              </w:rPr>
              <w:t>1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C0A2D" w:rsidRPr="00267F90" w14:paraId="6E88DAED" w14:textId="1B546D9C" w:rsidTr="007A17DE">
        <w:trPr>
          <w:trHeight w:val="54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3DA00745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3F43AB92" w14:textId="7298AF03" w:rsidR="00FC0A2D" w:rsidRPr="00267F90" w:rsidRDefault="007C1001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25 135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219E126" w14:textId="3DE8DF18" w:rsidR="00FC0A2D" w:rsidRPr="00267F90" w:rsidRDefault="007C1001" w:rsidP="00C85C67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5DF31DD" w14:textId="2F3555F3" w:rsidR="00FC0A2D" w:rsidRPr="00267F90" w:rsidRDefault="007C1001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115,4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76CC8DF2" w14:textId="64CB19B3" w:rsidR="00FC0A2D" w:rsidRPr="00267F90" w:rsidRDefault="00596220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214 234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10FDC7AD" w14:textId="5F1C6593" w:rsidR="00FC0A2D" w:rsidRPr="00267F90" w:rsidRDefault="00596220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FC0A2D" w:rsidRPr="00267F90" w14:paraId="0E08519C" w14:textId="72E1EEB1" w:rsidTr="007A17DE">
        <w:trPr>
          <w:trHeight w:val="5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343A8AB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vAlign w:val="center"/>
          </w:tcPr>
          <w:p w14:paraId="25AA5142" w14:textId="049556B5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8 473</w:t>
            </w:r>
          </w:p>
        </w:tc>
        <w:tc>
          <w:tcPr>
            <w:tcW w:w="1134" w:type="dxa"/>
            <w:vAlign w:val="center"/>
          </w:tcPr>
          <w:p w14:paraId="11FC201B" w14:textId="33ABE1A4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0685818" w14:textId="26A1F252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8EFBF9" w14:textId="04ABF99C" w:rsidR="00FC0A2D" w:rsidRPr="00267F90" w:rsidRDefault="00596220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81 430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08EFB01" w14:textId="586D6DF5" w:rsidR="00FC0A2D" w:rsidRPr="00267F90" w:rsidRDefault="00822978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</w:tr>
      <w:tr w:rsidR="00FC0A2D" w:rsidRPr="00267F90" w14:paraId="1897777F" w14:textId="68403532" w:rsidTr="007A17DE">
        <w:trPr>
          <w:trHeight w:val="48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2F8CAF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vAlign w:val="center"/>
          </w:tcPr>
          <w:p w14:paraId="6B350C8F" w14:textId="752AA6AA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16 070</w:t>
            </w:r>
          </w:p>
        </w:tc>
        <w:tc>
          <w:tcPr>
            <w:tcW w:w="1134" w:type="dxa"/>
            <w:vAlign w:val="center"/>
          </w:tcPr>
          <w:p w14:paraId="6D2FB4DF" w14:textId="613BF777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A3AB0A4" w14:textId="68E3A828" w:rsidR="00FC0A2D" w:rsidRPr="00E50E1C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117,9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4B7E36E" w14:textId="75D204BC" w:rsidR="00FC0A2D" w:rsidRPr="00267F90" w:rsidRDefault="00596220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129 558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245A538" w14:textId="472E8D71" w:rsidR="00FC0A2D" w:rsidRPr="00267F90" w:rsidRDefault="00822978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FC0A2D" w:rsidRPr="00267F90" w14:paraId="5ED4F881" w14:textId="44E017F4" w:rsidTr="007A17DE">
        <w:trPr>
          <w:trHeight w:val="5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5CFF68B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vAlign w:val="center"/>
          </w:tcPr>
          <w:p w14:paraId="1631D6D7" w14:textId="6A1705E7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1134" w:type="dxa"/>
            <w:vAlign w:val="center"/>
          </w:tcPr>
          <w:p w14:paraId="110BAD42" w14:textId="21FC779A" w:rsidR="00FC0A2D" w:rsidRPr="00165B21" w:rsidRDefault="007C1001" w:rsidP="00BD047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496,2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08026478" w14:textId="38359390" w:rsidR="00FC0A2D" w:rsidRPr="00EB1F44" w:rsidRDefault="007C1001" w:rsidP="00EB1F4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215,0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F5BF4D5" w14:textId="758A3898" w:rsidR="00FC0A2D" w:rsidRPr="00EB1F44" w:rsidRDefault="00596220" w:rsidP="00C85C6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1 925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403D7D6" w14:textId="6BBC1EF1" w:rsidR="00FC0A2D" w:rsidRPr="00267F90" w:rsidRDefault="00822978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</w:tr>
      <w:tr w:rsidR="00FC0A2D" w:rsidRPr="00267F90" w14:paraId="5EBD0ABB" w14:textId="027C28AD" w:rsidTr="007A17DE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B4E4D73" w14:textId="77777777" w:rsidR="00FC0A2D" w:rsidRPr="00267F90" w:rsidRDefault="00FC0A2D" w:rsidP="00C85C6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vAlign w:val="center"/>
          </w:tcPr>
          <w:p w14:paraId="75FDED6C" w14:textId="52DE6CE5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413</w:t>
            </w:r>
          </w:p>
        </w:tc>
        <w:tc>
          <w:tcPr>
            <w:tcW w:w="1134" w:type="dxa"/>
            <w:vAlign w:val="center"/>
          </w:tcPr>
          <w:p w14:paraId="298A2E5D" w14:textId="31F4C082" w:rsidR="00FC0A2D" w:rsidRPr="00165B21" w:rsidRDefault="007C1001" w:rsidP="007474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195,7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5216F71" w14:textId="26DB20D1" w:rsidR="00FC0A2D" w:rsidRPr="00165B21" w:rsidRDefault="007C1001" w:rsidP="007474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444,1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C974A68" w14:textId="2DA32870" w:rsidR="00FC0A2D" w:rsidRPr="00267F90" w:rsidRDefault="00596220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1 450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703138F4" w14:textId="284B58E0" w:rsidR="00FC0A2D" w:rsidRPr="00385844" w:rsidRDefault="00822978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75,0</w:t>
            </w:r>
          </w:p>
        </w:tc>
      </w:tr>
      <w:tr w:rsidR="00FC0A2D" w:rsidRPr="00267F90" w14:paraId="086B3D62" w14:textId="2B62ED1E" w:rsidTr="007A17DE">
        <w:trPr>
          <w:trHeight w:val="36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51891E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vAlign w:val="center"/>
          </w:tcPr>
          <w:p w14:paraId="74060DED" w14:textId="0DA4E121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2751289F" w14:textId="5A3EB8A3" w:rsidR="00FC0A2D" w:rsidRPr="00165B21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F902869" w14:textId="1CAC0A19" w:rsidR="00FC0A2D" w:rsidRPr="00165B21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60DC191" w14:textId="0A84FEF4" w:rsidR="00FC0A2D" w:rsidRPr="00267F90" w:rsidRDefault="00596220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D2F67DA" w14:textId="41AA6F41" w:rsidR="00FC0A2D" w:rsidRPr="00385844" w:rsidRDefault="00822978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38,9</w:t>
            </w:r>
          </w:p>
        </w:tc>
      </w:tr>
      <w:tr w:rsidR="00FC0A2D" w:rsidRPr="00267F90" w14:paraId="3C74F7D7" w14:textId="6EAFC267" w:rsidTr="007A17DE">
        <w:trPr>
          <w:trHeight w:val="355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1E882F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vAlign w:val="center"/>
          </w:tcPr>
          <w:p w14:paraId="4F5B33A9" w14:textId="1A5F1ECE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134" w:type="dxa"/>
            <w:vAlign w:val="center"/>
          </w:tcPr>
          <w:p w14:paraId="78D9CA42" w14:textId="44800039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6314D72" w14:textId="020E842B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563FC" w14:textId="01DE9FC7" w:rsidR="00FC0A2D" w:rsidRPr="00267F90" w:rsidRDefault="00596220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1 283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7C1C9B3" w14:textId="37450E22" w:rsidR="00FC0A2D" w:rsidRPr="00267F90" w:rsidRDefault="00822978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125,0</w:t>
            </w:r>
          </w:p>
        </w:tc>
      </w:tr>
      <w:tr w:rsidR="00FC0A2D" w:rsidRPr="00267F90" w14:paraId="4EB17B9D" w14:textId="1063C19B" w:rsidTr="007A17DE">
        <w:trPr>
          <w:trHeight w:val="362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E54BC62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43CBEE2B" w14:textId="1562C0F7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17CB720" w14:textId="1905A35D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889EF63" w14:textId="3708C372"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7E3B527" w14:textId="73CADE65" w:rsidR="00FC0A2D" w:rsidRPr="00267F90" w:rsidRDefault="00596220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5E070829" w14:textId="21E366FE" w:rsidR="00FC0A2D" w:rsidRPr="00267F90" w:rsidRDefault="00822978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48,0</w:t>
            </w:r>
          </w:p>
        </w:tc>
      </w:tr>
      <w:bookmarkEnd w:id="0"/>
    </w:tbl>
    <w:p w14:paraId="78144C78" w14:textId="77777777"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14:paraId="31EB7324" w14:textId="307E71A6" w:rsidR="00DA331D" w:rsidRDefault="002628B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396E6002">
                <wp:simplePos x="0" y="0"/>
                <wp:positionH relativeFrom="column">
                  <wp:posOffset>5226381</wp:posOffset>
                </wp:positionH>
                <wp:positionV relativeFrom="page">
                  <wp:posOffset>589813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11 2022 r. spadła o 9,9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142DCF59"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w</w:t>
                            </w:r>
                            <w:r w:rsidR="00665F10">
                              <w:t> </w:t>
                            </w:r>
                            <w:r w:rsidR="00645B02">
                              <w:t xml:space="preserve">okresie </w:t>
                            </w:r>
                            <w:r w:rsidR="00645B02" w:rsidRPr="00165B21">
                              <w:t>01-</w:t>
                            </w:r>
                            <w:r w:rsidR="00ED016B">
                              <w:t>1</w:t>
                            </w:r>
                            <w:r w:rsidR="00245964">
                              <w:t>1</w:t>
                            </w:r>
                            <w:r w:rsidR="00645B02">
                              <w:t xml:space="preserve"> </w:t>
                            </w:r>
                            <w:r>
                              <w:t>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</w:t>
                            </w:r>
                            <w:r w:rsidR="00211832" w:rsidRPr="00A84296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0E7CAD">
                              <w:t>9,</w:t>
                            </w:r>
                            <w:r w:rsidR="00DF1BD1">
                              <w:t>9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0DF10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8" type="#_x0000_t202" alt="Liczba mieszkań, na których budowę wydano pozwolenia lub dokonano zgłoszenia z projektem budowlanym w okresie 01-11 2022 r. spadła o 9,9% r/r" style="position:absolute;margin-left:411.55pt;margin-top:46.45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" filled="f" stroked="f">
                <v:textbox>
                  <w:txbxContent>
                    <w:p w14:paraId="6F82A774" w14:textId="142DCF59"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w</w:t>
                      </w:r>
                      <w:r w:rsidR="00665F10">
                        <w:t> </w:t>
                      </w:r>
                      <w:r w:rsidR="00645B02">
                        <w:t xml:space="preserve">okresie </w:t>
                      </w:r>
                      <w:r w:rsidR="00645B02" w:rsidRPr="00165B21">
                        <w:t>01-</w:t>
                      </w:r>
                      <w:r w:rsidR="00ED016B">
                        <w:t>1</w:t>
                      </w:r>
                      <w:r w:rsidR="00245964">
                        <w:t>1</w:t>
                      </w:r>
                      <w:r w:rsidR="00645B02">
                        <w:t xml:space="preserve"> </w:t>
                      </w:r>
                      <w:r>
                        <w:t>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</w:t>
                      </w:r>
                      <w:r w:rsidR="00211832" w:rsidRPr="00A84296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0E7CAD">
                        <w:t>9,</w:t>
                      </w:r>
                      <w:r w:rsidR="00DF1BD1">
                        <w:t>9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14:paraId="512A5A5F" w14:textId="0823ED85" w:rsidR="00D972F6" w:rsidRPr="002628BA" w:rsidRDefault="000C5E1D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435EC9" w:rsidRPr="00F5119A">
        <w:rPr>
          <w:rFonts w:eastAsia="Times New Roman" w:cs="Times New Roman"/>
          <w:spacing w:val="-2"/>
          <w:szCs w:val="19"/>
          <w:lang w:eastAsia="pl-PL"/>
        </w:rPr>
        <w:t xml:space="preserve">okresie </w:t>
      </w:r>
      <w:r w:rsidR="00245964">
        <w:rPr>
          <w:rFonts w:eastAsia="Times New Roman" w:cs="Times New Roman"/>
          <w:spacing w:val="-2"/>
          <w:szCs w:val="19"/>
          <w:lang w:eastAsia="pl-PL"/>
        </w:rPr>
        <w:t>jedenastu</w:t>
      </w:r>
      <w:r w:rsidR="00435EC9" w:rsidRPr="00F5119A">
        <w:rPr>
          <w:rFonts w:eastAsia="Times New Roman" w:cs="Times New Roman"/>
          <w:spacing w:val="-2"/>
          <w:szCs w:val="19"/>
          <w:lang w:eastAsia="pl-PL"/>
        </w:rPr>
        <w:t xml:space="preserve"> miesięcy</w:t>
      </w: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 2022 </w:t>
      </w:r>
      <w:r w:rsidR="00E34D1F" w:rsidRPr="00F5119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wydano pozwolenia lub dokonano zgłoszenia budowy </w:t>
      </w:r>
      <w:r w:rsidR="00245964">
        <w:rPr>
          <w:rFonts w:eastAsia="Times New Roman" w:cs="Times New Roman"/>
          <w:spacing w:val="-2"/>
          <w:szCs w:val="19"/>
          <w:lang w:eastAsia="pl-PL"/>
        </w:rPr>
        <w:t>277,4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9,</w:t>
      </w:r>
      <w:r w:rsidR="00DF1BD1">
        <w:rPr>
          <w:rFonts w:eastAsia="Times New Roman" w:cs="Times New Roman"/>
          <w:spacing w:val="-2"/>
          <w:szCs w:val="19"/>
          <w:lang w:eastAsia="pl-PL"/>
        </w:rPr>
        <w:t>9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9D1F9F" w:rsidRPr="00F5119A">
        <w:rPr>
          <w:rFonts w:eastAsia="Times New Roman" w:cs="Times New Roman"/>
          <w:spacing w:val="-2"/>
          <w:szCs w:val="19"/>
          <w:lang w:eastAsia="pl-PL"/>
        </w:rPr>
        <w:t xml:space="preserve">mniej 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niż w analogicznym okresie</w:t>
      </w:r>
      <w:r w:rsidR="003F19DE" w:rsidRPr="00F5119A">
        <w:rPr>
          <w:rFonts w:eastAsia="Times New Roman" w:cs="Times New Roman"/>
          <w:spacing w:val="-2"/>
          <w:szCs w:val="19"/>
          <w:lang w:eastAsia="pl-PL"/>
        </w:rPr>
        <w:t xml:space="preserve"> 2021 roku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. Pozwolenia na budowę największej liczby mieszkań otrzymali deweloperzy (</w:t>
      </w:r>
      <w:r w:rsidR="00DF1BD1">
        <w:rPr>
          <w:rFonts w:eastAsia="Times New Roman" w:cs="Times New Roman"/>
          <w:spacing w:val="-2"/>
          <w:szCs w:val="19"/>
          <w:lang w:eastAsia="pl-PL"/>
        </w:rPr>
        <w:t>188,8</w:t>
      </w:r>
      <w:r w:rsidR="00A67093" w:rsidRPr="00F5119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o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0,</w:t>
      </w:r>
      <w:r w:rsidR="00DF1BD1">
        <w:rPr>
          <w:rFonts w:eastAsia="Times New Roman" w:cs="Times New Roman"/>
          <w:spacing w:val="-2"/>
          <w:szCs w:val="19"/>
          <w:lang w:eastAsia="pl-PL"/>
        </w:rPr>
        <w:t>5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r/r) oraz inwestorzy indywidualni (</w:t>
      </w:r>
      <w:r w:rsidR="00DF1BD1">
        <w:rPr>
          <w:rFonts w:eastAsia="Times New Roman" w:cs="Times New Roman"/>
          <w:spacing w:val="-2"/>
          <w:szCs w:val="19"/>
          <w:lang w:eastAsia="pl-PL"/>
        </w:rPr>
        <w:t>84,3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="00DF1BD1">
        <w:rPr>
          <w:rFonts w:eastAsia="Times New Roman" w:cs="Times New Roman"/>
          <w:spacing w:val="-2"/>
          <w:szCs w:val="19"/>
          <w:lang w:eastAsia="pl-PL"/>
        </w:rPr>
        <w:t>26,5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="00073B71" w:rsidRPr="00F5119A">
        <w:rPr>
          <w:rFonts w:eastAsia="Times New Roman" w:cs="Times New Roman"/>
          <w:spacing w:val="-2"/>
          <w:szCs w:val="19"/>
          <w:lang w:eastAsia="pl-PL"/>
        </w:rPr>
        <w:t>98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DF1BD1">
        <w:rPr>
          <w:rFonts w:eastAsia="Times New Roman" w:cs="Times New Roman"/>
          <w:spacing w:val="-2"/>
          <w:szCs w:val="19"/>
          <w:lang w:eastAsia="pl-PL"/>
        </w:rPr>
        <w:t>5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 ogółu mieszkań. W</w:t>
      </w:r>
      <w:r w:rsidR="002C4B21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pozostałych formach budownictwa odnotowano </w:t>
      </w:r>
      <w:r w:rsidR="00AF46A1">
        <w:rPr>
          <w:rFonts w:eastAsia="Times New Roman" w:cs="Times New Roman"/>
          <w:spacing w:val="-2"/>
          <w:szCs w:val="19"/>
          <w:lang w:eastAsia="pl-PL"/>
        </w:rPr>
        <w:t>4,3 tys.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mie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szka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ń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 na</w:t>
      </w:r>
      <w:r w:rsidR="005E01B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których budowę wyda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no pozwolenia lub dokonano zgłoszenia z projektem budowlanym (</w:t>
      </w:r>
      <w:r w:rsidR="00AF46A1">
        <w:rPr>
          <w:rFonts w:eastAsia="Times New Roman" w:cs="Times New Roman"/>
          <w:spacing w:val="-2"/>
          <w:szCs w:val="19"/>
          <w:lang w:eastAsia="pl-PL"/>
        </w:rPr>
        <w:t>3,5 tys.</w:t>
      </w:r>
      <w:r w:rsidR="00DB1D6E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w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roku ubiegłym).</w:t>
      </w:r>
    </w:p>
    <w:p w14:paraId="3863D452" w14:textId="6617EA9E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276"/>
        <w:gridCol w:w="1134"/>
        <w:gridCol w:w="1134"/>
        <w:gridCol w:w="1134"/>
        <w:gridCol w:w="1075"/>
      </w:tblGrid>
      <w:tr w:rsidR="006A63BA" w:rsidRPr="00A84296" w14:paraId="2D1D1017" w14:textId="77777777" w:rsidTr="00C87844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C17B584" w14:textId="78E8E1CE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49B5082" w14:textId="0D38C1F1" w:rsidR="006A63BA" w:rsidRPr="00267F90" w:rsidRDefault="00ED016B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822978">
              <w:rPr>
                <w:color w:val="000000" w:themeColor="text1"/>
                <w:sz w:val="16"/>
                <w:szCs w:val="16"/>
              </w:rPr>
              <w:t>1</w:t>
            </w:r>
            <w:r w:rsidR="006A63BA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20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56C76FA" w14:textId="008C08B4" w:rsidR="006A63BA" w:rsidRPr="00267F90" w:rsidRDefault="006A63BA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822978">
              <w:rPr>
                <w:color w:val="000000" w:themeColor="text1"/>
                <w:sz w:val="16"/>
                <w:szCs w:val="16"/>
              </w:rPr>
              <w:t>1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A63BA" w:rsidRPr="00A84296" w14:paraId="533F8FA4" w14:textId="77777777" w:rsidTr="007A17DE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EFF0FD5" w14:textId="77777777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A0F312D" w14:textId="4FDC008C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E5A2D" w14:textId="63C34015" w:rsidR="006A63BA" w:rsidRPr="00267F90" w:rsidRDefault="00822978" w:rsidP="00396D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6A63BA"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2436271F" w14:textId="2A784C21" w:rsidR="006A63BA" w:rsidRPr="00385844" w:rsidRDefault="00822978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802123" w:rsidRPr="00385844">
              <w:rPr>
                <w:color w:val="000000" w:themeColor="text1"/>
                <w:sz w:val="16"/>
                <w:szCs w:val="16"/>
              </w:rPr>
              <w:t>0</w:t>
            </w:r>
            <w:r w:rsidR="00396D4D">
              <w:rPr>
                <w:color w:val="000000" w:themeColor="text1"/>
                <w:sz w:val="16"/>
                <w:szCs w:val="16"/>
              </w:rPr>
              <w:t xml:space="preserve"> </w:t>
            </w:r>
            <w:r w:rsidR="00150DF6" w:rsidRPr="00385844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C87A1A2" w14:textId="06E1F7E8" w:rsidR="006A63BA" w:rsidRPr="00385844" w:rsidRDefault="00973027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A50A7BC" w14:textId="6041E288" w:rsidR="006A63BA" w:rsidRPr="00267F90" w:rsidRDefault="006A63BA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822978">
              <w:rPr>
                <w:color w:val="000000" w:themeColor="text1"/>
                <w:sz w:val="16"/>
                <w:szCs w:val="16"/>
              </w:rPr>
              <w:t>1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C0A2D" w:rsidRPr="00A84296" w14:paraId="71F491A6" w14:textId="77777777" w:rsidTr="007A17DE">
        <w:trPr>
          <w:trHeight w:val="53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48767732" w14:textId="77777777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3C7933B" w14:textId="138A185D" w:rsidR="00FC0A2D" w:rsidRPr="00267F90" w:rsidRDefault="007C1001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19 363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1A67FEA6" w14:textId="4937316E" w:rsidR="00FC0A2D" w:rsidRPr="00267F90" w:rsidRDefault="007C1001" w:rsidP="00FC0A2D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80,9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2A0F355" w14:textId="516D143F" w:rsidR="00FC0A2D" w:rsidRPr="00385844" w:rsidRDefault="007C1001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94,1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13A3D33B" w14:textId="33AA91D8" w:rsidR="00FC0A2D" w:rsidRPr="00385844" w:rsidRDefault="00245964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277 434</w:t>
            </w:r>
          </w:p>
        </w:tc>
        <w:tc>
          <w:tcPr>
            <w:tcW w:w="1075" w:type="dxa"/>
            <w:tcBorders>
              <w:top w:val="single" w:sz="12" w:space="0" w:color="212492"/>
              <w:right w:val="nil"/>
            </w:tcBorders>
          </w:tcPr>
          <w:p w14:paraId="0EEB3FA0" w14:textId="439C2B51" w:rsidR="00FC0A2D" w:rsidRPr="00267F90" w:rsidRDefault="00245964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90,1</w:t>
            </w:r>
          </w:p>
        </w:tc>
      </w:tr>
      <w:tr w:rsidR="00FC0A2D" w:rsidRPr="00A84296" w14:paraId="3D7B04F6" w14:textId="77777777" w:rsidTr="007A17DE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E8473CE" w14:textId="77777777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vAlign w:val="center"/>
          </w:tcPr>
          <w:p w14:paraId="4A5B9242" w14:textId="5B7DA489" w:rsidR="00FC0A2D" w:rsidRPr="00267F90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5 652</w:t>
            </w:r>
          </w:p>
        </w:tc>
        <w:tc>
          <w:tcPr>
            <w:tcW w:w="1134" w:type="dxa"/>
            <w:vAlign w:val="center"/>
          </w:tcPr>
          <w:p w14:paraId="3606C173" w14:textId="04638012" w:rsidR="00FC0A2D" w:rsidRPr="00267F90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381997" w14:textId="0EF54137" w:rsidR="00FC0A2D" w:rsidRPr="00385844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88,5</w:t>
            </w:r>
          </w:p>
        </w:tc>
        <w:tc>
          <w:tcPr>
            <w:tcW w:w="1134" w:type="dxa"/>
            <w:tcBorders>
              <w:right w:val="nil"/>
            </w:tcBorders>
          </w:tcPr>
          <w:p w14:paraId="4F3A9444" w14:textId="1FCCB442" w:rsidR="00FC0A2D" w:rsidRPr="00385844" w:rsidRDefault="00245964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84 315</w:t>
            </w:r>
          </w:p>
        </w:tc>
        <w:tc>
          <w:tcPr>
            <w:tcW w:w="1075" w:type="dxa"/>
            <w:tcBorders>
              <w:right w:val="nil"/>
            </w:tcBorders>
          </w:tcPr>
          <w:p w14:paraId="1556C973" w14:textId="7F3D4CAD" w:rsidR="00FC0A2D" w:rsidRPr="00267F90" w:rsidRDefault="00245964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73,5</w:t>
            </w:r>
          </w:p>
        </w:tc>
      </w:tr>
      <w:tr w:rsidR="00FC0A2D" w:rsidRPr="00A84296" w14:paraId="45DA37CB" w14:textId="77777777" w:rsidTr="007A17DE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37A3672" w14:textId="77777777" w:rsidR="00FC0A2D" w:rsidRPr="00267F90" w:rsidRDefault="00FC0A2D" w:rsidP="00FB5C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vAlign w:val="center"/>
          </w:tcPr>
          <w:p w14:paraId="72878E86" w14:textId="70F5347C" w:rsidR="00FC0A2D" w:rsidRPr="00267F90" w:rsidRDefault="007C1001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13 148</w:t>
            </w:r>
          </w:p>
        </w:tc>
        <w:tc>
          <w:tcPr>
            <w:tcW w:w="1134" w:type="dxa"/>
            <w:vAlign w:val="center"/>
          </w:tcPr>
          <w:p w14:paraId="5573A616" w14:textId="6A0F764E" w:rsidR="00FC0A2D" w:rsidRPr="00267F90" w:rsidRDefault="007C1001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0B77A20" w14:textId="172A5562" w:rsidR="00FC0A2D" w:rsidRPr="00385844" w:rsidRDefault="007C1001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9D4F930" w14:textId="2D71B944" w:rsidR="00FC0A2D" w:rsidRPr="00385844" w:rsidRDefault="00245964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188 849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14:paraId="6A687EED" w14:textId="4673600D" w:rsidR="00FC0A2D" w:rsidRPr="00FD758E" w:rsidRDefault="00245964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</w:tr>
      <w:tr w:rsidR="00FC0A2D" w:rsidRPr="00A84296" w14:paraId="596442E5" w14:textId="77777777" w:rsidTr="007A17DE">
        <w:trPr>
          <w:trHeight w:val="37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127BECA" w14:textId="77777777" w:rsidR="00FC0A2D" w:rsidRPr="00267F90" w:rsidRDefault="00FC0A2D" w:rsidP="00FC0A2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vAlign w:val="center"/>
          </w:tcPr>
          <w:p w14:paraId="5CCF0AD9" w14:textId="462D89FF" w:rsidR="00FC0A2D" w:rsidRPr="00267F90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  <w:vAlign w:val="center"/>
          </w:tcPr>
          <w:p w14:paraId="0DE00668" w14:textId="76398BBC" w:rsidR="00FC0A2D" w:rsidRPr="00267F90" w:rsidRDefault="007C1001" w:rsidP="006A080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216,7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6627E39" w14:textId="50854F7B" w:rsidR="00FC0A2D" w:rsidRPr="00385844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B91449E" w14:textId="141F77CC" w:rsidR="00FC0A2D" w:rsidRPr="00385844" w:rsidRDefault="00245964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639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14:paraId="3F026187" w14:textId="01620D98" w:rsidR="00FC0A2D" w:rsidRPr="00FD758E" w:rsidRDefault="00245964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86,6</w:t>
            </w:r>
          </w:p>
        </w:tc>
      </w:tr>
      <w:tr w:rsidR="00FC0A2D" w:rsidRPr="00A84296" w14:paraId="1B641BCA" w14:textId="77777777" w:rsidTr="007A17DE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66736A3" w14:textId="77777777" w:rsidR="00FC0A2D" w:rsidRPr="00267F90" w:rsidRDefault="00FC0A2D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70A7F72F" w14:textId="55E2D97B" w:rsidR="00FC0A2D" w:rsidRPr="00267F90" w:rsidRDefault="007C1001" w:rsidP="00D32F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76C2BC88" w14:textId="13A95DFD" w:rsidR="00FC0A2D" w:rsidRPr="00267F90" w:rsidRDefault="00F75AA4" w:rsidP="00D32F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557,8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7C7B45B" w14:textId="2C763470" w:rsidR="00FC0A2D" w:rsidRPr="00385844" w:rsidRDefault="007C1001" w:rsidP="00D32F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456,4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335EBFC8" w14:textId="1A9296B3" w:rsidR="00FC0A2D" w:rsidRPr="00385844" w:rsidRDefault="00245964" w:rsidP="00C878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1 939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</w:tcPr>
          <w:p w14:paraId="54F02263" w14:textId="41860277" w:rsidR="00FC0A2D" w:rsidRPr="00267F90" w:rsidRDefault="00245964" w:rsidP="00C878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215,7</w:t>
            </w:r>
          </w:p>
        </w:tc>
      </w:tr>
      <w:tr w:rsidR="00FC0A2D" w:rsidRPr="00A84296" w14:paraId="3BDDAADA" w14:textId="77777777" w:rsidTr="007A17DE">
        <w:trPr>
          <w:trHeight w:val="328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A8AD678" w14:textId="77777777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B529B5F" w14:textId="436E1FBF" w:rsidR="00FC0A2D" w:rsidRPr="00267F90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B1F8D49" w14:textId="2EEC92BF" w:rsidR="00FC0A2D" w:rsidRPr="00267F90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186,7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47C1A6F" w14:textId="64DDB889" w:rsidR="00FC0A2D" w:rsidRPr="00385844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080F0A44" w14:textId="17EE6805" w:rsidR="00FC0A2D" w:rsidRPr="00385844" w:rsidRDefault="00245964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1 643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409826F" w14:textId="38E4B8FB" w:rsidR="00FC0A2D" w:rsidRPr="00267F90" w:rsidRDefault="00245964" w:rsidP="00FC0A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98,4</w:t>
            </w:r>
          </w:p>
        </w:tc>
      </w:tr>
      <w:tr w:rsidR="00FC0A2D" w:rsidRPr="00A84296" w14:paraId="37181577" w14:textId="77777777" w:rsidTr="007A17DE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1F02E75" w14:textId="2822EFCF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3633205C" w14:textId="72C4B807" w:rsidR="00FC0A2D" w:rsidRPr="00267F90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26D4BCD" w14:textId="44C6809A" w:rsidR="00FC0A2D" w:rsidRPr="00267F90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601E445" w14:textId="49F340D6" w:rsidR="00FC0A2D" w:rsidRPr="00267F90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19EFB03" w14:textId="136954EE" w:rsidR="00FC0A2D" w:rsidRPr="00267F90" w:rsidRDefault="00F8702E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3401F"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  <w:vAlign w:val="center"/>
          </w:tcPr>
          <w:p w14:paraId="2B109B07" w14:textId="39995338" w:rsidR="00FC0A2D" w:rsidRPr="00267F90" w:rsidRDefault="00245964" w:rsidP="00FB5CA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26,5</w:t>
            </w:r>
          </w:p>
        </w:tc>
      </w:tr>
    </w:tbl>
    <w:p w14:paraId="56503EA0" w14:textId="77777777" w:rsidR="00AC280D" w:rsidRPr="00AC280D" w:rsidRDefault="00AC280D" w:rsidP="00AC280D">
      <w:pPr>
        <w:spacing w:before="0" w:after="0"/>
        <w:rPr>
          <w:lang w:eastAsia="pl-PL"/>
        </w:rPr>
      </w:pPr>
    </w:p>
    <w:p w14:paraId="4B75305E" w14:textId="0F9DC0E0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2CD51E8E" w14:textId="6111D8E3" w:rsidR="00DA331D" w:rsidRPr="002628BA" w:rsidRDefault="000C5E1D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2628BA">
        <w:rPr>
          <w:rFonts w:eastAsia="Times New Roman" w:cs="Times New Roman"/>
          <w:spacing w:val="-2"/>
          <w:szCs w:val="19"/>
          <w:lang w:eastAsia="pl-PL"/>
        </w:rPr>
        <w:t xml:space="preserve">Od stycznia do </w:t>
      </w:r>
      <w:r w:rsidR="00DF1BD1">
        <w:rPr>
          <w:rFonts w:eastAsia="Times New Roman" w:cs="Times New Roman"/>
          <w:spacing w:val="-2"/>
          <w:szCs w:val="19"/>
          <w:lang w:eastAsia="pl-PL"/>
        </w:rPr>
        <w:t>listopada</w:t>
      </w:r>
      <w:r w:rsidRPr="002628BA">
        <w:rPr>
          <w:rFonts w:eastAsia="Times New Roman" w:cs="Times New Roman"/>
          <w:spacing w:val="-2"/>
          <w:szCs w:val="19"/>
          <w:lang w:eastAsia="pl-PL"/>
        </w:rPr>
        <w:t xml:space="preserve"> 2022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rozpoczęto budowę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DF1BD1">
        <w:rPr>
          <w:rFonts w:eastAsia="Times New Roman" w:cs="Times New Roman"/>
          <w:spacing w:val="-2"/>
          <w:szCs w:val="19"/>
          <w:lang w:eastAsia="pl-PL"/>
        </w:rPr>
        <w:t>190,4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tys. mieszkań, tj. 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o</w:t>
      </w:r>
      <w:r w:rsidR="00FB5CAC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DF1BD1">
        <w:rPr>
          <w:rFonts w:eastAsia="Times New Roman" w:cs="Times New Roman"/>
          <w:spacing w:val="-2"/>
          <w:szCs w:val="19"/>
          <w:lang w:eastAsia="pl-PL"/>
        </w:rPr>
        <w:t>26,8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rozpoczęli budowę </w:t>
      </w:r>
      <w:r w:rsidR="00DF1BD1">
        <w:rPr>
          <w:rFonts w:eastAsia="Times New Roman" w:cs="Times New Roman"/>
          <w:spacing w:val="-2"/>
          <w:szCs w:val="19"/>
          <w:lang w:eastAsia="pl-PL"/>
        </w:rPr>
        <w:t>108,3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DF1BD1">
        <w:rPr>
          <w:rFonts w:eastAsia="Times New Roman" w:cs="Times New Roman"/>
          <w:spacing w:val="-2"/>
          <w:szCs w:val="19"/>
          <w:lang w:eastAsia="pl-PL"/>
        </w:rPr>
        <w:t>29,5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="00DF1BD1">
        <w:rPr>
          <w:rFonts w:eastAsia="Times New Roman" w:cs="Times New Roman"/>
          <w:spacing w:val="-2"/>
          <w:szCs w:val="19"/>
          <w:lang w:eastAsia="pl-PL"/>
        </w:rPr>
        <w:t>79,3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 tys. (o </w:t>
      </w:r>
      <w:r w:rsidR="00DF1BD1">
        <w:rPr>
          <w:rFonts w:eastAsia="Times New Roman" w:cs="Times New Roman"/>
          <w:spacing w:val="-2"/>
          <w:szCs w:val="19"/>
          <w:lang w:eastAsia="pl-PL"/>
        </w:rPr>
        <w:t>21,8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1861D5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="00F254D3" w:rsidRPr="002628BA">
        <w:rPr>
          <w:rFonts w:eastAsia="Times New Roman" w:cs="Times New Roman"/>
          <w:spacing w:val="-2"/>
          <w:szCs w:val="19"/>
          <w:lang w:eastAsia="pl-PL"/>
        </w:rPr>
        <w:t>98,</w:t>
      </w:r>
      <w:r w:rsidR="00DF1BD1">
        <w:rPr>
          <w:rFonts w:eastAsia="Times New Roman" w:cs="Times New Roman"/>
          <w:spacing w:val="-2"/>
          <w:szCs w:val="19"/>
          <w:lang w:eastAsia="pl-PL"/>
        </w:rPr>
        <w:t>5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4A269D">
        <w:rPr>
          <w:rFonts w:eastAsia="Times New Roman" w:cs="Times New Roman"/>
          <w:spacing w:val="-2"/>
          <w:szCs w:val="19"/>
          <w:lang w:eastAsia="pl-PL"/>
        </w:rPr>
        <w:t>2,8 tys.</w:t>
      </w:r>
      <w:r w:rsidR="0036719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mieszka</w:t>
      </w:r>
      <w:r w:rsidR="001E41E0" w:rsidRPr="002628BA">
        <w:rPr>
          <w:rFonts w:eastAsia="Times New Roman" w:cs="Times New Roman"/>
          <w:spacing w:val="-2"/>
          <w:szCs w:val="19"/>
          <w:lang w:eastAsia="pl-PL"/>
        </w:rPr>
        <w:t>ń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(</w:t>
      </w:r>
      <w:r w:rsidR="00A62AAF" w:rsidRPr="002628BA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4A269D">
        <w:rPr>
          <w:rFonts w:eastAsia="Times New Roman" w:cs="Times New Roman"/>
          <w:spacing w:val="-2"/>
          <w:szCs w:val="19"/>
          <w:lang w:eastAsia="pl-PL"/>
        </w:rPr>
        <w:t>5,0 tys.</w:t>
      </w:r>
      <w:r w:rsidR="002628BA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w roku poprzednim).</w:t>
      </w:r>
    </w:p>
    <w:p w14:paraId="6E10B658" w14:textId="15A6C402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276"/>
        <w:gridCol w:w="1134"/>
        <w:gridCol w:w="1134"/>
        <w:gridCol w:w="1043"/>
      </w:tblGrid>
      <w:tr w:rsidR="00D01FA2" w:rsidRPr="002C7929" w14:paraId="67AE7F1D" w14:textId="77777777" w:rsidTr="007A17DE">
        <w:trPr>
          <w:trHeight w:val="24"/>
        </w:trPr>
        <w:tc>
          <w:tcPr>
            <w:tcW w:w="2127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27E24E4" w14:textId="5A09DFFA" w:rsidR="00D01FA2" w:rsidRPr="002C7929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C5A0E67" w14:textId="180F6581" w:rsidR="00D01FA2" w:rsidRPr="002C7929" w:rsidRDefault="00ED016B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E6395B">
              <w:rPr>
                <w:color w:val="000000" w:themeColor="text1"/>
                <w:sz w:val="16"/>
                <w:szCs w:val="16"/>
              </w:rPr>
              <w:t>1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177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5E75B83" w14:textId="1CE84C0A" w:rsidR="00D01FA2" w:rsidRPr="002C7929" w:rsidRDefault="001861D5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E6395B">
              <w:rPr>
                <w:color w:val="000000" w:themeColor="text1"/>
                <w:sz w:val="16"/>
                <w:szCs w:val="16"/>
              </w:rPr>
              <w:t>1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2244A8" w:rsidRPr="002C7929" w14:paraId="4A06CB3E" w14:textId="77777777" w:rsidTr="007A17DE">
        <w:trPr>
          <w:trHeight w:val="320"/>
        </w:trPr>
        <w:tc>
          <w:tcPr>
            <w:tcW w:w="2127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4F632A" w14:textId="77777777" w:rsidR="00D01FA2" w:rsidRPr="002C7929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9BFDBF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629122" w14:textId="358C0490" w:rsidR="00D01FA2" w:rsidRPr="002C7929" w:rsidRDefault="00ED016B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E6395B">
              <w:rPr>
                <w:color w:val="000000" w:themeColor="text1"/>
                <w:sz w:val="16"/>
                <w:szCs w:val="16"/>
              </w:rPr>
              <w:t>1</w:t>
            </w:r>
            <w:r w:rsidR="005E65D2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202</w:t>
            </w:r>
            <w:r w:rsidR="009579D4" w:rsidRPr="002C7929">
              <w:rPr>
                <w:color w:val="000000" w:themeColor="text1"/>
                <w:sz w:val="16"/>
                <w:szCs w:val="16"/>
              </w:rPr>
              <w:t>1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B668BDB" w14:textId="176C0638" w:rsidR="00D01FA2" w:rsidRPr="002C7929" w:rsidRDefault="009E08DA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 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202</w:t>
            </w:r>
            <w:r w:rsidR="006025DF" w:rsidRPr="00165B21">
              <w:rPr>
                <w:color w:val="000000" w:themeColor="text1"/>
                <w:sz w:val="16"/>
                <w:szCs w:val="16"/>
              </w:rPr>
              <w:t>2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104DD6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43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486FF8F" w14:textId="57ECC870" w:rsidR="00D01FA2" w:rsidRPr="002C7929" w:rsidRDefault="00D01FA2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E6395B">
              <w:rPr>
                <w:color w:val="000000" w:themeColor="text1"/>
                <w:sz w:val="16"/>
                <w:szCs w:val="16"/>
              </w:rPr>
              <w:t>1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2244A8" w:rsidRPr="002C7929" w14:paraId="51B29399" w14:textId="77777777" w:rsidTr="007A17DE">
        <w:trPr>
          <w:trHeight w:val="75"/>
        </w:trPr>
        <w:tc>
          <w:tcPr>
            <w:tcW w:w="2127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01AFEF81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5583E381" w14:textId="30A3D025" w:rsidR="00D01FA2" w:rsidRPr="002C7929" w:rsidRDefault="007C1001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12 117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3FBBBC2F" w14:textId="7468DAFA" w:rsidR="00D01FA2" w:rsidRPr="002C7929" w:rsidRDefault="007C1001" w:rsidP="00742D5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57,2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2F2C45" w14:textId="4F8E8D98" w:rsidR="00D01FA2" w:rsidRPr="002C7929" w:rsidRDefault="007C1001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89,3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CC21AB3" w14:textId="74B120FA" w:rsidR="00D01FA2" w:rsidRPr="002C7929" w:rsidRDefault="0027364B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190 444</w:t>
            </w:r>
          </w:p>
        </w:tc>
        <w:tc>
          <w:tcPr>
            <w:tcW w:w="1043" w:type="dxa"/>
            <w:tcBorders>
              <w:top w:val="single" w:sz="12" w:space="0" w:color="212492"/>
              <w:right w:val="nil"/>
            </w:tcBorders>
            <w:vAlign w:val="center"/>
          </w:tcPr>
          <w:p w14:paraId="4D871161" w14:textId="194B9F13" w:rsidR="00D01FA2" w:rsidRPr="002C7929" w:rsidRDefault="00E56F14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73,2</w:t>
            </w:r>
          </w:p>
        </w:tc>
      </w:tr>
      <w:tr w:rsidR="002244A8" w:rsidRPr="002C7929" w14:paraId="31393AB6" w14:textId="77777777" w:rsidTr="007A17DE">
        <w:trPr>
          <w:trHeight w:val="224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AD53ADC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vAlign w:val="center"/>
          </w:tcPr>
          <w:p w14:paraId="713FE16F" w14:textId="1B4EB85F" w:rsidR="00D01FA2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4 528</w:t>
            </w:r>
          </w:p>
        </w:tc>
        <w:tc>
          <w:tcPr>
            <w:tcW w:w="1276" w:type="dxa"/>
            <w:vAlign w:val="center"/>
          </w:tcPr>
          <w:p w14:paraId="3AB86585" w14:textId="67AD9427" w:rsidR="00D01FA2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F1B8571" w14:textId="537CEAA8" w:rsidR="00D01FA2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DDB2FFE" w14:textId="77830991" w:rsidR="00D01FA2" w:rsidRPr="002C7929" w:rsidRDefault="0027364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79 323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0CCD0B5A" w14:textId="0F376135" w:rsidR="00D01FA2" w:rsidRPr="002C7929" w:rsidRDefault="00E56F1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78,2</w:t>
            </w:r>
          </w:p>
        </w:tc>
      </w:tr>
      <w:tr w:rsidR="002244A8" w:rsidRPr="002C7929" w14:paraId="593E7D8A" w14:textId="77777777" w:rsidTr="007A17DE">
        <w:trPr>
          <w:trHeight w:val="224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B8E28BD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vAlign w:val="center"/>
          </w:tcPr>
          <w:p w14:paraId="17BDC596" w14:textId="23B31DE0" w:rsidR="00D01FA2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7 367</w:t>
            </w:r>
          </w:p>
        </w:tc>
        <w:tc>
          <w:tcPr>
            <w:tcW w:w="1276" w:type="dxa"/>
            <w:vAlign w:val="center"/>
          </w:tcPr>
          <w:p w14:paraId="6651C6C2" w14:textId="68BF8858" w:rsidR="00D01FA2" w:rsidRPr="00385844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A42F450" w14:textId="14927363" w:rsidR="00D01FA2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5A39A39" w14:textId="3BF4BB6A" w:rsidR="00D01FA2" w:rsidRPr="002C7929" w:rsidRDefault="0027364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108 336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10604B89" w14:textId="16F3C9B6" w:rsidR="00D01FA2" w:rsidRPr="002C7929" w:rsidRDefault="00E56F1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70,5</w:t>
            </w:r>
          </w:p>
        </w:tc>
      </w:tr>
      <w:tr w:rsidR="002244A8" w:rsidRPr="002C7929" w14:paraId="10FB5E32" w14:textId="77777777" w:rsidTr="007A17DE">
        <w:trPr>
          <w:trHeight w:val="238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D630EDE" w14:textId="77777777" w:rsidR="00D01FA2" w:rsidRPr="002C7929" w:rsidRDefault="00D01FA2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vAlign w:val="center"/>
          </w:tcPr>
          <w:p w14:paraId="6C3E3E87" w14:textId="298DD319" w:rsidR="00D01FA2" w:rsidRPr="002C7929" w:rsidRDefault="007C100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76" w:type="dxa"/>
            <w:vAlign w:val="center"/>
          </w:tcPr>
          <w:p w14:paraId="2AF19FC1" w14:textId="03D0B824" w:rsidR="00D01FA2" w:rsidRPr="00E50E1C" w:rsidRDefault="00F8702E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3401F"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C87844" w:rsidRPr="0053401F">
              <w:rPr>
                <w:rFonts w:cs="Arial"/>
                <w:color w:val="000000" w:themeColor="text1"/>
                <w:sz w:val="16"/>
                <w:szCs w:val="16"/>
              </w:rPr>
              <w:t>onad</w:t>
            </w:r>
            <w:r w:rsidR="00C87844">
              <w:rPr>
                <w:rFonts w:cs="Arial"/>
                <w:color w:val="000000" w:themeColor="text1"/>
                <w:sz w:val="16"/>
                <w:szCs w:val="16"/>
              </w:rPr>
              <w:t xml:space="preserve"> 20-</w:t>
            </w:r>
            <w:r w:rsidR="00C87844">
              <w:rPr>
                <w:rFonts w:cs="Arial"/>
                <w:color w:val="000000" w:themeColor="text1"/>
                <w:sz w:val="16"/>
                <w:szCs w:val="16"/>
              </w:rPr>
              <w:br/>
              <w:t>krotnie mniej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28A795F" w14:textId="6C18F1C3" w:rsidR="00D01FA2" w:rsidRPr="00E50E1C" w:rsidRDefault="007C100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55EE536" w14:textId="5019369B" w:rsidR="00D01FA2" w:rsidRPr="002C7929" w:rsidRDefault="0027364B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412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048C2F33" w14:textId="218E0FFA" w:rsidR="00D01FA2" w:rsidRPr="002C7929" w:rsidRDefault="00E56F14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28,2</w:t>
            </w:r>
          </w:p>
        </w:tc>
      </w:tr>
      <w:tr w:rsidR="002244A8" w:rsidRPr="00CD4A90" w14:paraId="5DE911D7" w14:textId="77777777" w:rsidTr="007A17DE">
        <w:trPr>
          <w:trHeight w:val="230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6594D27" w14:textId="77777777" w:rsidR="00D01FA2" w:rsidRPr="002C7929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vAlign w:val="center"/>
          </w:tcPr>
          <w:p w14:paraId="7AF1925A" w14:textId="40E82CD1" w:rsidR="00D01FA2" w:rsidRPr="002C7929" w:rsidRDefault="007C1001" w:rsidP="0083181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276" w:type="dxa"/>
            <w:vAlign w:val="center"/>
          </w:tcPr>
          <w:p w14:paraId="208887F3" w14:textId="524F1F0B" w:rsidR="00D01FA2" w:rsidRPr="00385844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D4357E" w14:textId="1C341D48" w:rsidR="00D01FA2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472,2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4EFCC" w14:textId="059002E0" w:rsidR="00D01FA2" w:rsidRPr="002C7929" w:rsidRDefault="0027364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687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36405AD3" w14:textId="6207C0E3" w:rsidR="00D01FA2" w:rsidRPr="002C7929" w:rsidRDefault="00E56F14" w:rsidP="00CD4A9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35,9</w:t>
            </w:r>
          </w:p>
        </w:tc>
      </w:tr>
      <w:tr w:rsidR="00CF0C7D" w:rsidRPr="002C7929" w14:paraId="717971BF" w14:textId="77777777" w:rsidTr="007A17DE">
        <w:trPr>
          <w:trHeight w:val="75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1D8928" w14:textId="2CC6BA8A" w:rsidR="00CF0C7D" w:rsidRPr="002C7929" w:rsidRDefault="00CF0C7D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bottom w:val="single" w:sz="4" w:space="0" w:color="212492"/>
            </w:tcBorders>
            <w:vAlign w:val="center"/>
          </w:tcPr>
          <w:p w14:paraId="70236579" w14:textId="43DBCD59" w:rsidR="00CF0C7D" w:rsidRPr="002C7929" w:rsidRDefault="007C100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18F8B7AA" w14:textId="7F1D8CF5" w:rsidR="00CF0C7D" w:rsidRPr="00385844" w:rsidRDefault="00F8702E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3401F"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C87844" w:rsidRPr="0053401F">
              <w:rPr>
                <w:rFonts w:cs="Arial"/>
                <w:color w:val="000000" w:themeColor="text1"/>
                <w:sz w:val="16"/>
                <w:szCs w:val="16"/>
              </w:rPr>
              <w:t>onad</w:t>
            </w:r>
            <w:r w:rsidR="00C87844">
              <w:rPr>
                <w:rFonts w:cs="Arial"/>
                <w:color w:val="000000" w:themeColor="text1"/>
                <w:sz w:val="16"/>
                <w:szCs w:val="16"/>
              </w:rPr>
              <w:t xml:space="preserve"> 30-</w:t>
            </w:r>
            <w:r w:rsidR="00C87844">
              <w:rPr>
                <w:rFonts w:cs="Arial"/>
                <w:color w:val="000000" w:themeColor="text1"/>
                <w:sz w:val="16"/>
                <w:szCs w:val="16"/>
              </w:rPr>
              <w:br/>
              <w:t>krotnie mniej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8AAAD08" w14:textId="1E5DE337" w:rsidR="00CF0C7D" w:rsidRPr="002C7929" w:rsidRDefault="007C100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6BCCF31" w14:textId="34D132D0" w:rsidR="00CF0C7D" w:rsidRPr="002C7929" w:rsidRDefault="0027364B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1043" w:type="dxa"/>
            <w:tcBorders>
              <w:bottom w:val="single" w:sz="4" w:space="0" w:color="212492"/>
              <w:right w:val="nil"/>
            </w:tcBorders>
            <w:vAlign w:val="center"/>
          </w:tcPr>
          <w:p w14:paraId="746568FC" w14:textId="415288EC" w:rsidR="00CF0C7D" w:rsidRPr="002C7929" w:rsidRDefault="00E56F14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82,0</w:t>
            </w:r>
          </w:p>
        </w:tc>
      </w:tr>
      <w:tr w:rsidR="00CF0C7D" w:rsidRPr="002C7929" w14:paraId="780B2FE9" w14:textId="77777777" w:rsidTr="007A17DE">
        <w:trPr>
          <w:trHeight w:val="75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15E3FFE" w14:textId="5426549B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vAlign w:val="center"/>
          </w:tcPr>
          <w:p w14:paraId="27C9D9C7" w14:textId="6261B5E6" w:rsidR="00CF0C7D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276" w:type="dxa"/>
            <w:vAlign w:val="center"/>
          </w:tcPr>
          <w:p w14:paraId="05B46D5B" w14:textId="74576501" w:rsidR="00CF0C7D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D3E92A" w14:textId="6AE61A63" w:rsidR="00CF0C7D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DA4D76F" w14:textId="6FA3F3E0" w:rsidR="00CF0C7D" w:rsidRPr="002C7929" w:rsidRDefault="0027364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1 197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17E99BD0" w14:textId="079D9D16" w:rsidR="00CF0C7D" w:rsidRPr="002C7929" w:rsidRDefault="00E56F1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63,1</w:t>
            </w:r>
          </w:p>
        </w:tc>
      </w:tr>
      <w:tr w:rsidR="00EC4714" w:rsidRPr="002C7929" w14:paraId="0A24278F" w14:textId="77777777" w:rsidTr="007A17DE">
        <w:trPr>
          <w:trHeight w:val="75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A468CB" w14:textId="5A31FC1D" w:rsidR="00EC4714" w:rsidRPr="002C7929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bottom w:val="single" w:sz="4" w:space="0" w:color="212492"/>
            </w:tcBorders>
            <w:vAlign w:val="center"/>
          </w:tcPr>
          <w:p w14:paraId="0E54ECEB" w14:textId="598C1CA8" w:rsidR="00EC4714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6B11BD8C" w14:textId="57CAD05F" w:rsidR="00EC4714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2A19D52" w14:textId="188F3BBB" w:rsidR="00EC4714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D1D1733" w14:textId="7FCFC026" w:rsidR="00EC4714" w:rsidRPr="002C7929" w:rsidRDefault="0027364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043" w:type="dxa"/>
            <w:tcBorders>
              <w:bottom w:val="single" w:sz="4" w:space="0" w:color="212492"/>
              <w:right w:val="nil"/>
            </w:tcBorders>
            <w:vAlign w:val="center"/>
          </w:tcPr>
          <w:p w14:paraId="500FD326" w14:textId="5930045D" w:rsidR="00EC4714" w:rsidRPr="002C7929" w:rsidRDefault="00F8702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44,4</w:t>
            </w:r>
          </w:p>
        </w:tc>
      </w:tr>
    </w:tbl>
    <w:p w14:paraId="353A08B3" w14:textId="3B03A580" w:rsidR="00AC280D" w:rsidRDefault="00D85BA8" w:rsidP="00C8784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91083F">
        <w:rPr>
          <w:shd w:val="clear" w:color="auto" w:fill="FFFFFF"/>
        </w:rPr>
        <w:lastRenderedPageBreak/>
        <w:t xml:space="preserve">Szacuje się, że na koniec </w:t>
      </w:r>
      <w:r w:rsidR="007C1001">
        <w:rPr>
          <w:shd w:val="clear" w:color="auto" w:fill="FFFFFF"/>
        </w:rPr>
        <w:t>listopada</w:t>
      </w:r>
      <w:r w:rsidR="0091083F">
        <w:rPr>
          <w:shd w:val="clear" w:color="auto" w:fill="FFFFFF"/>
        </w:rPr>
        <w:t xml:space="preserve"> </w:t>
      </w:r>
      <w:r w:rsidR="001B11C4">
        <w:rPr>
          <w:shd w:val="clear" w:color="auto" w:fill="FFFFFF"/>
        </w:rPr>
        <w:t>2022</w:t>
      </w:r>
      <w:r w:rsidR="00CD6D30" w:rsidRPr="00CD6D30">
        <w:rPr>
          <w:shd w:val="clear" w:color="auto" w:fill="FFFFFF"/>
        </w:rPr>
        <w:t xml:space="preserve"> roku w budowie pozostawało </w:t>
      </w:r>
      <w:r w:rsidR="006755BF">
        <w:rPr>
          <w:shd w:val="clear" w:color="auto" w:fill="FFFFFF"/>
        </w:rPr>
        <w:t>847,5</w:t>
      </w:r>
      <w:r w:rsidR="00CD6D30" w:rsidRPr="00CD6D30">
        <w:rPr>
          <w:shd w:val="clear" w:color="auto" w:fill="FFFFFF"/>
        </w:rPr>
        <w:t xml:space="preserve"> tys. mieszkań, tj.</w:t>
      </w:r>
      <w:r w:rsidR="0091083F">
        <w:t> </w:t>
      </w:r>
      <w:r w:rsidR="00CD6D30" w:rsidRPr="00CD6D30">
        <w:rPr>
          <w:shd w:val="clear" w:color="auto" w:fill="FFFFFF"/>
        </w:rPr>
        <w:t>o</w:t>
      </w:r>
      <w:r w:rsidR="0091083F">
        <w:rPr>
          <w:shd w:val="clear" w:color="auto" w:fill="FFFFFF"/>
        </w:rPr>
        <w:t> </w:t>
      </w:r>
      <w:r w:rsidR="007C1001">
        <w:rPr>
          <w:shd w:val="clear" w:color="auto" w:fill="FFFFFF"/>
        </w:rPr>
        <w:t>3,5</w:t>
      </w:r>
      <w:r w:rsidR="001B11C4">
        <w:rPr>
          <w:shd w:val="clear" w:color="auto" w:fill="FFFFFF"/>
        </w:rPr>
        <w:t xml:space="preserve">% </w:t>
      </w:r>
      <w:r w:rsidR="00C240FE">
        <w:rPr>
          <w:shd w:val="clear" w:color="auto" w:fill="FFFFFF"/>
        </w:rPr>
        <w:t>mniej</w:t>
      </w:r>
      <w:r w:rsidR="001B11C4">
        <w:rPr>
          <w:shd w:val="clear" w:color="auto" w:fill="FFFFFF"/>
        </w:rPr>
        <w:t xml:space="preserve">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14:paraId="635A67CB" w14:textId="46CBE5DF" w:rsidR="00472B00" w:rsidRDefault="00CD6D30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rFonts w:ascii="Fira Sans" w:hAnsi="Fira Sans"/>
          <w:sz w:val="18"/>
          <w:szCs w:val="18"/>
        </w:rPr>
        <w:t>Wykres 1.</w:t>
      </w:r>
      <w:r w:rsidRPr="00E06C71">
        <w:rPr>
          <w:rFonts w:ascii="Fira Sans" w:hAnsi="Fira Sans"/>
        </w:rPr>
        <w:t xml:space="preserve"> </w:t>
      </w:r>
      <w:r w:rsidRPr="00E06C71">
        <w:rPr>
          <w:rFonts w:ascii="Fira Sans" w:hAnsi="Fira Sans"/>
          <w:sz w:val="18"/>
          <w:szCs w:val="18"/>
        </w:rPr>
        <w:t>Ruch budowlany w obszarze budownictwa mieszkaniowego w Polsce</w:t>
      </w:r>
    </w:p>
    <w:p w14:paraId="1986E19E" w14:textId="5CB4A160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E06C71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43062EC1">
                <wp:simplePos x="0" y="0"/>
                <wp:positionH relativeFrom="page">
                  <wp:posOffset>5702935</wp:posOffset>
                </wp:positionH>
                <wp:positionV relativeFrom="paragraph">
                  <wp:posOffset>124688</wp:posOffset>
                </wp:positionV>
                <wp:extent cx="1815465" cy="1956021"/>
                <wp:effectExtent l="0" t="0" r="0" b="6350"/>
                <wp:wrapSquare wrapText="bothSides"/>
                <wp:docPr id="4" name="Pole tekstowe 2" descr="W listopadzie, w porównaniu do października 2022 roku, wzrosła liczba mieszkań oddanych do użytkowania (o 15,4%), spadła natomiast liczba mieszkań, na których budowę wydano pozwolenia lub dokonano zgłoszenia z projektem budowlanym (o 5,9%) oraz liczba mieszkań, których budowę rozpoczęto (o 10,7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CFC3" w14:textId="54259360"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1222BC">
                              <w:t>listopadzie</w:t>
                            </w:r>
                            <w:r w:rsidRPr="00FE1582">
                              <w:t>, w porównaniu do </w:t>
                            </w:r>
                            <w:r w:rsidR="001222BC">
                              <w:t>października</w:t>
                            </w:r>
                            <w:r w:rsidRPr="00FE1582">
                              <w:t xml:space="preserve"> 202</w:t>
                            </w:r>
                            <w:r w:rsidR="006025DF">
                              <w:t>2</w:t>
                            </w:r>
                            <w:r w:rsidRPr="00FE1582">
                              <w:t xml:space="preserve"> roku, </w:t>
                            </w:r>
                            <w:r w:rsidR="00942F87">
                              <w:t>wzrosła</w:t>
                            </w:r>
                            <w:r w:rsidRPr="00FE1582">
                              <w:t xml:space="preserve"> liczba </w:t>
                            </w:r>
                            <w:r w:rsidRPr="00335FD3">
                              <w:t>mieszkań oddanych do użytkowania (o </w:t>
                            </w:r>
                            <w:r w:rsidR="001E62A1">
                              <w:t>1</w:t>
                            </w:r>
                            <w:r w:rsidR="001222BC">
                              <w:t>5</w:t>
                            </w:r>
                            <w:r w:rsidR="001E62A1">
                              <w:t>,</w:t>
                            </w:r>
                            <w:r w:rsidR="001222BC">
                              <w:t>4</w:t>
                            </w:r>
                            <w:r w:rsidR="00664BCB" w:rsidRPr="00335FD3">
                              <w:t>%)</w:t>
                            </w:r>
                            <w:r w:rsidR="00F5533C" w:rsidRPr="00335FD3">
                              <w:t>,</w:t>
                            </w:r>
                            <w:r w:rsidR="00942F87">
                              <w:t xml:space="preserve"> </w:t>
                            </w:r>
                            <w:r w:rsidR="00B30114" w:rsidRPr="00435EC9">
                              <w:t xml:space="preserve">spadła natomiast </w:t>
                            </w:r>
                            <w:r w:rsidR="009B28D1" w:rsidRPr="00335FD3">
                              <w:t>liczba</w:t>
                            </w:r>
                            <w:r w:rsidR="00F94EDD" w:rsidRPr="00335FD3">
                              <w:t xml:space="preserve"> </w:t>
                            </w:r>
                            <w:r w:rsidR="005947D5" w:rsidRPr="00335FD3">
                              <w:t>mieszkań</w:t>
                            </w:r>
                            <w:r w:rsidR="00F94EDD" w:rsidRPr="00335FD3">
                              <w:rPr>
                                <w:color w:val="auto"/>
                              </w:rPr>
                              <w:t>,</w:t>
                            </w:r>
                            <w:r w:rsidR="0042599A" w:rsidRPr="00335FD3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335FD3">
                              <w:t>na który</w:t>
                            </w:r>
                            <w:r w:rsidR="008A4CA5" w:rsidRPr="00335FD3">
                              <w:t>ch</w:t>
                            </w:r>
                            <w:r w:rsidR="008A4CA5" w:rsidRPr="00165B21">
                              <w:t xml:space="preserve"> budowę wydano pozwolenia lub </w:t>
                            </w:r>
                            <w:r w:rsidRPr="00165B21">
                              <w:t xml:space="preserve">dokonano </w:t>
                            </w:r>
                            <w:r w:rsidRPr="00CB46F1">
                              <w:t>zgłoszenia z projektem budowlanym (o </w:t>
                            </w:r>
                            <w:r w:rsidR="001222BC">
                              <w:t>5,9</w:t>
                            </w:r>
                            <w:r w:rsidR="001E62A1">
                              <w:t>%</w:t>
                            </w:r>
                            <w:r w:rsidRPr="00CB46F1">
                              <w:t>)</w:t>
                            </w:r>
                            <w:r w:rsidR="00B31C38">
                              <w:t xml:space="preserve"> oraz</w:t>
                            </w:r>
                            <w:r w:rsidR="00D32F11">
                              <w:t> </w:t>
                            </w:r>
                            <w:r w:rsidR="009C143C" w:rsidRPr="00CB46F1">
                              <w:t>liczba mieszkań, których budowę rozpoczęto (o </w:t>
                            </w:r>
                            <w:r w:rsidR="001222BC">
                              <w:t>10,7</w:t>
                            </w:r>
                            <w:r w:rsidR="009C143C" w:rsidRPr="00165B21">
                              <w:t>%)</w:t>
                            </w:r>
                          </w:p>
                          <w:p w14:paraId="783038A3" w14:textId="77777777" w:rsidR="00CD6D30" w:rsidRPr="00CB46F1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2BF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 listopadzie, w porównaniu do października 2022 roku, wzrosła liczba mieszkań oddanych do użytkowania (o 15,4%), spadła natomiast liczba mieszkań, na których budowę wydano pozwolenia lub dokonano zgłoszenia z projektem budowlanym (o 5,9%) oraz liczba mieszkań, których budowę rozpoczęto (o 10,7%)" style="position:absolute;margin-left:449.05pt;margin-top:9.8pt;width:142.9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" filled="f" stroked="f">
                <v:textbox>
                  <w:txbxContent>
                    <w:p w14:paraId="33F5CFC3" w14:textId="54259360"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1222BC">
                        <w:t>listopadzie</w:t>
                      </w:r>
                      <w:r w:rsidRPr="00FE1582">
                        <w:t>, w porównaniu do </w:t>
                      </w:r>
                      <w:r w:rsidR="001222BC">
                        <w:t>października</w:t>
                      </w:r>
                      <w:r w:rsidRPr="00FE1582">
                        <w:t xml:space="preserve"> 202</w:t>
                      </w:r>
                      <w:r w:rsidR="006025DF">
                        <w:t>2</w:t>
                      </w:r>
                      <w:r w:rsidRPr="00FE1582">
                        <w:t xml:space="preserve"> roku, </w:t>
                      </w:r>
                      <w:r w:rsidR="00942F87">
                        <w:t>wzrosła</w:t>
                      </w:r>
                      <w:r w:rsidRPr="00FE1582">
                        <w:t xml:space="preserve"> liczba </w:t>
                      </w:r>
                      <w:r w:rsidRPr="00335FD3">
                        <w:t>mieszkań oddanych do użytkowania (o </w:t>
                      </w:r>
                      <w:r w:rsidR="001E62A1">
                        <w:t>1</w:t>
                      </w:r>
                      <w:r w:rsidR="001222BC">
                        <w:t>5</w:t>
                      </w:r>
                      <w:r w:rsidR="001E62A1">
                        <w:t>,</w:t>
                      </w:r>
                      <w:r w:rsidR="001222BC">
                        <w:t>4</w:t>
                      </w:r>
                      <w:r w:rsidR="00664BCB" w:rsidRPr="00335FD3">
                        <w:t>%)</w:t>
                      </w:r>
                      <w:r w:rsidR="00F5533C" w:rsidRPr="00335FD3">
                        <w:t>,</w:t>
                      </w:r>
                      <w:r w:rsidR="00942F87">
                        <w:t xml:space="preserve"> </w:t>
                      </w:r>
                      <w:r w:rsidR="00B30114" w:rsidRPr="00435EC9">
                        <w:t xml:space="preserve">spadła natomiast </w:t>
                      </w:r>
                      <w:r w:rsidR="009B28D1" w:rsidRPr="00335FD3">
                        <w:t>liczba</w:t>
                      </w:r>
                      <w:r w:rsidR="00F94EDD" w:rsidRPr="00335FD3">
                        <w:t xml:space="preserve"> </w:t>
                      </w:r>
                      <w:r w:rsidR="005947D5" w:rsidRPr="00335FD3">
                        <w:t>mieszkań</w:t>
                      </w:r>
                      <w:r w:rsidR="00F94EDD" w:rsidRPr="00335FD3">
                        <w:rPr>
                          <w:color w:val="auto"/>
                        </w:rPr>
                        <w:t>,</w:t>
                      </w:r>
                      <w:r w:rsidR="0042599A" w:rsidRPr="00335FD3">
                        <w:rPr>
                          <w:color w:val="auto"/>
                        </w:rPr>
                        <w:t xml:space="preserve"> </w:t>
                      </w:r>
                      <w:r w:rsidRPr="00335FD3">
                        <w:t>na który</w:t>
                      </w:r>
                      <w:r w:rsidR="008A4CA5" w:rsidRPr="00335FD3">
                        <w:t>ch</w:t>
                      </w:r>
                      <w:r w:rsidR="008A4CA5" w:rsidRPr="00165B21">
                        <w:t xml:space="preserve"> budowę wydano pozwolenia lub </w:t>
                      </w:r>
                      <w:r w:rsidRPr="00165B21">
                        <w:t xml:space="preserve">dokonano </w:t>
                      </w:r>
                      <w:r w:rsidRPr="00CB46F1">
                        <w:t>zgłoszenia z projektem budowlanym (o </w:t>
                      </w:r>
                      <w:r w:rsidR="001222BC">
                        <w:t>5,9</w:t>
                      </w:r>
                      <w:r w:rsidR="001E62A1">
                        <w:t>%</w:t>
                      </w:r>
                      <w:r w:rsidRPr="00CB46F1">
                        <w:t>)</w:t>
                      </w:r>
                      <w:r w:rsidR="00B31C38">
                        <w:t xml:space="preserve"> oraz</w:t>
                      </w:r>
                      <w:r w:rsidR="00D32F11">
                        <w:t> </w:t>
                      </w:r>
                      <w:r w:rsidR="009C143C" w:rsidRPr="00CB46F1">
                        <w:t>liczba mieszkań, których budowę rozpoczęto (o </w:t>
                      </w:r>
                      <w:r w:rsidR="001222BC">
                        <w:t>10,7</w:t>
                      </w:r>
                      <w:r w:rsidR="009C143C" w:rsidRPr="00165B21">
                        <w:t>%)</w:t>
                      </w:r>
                    </w:p>
                    <w:p w14:paraId="783038A3" w14:textId="77777777" w:rsidR="00CD6D30" w:rsidRPr="00CB46F1" w:rsidRDefault="00CD6D30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_GoBack"/>
      <w:r w:rsidRPr="003F24B9">
        <w:rPr>
          <w:noProof/>
          <w:lang w:eastAsia="pl-PL"/>
        </w:rPr>
        <w:drawing>
          <wp:anchor distT="0" distB="0" distL="114300" distR="114300" simplePos="0" relativeHeight="251778048" behindDoc="0" locked="0" layoutInCell="1" allowOverlap="1" wp14:anchorId="7C2CF2DF" wp14:editId="23810876">
            <wp:simplePos x="0" y="0"/>
            <wp:positionH relativeFrom="margin">
              <wp:align>left</wp:align>
            </wp:positionH>
            <wp:positionV relativeFrom="paragraph">
              <wp:posOffset>130302</wp:posOffset>
            </wp:positionV>
            <wp:extent cx="5122545" cy="2317750"/>
            <wp:effectExtent l="0" t="0" r="1905" b="635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8, 2019, 2020, 2021 i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668A2B22" w14:textId="729A0E33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5DA5B528" w14:textId="615B7666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39239866" w14:textId="3226ED93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259A44DE" w14:textId="10C8D54F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2A50BAE3" w14:textId="22E384EC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761E5FD1" w14:textId="77777777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064ECE77" w14:textId="0AC54EA1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18535053" w14:textId="38020459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4BDADE8E" w14:textId="195AFB66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5E55844A" w14:textId="3EE77193" w:rsidR="00EE3D14" w:rsidRPr="002628BA" w:rsidRDefault="00E51A00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2628BA">
        <w:rPr>
          <w:rFonts w:eastAsia="Times New Roman" w:cs="Times New Roman"/>
          <w:spacing w:val="-2"/>
          <w:szCs w:val="19"/>
          <w:lang w:eastAsia="pl-PL"/>
        </w:rPr>
        <w:t xml:space="preserve">W okresie styczeń- </w:t>
      </w:r>
      <w:r w:rsidR="007C316A">
        <w:rPr>
          <w:rFonts w:eastAsia="Times New Roman" w:cs="Times New Roman"/>
          <w:spacing w:val="-2"/>
          <w:szCs w:val="19"/>
          <w:lang w:eastAsia="pl-PL"/>
        </w:rPr>
        <w:t>listopad</w:t>
      </w:r>
      <w:r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912473" w:rsidRPr="002628BA">
        <w:rPr>
          <w:rFonts w:eastAsia="Times New Roman" w:cs="Times New Roman"/>
          <w:spacing w:val="-2"/>
          <w:szCs w:val="19"/>
          <w:lang w:eastAsia="pl-PL"/>
        </w:rPr>
        <w:t>2022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r. najwyższe wartości dla mi</w:t>
      </w:r>
      <w:r w:rsidR="00EE3D14" w:rsidRPr="002628BA">
        <w:rPr>
          <w:rFonts w:eastAsia="Times New Roman" w:cs="Times New Roman"/>
          <w:spacing w:val="-2"/>
          <w:szCs w:val="19"/>
          <w:lang w:eastAsia="pl-PL"/>
        </w:rPr>
        <w:t xml:space="preserve">eszkań oddanych do użytkowania,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mieszkań których budowę rozpoczęto oraz na których budowę wydano pozwolenia lub dokonano zgłoszenia z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projektem budowlanym, odnotowano w województwie mazowieckim (odpowiednio</w:t>
      </w:r>
      <w:r w:rsidR="00BF0B34" w:rsidRPr="002628BA">
        <w:rPr>
          <w:rFonts w:eastAsia="Times New Roman" w:cs="Times New Roman"/>
          <w:spacing w:val="-2"/>
          <w:szCs w:val="19"/>
          <w:lang w:eastAsia="pl-PL"/>
        </w:rPr>
        <w:t>: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961CF">
        <w:rPr>
          <w:rFonts w:eastAsia="Times New Roman" w:cs="Times New Roman"/>
          <w:spacing w:val="-2"/>
          <w:szCs w:val="19"/>
          <w:lang w:eastAsia="pl-PL"/>
        </w:rPr>
        <w:t>37</w:t>
      </w:r>
      <w:r w:rsidR="00317FB1">
        <w:rPr>
          <w:rFonts w:eastAsia="Times New Roman" w:cs="Times New Roman"/>
          <w:spacing w:val="-2"/>
          <w:szCs w:val="19"/>
          <w:lang w:eastAsia="pl-PL"/>
        </w:rPr>
        <w:t>,</w:t>
      </w:r>
      <w:r w:rsidR="00C961CF">
        <w:rPr>
          <w:rFonts w:eastAsia="Times New Roman" w:cs="Times New Roman"/>
          <w:spacing w:val="-2"/>
          <w:szCs w:val="19"/>
          <w:lang w:eastAsia="pl-PL"/>
        </w:rPr>
        <w:t>7</w:t>
      </w:r>
      <w:r w:rsidR="006E042F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tys.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="00317FB1">
        <w:rPr>
          <w:rFonts w:eastAsia="Times New Roman" w:cs="Times New Roman"/>
          <w:spacing w:val="-2"/>
          <w:szCs w:val="19"/>
          <w:lang w:eastAsia="pl-PL"/>
        </w:rPr>
        <w:t>3</w:t>
      </w:r>
      <w:r w:rsidR="00C961CF">
        <w:rPr>
          <w:rFonts w:eastAsia="Times New Roman" w:cs="Times New Roman"/>
          <w:spacing w:val="-2"/>
          <w:szCs w:val="19"/>
          <w:lang w:eastAsia="pl-PL"/>
        </w:rPr>
        <w:t>4,3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317FB1">
        <w:rPr>
          <w:rFonts w:eastAsia="Times New Roman" w:cs="Times New Roman"/>
          <w:spacing w:val="-2"/>
          <w:szCs w:val="19"/>
          <w:lang w:eastAsia="pl-PL"/>
        </w:rPr>
        <w:t>4</w:t>
      </w:r>
      <w:r w:rsidR="00C961CF">
        <w:rPr>
          <w:rFonts w:eastAsia="Times New Roman" w:cs="Times New Roman"/>
          <w:spacing w:val="-2"/>
          <w:szCs w:val="19"/>
          <w:lang w:eastAsia="pl-PL"/>
        </w:rPr>
        <w:t>9,6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mieszkań). Wysokie wartości zanotowano również w</w:t>
      </w:r>
      <w:r w:rsidR="00801E8E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województwie wielkopolskim (</w:t>
      </w:r>
      <w:r w:rsidR="00317FB1">
        <w:rPr>
          <w:rFonts w:eastAsia="Times New Roman" w:cs="Times New Roman"/>
          <w:spacing w:val="-2"/>
          <w:szCs w:val="19"/>
          <w:lang w:eastAsia="pl-PL"/>
        </w:rPr>
        <w:t>23</w:t>
      </w:r>
      <w:r w:rsidR="00C961CF">
        <w:rPr>
          <w:rFonts w:eastAsia="Times New Roman" w:cs="Times New Roman"/>
          <w:spacing w:val="-2"/>
          <w:szCs w:val="19"/>
          <w:lang w:eastAsia="pl-PL"/>
        </w:rPr>
        <w:t>,1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C961CF">
        <w:rPr>
          <w:rFonts w:eastAsia="Times New Roman" w:cs="Times New Roman"/>
          <w:spacing w:val="-2"/>
          <w:szCs w:val="19"/>
          <w:lang w:eastAsia="pl-PL"/>
        </w:rPr>
        <w:t>18,5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="00C961CF">
        <w:rPr>
          <w:rFonts w:eastAsia="Times New Roman" w:cs="Times New Roman"/>
          <w:spacing w:val="-2"/>
          <w:szCs w:val="19"/>
          <w:lang w:eastAsia="pl-PL"/>
        </w:rPr>
        <w:t>26,6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tys.)</w:t>
      </w:r>
      <w:r w:rsidR="003A6083" w:rsidRPr="002628BA">
        <w:rPr>
          <w:rFonts w:eastAsia="Times New Roman" w:cs="Times New Roman"/>
          <w:spacing w:val="-2"/>
          <w:szCs w:val="19"/>
          <w:lang w:eastAsia="pl-PL"/>
        </w:rPr>
        <w:t xml:space="preserve"> i </w:t>
      </w:r>
      <w:r w:rsidR="00887FE9" w:rsidRPr="002628BA">
        <w:rPr>
          <w:rFonts w:eastAsia="Times New Roman" w:cs="Times New Roman"/>
          <w:spacing w:val="-2"/>
          <w:szCs w:val="19"/>
          <w:lang w:eastAsia="pl-PL"/>
        </w:rPr>
        <w:t>małopolskim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C961CF">
        <w:rPr>
          <w:rFonts w:eastAsia="Times New Roman" w:cs="Times New Roman"/>
          <w:spacing w:val="-2"/>
          <w:szCs w:val="19"/>
          <w:lang w:eastAsia="pl-PL"/>
        </w:rPr>
        <w:t>21,7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C961CF">
        <w:rPr>
          <w:rFonts w:eastAsia="Times New Roman" w:cs="Times New Roman"/>
          <w:spacing w:val="-2"/>
          <w:szCs w:val="19"/>
          <w:lang w:eastAsia="pl-PL"/>
        </w:rPr>
        <w:t>17,7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C961CF">
        <w:rPr>
          <w:rFonts w:eastAsia="Times New Roman" w:cs="Times New Roman"/>
          <w:spacing w:val="-2"/>
          <w:szCs w:val="19"/>
          <w:lang w:eastAsia="pl-PL"/>
        </w:rPr>
        <w:t>25,0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3A6083" w:rsidRPr="002628BA">
        <w:rPr>
          <w:rFonts w:eastAsia="Times New Roman" w:cs="Times New Roman"/>
          <w:spacing w:val="-2"/>
          <w:szCs w:val="19"/>
          <w:lang w:eastAsia="pl-PL"/>
        </w:rPr>
        <w:t>tys.)</w:t>
      </w:r>
      <w:r w:rsidR="00010204" w:rsidRPr="002628BA">
        <w:rPr>
          <w:rFonts w:eastAsia="Times New Roman" w:cs="Times New Roman"/>
          <w:spacing w:val="-2"/>
          <w:szCs w:val="19"/>
          <w:lang w:eastAsia="pl-PL"/>
        </w:rPr>
        <w:t>.</w:t>
      </w:r>
      <w:r w:rsidR="00135EE3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14:paraId="66C8E32D" w14:textId="27313DE5" w:rsidR="00A617AC" w:rsidRDefault="00A617AC" w:rsidP="007B34E9">
      <w:pPr>
        <w:pStyle w:val="Tytuwykresu0"/>
        <w:ind w:left="851" w:hanging="851"/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A31734">
        <w:rPr>
          <w:rFonts w:ascii="Fira Sans" w:hAnsi="Fira Sans"/>
          <w:sz w:val="18"/>
          <w:szCs w:val="18"/>
        </w:rPr>
        <w:t xml:space="preserve">Ruch budowlany w obszarze budownictwa mieszkaniowego według województw </w:t>
      </w:r>
      <w:r w:rsidR="00E34D1F" w:rsidRPr="00A31734">
        <w:rPr>
          <w:rFonts w:ascii="Fira Sans" w:hAnsi="Fira Sans"/>
          <w:sz w:val="18"/>
          <w:szCs w:val="18"/>
        </w:rPr>
        <w:t>(</w:t>
      </w:r>
      <w:r w:rsidR="009B28D1">
        <w:rPr>
          <w:rFonts w:ascii="Fira Sans" w:hAnsi="Fira Sans"/>
          <w:sz w:val="18"/>
          <w:szCs w:val="18"/>
        </w:rPr>
        <w:t>styczeń-</w:t>
      </w:r>
      <w:r w:rsidR="00C961CF">
        <w:rPr>
          <w:rFonts w:ascii="Fira Sans" w:hAnsi="Fira Sans"/>
          <w:sz w:val="18"/>
          <w:szCs w:val="18"/>
        </w:rPr>
        <w:t>listopad</w:t>
      </w:r>
      <w:r w:rsidR="004647E0" w:rsidRPr="00A31734">
        <w:rPr>
          <w:rFonts w:ascii="Fira Sans" w:hAnsi="Fira Sans"/>
          <w:sz w:val="18"/>
          <w:szCs w:val="18"/>
        </w:rPr>
        <w:t xml:space="preserve"> </w:t>
      </w:r>
      <w:r w:rsidR="00351173" w:rsidRPr="00A31734">
        <w:rPr>
          <w:rFonts w:ascii="Fira Sans" w:hAnsi="Fira Sans"/>
          <w:sz w:val="18"/>
          <w:szCs w:val="18"/>
        </w:rPr>
        <w:t>2022</w:t>
      </w:r>
      <w:r w:rsidRPr="00A31734">
        <w:rPr>
          <w:rFonts w:ascii="Fira Sans" w:hAnsi="Fira Sans"/>
          <w:sz w:val="18"/>
          <w:szCs w:val="18"/>
        </w:rPr>
        <w:t xml:space="preserve"> r.</w:t>
      </w:r>
      <w:r w:rsidR="00E34D1F" w:rsidRPr="00A31734">
        <w:rPr>
          <w:rFonts w:ascii="Fira Sans" w:hAnsi="Fira Sans"/>
          <w:sz w:val="18"/>
          <w:szCs w:val="18"/>
        </w:rPr>
        <w:t>)</w:t>
      </w:r>
      <w:r w:rsidR="00BC25BA" w:rsidRPr="00BC25BA">
        <w:t xml:space="preserve"> </w:t>
      </w:r>
    </w:p>
    <w:p w14:paraId="4B49B7ED" w14:textId="7DFFC920" w:rsidR="00B24F84" w:rsidRDefault="003F24B9" w:rsidP="00B24F84">
      <w:pPr>
        <w:spacing w:after="0" w:line="288" w:lineRule="auto"/>
        <w:rPr>
          <w:shd w:val="clear" w:color="auto" w:fill="FFFFFF"/>
        </w:rPr>
      </w:pPr>
      <w:r w:rsidRPr="003F24B9">
        <w:rPr>
          <w:noProof/>
          <w:lang w:eastAsia="pl-PL"/>
        </w:rPr>
        <w:drawing>
          <wp:anchor distT="0" distB="0" distL="114300" distR="114300" simplePos="0" relativeHeight="251779072" behindDoc="0" locked="0" layoutInCell="1" allowOverlap="1" wp14:anchorId="4FB2329C" wp14:editId="78A66BC3">
            <wp:simplePos x="0" y="0"/>
            <wp:positionH relativeFrom="margin">
              <wp:align>center</wp:align>
            </wp:positionH>
            <wp:positionV relativeFrom="paragraph">
              <wp:posOffset>75829</wp:posOffset>
            </wp:positionV>
            <wp:extent cx="5357469" cy="2398143"/>
            <wp:effectExtent l="0" t="0" r="0" b="2540"/>
            <wp:wrapNone/>
            <wp:docPr id="15" name="Obraz 15" descr="Liczba mieszkań oddanych do użytkowania, liczba mieszkań, na których budowę wydano pozwolenia lub dokonano zgłoszenia z projektem budowlanym oraz liczba mieszkań, których budowę rozpoczęto w okresie styczeń- listopad 2022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69" cy="239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C69B5" w14:textId="18D6A835" w:rsidR="004905CF" w:rsidRDefault="004905CF" w:rsidP="00B24F84">
      <w:pPr>
        <w:spacing w:after="0" w:line="288" w:lineRule="auto"/>
        <w:rPr>
          <w:shd w:val="clear" w:color="auto" w:fill="FFFFFF"/>
        </w:rPr>
      </w:pPr>
    </w:p>
    <w:p w14:paraId="7DC005CA" w14:textId="4C09B1A8" w:rsidR="004905CF" w:rsidRDefault="004905CF" w:rsidP="00B24F84">
      <w:pPr>
        <w:spacing w:after="0" w:line="288" w:lineRule="auto"/>
        <w:rPr>
          <w:shd w:val="clear" w:color="auto" w:fill="FFFFFF"/>
        </w:rPr>
      </w:pPr>
    </w:p>
    <w:p w14:paraId="3FD108A6" w14:textId="17EDB0DA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514591CF" w14:textId="4E112BD8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74F7934E" w14:textId="44CF727D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58DB00C2" w14:textId="4A2459DB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64B90231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28960B56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1F3DAD8C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1C379C64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1C777B93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2ECC88AD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77A41941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4809D44B" w14:textId="1D61C0E5" w:rsidR="00694AF0" w:rsidRDefault="0078275D" w:rsidP="00B24F84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14:paraId="3C222B0C" w14:textId="40127774" w:rsidR="00DA331D" w:rsidRDefault="00DA331D" w:rsidP="00DA331D">
      <w:pPr>
        <w:spacing w:before="360"/>
        <w:rPr>
          <w:sz w:val="18"/>
        </w:rPr>
      </w:pPr>
    </w:p>
    <w:p w14:paraId="4F3FDCB2" w14:textId="44DDC96C"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0C4C70">
        <w:trPr>
          <w:trHeight w:val="1626"/>
        </w:trPr>
        <w:tc>
          <w:tcPr>
            <w:tcW w:w="4926" w:type="dxa"/>
          </w:tcPr>
          <w:p w14:paraId="05DA311F" w14:textId="5168B573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701CCEB5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41A1AE38" w14:textId="17205DDC"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5425F0B4" w14:textId="6801F424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141CC0" w14:paraId="28647E7C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076C640B" w14:textId="4EE8AFCC"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08E16EA6"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26907820"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631B9C9D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36A99721" w14:textId="77777777" w:rsidTr="000C4C70">
        <w:trPr>
          <w:trHeight w:val="418"/>
        </w:trPr>
        <w:tc>
          <w:tcPr>
            <w:tcW w:w="4926" w:type="dxa"/>
            <w:vMerge/>
          </w:tcPr>
          <w:p w14:paraId="3255344A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7335BAB1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549C3B1C" w14:textId="77777777" w:rsidTr="000C4C70">
        <w:trPr>
          <w:trHeight w:val="334"/>
        </w:trPr>
        <w:tc>
          <w:tcPr>
            <w:tcW w:w="4926" w:type="dxa"/>
            <w:vMerge/>
          </w:tcPr>
          <w:p w14:paraId="231798A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9120F2D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17D34B41" w14:textId="77777777" w:rsidTr="000C4C70">
        <w:trPr>
          <w:trHeight w:val="334"/>
        </w:trPr>
        <w:tc>
          <w:tcPr>
            <w:tcW w:w="4926" w:type="dxa"/>
          </w:tcPr>
          <w:p w14:paraId="3C0BDFC7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94A6E4" w14:textId="63DFBD2B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7CA30F25" w14:textId="77777777" w:rsidTr="000C4C70">
        <w:trPr>
          <w:trHeight w:val="334"/>
        </w:trPr>
        <w:tc>
          <w:tcPr>
            <w:tcW w:w="4926" w:type="dxa"/>
          </w:tcPr>
          <w:p w14:paraId="71FAF20E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24FA4C" w14:textId="322E360E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1AA0FF0B" w14:textId="77777777" w:rsidTr="000C4C70">
        <w:trPr>
          <w:trHeight w:val="953"/>
        </w:trPr>
        <w:tc>
          <w:tcPr>
            <w:tcW w:w="4926" w:type="dxa"/>
          </w:tcPr>
          <w:p w14:paraId="5CEAEDCA" w14:textId="6CD41E1E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BB14496" w14:textId="2265F82D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385E56C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30A3AFA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15E8D9B" w14:textId="320F9DA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036B5146" w14:textId="289D4001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9955D" w14:textId="384109B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3B83EDB2" w14:textId="22A15887" w:rsidR="008575EA" w:rsidRPr="00946F6D" w:rsidRDefault="00BE1564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55DA24D0" w14:textId="02FEE223"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EA624C" w14:textId="7B71D3CA" w:rsidR="008575EA" w:rsidRPr="00946F6D" w:rsidRDefault="00BE1564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14:paraId="45C9B847" w14:textId="60EF4414" w:rsidR="008575EA" w:rsidRPr="00946F6D" w:rsidRDefault="00BE1564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14:paraId="66AF5E3F" w14:textId="225AA2B5" w:rsidR="008575EA" w:rsidRPr="00946F6D" w:rsidRDefault="00BE1564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6EC7A51E" w14:textId="5F37315F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CA0222C" w14:textId="231935DF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764BA096" w14:textId="2F956B5A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E5C99F2" w14:textId="62B109CF" w:rsidR="008575EA" w:rsidRPr="00946F6D" w:rsidRDefault="00BE1564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32159E9A" w14:textId="09425F30" w:rsidR="00DE2400" w:rsidRPr="00417835" w:rsidRDefault="00DE2400" w:rsidP="00747B8C">
            <w:pPr>
              <w:rPr>
                <w:rStyle w:val="Hipercze"/>
              </w:rPr>
            </w:pPr>
          </w:p>
          <w:p w14:paraId="74120B68" w14:textId="0C052DCA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734C8732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3014159B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1F3E22AC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44AC38B8"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91CDDA7" w:rsidR="000470AA" w:rsidRDefault="000470AA" w:rsidP="000470AA">
      <w:pPr>
        <w:rPr>
          <w:sz w:val="20"/>
        </w:rPr>
      </w:pPr>
    </w:p>
    <w:p w14:paraId="21E45930" w14:textId="7976BFE4" w:rsidR="000470AA" w:rsidRDefault="000470AA" w:rsidP="000470AA">
      <w:pPr>
        <w:rPr>
          <w:sz w:val="18"/>
        </w:rPr>
      </w:pPr>
    </w:p>
    <w:p w14:paraId="7C19EFAE" w14:textId="5C8691BC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E37A9" w14:textId="77777777" w:rsidR="00BE1564" w:rsidRDefault="00BE1564" w:rsidP="000662E2">
      <w:pPr>
        <w:spacing w:after="0" w:line="240" w:lineRule="auto"/>
      </w:pPr>
      <w:r>
        <w:separator/>
      </w:r>
    </w:p>
  </w:endnote>
  <w:endnote w:type="continuationSeparator" w:id="0">
    <w:p w14:paraId="436796B1" w14:textId="77777777" w:rsidR="00BE1564" w:rsidRDefault="00BE156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0C6D9A17-CF43-49D9-A4DC-AB15A5274024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A604BD56-B84F-4065-B4EF-69B0837E9FF9}"/>
    <w:embedBold r:id="rId3" w:fontKey="{5979E0E3-A9AC-44D9-961E-1003301C44EE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A067A16A-C185-4ADF-909B-84C7D12D0408}"/>
    <w:embedBold r:id="rId5" w:subsetted="1" w:fontKey="{065ADF87-36C0-495F-B911-2D56833D4050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17AB3D01-ACE9-4239-AEBC-5DC83BEBCA94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B03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B0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B0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DA837" w14:textId="77777777" w:rsidR="00BE1564" w:rsidRDefault="00BE1564" w:rsidP="000662E2">
      <w:pPr>
        <w:spacing w:after="0" w:line="240" w:lineRule="auto"/>
      </w:pPr>
      <w:r>
        <w:separator/>
      </w:r>
    </w:p>
  </w:footnote>
  <w:footnote w:type="continuationSeparator" w:id="0">
    <w:p w14:paraId="0F456EE7" w14:textId="77777777" w:rsidR="00BE1564" w:rsidRDefault="00BE1564" w:rsidP="000662E2">
      <w:pPr>
        <w:spacing w:after="0" w:line="240" w:lineRule="auto"/>
      </w:pPr>
      <w:r>
        <w:continuationSeparator/>
      </w:r>
    </w:p>
  </w:footnote>
  <w:footnote w:id="1">
    <w:p w14:paraId="4E83B4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999" w14:textId="1AB94DCD"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993EC2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94277A" w14:textId="5A2E916C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0EEE6DB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12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620DEF3D"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8E3F99">
                            <w:t>1</w:t>
                          </w:r>
                          <w:r w:rsidR="00DD5C23">
                            <w:t>.</w:t>
                          </w:r>
                          <w:r w:rsidR="00511A82">
                            <w:t>1</w:t>
                          </w:r>
                          <w:r w:rsidR="008E3F99">
                            <w:t>2</w:t>
                          </w:r>
                          <w:r w:rsidR="00DD5C23">
                            <w:t>.2022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12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6C11Ci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71967FEA" w14:textId="620DEF3D"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8E3F99">
                      <w:t>1</w:t>
                    </w:r>
                    <w:r w:rsidR="00DD5C23">
                      <w:t>.</w:t>
                    </w:r>
                    <w:r w:rsidR="00511A82">
                      <w:t>1</w:t>
                    </w:r>
                    <w:r w:rsidR="008E3F99">
                      <w:t>2</w:t>
                    </w:r>
                    <w:bookmarkStart w:id="2" w:name="_GoBack"/>
                    <w:bookmarkEnd w:id="2"/>
                    <w:r w:rsidR="00DD5C23">
                      <w:t>.2022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5pt;height:123.5pt;visibility:visible;mso-wrap-style:square" o:bullet="t">
        <v:imagedata r:id="rId1" o:title=""/>
      </v:shape>
    </w:pict>
  </w:numPicBullet>
  <w:numPicBullet w:numPicBulletId="1">
    <w:pict>
      <v:shape id="_x0000_i1037" type="#_x0000_t75" style="width:124pt;height:123.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10204"/>
    <w:rsid w:val="000108B8"/>
    <w:rsid w:val="00013D22"/>
    <w:rsid w:val="000152F5"/>
    <w:rsid w:val="0002220D"/>
    <w:rsid w:val="00022429"/>
    <w:rsid w:val="00024DBE"/>
    <w:rsid w:val="00024F33"/>
    <w:rsid w:val="00027358"/>
    <w:rsid w:val="00035225"/>
    <w:rsid w:val="000439E6"/>
    <w:rsid w:val="0004582E"/>
    <w:rsid w:val="000470AA"/>
    <w:rsid w:val="00057A45"/>
    <w:rsid w:val="00057CA1"/>
    <w:rsid w:val="00057E11"/>
    <w:rsid w:val="000647A9"/>
    <w:rsid w:val="000662E2"/>
    <w:rsid w:val="00066883"/>
    <w:rsid w:val="00070238"/>
    <w:rsid w:val="00071B39"/>
    <w:rsid w:val="000727FE"/>
    <w:rsid w:val="00073B71"/>
    <w:rsid w:val="00074DD8"/>
    <w:rsid w:val="00075759"/>
    <w:rsid w:val="000806F7"/>
    <w:rsid w:val="00081181"/>
    <w:rsid w:val="000845F3"/>
    <w:rsid w:val="0008478F"/>
    <w:rsid w:val="00092305"/>
    <w:rsid w:val="000963FB"/>
    <w:rsid w:val="00097840"/>
    <w:rsid w:val="000A15C4"/>
    <w:rsid w:val="000A372D"/>
    <w:rsid w:val="000B02E8"/>
    <w:rsid w:val="000B0727"/>
    <w:rsid w:val="000B0BE0"/>
    <w:rsid w:val="000C135D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778"/>
    <w:rsid w:val="000E6227"/>
    <w:rsid w:val="000E79A9"/>
    <w:rsid w:val="000E7CAD"/>
    <w:rsid w:val="000F39BF"/>
    <w:rsid w:val="000F6DD3"/>
    <w:rsid w:val="001011C3"/>
    <w:rsid w:val="00103EF6"/>
    <w:rsid w:val="00104C53"/>
    <w:rsid w:val="00106DA3"/>
    <w:rsid w:val="00110214"/>
    <w:rsid w:val="00110D87"/>
    <w:rsid w:val="00112399"/>
    <w:rsid w:val="00114DB9"/>
    <w:rsid w:val="00116087"/>
    <w:rsid w:val="00117711"/>
    <w:rsid w:val="001219E6"/>
    <w:rsid w:val="001222BC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34CD"/>
    <w:rsid w:val="001448A7"/>
    <w:rsid w:val="00146621"/>
    <w:rsid w:val="00146ED3"/>
    <w:rsid w:val="00150DF6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80D78"/>
    <w:rsid w:val="001853FF"/>
    <w:rsid w:val="001861D5"/>
    <w:rsid w:val="001951DA"/>
    <w:rsid w:val="00196A73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61ED"/>
    <w:rsid w:val="001E41E0"/>
    <w:rsid w:val="001E5B2D"/>
    <w:rsid w:val="001E62A1"/>
    <w:rsid w:val="001F1855"/>
    <w:rsid w:val="001F4F07"/>
    <w:rsid w:val="001F5E53"/>
    <w:rsid w:val="0020156C"/>
    <w:rsid w:val="00204C30"/>
    <w:rsid w:val="002103D4"/>
    <w:rsid w:val="00211832"/>
    <w:rsid w:val="00213A1A"/>
    <w:rsid w:val="00216634"/>
    <w:rsid w:val="0022267D"/>
    <w:rsid w:val="00224210"/>
    <w:rsid w:val="002244A8"/>
    <w:rsid w:val="00232CCF"/>
    <w:rsid w:val="00242D31"/>
    <w:rsid w:val="00245964"/>
    <w:rsid w:val="0025481E"/>
    <w:rsid w:val="002574F9"/>
    <w:rsid w:val="002628BA"/>
    <w:rsid w:val="00262B61"/>
    <w:rsid w:val="00262CC6"/>
    <w:rsid w:val="00263E08"/>
    <w:rsid w:val="00265F51"/>
    <w:rsid w:val="00267F90"/>
    <w:rsid w:val="002707DF"/>
    <w:rsid w:val="0027364B"/>
    <w:rsid w:val="00275CB3"/>
    <w:rsid w:val="00276811"/>
    <w:rsid w:val="002809D2"/>
    <w:rsid w:val="00282699"/>
    <w:rsid w:val="002926DF"/>
    <w:rsid w:val="0029373C"/>
    <w:rsid w:val="00294283"/>
    <w:rsid w:val="00296697"/>
    <w:rsid w:val="0029709E"/>
    <w:rsid w:val="002A2E23"/>
    <w:rsid w:val="002B0472"/>
    <w:rsid w:val="002B68D2"/>
    <w:rsid w:val="002B6B12"/>
    <w:rsid w:val="002C21F0"/>
    <w:rsid w:val="002C4983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0E57"/>
    <w:rsid w:val="003031B9"/>
    <w:rsid w:val="00304F22"/>
    <w:rsid w:val="00306C7C"/>
    <w:rsid w:val="00313F84"/>
    <w:rsid w:val="00314F86"/>
    <w:rsid w:val="00316808"/>
    <w:rsid w:val="00317F4D"/>
    <w:rsid w:val="00317FB1"/>
    <w:rsid w:val="00322EDD"/>
    <w:rsid w:val="003309FA"/>
    <w:rsid w:val="00332320"/>
    <w:rsid w:val="00335FD3"/>
    <w:rsid w:val="0034251D"/>
    <w:rsid w:val="00347D72"/>
    <w:rsid w:val="00351173"/>
    <w:rsid w:val="00353F45"/>
    <w:rsid w:val="00354E9A"/>
    <w:rsid w:val="00357611"/>
    <w:rsid w:val="00363004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73B4"/>
    <w:rsid w:val="0038203B"/>
    <w:rsid w:val="003843DB"/>
    <w:rsid w:val="00385844"/>
    <w:rsid w:val="00390871"/>
    <w:rsid w:val="00393761"/>
    <w:rsid w:val="003937B9"/>
    <w:rsid w:val="00393CBC"/>
    <w:rsid w:val="00394E26"/>
    <w:rsid w:val="00396691"/>
    <w:rsid w:val="00396931"/>
    <w:rsid w:val="00396D4D"/>
    <w:rsid w:val="00397D18"/>
    <w:rsid w:val="003A1B36"/>
    <w:rsid w:val="003A5211"/>
    <w:rsid w:val="003A6083"/>
    <w:rsid w:val="003B1454"/>
    <w:rsid w:val="003B18B6"/>
    <w:rsid w:val="003C0D6B"/>
    <w:rsid w:val="003C161B"/>
    <w:rsid w:val="003C36D1"/>
    <w:rsid w:val="003C3A7B"/>
    <w:rsid w:val="003C3D47"/>
    <w:rsid w:val="003C4D66"/>
    <w:rsid w:val="003C59E0"/>
    <w:rsid w:val="003C6C8D"/>
    <w:rsid w:val="003D2656"/>
    <w:rsid w:val="003D37CB"/>
    <w:rsid w:val="003D4F95"/>
    <w:rsid w:val="003D5F42"/>
    <w:rsid w:val="003D60A9"/>
    <w:rsid w:val="003F19DE"/>
    <w:rsid w:val="003F24B9"/>
    <w:rsid w:val="003F459C"/>
    <w:rsid w:val="003F4C97"/>
    <w:rsid w:val="003F666D"/>
    <w:rsid w:val="003F7D45"/>
    <w:rsid w:val="003F7FE6"/>
    <w:rsid w:val="00400193"/>
    <w:rsid w:val="00401013"/>
    <w:rsid w:val="00405528"/>
    <w:rsid w:val="00410FAD"/>
    <w:rsid w:val="004141A9"/>
    <w:rsid w:val="00416EAF"/>
    <w:rsid w:val="00420FA6"/>
    <w:rsid w:val="004212E7"/>
    <w:rsid w:val="00423C88"/>
    <w:rsid w:val="0042446D"/>
    <w:rsid w:val="0042599A"/>
    <w:rsid w:val="00427BF8"/>
    <w:rsid w:val="0043115A"/>
    <w:rsid w:val="00431C02"/>
    <w:rsid w:val="00435EC9"/>
    <w:rsid w:val="00437395"/>
    <w:rsid w:val="00445047"/>
    <w:rsid w:val="00446749"/>
    <w:rsid w:val="00451FC8"/>
    <w:rsid w:val="00453EB7"/>
    <w:rsid w:val="00463E39"/>
    <w:rsid w:val="004647E0"/>
    <w:rsid w:val="004657FC"/>
    <w:rsid w:val="00471E79"/>
    <w:rsid w:val="00472B00"/>
    <w:rsid w:val="004733F6"/>
    <w:rsid w:val="00474E69"/>
    <w:rsid w:val="00476545"/>
    <w:rsid w:val="00477729"/>
    <w:rsid w:val="00483E9F"/>
    <w:rsid w:val="00485A2C"/>
    <w:rsid w:val="00487D98"/>
    <w:rsid w:val="004905CF"/>
    <w:rsid w:val="0049621B"/>
    <w:rsid w:val="004A16D2"/>
    <w:rsid w:val="004A1D19"/>
    <w:rsid w:val="004A269D"/>
    <w:rsid w:val="004A516E"/>
    <w:rsid w:val="004B3F4B"/>
    <w:rsid w:val="004C1895"/>
    <w:rsid w:val="004C6D40"/>
    <w:rsid w:val="004D0149"/>
    <w:rsid w:val="004E55D3"/>
    <w:rsid w:val="004E6AA8"/>
    <w:rsid w:val="004E77B1"/>
    <w:rsid w:val="004F0C3C"/>
    <w:rsid w:val="004F2280"/>
    <w:rsid w:val="004F23BB"/>
    <w:rsid w:val="004F4735"/>
    <w:rsid w:val="004F61D1"/>
    <w:rsid w:val="004F63FC"/>
    <w:rsid w:val="00504A57"/>
    <w:rsid w:val="00505A92"/>
    <w:rsid w:val="00511A82"/>
    <w:rsid w:val="005203F1"/>
    <w:rsid w:val="00521BC3"/>
    <w:rsid w:val="00522DF4"/>
    <w:rsid w:val="005232AF"/>
    <w:rsid w:val="005306D5"/>
    <w:rsid w:val="00532B63"/>
    <w:rsid w:val="00533632"/>
    <w:rsid w:val="00534013"/>
    <w:rsid w:val="0053401F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EDE"/>
    <w:rsid w:val="005554A3"/>
    <w:rsid w:val="00555CFB"/>
    <w:rsid w:val="005566DA"/>
    <w:rsid w:val="00556CF1"/>
    <w:rsid w:val="00557795"/>
    <w:rsid w:val="0056483A"/>
    <w:rsid w:val="0057524A"/>
    <w:rsid w:val="005762A7"/>
    <w:rsid w:val="005770BF"/>
    <w:rsid w:val="00580BA9"/>
    <w:rsid w:val="00587CEE"/>
    <w:rsid w:val="00590550"/>
    <w:rsid w:val="00590864"/>
    <w:rsid w:val="005916D7"/>
    <w:rsid w:val="0059427F"/>
    <w:rsid w:val="005947D5"/>
    <w:rsid w:val="00596220"/>
    <w:rsid w:val="0059798F"/>
    <w:rsid w:val="005A3FA5"/>
    <w:rsid w:val="005A4A15"/>
    <w:rsid w:val="005A698C"/>
    <w:rsid w:val="005A7A95"/>
    <w:rsid w:val="005B4329"/>
    <w:rsid w:val="005B4EF8"/>
    <w:rsid w:val="005C0CAC"/>
    <w:rsid w:val="005C2A45"/>
    <w:rsid w:val="005C60E4"/>
    <w:rsid w:val="005D05EC"/>
    <w:rsid w:val="005D062E"/>
    <w:rsid w:val="005D4B42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65D2"/>
    <w:rsid w:val="005E6BD1"/>
    <w:rsid w:val="005F232B"/>
    <w:rsid w:val="005F45EE"/>
    <w:rsid w:val="005F5A80"/>
    <w:rsid w:val="00600A20"/>
    <w:rsid w:val="0060108F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BB6"/>
    <w:rsid w:val="00664BCB"/>
    <w:rsid w:val="00665F10"/>
    <w:rsid w:val="006673CA"/>
    <w:rsid w:val="00673C26"/>
    <w:rsid w:val="00674DE5"/>
    <w:rsid w:val="006755BF"/>
    <w:rsid w:val="00677ACA"/>
    <w:rsid w:val="00680C85"/>
    <w:rsid w:val="006812AF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AE4"/>
    <w:rsid w:val="006C2107"/>
    <w:rsid w:val="006C26C7"/>
    <w:rsid w:val="006C4386"/>
    <w:rsid w:val="006C57B5"/>
    <w:rsid w:val="006D1507"/>
    <w:rsid w:val="006D282B"/>
    <w:rsid w:val="006D4054"/>
    <w:rsid w:val="006D650E"/>
    <w:rsid w:val="006D797D"/>
    <w:rsid w:val="006E02EC"/>
    <w:rsid w:val="006E042F"/>
    <w:rsid w:val="006E3C4F"/>
    <w:rsid w:val="006E6F41"/>
    <w:rsid w:val="006E73E6"/>
    <w:rsid w:val="006F63CF"/>
    <w:rsid w:val="0070206F"/>
    <w:rsid w:val="00703971"/>
    <w:rsid w:val="00710314"/>
    <w:rsid w:val="007110ED"/>
    <w:rsid w:val="00714114"/>
    <w:rsid w:val="0071578A"/>
    <w:rsid w:val="007211B1"/>
    <w:rsid w:val="00726ED0"/>
    <w:rsid w:val="007277DA"/>
    <w:rsid w:val="00731143"/>
    <w:rsid w:val="0073114E"/>
    <w:rsid w:val="00731D27"/>
    <w:rsid w:val="00732A44"/>
    <w:rsid w:val="00733546"/>
    <w:rsid w:val="00733B5E"/>
    <w:rsid w:val="00737E9B"/>
    <w:rsid w:val="007426A4"/>
    <w:rsid w:val="00742D5B"/>
    <w:rsid w:val="00746187"/>
    <w:rsid w:val="00746E92"/>
    <w:rsid w:val="00747407"/>
    <w:rsid w:val="007476BC"/>
    <w:rsid w:val="007527FB"/>
    <w:rsid w:val="00754744"/>
    <w:rsid w:val="0076254F"/>
    <w:rsid w:val="00770C54"/>
    <w:rsid w:val="00773345"/>
    <w:rsid w:val="007801F5"/>
    <w:rsid w:val="00781689"/>
    <w:rsid w:val="0078275D"/>
    <w:rsid w:val="00783CA4"/>
    <w:rsid w:val="007842FB"/>
    <w:rsid w:val="00786124"/>
    <w:rsid w:val="0079514B"/>
    <w:rsid w:val="00795252"/>
    <w:rsid w:val="007A051A"/>
    <w:rsid w:val="007A17DE"/>
    <w:rsid w:val="007A2DC1"/>
    <w:rsid w:val="007B34E9"/>
    <w:rsid w:val="007B4D3D"/>
    <w:rsid w:val="007C1001"/>
    <w:rsid w:val="007C316A"/>
    <w:rsid w:val="007C41ED"/>
    <w:rsid w:val="007C53F7"/>
    <w:rsid w:val="007D0126"/>
    <w:rsid w:val="007D02DB"/>
    <w:rsid w:val="007D07C7"/>
    <w:rsid w:val="007D0869"/>
    <w:rsid w:val="007D14C4"/>
    <w:rsid w:val="007D1F80"/>
    <w:rsid w:val="007D3319"/>
    <w:rsid w:val="007D335D"/>
    <w:rsid w:val="007D5265"/>
    <w:rsid w:val="007D605C"/>
    <w:rsid w:val="007D799A"/>
    <w:rsid w:val="007E3314"/>
    <w:rsid w:val="007E3514"/>
    <w:rsid w:val="007E4B03"/>
    <w:rsid w:val="007F324B"/>
    <w:rsid w:val="00801E8E"/>
    <w:rsid w:val="00802123"/>
    <w:rsid w:val="008052B9"/>
    <w:rsid w:val="0080553C"/>
    <w:rsid w:val="00805B46"/>
    <w:rsid w:val="00805DB4"/>
    <w:rsid w:val="008165F3"/>
    <w:rsid w:val="0082000A"/>
    <w:rsid w:val="0082150C"/>
    <w:rsid w:val="00822978"/>
    <w:rsid w:val="00823593"/>
    <w:rsid w:val="008257BA"/>
    <w:rsid w:val="00825DC2"/>
    <w:rsid w:val="00831818"/>
    <w:rsid w:val="00833CD6"/>
    <w:rsid w:val="00834AD3"/>
    <w:rsid w:val="00834C74"/>
    <w:rsid w:val="00836F4E"/>
    <w:rsid w:val="00843795"/>
    <w:rsid w:val="00847F0F"/>
    <w:rsid w:val="00851002"/>
    <w:rsid w:val="00852448"/>
    <w:rsid w:val="008575EA"/>
    <w:rsid w:val="00861460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B2151"/>
    <w:rsid w:val="008B26C9"/>
    <w:rsid w:val="008B581D"/>
    <w:rsid w:val="008C0C29"/>
    <w:rsid w:val="008D02DA"/>
    <w:rsid w:val="008D76BC"/>
    <w:rsid w:val="008E3F99"/>
    <w:rsid w:val="008E7DBA"/>
    <w:rsid w:val="008F0829"/>
    <w:rsid w:val="008F3638"/>
    <w:rsid w:val="008F4441"/>
    <w:rsid w:val="008F6850"/>
    <w:rsid w:val="008F6B20"/>
    <w:rsid w:val="008F6F31"/>
    <w:rsid w:val="008F74DF"/>
    <w:rsid w:val="008F7C67"/>
    <w:rsid w:val="00902274"/>
    <w:rsid w:val="0091083F"/>
    <w:rsid w:val="00912473"/>
    <w:rsid w:val="009127BA"/>
    <w:rsid w:val="00916D33"/>
    <w:rsid w:val="00920AAE"/>
    <w:rsid w:val="009227A6"/>
    <w:rsid w:val="0092355A"/>
    <w:rsid w:val="00933EC1"/>
    <w:rsid w:val="00942F87"/>
    <w:rsid w:val="009446AD"/>
    <w:rsid w:val="00945279"/>
    <w:rsid w:val="009465D9"/>
    <w:rsid w:val="00946F6D"/>
    <w:rsid w:val="009476B3"/>
    <w:rsid w:val="009530DB"/>
    <w:rsid w:val="00953676"/>
    <w:rsid w:val="00955FD3"/>
    <w:rsid w:val="00956F30"/>
    <w:rsid w:val="009579D4"/>
    <w:rsid w:val="00963D80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61C8"/>
    <w:rsid w:val="00987C33"/>
    <w:rsid w:val="009908DA"/>
    <w:rsid w:val="00991BAC"/>
    <w:rsid w:val="00992853"/>
    <w:rsid w:val="009A2390"/>
    <w:rsid w:val="009A6EA0"/>
    <w:rsid w:val="009A7D38"/>
    <w:rsid w:val="009B0EF3"/>
    <w:rsid w:val="009B12CC"/>
    <w:rsid w:val="009B1E25"/>
    <w:rsid w:val="009B28D1"/>
    <w:rsid w:val="009C1335"/>
    <w:rsid w:val="009C143C"/>
    <w:rsid w:val="009C1AB2"/>
    <w:rsid w:val="009C3EB8"/>
    <w:rsid w:val="009C665C"/>
    <w:rsid w:val="009C7251"/>
    <w:rsid w:val="009D1F9F"/>
    <w:rsid w:val="009D500E"/>
    <w:rsid w:val="009D6446"/>
    <w:rsid w:val="009D74A4"/>
    <w:rsid w:val="009E08DA"/>
    <w:rsid w:val="009E229C"/>
    <w:rsid w:val="009E2769"/>
    <w:rsid w:val="009E2E91"/>
    <w:rsid w:val="009E670D"/>
    <w:rsid w:val="009F37F2"/>
    <w:rsid w:val="009F4837"/>
    <w:rsid w:val="00A01B40"/>
    <w:rsid w:val="00A139F5"/>
    <w:rsid w:val="00A156FF"/>
    <w:rsid w:val="00A157B7"/>
    <w:rsid w:val="00A17742"/>
    <w:rsid w:val="00A227C0"/>
    <w:rsid w:val="00A26854"/>
    <w:rsid w:val="00A26FF6"/>
    <w:rsid w:val="00A27EDD"/>
    <w:rsid w:val="00A31734"/>
    <w:rsid w:val="00A32E16"/>
    <w:rsid w:val="00A365F4"/>
    <w:rsid w:val="00A42AE6"/>
    <w:rsid w:val="00A47D80"/>
    <w:rsid w:val="00A53132"/>
    <w:rsid w:val="00A5434C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CA1"/>
    <w:rsid w:val="00A82D31"/>
    <w:rsid w:val="00A84296"/>
    <w:rsid w:val="00A85E7E"/>
    <w:rsid w:val="00A86ECC"/>
    <w:rsid w:val="00A86FCC"/>
    <w:rsid w:val="00A90A6D"/>
    <w:rsid w:val="00A94093"/>
    <w:rsid w:val="00A9428D"/>
    <w:rsid w:val="00A94DDF"/>
    <w:rsid w:val="00A969FF"/>
    <w:rsid w:val="00A971E5"/>
    <w:rsid w:val="00AA2F0E"/>
    <w:rsid w:val="00AA2F63"/>
    <w:rsid w:val="00AA4E8A"/>
    <w:rsid w:val="00AA62DB"/>
    <w:rsid w:val="00AA641F"/>
    <w:rsid w:val="00AA710D"/>
    <w:rsid w:val="00AB192C"/>
    <w:rsid w:val="00AB37BC"/>
    <w:rsid w:val="00AB64F3"/>
    <w:rsid w:val="00AB6D25"/>
    <w:rsid w:val="00AC02BC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AF0C34"/>
    <w:rsid w:val="00AF1C33"/>
    <w:rsid w:val="00AF1FE9"/>
    <w:rsid w:val="00AF3088"/>
    <w:rsid w:val="00AF46A1"/>
    <w:rsid w:val="00B0047E"/>
    <w:rsid w:val="00B11B69"/>
    <w:rsid w:val="00B11F78"/>
    <w:rsid w:val="00B13921"/>
    <w:rsid w:val="00B14952"/>
    <w:rsid w:val="00B16871"/>
    <w:rsid w:val="00B20DE1"/>
    <w:rsid w:val="00B24F84"/>
    <w:rsid w:val="00B25B45"/>
    <w:rsid w:val="00B30026"/>
    <w:rsid w:val="00B30114"/>
    <w:rsid w:val="00B31C38"/>
    <w:rsid w:val="00B31E5A"/>
    <w:rsid w:val="00B3710B"/>
    <w:rsid w:val="00B43075"/>
    <w:rsid w:val="00B4309F"/>
    <w:rsid w:val="00B45052"/>
    <w:rsid w:val="00B45E3F"/>
    <w:rsid w:val="00B47359"/>
    <w:rsid w:val="00B525B3"/>
    <w:rsid w:val="00B530F8"/>
    <w:rsid w:val="00B54288"/>
    <w:rsid w:val="00B60D04"/>
    <w:rsid w:val="00B653AB"/>
    <w:rsid w:val="00B65C40"/>
    <w:rsid w:val="00B65F9E"/>
    <w:rsid w:val="00B66B19"/>
    <w:rsid w:val="00B71BD1"/>
    <w:rsid w:val="00B73C02"/>
    <w:rsid w:val="00B74130"/>
    <w:rsid w:val="00B813A2"/>
    <w:rsid w:val="00B85F30"/>
    <w:rsid w:val="00B914E9"/>
    <w:rsid w:val="00B92E32"/>
    <w:rsid w:val="00B933F2"/>
    <w:rsid w:val="00B95343"/>
    <w:rsid w:val="00B956EE"/>
    <w:rsid w:val="00BA2BA1"/>
    <w:rsid w:val="00BA3447"/>
    <w:rsid w:val="00BA3562"/>
    <w:rsid w:val="00BA682B"/>
    <w:rsid w:val="00BB4F09"/>
    <w:rsid w:val="00BB5C6D"/>
    <w:rsid w:val="00BC25BA"/>
    <w:rsid w:val="00BC2D48"/>
    <w:rsid w:val="00BC2F14"/>
    <w:rsid w:val="00BC646E"/>
    <w:rsid w:val="00BD047C"/>
    <w:rsid w:val="00BD3FC5"/>
    <w:rsid w:val="00BD4445"/>
    <w:rsid w:val="00BD4E33"/>
    <w:rsid w:val="00BE1564"/>
    <w:rsid w:val="00BF0B34"/>
    <w:rsid w:val="00BF0F9E"/>
    <w:rsid w:val="00BF246A"/>
    <w:rsid w:val="00BF74FB"/>
    <w:rsid w:val="00C002A0"/>
    <w:rsid w:val="00C030DE"/>
    <w:rsid w:val="00C051A8"/>
    <w:rsid w:val="00C11539"/>
    <w:rsid w:val="00C162C4"/>
    <w:rsid w:val="00C17B03"/>
    <w:rsid w:val="00C22105"/>
    <w:rsid w:val="00C221A0"/>
    <w:rsid w:val="00C240FE"/>
    <w:rsid w:val="00C244B6"/>
    <w:rsid w:val="00C2512A"/>
    <w:rsid w:val="00C27BF1"/>
    <w:rsid w:val="00C30F26"/>
    <w:rsid w:val="00C31482"/>
    <w:rsid w:val="00C31B49"/>
    <w:rsid w:val="00C35967"/>
    <w:rsid w:val="00C3702F"/>
    <w:rsid w:val="00C423B3"/>
    <w:rsid w:val="00C4363C"/>
    <w:rsid w:val="00C4500A"/>
    <w:rsid w:val="00C456AD"/>
    <w:rsid w:val="00C51A44"/>
    <w:rsid w:val="00C566A2"/>
    <w:rsid w:val="00C57A7E"/>
    <w:rsid w:val="00C62238"/>
    <w:rsid w:val="00C62A7E"/>
    <w:rsid w:val="00C63D50"/>
    <w:rsid w:val="00C63DBB"/>
    <w:rsid w:val="00C64A37"/>
    <w:rsid w:val="00C7158E"/>
    <w:rsid w:val="00C7250B"/>
    <w:rsid w:val="00C7346B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1687"/>
    <w:rsid w:val="00C924A8"/>
    <w:rsid w:val="00C945FE"/>
    <w:rsid w:val="00C961CF"/>
    <w:rsid w:val="00C96FAA"/>
    <w:rsid w:val="00C97A04"/>
    <w:rsid w:val="00CA107B"/>
    <w:rsid w:val="00CA484D"/>
    <w:rsid w:val="00CA4FB6"/>
    <w:rsid w:val="00CA6321"/>
    <w:rsid w:val="00CA6613"/>
    <w:rsid w:val="00CA7BFA"/>
    <w:rsid w:val="00CB0A86"/>
    <w:rsid w:val="00CB2F90"/>
    <w:rsid w:val="00CB46F1"/>
    <w:rsid w:val="00CB6AD4"/>
    <w:rsid w:val="00CC739E"/>
    <w:rsid w:val="00CD1EBB"/>
    <w:rsid w:val="00CD28CF"/>
    <w:rsid w:val="00CD4A90"/>
    <w:rsid w:val="00CD58B7"/>
    <w:rsid w:val="00CD6D30"/>
    <w:rsid w:val="00CD764E"/>
    <w:rsid w:val="00CD7967"/>
    <w:rsid w:val="00CE2AFA"/>
    <w:rsid w:val="00CE4D5F"/>
    <w:rsid w:val="00CE7548"/>
    <w:rsid w:val="00CF0C7D"/>
    <w:rsid w:val="00CF18EE"/>
    <w:rsid w:val="00CF30BD"/>
    <w:rsid w:val="00CF4099"/>
    <w:rsid w:val="00CF5255"/>
    <w:rsid w:val="00CF6DFF"/>
    <w:rsid w:val="00D00796"/>
    <w:rsid w:val="00D019E7"/>
    <w:rsid w:val="00D01F12"/>
    <w:rsid w:val="00D01FA2"/>
    <w:rsid w:val="00D04A00"/>
    <w:rsid w:val="00D12735"/>
    <w:rsid w:val="00D2057C"/>
    <w:rsid w:val="00D261A2"/>
    <w:rsid w:val="00D32F11"/>
    <w:rsid w:val="00D35826"/>
    <w:rsid w:val="00D378BA"/>
    <w:rsid w:val="00D47214"/>
    <w:rsid w:val="00D47601"/>
    <w:rsid w:val="00D51630"/>
    <w:rsid w:val="00D52949"/>
    <w:rsid w:val="00D561A3"/>
    <w:rsid w:val="00D56EFC"/>
    <w:rsid w:val="00D6101D"/>
    <w:rsid w:val="00D616D2"/>
    <w:rsid w:val="00D62809"/>
    <w:rsid w:val="00D63B5F"/>
    <w:rsid w:val="00D7002A"/>
    <w:rsid w:val="00D70EF7"/>
    <w:rsid w:val="00D7209F"/>
    <w:rsid w:val="00D80AE2"/>
    <w:rsid w:val="00D8397C"/>
    <w:rsid w:val="00D858CC"/>
    <w:rsid w:val="00D85BA8"/>
    <w:rsid w:val="00D86407"/>
    <w:rsid w:val="00D87838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7C1C"/>
    <w:rsid w:val="00DB147A"/>
    <w:rsid w:val="00DB1B7A"/>
    <w:rsid w:val="00DB1D6E"/>
    <w:rsid w:val="00DB42F7"/>
    <w:rsid w:val="00DB589E"/>
    <w:rsid w:val="00DB706E"/>
    <w:rsid w:val="00DC40C7"/>
    <w:rsid w:val="00DC6708"/>
    <w:rsid w:val="00DC7612"/>
    <w:rsid w:val="00DD011A"/>
    <w:rsid w:val="00DD0E85"/>
    <w:rsid w:val="00DD0EF5"/>
    <w:rsid w:val="00DD197E"/>
    <w:rsid w:val="00DD1CA7"/>
    <w:rsid w:val="00DD2C6A"/>
    <w:rsid w:val="00DD5C23"/>
    <w:rsid w:val="00DE2400"/>
    <w:rsid w:val="00DE58F1"/>
    <w:rsid w:val="00DE6B58"/>
    <w:rsid w:val="00DF1BD1"/>
    <w:rsid w:val="00DF424A"/>
    <w:rsid w:val="00DF5E32"/>
    <w:rsid w:val="00DF6DEA"/>
    <w:rsid w:val="00E01436"/>
    <w:rsid w:val="00E03E79"/>
    <w:rsid w:val="00E045BD"/>
    <w:rsid w:val="00E04782"/>
    <w:rsid w:val="00E04D6C"/>
    <w:rsid w:val="00E06C71"/>
    <w:rsid w:val="00E109E9"/>
    <w:rsid w:val="00E11B4D"/>
    <w:rsid w:val="00E126F7"/>
    <w:rsid w:val="00E14D13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395B"/>
    <w:rsid w:val="00E63B0C"/>
    <w:rsid w:val="00E664C5"/>
    <w:rsid w:val="00E671A2"/>
    <w:rsid w:val="00E67D16"/>
    <w:rsid w:val="00E723A4"/>
    <w:rsid w:val="00E76D26"/>
    <w:rsid w:val="00E76EE5"/>
    <w:rsid w:val="00E77195"/>
    <w:rsid w:val="00E83999"/>
    <w:rsid w:val="00E95B8E"/>
    <w:rsid w:val="00E96416"/>
    <w:rsid w:val="00E96D55"/>
    <w:rsid w:val="00EA5797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C109D"/>
    <w:rsid w:val="00EC4714"/>
    <w:rsid w:val="00EC66BB"/>
    <w:rsid w:val="00ED016B"/>
    <w:rsid w:val="00ED29B3"/>
    <w:rsid w:val="00ED55C0"/>
    <w:rsid w:val="00ED61F4"/>
    <w:rsid w:val="00ED682B"/>
    <w:rsid w:val="00EE3845"/>
    <w:rsid w:val="00EE3D14"/>
    <w:rsid w:val="00EE41D5"/>
    <w:rsid w:val="00EF0C25"/>
    <w:rsid w:val="00EF2FD9"/>
    <w:rsid w:val="00EF449D"/>
    <w:rsid w:val="00F0166F"/>
    <w:rsid w:val="00F017A4"/>
    <w:rsid w:val="00F01EBC"/>
    <w:rsid w:val="00F037A4"/>
    <w:rsid w:val="00F049AB"/>
    <w:rsid w:val="00F0522F"/>
    <w:rsid w:val="00F07252"/>
    <w:rsid w:val="00F142D2"/>
    <w:rsid w:val="00F142DB"/>
    <w:rsid w:val="00F14C5C"/>
    <w:rsid w:val="00F254D3"/>
    <w:rsid w:val="00F265BC"/>
    <w:rsid w:val="00F27C8F"/>
    <w:rsid w:val="00F32749"/>
    <w:rsid w:val="00F37172"/>
    <w:rsid w:val="00F41A54"/>
    <w:rsid w:val="00F4477E"/>
    <w:rsid w:val="00F46269"/>
    <w:rsid w:val="00F5119A"/>
    <w:rsid w:val="00F51B42"/>
    <w:rsid w:val="00F52F81"/>
    <w:rsid w:val="00F5533C"/>
    <w:rsid w:val="00F60427"/>
    <w:rsid w:val="00F60BA8"/>
    <w:rsid w:val="00F65B5B"/>
    <w:rsid w:val="00F65EC5"/>
    <w:rsid w:val="00F67D8F"/>
    <w:rsid w:val="00F72307"/>
    <w:rsid w:val="00F72DA9"/>
    <w:rsid w:val="00F75661"/>
    <w:rsid w:val="00F75AA4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3173"/>
    <w:rsid w:val="00FA5128"/>
    <w:rsid w:val="00FA554F"/>
    <w:rsid w:val="00FA5B7A"/>
    <w:rsid w:val="00FB42D4"/>
    <w:rsid w:val="00FB5906"/>
    <w:rsid w:val="00FB5CAC"/>
    <w:rsid w:val="00FB5D61"/>
    <w:rsid w:val="00FB762F"/>
    <w:rsid w:val="00FB77D1"/>
    <w:rsid w:val="00FC0A2D"/>
    <w:rsid w:val="00FC2AED"/>
    <w:rsid w:val="00FD2877"/>
    <w:rsid w:val="00FD329D"/>
    <w:rsid w:val="00FD5EA7"/>
    <w:rsid w:val="00FD7480"/>
    <w:rsid w:val="00FD758E"/>
    <w:rsid w:val="00FE36CF"/>
    <w:rsid w:val="00FE576B"/>
    <w:rsid w:val="00FE6DDE"/>
    <w:rsid w:val="00FF0246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budownictwo_mieszkaniowe_w_okresie_styczen-sierpien_2022_r.docx.docx</NazwaPliku>
    <Odbiorcy2 xmlns="AD3641B4-23D9-4536-AF9E-7D0EADDEB824" xsi:nil="true"/>
    <Osoba xmlns="AD3641B4-23D9-4536-AF9E-7D0EADDEB824">STAT\CzarneckaK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372E7377-5C19-4C3C-85B7-840FCB619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A97BA-E287-4543-ACC1-AFCAB7A8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Główny Urząd Statystyczny</dc:creator>
  <cp:keywords>mieszkania oddane do użytkowania; mieszkania w budowie; mieszkania rozpoczęte; pozwolenie na budowę; owierzchnia użytkowa</cp:keywords>
  <dc:description/>
  <cp:lastPrinted>2019-02-21T09:45:00Z</cp:lastPrinted>
  <dcterms:created xsi:type="dcterms:W3CDTF">2022-12-19T06:22:00Z</dcterms:created>
  <dcterms:modified xsi:type="dcterms:W3CDTF">2022-12-19T08:01:00Z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LUB-OSB.6360.3.2022.17</vt:lpwstr>
  </property>
  <property fmtid="{D5CDD505-2E9C-101B-9397-08002B2CF9AE}" pid="4" name="UNPPisma">
    <vt:lpwstr>2022-208319</vt:lpwstr>
  </property>
  <property fmtid="{D5CDD505-2E9C-101B-9397-08002B2CF9AE}" pid="5" name="ZnakSprawy">
    <vt:lpwstr>LUB-OSB.6360.3.2022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Informacja sygnalna "Budownictwo mieszkaniowe w okresie styczeń-sierpień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