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008B5C" w14:textId="6A3ECB0C" w:rsidR="00393761" w:rsidRPr="007D605C" w:rsidRDefault="00DD5C23" w:rsidP="00F049AB">
      <w:pPr>
        <w:pStyle w:val="Tytuinfomacjisygnalnej"/>
      </w:pPr>
      <w:r w:rsidRPr="00DD5C23">
        <w:t>Budownictwo mieszkaniowe</w:t>
      </w:r>
      <w:r w:rsidR="00354E9A" w:rsidRPr="00B678B9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styczeń-marzec</w:t>
      </w:r>
      <w:bookmarkStart w:id="0" w:name="_GoBack"/>
      <w:bookmarkEnd w:id="0"/>
      <w:r w:rsidR="00224210">
        <w:t xml:space="preserve"> 2022</w:t>
      </w:r>
      <w:r w:rsidRPr="00DD5C23">
        <w:t xml:space="preserve"> r.</w:t>
      </w:r>
      <w:r w:rsidR="00364AF9" w:rsidRPr="007D605C">
        <w:rPr>
          <w:sz w:val="32"/>
        </w:rPr>
        <w:tab/>
      </w:r>
    </w:p>
    <w:p w14:paraId="1E690351" w14:textId="00A57BB0" w:rsidR="00DE58F1" w:rsidRPr="007D0869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6DBE372F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103,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77A78044" w:rsidR="005C0CAC" w:rsidRPr="007D605C" w:rsidRDefault="00DD197E" w:rsidP="00CE2AFA">
                            <w:pPr>
                              <w:pStyle w:val="Ikonawskanika"/>
                            </w:pPr>
                            <w:r w:rsidRPr="00DD197E">
                              <w:sym w:font="Wingdings" w:char="F0F1"/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103,2</w:t>
                            </w:r>
                          </w:p>
                          <w:p w14:paraId="63B3F253" w14:textId="3A66C1C4" w:rsidR="005C0CAC" w:rsidRPr="007D605C" w:rsidRDefault="00354E9A" w:rsidP="00354E9A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Dynamika liczby mieszkań oddanych do użytkowania 103,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" fillcolor="#001d77" stroked="f">
                <v:stroke joinstyle="miter"/>
                <v:textbox>
                  <w:txbxContent>
                    <w:p w14:paraId="30951E30" w14:textId="77A78044" w:rsidR="005C0CAC" w:rsidRPr="007D605C" w:rsidRDefault="00DD197E" w:rsidP="00CE2AFA">
                      <w:pPr>
                        <w:pStyle w:val="Ikonawskanika"/>
                      </w:pPr>
                      <w:r w:rsidRPr="00DD197E">
                        <w:sym w:font="Wingdings" w:char="F0F1"/>
                      </w:r>
                      <w:r>
                        <w:t xml:space="preserve"> </w:t>
                      </w:r>
                      <w:r>
                        <w:rPr>
                          <w:rStyle w:val="WartowskanikaZnak"/>
                        </w:rPr>
                        <w:t>103,2</w:t>
                      </w:r>
                    </w:p>
                    <w:p w14:paraId="63B3F253" w14:textId="3A66C1C4" w:rsidR="005C0CAC" w:rsidRPr="007D605C" w:rsidRDefault="00354E9A" w:rsidP="00354E9A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7D605C">
        <w:rPr>
          <w:color w:val="001D77"/>
        </w:rPr>
        <w:t xml:space="preserve"> </w:t>
      </w:r>
      <w:r w:rsidR="00A90A6D" w:rsidRPr="007D605C">
        <w:br/>
      </w:r>
      <w:r w:rsidR="00354E9A" w:rsidRPr="00D019E7">
        <w:t>W</w:t>
      </w:r>
      <w:r w:rsidR="00B95343" w:rsidRPr="00D019E7">
        <w:t xml:space="preserve"> </w:t>
      </w:r>
      <w:r w:rsidR="00DD197E">
        <w:t>pierwszym kwartale</w:t>
      </w:r>
      <w:r w:rsidR="00E34D1F" w:rsidRPr="00D019E7">
        <w:t xml:space="preserve"> </w:t>
      </w:r>
      <w:r w:rsidR="00B95343" w:rsidRPr="00D019E7">
        <w:t>2022</w:t>
      </w:r>
      <w:r w:rsidR="00354E9A" w:rsidRPr="00D019E7">
        <w:t xml:space="preserve"> roku oddano do </w:t>
      </w:r>
      <w:r w:rsidR="00B95343" w:rsidRPr="00D019E7">
        <w:t xml:space="preserve">użytkowania </w:t>
      </w:r>
      <w:r w:rsidR="00DD197E">
        <w:t>więcej</w:t>
      </w:r>
      <w:r w:rsidR="00354E9A" w:rsidRPr="00D019E7">
        <w:t xml:space="preserve"> mieszkań niż przed rokiem. </w:t>
      </w:r>
      <w:r w:rsidR="009861C8" w:rsidRPr="00D019E7">
        <w:t>Spadła</w:t>
      </w:r>
      <w:r w:rsidR="00354E9A" w:rsidRPr="00D019E7">
        <w:t xml:space="preserve"> </w:t>
      </w:r>
      <w:r w:rsidR="00DD197E">
        <w:t>natomiast</w:t>
      </w:r>
      <w:r w:rsidR="00354E9A" w:rsidRPr="00D019E7">
        <w:t xml:space="preserve"> liczba mieszkań, na których budowę wydano pozwolenia </w:t>
      </w:r>
      <w:r w:rsidR="00354E9A" w:rsidRPr="00354E9A">
        <w:t>lub dokonano zgłoszenia z projektem budowlanym oraz liczba mieszkań, których budowę rozpoczęto.</w:t>
      </w:r>
      <w:r w:rsidR="00DE6B58" w:rsidRPr="00D8143C">
        <w:t xml:space="preserve"> </w:t>
      </w:r>
    </w:p>
    <w:p w14:paraId="3DB10F9F" w14:textId="7234040F" w:rsidR="00E95B8E" w:rsidRDefault="000647A9" w:rsidP="00E95B8E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42EFD861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 indywidualni oddali do użytkowania odpowiednio 53,6% i 44,2% ogólnej liczby mieszkań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28B770FF" w:rsidR="00D616D2" w:rsidRPr="00E95B8E" w:rsidRDefault="00354E9A" w:rsidP="005F45EE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 w:rsidRPr="00354E9A">
                              <w:t>Deweloperzy i inwestorzy</w:t>
                            </w:r>
                            <w:r w:rsidR="00CE2AFA">
                              <w:br/>
                            </w:r>
                            <w:r w:rsidRPr="00354E9A">
                              <w:t xml:space="preserve">indywidualni oddali do użytkowania odpowiednio </w:t>
                            </w:r>
                            <w:r w:rsidR="001853FF">
                              <w:t>53,6</w:t>
                            </w:r>
                            <w:r w:rsidRPr="00354E9A">
                              <w:t>% i</w:t>
                            </w:r>
                            <w:r>
                              <w:t> </w:t>
                            </w:r>
                            <w:r w:rsidR="001853FF">
                              <w:t>44,2</w:t>
                            </w:r>
                            <w:r w:rsidRPr="00354E9A">
                              <w:t xml:space="preserve">% ogólnej liczby </w:t>
                            </w:r>
                            <w:r w:rsidR="00CE2AFA">
                              <w:br/>
                            </w:r>
                            <w:r w:rsidRPr="00354E9A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eweloperzy i inwestorzy indywidualni oddali do użytkowania odpowiednio 53,6% i 44,2% ogólnej liczby mieszkań&#10;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" filled="f" stroked="f">
                <v:textbox>
                  <w:txbxContent>
                    <w:p w14:paraId="66113316" w14:textId="28B770FF" w:rsidR="00D616D2" w:rsidRPr="00E95B8E" w:rsidRDefault="00354E9A" w:rsidP="005F45EE">
                      <w:pPr>
                        <w:pStyle w:val="tekstzboku"/>
                        <w:rPr>
                          <w:bCs w:val="0"/>
                        </w:rPr>
                      </w:pPr>
                      <w:r w:rsidRPr="00354E9A">
                        <w:t>Deweloperzy i inwestorzy</w:t>
                      </w:r>
                      <w:r w:rsidR="00CE2AFA">
                        <w:br/>
                      </w:r>
                      <w:r w:rsidRPr="00354E9A">
                        <w:t xml:space="preserve">indywidualni oddali do użytkowania odpowiednio </w:t>
                      </w:r>
                      <w:r w:rsidR="001853FF">
                        <w:t>53,6</w:t>
                      </w:r>
                      <w:r w:rsidRPr="00354E9A">
                        <w:t>% i</w:t>
                      </w:r>
                      <w:r>
                        <w:t> </w:t>
                      </w:r>
                      <w:r w:rsidR="001853FF">
                        <w:t>44,2</w:t>
                      </w:r>
                      <w:r w:rsidRPr="00354E9A">
                        <w:t xml:space="preserve">% ogólnej liczby </w:t>
                      </w:r>
                      <w:r w:rsidR="00CE2AFA">
                        <w:br/>
                      </w:r>
                      <w:r w:rsidRPr="00354E9A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B6AD4" w:rsidRPr="00E231AB">
        <w:rPr>
          <w:shd w:val="clear" w:color="auto" w:fill="FFFFFF"/>
        </w:rPr>
        <w:br/>
      </w:r>
      <w:r w:rsidR="00354E9A" w:rsidRPr="00354E9A">
        <w:rPr>
          <w:rFonts w:ascii="Fira Sans" w:hAnsi="Fira Sans"/>
          <w:b/>
          <w:szCs w:val="19"/>
        </w:rPr>
        <w:t>Mieszkania oddane do użytkowania</w:t>
      </w:r>
    </w:p>
    <w:p w14:paraId="3D8F5A0A" w14:textId="0C620CE2" w:rsidR="00354E9A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>Według wstępnych danych</w:t>
      </w:r>
      <w:r w:rsidRPr="00A31734">
        <w:rPr>
          <w:rFonts w:eastAsia="Times New Roman" w:cs="Times New Roman"/>
          <w:spacing w:val="-2"/>
          <w:szCs w:val="19"/>
          <w:lang w:eastAsia="pl-PL"/>
        </w:rPr>
        <w:t>, w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E34D1F" w:rsidRPr="00A31734">
        <w:rPr>
          <w:rFonts w:eastAsia="Times New Roman" w:cs="Times New Roman"/>
          <w:spacing w:val="-2"/>
          <w:szCs w:val="19"/>
          <w:lang w:eastAsia="pl-PL"/>
        </w:rPr>
        <w:t>okresie styczeń-</w:t>
      </w:r>
      <w:r w:rsidR="00DD197E">
        <w:rPr>
          <w:rFonts w:eastAsia="Times New Roman" w:cs="Times New Roman"/>
          <w:spacing w:val="-2"/>
          <w:szCs w:val="19"/>
          <w:lang w:eastAsia="pl-PL"/>
        </w:rPr>
        <w:t>marzec</w:t>
      </w:r>
      <w:r w:rsidR="00E34D1F"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="00600A20" w:rsidRPr="00A31734">
        <w:rPr>
          <w:rFonts w:eastAsia="Times New Roman" w:cs="Times New Roman"/>
          <w:spacing w:val="-2"/>
          <w:szCs w:val="19"/>
          <w:lang w:eastAsia="pl-PL"/>
        </w:rPr>
        <w:t>2022</w:t>
      </w:r>
      <w:r w:rsidRPr="00A31734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roku oddano do użytkowania </w:t>
      </w:r>
      <w:r w:rsidR="001853FF">
        <w:rPr>
          <w:rFonts w:eastAsia="Times New Roman" w:cs="Times New Roman"/>
          <w:spacing w:val="-2"/>
          <w:szCs w:val="19"/>
          <w:lang w:eastAsia="pl-PL"/>
        </w:rPr>
        <w:t>54</w:t>
      </w:r>
      <w:r w:rsidR="00E3471B">
        <w:rPr>
          <w:rFonts w:eastAsia="Times New Roman" w:cs="Times New Roman"/>
          <w:spacing w:val="-2"/>
          <w:szCs w:val="19"/>
          <w:lang w:eastAsia="pl-PL"/>
        </w:rPr>
        <w:t>,7</w:t>
      </w:r>
      <w:r w:rsidR="00010204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tys. mieszkań, </w:t>
      </w:r>
      <w:r w:rsidR="001853FF">
        <w:rPr>
          <w:rFonts w:eastAsia="Times New Roman" w:cs="Times New Roman"/>
          <w:spacing w:val="-2"/>
          <w:szCs w:val="19"/>
          <w:lang w:eastAsia="pl-PL"/>
        </w:rPr>
        <w:t>tj. 3,2%</w:t>
      </w:r>
      <w:r w:rsidRPr="00D2057C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>więcej niż w roku ubiegłym</w:t>
      </w:r>
      <w:r w:rsidRPr="00D2057C">
        <w:rPr>
          <w:rFonts w:eastAsia="Times New Roman" w:cs="Times New Roman"/>
          <w:spacing w:val="-2"/>
          <w:szCs w:val="19"/>
          <w:lang w:eastAsia="pl-PL"/>
        </w:rPr>
        <w:t xml:space="preserve">. 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Deweloperzy przekazali do eksploatacji </w:t>
      </w:r>
      <w:r w:rsidR="001853FF">
        <w:rPr>
          <w:rFonts w:eastAsia="Times New Roman" w:cs="Times New Roman"/>
          <w:spacing w:val="-2"/>
          <w:szCs w:val="19"/>
          <w:lang w:eastAsia="pl-PL"/>
        </w:rPr>
        <w:t>29,3</w:t>
      </w:r>
      <w:r w:rsidR="00E3471B"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>tys. mieszkań – o</w:t>
      </w:r>
      <w:r w:rsidR="002E7CC1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>3,6</w:t>
      </w:r>
      <w:r w:rsidRPr="000E33F1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="00E3471B">
        <w:rPr>
          <w:rFonts w:eastAsia="Times New Roman" w:cs="Times New Roman"/>
          <w:spacing w:val="-2"/>
          <w:szCs w:val="19"/>
          <w:lang w:eastAsia="pl-PL"/>
        </w:rPr>
        <w:t>mniej niż w</w:t>
      </w:r>
      <w:r w:rsidR="00600A20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202</w:t>
      </w:r>
      <w:r w:rsidR="00600A20">
        <w:rPr>
          <w:rFonts w:eastAsia="Times New Roman" w:cs="Times New Roman"/>
          <w:spacing w:val="-2"/>
          <w:szCs w:val="19"/>
          <w:lang w:eastAsia="pl-PL"/>
        </w:rPr>
        <w:t>1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r., natomiast inwestorzy indywidualni – </w:t>
      </w:r>
      <w:r w:rsidR="001853FF">
        <w:rPr>
          <w:rFonts w:eastAsia="Times New Roman" w:cs="Times New Roman"/>
          <w:spacing w:val="-2"/>
          <w:szCs w:val="19"/>
          <w:lang w:eastAsia="pl-PL"/>
        </w:rPr>
        <w:t>24,2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tys. mieszkań, tj.</w:t>
      </w:r>
      <w:r w:rsidR="00600A20">
        <w:rPr>
          <w:rFonts w:eastAsia="Times New Roman" w:cs="Times New Roman"/>
          <w:spacing w:val="-2"/>
          <w:szCs w:val="19"/>
          <w:lang w:eastAsia="pl-PL"/>
        </w:rPr>
        <w:t> </w:t>
      </w:r>
      <w:r w:rsidR="001853FF">
        <w:rPr>
          <w:rFonts w:eastAsia="Times New Roman" w:cs="Times New Roman"/>
          <w:spacing w:val="-2"/>
          <w:szCs w:val="19"/>
          <w:lang w:eastAsia="pl-PL"/>
        </w:rPr>
        <w:t>12,6</w:t>
      </w:r>
      <w:r w:rsidRPr="00354E9A">
        <w:rPr>
          <w:rFonts w:eastAsia="Times New Roman" w:cs="Times New Roman"/>
          <w:spacing w:val="-2"/>
          <w:szCs w:val="19"/>
          <w:lang w:eastAsia="pl-PL"/>
        </w:rPr>
        <w:t>% więcej. W</w:t>
      </w:r>
      <w:r>
        <w:rPr>
          <w:rFonts w:eastAsia="Times New Roman" w:cs="Times New Roman"/>
          <w:spacing w:val="-2"/>
          <w:szCs w:val="19"/>
          <w:lang w:eastAsia="pl-PL"/>
        </w:rPr>
        <w:t> </w:t>
      </w:r>
      <w:r w:rsidRPr="00354E9A">
        <w:rPr>
          <w:rFonts w:eastAsia="Times New Roman" w:cs="Times New Roman"/>
          <w:spacing w:val="-2"/>
          <w:szCs w:val="19"/>
          <w:lang w:eastAsia="pl-PL"/>
        </w:rPr>
        <w:t>ramach tych form b</w:t>
      </w:r>
      <w:r w:rsidR="001853FF">
        <w:rPr>
          <w:rFonts w:eastAsia="Times New Roman" w:cs="Times New Roman"/>
          <w:spacing w:val="-2"/>
          <w:szCs w:val="19"/>
          <w:lang w:eastAsia="pl-PL"/>
        </w:rPr>
        <w:t>udownictwa wybudowano łącznie 97</w:t>
      </w:r>
      <w:r w:rsidRPr="00354E9A">
        <w:rPr>
          <w:rFonts w:eastAsia="Times New Roman" w:cs="Times New Roman"/>
          <w:spacing w:val="-2"/>
          <w:szCs w:val="19"/>
          <w:lang w:eastAsia="pl-PL"/>
        </w:rPr>
        <w:t>,</w:t>
      </w:r>
      <w:r w:rsidR="001853FF">
        <w:rPr>
          <w:rFonts w:eastAsia="Times New Roman" w:cs="Times New Roman"/>
          <w:spacing w:val="-2"/>
          <w:szCs w:val="19"/>
          <w:lang w:eastAsia="pl-PL"/>
        </w:rPr>
        <w:t>8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% ogółu nowo oddanych mieszkań. W pozostałych formach budownictwa, tj. spółdzielczej, komunalnej, społecznej czynszowej i zakładowej, oddano do użytkowania łącznie </w:t>
      </w:r>
      <w:r w:rsidR="005E34C0">
        <w:rPr>
          <w:rFonts w:eastAsia="Times New Roman" w:cs="Times New Roman"/>
          <w:spacing w:val="-2"/>
          <w:szCs w:val="19"/>
          <w:lang w:eastAsia="pl-PL"/>
        </w:rPr>
        <w:t>1 194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mieszka</w:t>
      </w:r>
      <w:r w:rsidR="00010204">
        <w:rPr>
          <w:rFonts w:eastAsia="Times New Roman" w:cs="Times New Roman"/>
          <w:spacing w:val="-2"/>
          <w:szCs w:val="19"/>
          <w:lang w:eastAsia="pl-PL"/>
        </w:rPr>
        <w:t xml:space="preserve">nia </w:t>
      </w:r>
      <w:r w:rsidRPr="00354E9A">
        <w:rPr>
          <w:rFonts w:eastAsia="Times New Roman" w:cs="Times New Roman"/>
          <w:spacing w:val="-2"/>
          <w:szCs w:val="19"/>
          <w:lang w:eastAsia="pl-PL"/>
        </w:rPr>
        <w:t>(</w:t>
      </w:r>
      <w:r w:rsidR="002C4B21">
        <w:rPr>
          <w:rFonts w:eastAsia="Times New Roman" w:cs="Times New Roman"/>
          <w:spacing w:val="-2"/>
          <w:szCs w:val="19"/>
          <w:lang w:eastAsia="pl-PL"/>
        </w:rPr>
        <w:t xml:space="preserve">wobec </w:t>
      </w:r>
      <w:r w:rsidR="005E34C0">
        <w:rPr>
          <w:rFonts w:eastAsia="Times New Roman" w:cs="Times New Roman"/>
          <w:spacing w:val="-2"/>
          <w:szCs w:val="19"/>
          <w:lang w:eastAsia="pl-PL"/>
        </w:rPr>
        <w:t>1 110</w:t>
      </w:r>
      <w:r w:rsidR="002C4B2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przed rokiem).</w:t>
      </w:r>
    </w:p>
    <w:p w14:paraId="6189446F" w14:textId="065681B9" w:rsidR="00DE6B58" w:rsidRPr="00354E9A" w:rsidRDefault="00354E9A" w:rsidP="00216634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="001853FF">
        <w:rPr>
          <w:rFonts w:eastAsia="Times New Roman" w:cs="Times New Roman"/>
          <w:spacing w:val="-2"/>
          <w:szCs w:val="19"/>
          <w:lang w:eastAsia="pl-PL"/>
        </w:rPr>
        <w:t xml:space="preserve">5,4 </w:t>
      </w:r>
      <w:r w:rsidRPr="00354E9A">
        <w:rPr>
          <w:rFonts w:eastAsia="Times New Roman" w:cs="Times New Roman"/>
          <w:spacing w:val="-2"/>
          <w:szCs w:val="19"/>
          <w:lang w:eastAsia="pl-PL"/>
        </w:rPr>
        <w:t>mln 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, czyli o</w:t>
      </w:r>
      <w:r w:rsidR="001853FF">
        <w:rPr>
          <w:rFonts w:eastAsia="Times New Roman" w:cs="Times New Roman"/>
          <w:spacing w:val="-2"/>
          <w:szCs w:val="19"/>
          <w:lang w:eastAsia="pl-PL"/>
        </w:rPr>
        <w:t> 5,9</w:t>
      </w:r>
      <w:r w:rsidR="00BC646E">
        <w:rPr>
          <w:rFonts w:eastAsia="Times New Roman" w:cs="Times New Roman"/>
          <w:spacing w:val="-2"/>
          <w:szCs w:val="19"/>
          <w:lang w:eastAsia="pl-PL"/>
        </w:rPr>
        <w:t>% więcej</w:t>
      </w:r>
      <w:r w:rsidRPr="00354E9A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="00BC646E">
        <w:rPr>
          <w:rFonts w:eastAsia="Times New Roman" w:cs="Times New Roman"/>
          <w:spacing w:val="-2"/>
          <w:szCs w:val="19"/>
          <w:lang w:eastAsia="pl-PL"/>
        </w:rPr>
        <w:t>98,0</w:t>
      </w:r>
      <w:r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354E9A">
        <w:rPr>
          <w:rFonts w:eastAsia="Times New Roman" w:cs="Times New Roman"/>
          <w:spacing w:val="-2"/>
          <w:szCs w:val="19"/>
          <w:lang w:eastAsia="pl-PL"/>
        </w:rPr>
        <w:t>m</w:t>
      </w:r>
      <w:r w:rsidRPr="00354E9A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354E9A">
        <w:rPr>
          <w:rFonts w:eastAsia="Times New Roman" w:cs="Times New Roman"/>
          <w:spacing w:val="-2"/>
          <w:szCs w:val="19"/>
          <w:lang w:eastAsia="pl-PL"/>
        </w:rPr>
        <w:t>.</w:t>
      </w:r>
    </w:p>
    <w:p w14:paraId="7C36352D" w14:textId="6E621B10" w:rsidR="00E95B8E" w:rsidRPr="00F049AB" w:rsidRDefault="00354E9A" w:rsidP="00F049AB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150"/>
        <w:gridCol w:w="1146"/>
        <w:gridCol w:w="1144"/>
        <w:gridCol w:w="1372"/>
        <w:gridCol w:w="992"/>
        <w:gridCol w:w="1200"/>
      </w:tblGrid>
      <w:tr w:rsidR="00364671" w:rsidRPr="00267F90" w14:paraId="6B69BA32" w14:textId="77777777" w:rsidTr="001861D5">
        <w:trPr>
          <w:trHeight w:val="18"/>
        </w:trPr>
        <w:tc>
          <w:tcPr>
            <w:tcW w:w="2150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092EDE3" w14:textId="4FE96B6B" w:rsidR="00364671" w:rsidRPr="00267F90" w:rsidRDefault="006C4386" w:rsidP="00A84296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id="1" w:name="OLE_LINK2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662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D3419FF" w14:textId="34060104" w:rsidR="00364671" w:rsidRPr="00267F90" w:rsidRDefault="00FD2877" w:rsidP="00A8429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03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192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4CF84487" w14:textId="2EF81B2C" w:rsidR="00364671" w:rsidRPr="00267F90" w:rsidRDefault="00FD2877" w:rsidP="00A84296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01-03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B73C02" w:rsidRPr="00267F90" w14:paraId="43E4DA85" w14:textId="6A8BE078" w:rsidTr="001861D5">
        <w:trPr>
          <w:trHeight w:val="18"/>
        </w:trPr>
        <w:tc>
          <w:tcPr>
            <w:tcW w:w="2150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0194FE9F" w14:textId="77777777" w:rsidR="00364671" w:rsidRPr="00267F90" w:rsidRDefault="00364671" w:rsidP="00364671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46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4BF8D062" w14:textId="77777777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44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5F2967" w14:textId="6FCD85E3" w:rsidR="00364671" w:rsidRPr="00267F90" w:rsidRDefault="00364671" w:rsidP="00EB06B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FD2877" w:rsidRPr="00267F90">
              <w:rPr>
                <w:color w:val="000000" w:themeColor="text1"/>
                <w:sz w:val="16"/>
                <w:szCs w:val="16"/>
              </w:rPr>
              <w:t>3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37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14C425A5" w14:textId="787033A7" w:rsidR="00364671" w:rsidRPr="00267F90" w:rsidRDefault="00FD2877" w:rsidP="00EB06B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02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202</w:t>
            </w:r>
            <w:r w:rsidR="00EB06BF" w:rsidRPr="00267F90">
              <w:rPr>
                <w:color w:val="000000" w:themeColor="text1"/>
                <w:sz w:val="16"/>
                <w:szCs w:val="16"/>
              </w:rPr>
              <w:t>2</w:t>
            </w:r>
            <w:r w:rsidR="00364671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46ABA42" w14:textId="102A4354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32F5ECC" w14:textId="77595E1C" w:rsidR="00364671" w:rsidRPr="00267F90" w:rsidRDefault="00364671" w:rsidP="00364671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FD2877" w:rsidRPr="00267F90">
              <w:rPr>
                <w:color w:val="000000" w:themeColor="text1"/>
                <w:sz w:val="16"/>
                <w:szCs w:val="16"/>
              </w:rPr>
              <w:t>3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B73C02" w:rsidRPr="00267F90" w14:paraId="6E88DAED" w14:textId="1B546D9C" w:rsidTr="001861D5">
        <w:trPr>
          <w:trHeight w:val="54"/>
        </w:trPr>
        <w:tc>
          <w:tcPr>
            <w:tcW w:w="2150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3DA00745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46" w:type="dxa"/>
            <w:tcBorders>
              <w:top w:val="single" w:sz="12" w:space="0" w:color="212492"/>
            </w:tcBorders>
            <w:vAlign w:val="center"/>
          </w:tcPr>
          <w:p w14:paraId="3F43AB92" w14:textId="645D2EAF" w:rsidR="00364671" w:rsidRPr="00267F90" w:rsidRDefault="00FD2877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b/>
                <w:color w:val="000000" w:themeColor="text1"/>
                <w:sz w:val="16"/>
                <w:szCs w:val="16"/>
              </w:rPr>
              <w:t>21 007</w:t>
            </w:r>
          </w:p>
        </w:tc>
        <w:tc>
          <w:tcPr>
            <w:tcW w:w="1144" w:type="dxa"/>
            <w:tcBorders>
              <w:top w:val="single" w:sz="12" w:space="0" w:color="212492"/>
            </w:tcBorders>
            <w:vAlign w:val="center"/>
          </w:tcPr>
          <w:p w14:paraId="2219E126" w14:textId="26DD7CFB" w:rsidR="00364671" w:rsidRPr="00267F90" w:rsidRDefault="00FD2877" w:rsidP="00364671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109,0</w:t>
            </w:r>
          </w:p>
        </w:tc>
        <w:tc>
          <w:tcPr>
            <w:tcW w:w="1372" w:type="dxa"/>
            <w:tcBorders>
              <w:top w:val="single" w:sz="12" w:space="0" w:color="212492"/>
              <w:right w:val="nil"/>
            </w:tcBorders>
            <w:vAlign w:val="center"/>
          </w:tcPr>
          <w:p w14:paraId="55DF31DD" w14:textId="40B12CAA" w:rsidR="00364671" w:rsidRPr="00267F90" w:rsidRDefault="00FD2877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b/>
                <w:color w:val="000000" w:themeColor="text1"/>
                <w:sz w:val="16"/>
                <w:szCs w:val="16"/>
              </w:rPr>
              <w:t>114,0</w:t>
            </w:r>
          </w:p>
        </w:tc>
        <w:tc>
          <w:tcPr>
            <w:tcW w:w="992" w:type="dxa"/>
            <w:tcBorders>
              <w:top w:val="single" w:sz="12" w:space="0" w:color="212492"/>
              <w:right w:val="nil"/>
            </w:tcBorders>
            <w:vAlign w:val="center"/>
          </w:tcPr>
          <w:p w14:paraId="76CC8DF2" w14:textId="603E8E84" w:rsidR="00364671" w:rsidRPr="00267F90" w:rsidRDefault="00DD197E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b/>
                <w:color w:val="000000" w:themeColor="text1"/>
                <w:sz w:val="16"/>
                <w:szCs w:val="16"/>
              </w:rPr>
              <w:t>54 742</w:t>
            </w:r>
          </w:p>
        </w:tc>
        <w:tc>
          <w:tcPr>
            <w:tcW w:w="1200" w:type="dxa"/>
            <w:tcBorders>
              <w:top w:val="single" w:sz="12" w:space="0" w:color="212492"/>
              <w:right w:val="nil"/>
            </w:tcBorders>
            <w:vAlign w:val="center"/>
          </w:tcPr>
          <w:p w14:paraId="10FDC7AD" w14:textId="78801382" w:rsidR="00364671" w:rsidRPr="00267F90" w:rsidRDefault="00DD197E" w:rsidP="00364671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b/>
                <w:color w:val="000000" w:themeColor="text1"/>
                <w:sz w:val="16"/>
                <w:szCs w:val="16"/>
              </w:rPr>
              <w:t>103,2</w:t>
            </w:r>
          </w:p>
        </w:tc>
      </w:tr>
      <w:tr w:rsidR="00B73C02" w:rsidRPr="00267F90" w14:paraId="0E08519C" w14:textId="72E1EEB1" w:rsidTr="001861D5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343A8AB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46" w:type="dxa"/>
            <w:vAlign w:val="center"/>
          </w:tcPr>
          <w:p w14:paraId="25AA5142" w14:textId="4E18AEA4" w:rsidR="00364671" w:rsidRPr="00267F90" w:rsidRDefault="00FD2877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9 316</w:t>
            </w:r>
          </w:p>
        </w:tc>
        <w:tc>
          <w:tcPr>
            <w:tcW w:w="1144" w:type="dxa"/>
            <w:vAlign w:val="center"/>
          </w:tcPr>
          <w:p w14:paraId="11FC201B" w14:textId="04E1E14C" w:rsidR="00364671" w:rsidRPr="00267F90" w:rsidRDefault="00FD2877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121,2</w:t>
            </w:r>
          </w:p>
        </w:tc>
        <w:tc>
          <w:tcPr>
            <w:tcW w:w="1372" w:type="dxa"/>
            <w:tcBorders>
              <w:right w:val="nil"/>
            </w:tcBorders>
            <w:vAlign w:val="center"/>
          </w:tcPr>
          <w:p w14:paraId="10685818" w14:textId="1F8BCED8" w:rsidR="00364671" w:rsidRPr="00267F90" w:rsidRDefault="00FD2877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120,1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498EFBF9" w14:textId="4AD1F731" w:rsidR="00364671" w:rsidRPr="00267F90" w:rsidRDefault="00DD197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24 199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08EFB01" w14:textId="7979F724" w:rsidR="00364671" w:rsidRPr="00267F90" w:rsidRDefault="00DD197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112,6</w:t>
            </w:r>
          </w:p>
        </w:tc>
      </w:tr>
      <w:tr w:rsidR="00B73C02" w:rsidRPr="00267F90" w14:paraId="1897777F" w14:textId="68403532" w:rsidTr="001861D5">
        <w:trPr>
          <w:trHeight w:val="62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02F8CAF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46" w:type="dxa"/>
            <w:vAlign w:val="center"/>
          </w:tcPr>
          <w:p w14:paraId="6B350C8F" w14:textId="6857E723" w:rsidR="00364671" w:rsidRPr="00267F90" w:rsidRDefault="00FD2877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11 174</w:t>
            </w:r>
          </w:p>
        </w:tc>
        <w:tc>
          <w:tcPr>
            <w:tcW w:w="1144" w:type="dxa"/>
            <w:vAlign w:val="center"/>
          </w:tcPr>
          <w:p w14:paraId="6D2FB4DF" w14:textId="4BC74CFA" w:rsidR="00364671" w:rsidRPr="00267F90" w:rsidRDefault="00FD2877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101,5</w:t>
            </w:r>
          </w:p>
        </w:tc>
        <w:tc>
          <w:tcPr>
            <w:tcW w:w="1372" w:type="dxa"/>
            <w:tcBorders>
              <w:right w:val="nil"/>
            </w:tcBorders>
            <w:vAlign w:val="center"/>
          </w:tcPr>
          <w:p w14:paraId="5A3AB0A4" w14:textId="38988176" w:rsidR="00364671" w:rsidRPr="00267F90" w:rsidRDefault="00FD2877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108,8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4B7E36E" w14:textId="1D94B3EE" w:rsidR="00364671" w:rsidRPr="00267F90" w:rsidRDefault="00DD197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29 349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245A538" w14:textId="6F1A5E74" w:rsidR="00364671" w:rsidRPr="00267F90" w:rsidRDefault="00DD197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96,4</w:t>
            </w:r>
          </w:p>
        </w:tc>
      </w:tr>
      <w:tr w:rsidR="00B73C02" w:rsidRPr="00267F90" w14:paraId="5ED4F881" w14:textId="44E017F4" w:rsidTr="001861D5">
        <w:trPr>
          <w:trHeight w:val="54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5CFF68B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46" w:type="dxa"/>
            <w:vAlign w:val="center"/>
          </w:tcPr>
          <w:p w14:paraId="1631D6D7" w14:textId="7BFE88D1" w:rsidR="00364671" w:rsidRPr="00267F90" w:rsidRDefault="00FD2877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118</w:t>
            </w:r>
          </w:p>
        </w:tc>
        <w:tc>
          <w:tcPr>
            <w:tcW w:w="1144" w:type="dxa"/>
            <w:vAlign w:val="center"/>
          </w:tcPr>
          <w:p w14:paraId="110BAD42" w14:textId="7E2A1298" w:rsidR="00364671" w:rsidRPr="00267F90" w:rsidRDefault="00FD2877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268,2</w:t>
            </w:r>
          </w:p>
        </w:tc>
        <w:tc>
          <w:tcPr>
            <w:tcW w:w="1372" w:type="dxa"/>
            <w:tcBorders>
              <w:right w:val="nil"/>
            </w:tcBorders>
            <w:vAlign w:val="center"/>
          </w:tcPr>
          <w:p w14:paraId="08026478" w14:textId="5FDAB1DF" w:rsidR="00364671" w:rsidRPr="00267F90" w:rsidRDefault="00FD2877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138,8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F5BF4D5" w14:textId="7FF722AF" w:rsidR="00364671" w:rsidRPr="00267F90" w:rsidRDefault="00DD197E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252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403D7D6" w14:textId="2C79ADC4" w:rsidR="00364671" w:rsidRPr="00267F90" w:rsidRDefault="00FD2877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123,5</w:t>
            </w:r>
          </w:p>
        </w:tc>
      </w:tr>
      <w:tr w:rsidR="00B73C02" w:rsidRPr="00267F90" w14:paraId="5EBD0ABB" w14:textId="027C28AD" w:rsidTr="001861D5">
        <w:trPr>
          <w:trHeight w:val="35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2B4E4D73" w14:textId="77777777" w:rsidR="00364671" w:rsidRPr="00267F90" w:rsidRDefault="00364671" w:rsidP="0008478F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46" w:type="dxa"/>
            <w:vAlign w:val="center"/>
          </w:tcPr>
          <w:p w14:paraId="75FDED6C" w14:textId="56B5CDC9" w:rsidR="00364671" w:rsidRPr="00267F90" w:rsidRDefault="00FD2877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380</w:t>
            </w:r>
          </w:p>
        </w:tc>
        <w:tc>
          <w:tcPr>
            <w:tcW w:w="1144" w:type="dxa"/>
            <w:vAlign w:val="center"/>
          </w:tcPr>
          <w:p w14:paraId="298A2E5D" w14:textId="497608FB" w:rsidR="00364671" w:rsidRPr="00267F90" w:rsidRDefault="00FD2877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105,8</w:t>
            </w:r>
          </w:p>
        </w:tc>
        <w:tc>
          <w:tcPr>
            <w:tcW w:w="1372" w:type="dxa"/>
            <w:tcBorders>
              <w:right w:val="nil"/>
            </w:tcBorders>
            <w:vAlign w:val="center"/>
          </w:tcPr>
          <w:p w14:paraId="4A22E560" w14:textId="77777777" w:rsidR="00010204" w:rsidRDefault="00FD2877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ponad 10-</w:t>
            </w:r>
          </w:p>
          <w:p w14:paraId="35216F71" w14:textId="37C66267" w:rsidR="00364671" w:rsidRPr="00267F90" w:rsidRDefault="00FD2877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krotnie więcej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2C974A68" w14:textId="7FC1A3F4" w:rsidR="00364671" w:rsidRPr="00267F90" w:rsidRDefault="00DD197E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579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703138F4" w14:textId="5FADEDBC" w:rsidR="00364671" w:rsidRPr="00267F90" w:rsidRDefault="00DD197E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111,1</w:t>
            </w:r>
          </w:p>
        </w:tc>
      </w:tr>
      <w:tr w:rsidR="00B73C02" w:rsidRPr="00267F90" w14:paraId="086B3D62" w14:textId="2B62ED1E" w:rsidTr="001861D5">
        <w:trPr>
          <w:trHeight w:val="366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51891E" w14:textId="77777777" w:rsidR="00364671" w:rsidRPr="00267F90" w:rsidRDefault="00364671" w:rsidP="0008478F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46" w:type="dxa"/>
            <w:vAlign w:val="center"/>
          </w:tcPr>
          <w:p w14:paraId="74060DED" w14:textId="44566FDC" w:rsidR="00364671" w:rsidRPr="00267F90" w:rsidRDefault="00FD2877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1144" w:type="dxa"/>
            <w:vAlign w:val="center"/>
          </w:tcPr>
          <w:p w14:paraId="2751289F" w14:textId="40E8AB97" w:rsidR="00364671" w:rsidRPr="00267F90" w:rsidRDefault="00FD2877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46-krotnie mniej</w:t>
            </w:r>
          </w:p>
        </w:tc>
        <w:tc>
          <w:tcPr>
            <w:tcW w:w="1372" w:type="dxa"/>
            <w:tcBorders>
              <w:right w:val="nil"/>
            </w:tcBorders>
            <w:vAlign w:val="center"/>
          </w:tcPr>
          <w:p w14:paraId="6F902869" w14:textId="63153542" w:rsidR="00364671" w:rsidRPr="00267F90" w:rsidRDefault="00FD2877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32-krotnie mniej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160DC191" w14:textId="64D4F15F" w:rsidR="00364671" w:rsidRPr="00267F90" w:rsidRDefault="00DD197E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153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0D2F67DA" w14:textId="0259425B" w:rsidR="00364671" w:rsidRPr="00267F90" w:rsidRDefault="00FD2877" w:rsidP="0008478F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30,5</w:t>
            </w:r>
          </w:p>
        </w:tc>
      </w:tr>
      <w:tr w:rsidR="00B73C02" w:rsidRPr="00267F90" w14:paraId="3C74F7D7" w14:textId="6EAFC267" w:rsidTr="001861D5">
        <w:trPr>
          <w:trHeight w:val="499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51E882F" w14:textId="77777777" w:rsidR="00364671" w:rsidRPr="00267F90" w:rsidRDefault="00364671" w:rsidP="00E46466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46" w:type="dxa"/>
            <w:vAlign w:val="center"/>
          </w:tcPr>
          <w:p w14:paraId="4F5B33A9" w14:textId="6C25413C" w:rsidR="00364671" w:rsidRPr="00267F90" w:rsidRDefault="00FD2877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133</w:t>
            </w:r>
          </w:p>
        </w:tc>
        <w:tc>
          <w:tcPr>
            <w:tcW w:w="1144" w:type="dxa"/>
            <w:vAlign w:val="center"/>
          </w:tcPr>
          <w:p w14:paraId="78D9CA42" w14:textId="02172F0F" w:rsidR="00364671" w:rsidRPr="00267F90" w:rsidRDefault="00FD2877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369,4</w:t>
            </w:r>
          </w:p>
        </w:tc>
        <w:tc>
          <w:tcPr>
            <w:tcW w:w="1372" w:type="dxa"/>
            <w:tcBorders>
              <w:right w:val="nil"/>
            </w:tcBorders>
            <w:vAlign w:val="center"/>
          </w:tcPr>
          <w:p w14:paraId="56314D72" w14:textId="44A5DA1B" w:rsidR="00364671" w:rsidRPr="00267F90" w:rsidRDefault="00FD2877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58,8</w:t>
            </w:r>
          </w:p>
        </w:tc>
        <w:tc>
          <w:tcPr>
            <w:tcW w:w="992" w:type="dxa"/>
            <w:tcBorders>
              <w:right w:val="nil"/>
            </w:tcBorders>
            <w:vAlign w:val="center"/>
          </w:tcPr>
          <w:p w14:paraId="0D6563FC" w14:textId="16108A82" w:rsidR="00364671" w:rsidRPr="00267F90" w:rsidRDefault="00DD197E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432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14:paraId="67C1C9B3" w14:textId="4999188E" w:rsidR="00364671" w:rsidRPr="00267F90" w:rsidRDefault="00FD2877" w:rsidP="00E46466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502,3</w:t>
            </w:r>
          </w:p>
        </w:tc>
      </w:tr>
      <w:tr w:rsidR="00B73C02" w:rsidRPr="00267F90" w14:paraId="4EB17B9D" w14:textId="1063C19B" w:rsidTr="001861D5">
        <w:trPr>
          <w:trHeight w:val="521"/>
        </w:trPr>
        <w:tc>
          <w:tcPr>
            <w:tcW w:w="2150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E54BC62" w14:textId="77777777" w:rsidR="00364671" w:rsidRPr="00267F90" w:rsidRDefault="00364671" w:rsidP="00364671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46" w:type="dxa"/>
            <w:tcBorders>
              <w:bottom w:val="single" w:sz="4" w:space="0" w:color="212492"/>
            </w:tcBorders>
            <w:vAlign w:val="center"/>
          </w:tcPr>
          <w:p w14:paraId="43CBEE2B" w14:textId="2E87AE46" w:rsidR="00364671" w:rsidRPr="00267F90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44" w:type="dxa"/>
            <w:tcBorders>
              <w:bottom w:val="single" w:sz="4" w:space="0" w:color="212492"/>
            </w:tcBorders>
            <w:vAlign w:val="center"/>
          </w:tcPr>
          <w:p w14:paraId="017CB720" w14:textId="4F87398B" w:rsidR="00364671" w:rsidRPr="00267F90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372" w:type="dxa"/>
            <w:tcBorders>
              <w:bottom w:val="single" w:sz="4" w:space="0" w:color="212492"/>
              <w:right w:val="nil"/>
            </w:tcBorders>
            <w:vAlign w:val="center"/>
          </w:tcPr>
          <w:p w14:paraId="2889EF63" w14:textId="3F0589B3" w:rsidR="00364671" w:rsidRPr="00267F90" w:rsidRDefault="00EB06BF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bottom w:val="single" w:sz="4" w:space="0" w:color="212492"/>
              <w:right w:val="nil"/>
            </w:tcBorders>
            <w:vAlign w:val="center"/>
          </w:tcPr>
          <w:p w14:paraId="37E3B527" w14:textId="18DF9CE1" w:rsidR="00364671" w:rsidRPr="00267F90" w:rsidRDefault="00643463" w:rsidP="001669EA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200" w:type="dxa"/>
            <w:tcBorders>
              <w:bottom w:val="single" w:sz="4" w:space="0" w:color="212492"/>
              <w:right w:val="nil"/>
            </w:tcBorders>
            <w:vAlign w:val="center"/>
          </w:tcPr>
          <w:p w14:paraId="5E070829" w14:textId="3FECE16F" w:rsidR="00364671" w:rsidRPr="00267F90" w:rsidRDefault="00FD2877" w:rsidP="001861D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30-krotnie więcej</w:t>
            </w:r>
          </w:p>
        </w:tc>
      </w:tr>
    </w:tbl>
    <w:bookmarkEnd w:id="1"/>
    <w:p w14:paraId="31EB7324" w14:textId="5EE89DA7" w:rsidR="00DA331D" w:rsidRDefault="00354E9A" w:rsidP="00CF0C7D">
      <w:pPr>
        <w:pStyle w:val="Nagwek1"/>
        <w:spacing w:before="0"/>
        <w:rPr>
          <w:rFonts w:ascii="Fira Sans" w:hAnsi="Fira Sans"/>
          <w:b/>
          <w:szCs w:val="19"/>
        </w:rPr>
      </w:pPr>
      <w:r w:rsidRPr="00354E9A">
        <w:rPr>
          <w:rFonts w:ascii="Fira Sans" w:hAnsi="Fira Sans"/>
          <w:b/>
          <w:szCs w:val="19"/>
        </w:rPr>
        <w:lastRenderedPageBreak/>
        <w:t>Mieszkania, na których budowę wydano pozwolenia lub dokonano zgłoszenia z projektem budowlanym</w:t>
      </w:r>
    </w:p>
    <w:p w14:paraId="512A5A5F" w14:textId="1CF50323" w:rsidR="00D972F6" w:rsidRDefault="0034251D" w:rsidP="00AC280D">
      <w:pPr>
        <w:spacing w:after="0" w:line="288" w:lineRule="auto"/>
        <w:rPr>
          <w:shd w:val="clear" w:color="auto" w:fill="FFFFFF"/>
        </w:rPr>
      </w:pPr>
      <w:r w:rsidRPr="00823593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anchorId="1330DF10" wp14:editId="00ABA1A3">
                <wp:simplePos x="0" y="0"/>
                <wp:positionH relativeFrom="column">
                  <wp:posOffset>5219065</wp:posOffset>
                </wp:positionH>
                <wp:positionV relativeFrom="page">
                  <wp:posOffset>831215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spadła w 1 kw. 2022 r. o 8,0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2A774" w14:textId="0855860F" w:rsidR="00216634" w:rsidRPr="00E95B8E" w:rsidRDefault="00354E9A" w:rsidP="00354E9A">
                            <w:pPr>
                              <w:pStyle w:val="tekstzboku"/>
                              <w:rPr>
                                <w:bCs w:val="0"/>
                              </w:rPr>
                            </w:pPr>
                            <w:r>
                              <w:t>Liczba mieszkań, na których budowę wydano pozwolenia lub dokonano zgł</w:t>
                            </w:r>
                            <w:r w:rsidR="00A84296">
                              <w:t>oszenia z projektem budowlanym</w:t>
                            </w:r>
                            <w:r>
                              <w:t xml:space="preserve"> </w:t>
                            </w:r>
                            <w:r w:rsidR="00A84296" w:rsidRPr="00A84296">
                              <w:t xml:space="preserve">spadła </w:t>
                            </w:r>
                            <w:r>
                              <w:t>w</w:t>
                            </w:r>
                            <w:r w:rsidR="00665F10">
                              <w:t> </w:t>
                            </w:r>
                            <w:r w:rsidR="00895CCF">
                              <w:t>1</w:t>
                            </w:r>
                            <w:r w:rsidR="00073B71">
                              <w:t xml:space="preserve"> kw. </w:t>
                            </w:r>
                            <w:r>
                              <w:t>202</w:t>
                            </w:r>
                            <w:r w:rsidR="00665F10">
                              <w:t>2</w:t>
                            </w:r>
                            <w:r>
                              <w:t xml:space="preserve"> r.</w:t>
                            </w:r>
                            <w:r w:rsidR="00665F10">
                              <w:t xml:space="preserve"> o</w:t>
                            </w:r>
                            <w:r w:rsidR="00CE2AFA">
                              <w:t> </w:t>
                            </w:r>
                            <w:r w:rsidR="00073B71">
                              <w:t>8,0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0DF10" id="_x0000_t202" coordsize="21600,21600" o:spt="202" path="m,l,21600r21600,l21600,xe">
                <v:stroke joinstyle="miter"/>
                <v:path gradientshapeok="t" o:connecttype="rect"/>
              </v:shapetype>
              <v:shape id="Pole tekstowe 13" o:spid="_x0000_s1028" type="#_x0000_t202" alt="Liczba mieszkań, na których budowę wydano pozwolenia lub dokonano zgłoszenia z projektem budowlanym spadła w 1 kw. 2022 r. o 8,0% r/r" style="position:absolute;margin-left:410.95pt;margin-top:65.45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" filled="f" stroked="f">
                <v:textbox>
                  <w:txbxContent>
                    <w:p w14:paraId="6F82A774" w14:textId="0855860F" w:rsidR="00216634" w:rsidRPr="00E95B8E" w:rsidRDefault="00354E9A" w:rsidP="00354E9A">
                      <w:pPr>
                        <w:pStyle w:val="tekstzboku"/>
                        <w:rPr>
                          <w:bCs w:val="0"/>
                        </w:rPr>
                      </w:pPr>
                      <w:r>
                        <w:t>Liczba mieszkań, na których budowę wydano pozwolenia lub dokonano zgł</w:t>
                      </w:r>
                      <w:r w:rsidR="00A84296">
                        <w:t>oszenia z projektem budowlanym</w:t>
                      </w:r>
                      <w:r>
                        <w:t xml:space="preserve"> </w:t>
                      </w:r>
                      <w:r w:rsidR="00A84296" w:rsidRPr="00A84296">
                        <w:t xml:space="preserve">spadła </w:t>
                      </w:r>
                      <w:r>
                        <w:t>w</w:t>
                      </w:r>
                      <w:r w:rsidR="00665F10">
                        <w:t> </w:t>
                      </w:r>
                      <w:r w:rsidR="00895CCF">
                        <w:t>1</w:t>
                      </w:r>
                      <w:r w:rsidR="00073B71">
                        <w:t xml:space="preserve"> kw. </w:t>
                      </w:r>
                      <w:r>
                        <w:t>202</w:t>
                      </w:r>
                      <w:r w:rsidR="00665F10">
                        <w:t>2</w:t>
                      </w:r>
                      <w:r>
                        <w:t xml:space="preserve"> r.</w:t>
                      </w:r>
                      <w:r w:rsidR="00665F10">
                        <w:t xml:space="preserve"> o</w:t>
                      </w:r>
                      <w:r w:rsidR="00CE2AFA">
                        <w:t> </w:t>
                      </w:r>
                      <w:r w:rsidR="00073B71">
                        <w:t>8,0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354E9A" w:rsidRPr="00354E9A">
        <w:rPr>
          <w:shd w:val="clear" w:color="auto" w:fill="FFFFFF"/>
        </w:rPr>
        <w:t>W</w:t>
      </w:r>
      <w:r w:rsidR="007110ED">
        <w:rPr>
          <w:shd w:val="clear" w:color="auto" w:fill="FFFFFF"/>
        </w:rPr>
        <w:t xml:space="preserve"> </w:t>
      </w:r>
      <w:r w:rsidR="00DA4463">
        <w:rPr>
          <w:shd w:val="clear" w:color="auto" w:fill="FFFFFF"/>
        </w:rPr>
        <w:t>pierwszym kwartale</w:t>
      </w:r>
      <w:r w:rsidR="00E34D1F" w:rsidRPr="00A31734">
        <w:rPr>
          <w:shd w:val="clear" w:color="auto" w:fill="FFFFFF"/>
        </w:rPr>
        <w:t xml:space="preserve"> 2022 r. </w:t>
      </w:r>
      <w:r w:rsidR="00354E9A" w:rsidRPr="00A31734">
        <w:rPr>
          <w:shd w:val="clear" w:color="auto" w:fill="FFFFFF"/>
        </w:rPr>
        <w:t xml:space="preserve">wydano pozwolenia lub dokonano zgłoszenia budowy </w:t>
      </w:r>
      <w:r w:rsidR="00DA4463">
        <w:rPr>
          <w:shd w:val="clear" w:color="auto" w:fill="FFFFFF"/>
        </w:rPr>
        <w:t>77,8</w:t>
      </w:r>
      <w:r w:rsidR="001D1C75" w:rsidRPr="00A31734">
        <w:rPr>
          <w:shd w:val="clear" w:color="auto" w:fill="FFFFFF"/>
        </w:rPr>
        <w:t> </w:t>
      </w:r>
      <w:r w:rsidR="00354E9A" w:rsidRPr="00A31734">
        <w:rPr>
          <w:shd w:val="clear" w:color="auto" w:fill="FFFFFF"/>
        </w:rPr>
        <w:t>tys. mieszkań, tj. o </w:t>
      </w:r>
      <w:r w:rsidR="00073B71">
        <w:rPr>
          <w:shd w:val="clear" w:color="auto" w:fill="FFFFFF"/>
        </w:rPr>
        <w:t>8</w:t>
      </w:r>
      <w:r w:rsidR="007110ED" w:rsidRPr="00A31734">
        <w:rPr>
          <w:shd w:val="clear" w:color="auto" w:fill="FFFFFF"/>
        </w:rPr>
        <w:t>,</w:t>
      </w:r>
      <w:r w:rsidR="00073B71">
        <w:rPr>
          <w:shd w:val="clear" w:color="auto" w:fill="FFFFFF"/>
        </w:rPr>
        <w:t>0</w:t>
      </w:r>
      <w:r w:rsidR="00354E9A" w:rsidRPr="00A31734">
        <w:rPr>
          <w:shd w:val="clear" w:color="auto" w:fill="FFFFFF"/>
        </w:rPr>
        <w:t xml:space="preserve">% </w:t>
      </w:r>
      <w:r w:rsidR="009D1F9F" w:rsidRPr="00A31734">
        <w:rPr>
          <w:shd w:val="clear" w:color="auto" w:fill="FFFFFF"/>
        </w:rPr>
        <w:t xml:space="preserve">mniej </w:t>
      </w:r>
      <w:r w:rsidR="001D1C75" w:rsidRPr="00A31734">
        <w:rPr>
          <w:shd w:val="clear" w:color="auto" w:fill="FFFFFF"/>
        </w:rPr>
        <w:t>niż w analogicznym okresie</w:t>
      </w:r>
      <w:r w:rsidR="003F19DE" w:rsidRPr="00A31734">
        <w:rPr>
          <w:shd w:val="clear" w:color="auto" w:fill="FFFFFF"/>
        </w:rPr>
        <w:t xml:space="preserve"> 2021 roku</w:t>
      </w:r>
      <w:r w:rsidR="00354E9A" w:rsidRPr="00A31734">
        <w:rPr>
          <w:shd w:val="clear" w:color="auto" w:fill="FFFFFF"/>
        </w:rPr>
        <w:t>. Pozwolenia na budowę największej liczby mieszkań otrzymali deweloperzy (</w:t>
      </w:r>
      <w:r w:rsidR="00073B71">
        <w:rPr>
          <w:shd w:val="clear" w:color="auto" w:fill="FFFFFF"/>
        </w:rPr>
        <w:t>52,0</w:t>
      </w:r>
      <w:r w:rsidR="001D1C75" w:rsidRPr="00A31734">
        <w:rPr>
          <w:shd w:val="clear" w:color="auto" w:fill="FFFFFF"/>
        </w:rPr>
        <w:t xml:space="preserve"> tys., spadek</w:t>
      </w:r>
      <w:r w:rsidR="00354E9A" w:rsidRPr="00A31734">
        <w:rPr>
          <w:shd w:val="clear" w:color="auto" w:fill="FFFFFF"/>
        </w:rPr>
        <w:t xml:space="preserve"> o </w:t>
      </w:r>
      <w:r w:rsidR="00073B71">
        <w:rPr>
          <w:shd w:val="clear" w:color="auto" w:fill="FFFFFF"/>
        </w:rPr>
        <w:t>8,2</w:t>
      </w:r>
      <w:r w:rsidR="00354E9A" w:rsidRPr="00A31734">
        <w:rPr>
          <w:shd w:val="clear" w:color="auto" w:fill="FFFFFF"/>
        </w:rPr>
        <w:t>% r/r) oraz inwestorzy indywidualni (</w:t>
      </w:r>
      <w:r w:rsidR="00073B71">
        <w:rPr>
          <w:shd w:val="clear" w:color="auto" w:fill="FFFFFF"/>
        </w:rPr>
        <w:t>24,4</w:t>
      </w:r>
      <w:r w:rsidR="001D1C75" w:rsidRPr="00A31734">
        <w:rPr>
          <w:shd w:val="clear" w:color="auto" w:fill="FFFFFF"/>
        </w:rPr>
        <w:t> </w:t>
      </w:r>
      <w:r w:rsidR="00354E9A" w:rsidRPr="00A31734">
        <w:rPr>
          <w:shd w:val="clear" w:color="auto" w:fill="FFFFFF"/>
        </w:rPr>
        <w:t xml:space="preserve">tys., </w:t>
      </w:r>
      <w:r w:rsidR="007110ED" w:rsidRPr="00A31734">
        <w:rPr>
          <w:shd w:val="clear" w:color="auto" w:fill="FFFFFF"/>
        </w:rPr>
        <w:t>spadek</w:t>
      </w:r>
      <w:r w:rsidR="00354E9A" w:rsidRPr="00A31734">
        <w:rPr>
          <w:shd w:val="clear" w:color="auto" w:fill="FFFFFF"/>
        </w:rPr>
        <w:t xml:space="preserve"> o </w:t>
      </w:r>
      <w:r w:rsidR="00073B71">
        <w:rPr>
          <w:shd w:val="clear" w:color="auto" w:fill="FFFFFF"/>
        </w:rPr>
        <w:t>10,1</w:t>
      </w:r>
      <w:r w:rsidR="00354E9A" w:rsidRPr="00A31734">
        <w:rPr>
          <w:shd w:val="clear" w:color="auto" w:fill="FFFFFF"/>
        </w:rPr>
        <w:t xml:space="preserve">%). Łącznie w ramach tych form budownictwa otrzymano pozwolenia lub dokonano zgłoszenia budowy z projektem budowlanym dla </w:t>
      </w:r>
      <w:r w:rsidR="00073B71">
        <w:rPr>
          <w:shd w:val="clear" w:color="auto" w:fill="FFFFFF"/>
        </w:rPr>
        <w:t>98</w:t>
      </w:r>
      <w:r w:rsidR="007110ED" w:rsidRPr="00A31734">
        <w:rPr>
          <w:shd w:val="clear" w:color="auto" w:fill="FFFFFF"/>
        </w:rPr>
        <w:t>,</w:t>
      </w:r>
      <w:r w:rsidR="00073B71">
        <w:rPr>
          <w:shd w:val="clear" w:color="auto" w:fill="FFFFFF"/>
        </w:rPr>
        <w:t>2</w:t>
      </w:r>
      <w:r w:rsidR="00354E9A" w:rsidRPr="00A31734">
        <w:rPr>
          <w:shd w:val="clear" w:color="auto" w:fill="FFFFFF"/>
        </w:rPr>
        <w:t>% ogółu mieszkań. W</w:t>
      </w:r>
      <w:r w:rsidR="002C4B21" w:rsidRPr="00A31734">
        <w:rPr>
          <w:shd w:val="clear" w:color="auto" w:fill="FFFFFF"/>
        </w:rPr>
        <w:t> </w:t>
      </w:r>
      <w:r w:rsidR="00354E9A" w:rsidRPr="00A31734">
        <w:rPr>
          <w:shd w:val="clear" w:color="auto" w:fill="FFFFFF"/>
        </w:rPr>
        <w:t xml:space="preserve">pozostałych formach budownictwa odnotowano </w:t>
      </w:r>
      <w:r w:rsidR="00073B71">
        <w:rPr>
          <w:shd w:val="clear" w:color="auto" w:fill="FFFFFF"/>
        </w:rPr>
        <w:t>1 365</w:t>
      </w:r>
      <w:r w:rsidR="00354E9A" w:rsidRPr="00A31734">
        <w:rPr>
          <w:shd w:val="clear" w:color="auto" w:fill="FFFFFF"/>
        </w:rPr>
        <w:t xml:space="preserve"> mie</w:t>
      </w:r>
      <w:r w:rsidR="007110ED" w:rsidRPr="00A31734">
        <w:rPr>
          <w:shd w:val="clear" w:color="auto" w:fill="FFFFFF"/>
        </w:rPr>
        <w:t xml:space="preserve">szkań, na których </w:t>
      </w:r>
      <w:r w:rsidR="007110ED">
        <w:rPr>
          <w:shd w:val="clear" w:color="auto" w:fill="FFFFFF"/>
        </w:rPr>
        <w:t>budowę wyda</w:t>
      </w:r>
      <w:r w:rsidR="00354E9A" w:rsidRPr="00354E9A">
        <w:rPr>
          <w:shd w:val="clear" w:color="auto" w:fill="FFFFFF"/>
        </w:rPr>
        <w:t>no pozwolenia lub dokonano zgłoszenia z projektem budowlanym (</w:t>
      </w:r>
      <w:r w:rsidR="00073B71">
        <w:rPr>
          <w:shd w:val="clear" w:color="auto" w:fill="FFFFFF"/>
        </w:rPr>
        <w:t>774</w:t>
      </w:r>
      <w:r w:rsidR="00354E9A" w:rsidRPr="00354E9A">
        <w:rPr>
          <w:shd w:val="clear" w:color="auto" w:fill="FFFFFF"/>
        </w:rPr>
        <w:t xml:space="preserve"> w roku ubiegłym).</w:t>
      </w:r>
    </w:p>
    <w:p w14:paraId="3863D452" w14:textId="6617EA9E" w:rsidR="00AD1F03" w:rsidRPr="00F049AB" w:rsidRDefault="00AD1F03" w:rsidP="00AC280D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154"/>
        <w:gridCol w:w="1149"/>
        <w:gridCol w:w="1092"/>
        <w:gridCol w:w="1275"/>
        <w:gridCol w:w="1134"/>
        <w:gridCol w:w="1217"/>
      </w:tblGrid>
      <w:tr w:rsidR="00643463" w:rsidRPr="00A84296" w14:paraId="2D1D1017" w14:textId="77777777" w:rsidTr="00267F90">
        <w:trPr>
          <w:trHeight w:val="18"/>
        </w:trPr>
        <w:tc>
          <w:tcPr>
            <w:tcW w:w="2154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C17B584" w14:textId="78E8E1CE" w:rsidR="00643463" w:rsidRPr="00267F90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16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49B5082" w14:textId="05FE4C90" w:rsidR="00643463" w:rsidRPr="00267F90" w:rsidRDefault="008A4CA5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03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1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56C76FA" w14:textId="73AA15E9" w:rsidR="00643463" w:rsidRPr="00267F90" w:rsidRDefault="000727FE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01-03</w:t>
            </w:r>
            <w:r w:rsidR="006C4386" w:rsidRPr="00267F90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643463" w:rsidRPr="00A84296" w14:paraId="533F8FA4" w14:textId="77777777" w:rsidTr="00267F90">
        <w:trPr>
          <w:trHeight w:val="18"/>
        </w:trPr>
        <w:tc>
          <w:tcPr>
            <w:tcW w:w="2154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4EFF0FD5" w14:textId="77777777" w:rsidR="00643463" w:rsidRPr="00267F90" w:rsidRDefault="00643463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49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A0F312D" w14:textId="77777777" w:rsidR="00643463" w:rsidRPr="00267F90" w:rsidRDefault="00643463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92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23DE5A2D" w14:textId="6123B2D6" w:rsidR="00643463" w:rsidRPr="00267F90" w:rsidRDefault="00643463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</w:t>
            </w:r>
            <w:r w:rsidR="008A4CA5">
              <w:rPr>
                <w:color w:val="000000" w:themeColor="text1"/>
                <w:sz w:val="16"/>
                <w:szCs w:val="16"/>
              </w:rPr>
              <w:t>3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2021=100</w:t>
            </w:r>
          </w:p>
        </w:tc>
        <w:tc>
          <w:tcPr>
            <w:tcW w:w="1275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2436271F" w14:textId="15E97EA8" w:rsidR="00643463" w:rsidRPr="00267F90" w:rsidRDefault="008A4CA5" w:rsidP="00BA682B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02</w:t>
            </w:r>
            <w:r w:rsidR="00643463" w:rsidRPr="00267F90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BA682B" w:rsidRPr="00267F90">
              <w:rPr>
                <w:color w:val="000000" w:themeColor="text1"/>
                <w:sz w:val="16"/>
                <w:szCs w:val="16"/>
              </w:rPr>
              <w:t>2</w:t>
            </w:r>
            <w:r w:rsidR="00643463"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4C87A1A2" w14:textId="77777777" w:rsidR="00643463" w:rsidRPr="00267F90" w:rsidRDefault="00643463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17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A50A7BC" w14:textId="0D412A52" w:rsidR="00643463" w:rsidRPr="00267F90" w:rsidRDefault="00643463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01-0</w:t>
            </w:r>
            <w:r w:rsidR="000727FE" w:rsidRPr="00267F90">
              <w:rPr>
                <w:color w:val="000000" w:themeColor="text1"/>
                <w:sz w:val="16"/>
                <w:szCs w:val="16"/>
              </w:rPr>
              <w:t>3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643463" w:rsidRPr="00A84296" w14:paraId="71F491A6" w14:textId="77777777" w:rsidTr="00267F90">
        <w:trPr>
          <w:trHeight w:val="53"/>
        </w:trPr>
        <w:tc>
          <w:tcPr>
            <w:tcW w:w="2154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48767732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49" w:type="dxa"/>
            <w:tcBorders>
              <w:top w:val="single" w:sz="12" w:space="0" w:color="212492"/>
            </w:tcBorders>
            <w:vAlign w:val="center"/>
          </w:tcPr>
          <w:p w14:paraId="03C7933B" w14:textId="2FE4FD89" w:rsidR="00643463" w:rsidRPr="00267F90" w:rsidRDefault="000727FE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b/>
                <w:color w:val="000000" w:themeColor="text1"/>
                <w:sz w:val="16"/>
                <w:szCs w:val="16"/>
              </w:rPr>
              <w:t>30 065</w:t>
            </w:r>
          </w:p>
        </w:tc>
        <w:tc>
          <w:tcPr>
            <w:tcW w:w="1092" w:type="dxa"/>
            <w:tcBorders>
              <w:top w:val="single" w:sz="12" w:space="0" w:color="212492"/>
            </w:tcBorders>
            <w:vAlign w:val="center"/>
          </w:tcPr>
          <w:p w14:paraId="1A67FEA6" w14:textId="689DDC75" w:rsidR="00643463" w:rsidRPr="00267F90" w:rsidRDefault="000727FE" w:rsidP="00421385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88,7</w:t>
            </w:r>
          </w:p>
        </w:tc>
        <w:tc>
          <w:tcPr>
            <w:tcW w:w="1275" w:type="dxa"/>
            <w:tcBorders>
              <w:top w:val="single" w:sz="12" w:space="0" w:color="212492"/>
              <w:right w:val="nil"/>
            </w:tcBorders>
            <w:vAlign w:val="center"/>
          </w:tcPr>
          <w:p w14:paraId="22A0F355" w14:textId="198D6939" w:rsidR="00643463" w:rsidRPr="00267F90" w:rsidRDefault="000727FE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b/>
                <w:color w:val="000000" w:themeColor="text1"/>
                <w:sz w:val="16"/>
                <w:szCs w:val="16"/>
              </w:rPr>
              <w:t>117,8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</w:tcPr>
          <w:p w14:paraId="13A3D33B" w14:textId="354A59FA" w:rsidR="00643463" w:rsidRPr="00267F90" w:rsidRDefault="00DA4463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b/>
                <w:color w:val="000000" w:themeColor="text1"/>
                <w:sz w:val="16"/>
                <w:szCs w:val="16"/>
              </w:rPr>
              <w:t>77 808</w:t>
            </w:r>
          </w:p>
        </w:tc>
        <w:tc>
          <w:tcPr>
            <w:tcW w:w="1217" w:type="dxa"/>
            <w:tcBorders>
              <w:top w:val="single" w:sz="12" w:space="0" w:color="212492"/>
              <w:right w:val="nil"/>
            </w:tcBorders>
          </w:tcPr>
          <w:p w14:paraId="0EEB3FA0" w14:textId="78EE7D6A" w:rsidR="00643463" w:rsidRPr="00267F90" w:rsidRDefault="00DA4463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b/>
                <w:color w:val="000000" w:themeColor="text1"/>
                <w:sz w:val="16"/>
                <w:szCs w:val="16"/>
              </w:rPr>
              <w:t>92,0</w:t>
            </w:r>
          </w:p>
        </w:tc>
      </w:tr>
      <w:tr w:rsidR="00643463" w:rsidRPr="00A84296" w14:paraId="3D7B04F6" w14:textId="77777777" w:rsidTr="00267F90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E8473CE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49" w:type="dxa"/>
            <w:vAlign w:val="center"/>
          </w:tcPr>
          <w:p w14:paraId="4A5B9242" w14:textId="0CBB658E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10 219</w:t>
            </w:r>
          </w:p>
        </w:tc>
        <w:tc>
          <w:tcPr>
            <w:tcW w:w="1092" w:type="dxa"/>
            <w:vAlign w:val="center"/>
          </w:tcPr>
          <w:p w14:paraId="3606C173" w14:textId="4AAF0CF5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100,0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3C381997" w14:textId="7AA000DC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132,7</w:t>
            </w:r>
          </w:p>
        </w:tc>
        <w:tc>
          <w:tcPr>
            <w:tcW w:w="1134" w:type="dxa"/>
            <w:tcBorders>
              <w:right w:val="nil"/>
            </w:tcBorders>
          </w:tcPr>
          <w:p w14:paraId="4F3A9444" w14:textId="0B8095B5" w:rsidR="00643463" w:rsidRPr="00267F90" w:rsidRDefault="00DA4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24 423</w:t>
            </w:r>
          </w:p>
        </w:tc>
        <w:tc>
          <w:tcPr>
            <w:tcW w:w="1217" w:type="dxa"/>
            <w:tcBorders>
              <w:right w:val="nil"/>
            </w:tcBorders>
          </w:tcPr>
          <w:p w14:paraId="1556C973" w14:textId="66648E34" w:rsidR="00643463" w:rsidRPr="00267F90" w:rsidRDefault="00DA4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89,9</w:t>
            </w:r>
          </w:p>
        </w:tc>
      </w:tr>
      <w:tr w:rsidR="00643463" w:rsidRPr="00A84296" w14:paraId="45DA37CB" w14:textId="77777777" w:rsidTr="00504A57">
        <w:trPr>
          <w:trHeight w:val="359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37A3672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49" w:type="dxa"/>
            <w:vAlign w:val="center"/>
          </w:tcPr>
          <w:p w14:paraId="72878E86" w14:textId="65BC7AEA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18 908</w:t>
            </w:r>
          </w:p>
        </w:tc>
        <w:tc>
          <w:tcPr>
            <w:tcW w:w="1092" w:type="dxa"/>
            <w:vAlign w:val="center"/>
          </w:tcPr>
          <w:p w14:paraId="5573A616" w14:textId="02E69624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81,1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50B77A20" w14:textId="312948F8" w:rsidR="00643463" w:rsidRPr="00267F90" w:rsidRDefault="00267F9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108,0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9D4F930" w14:textId="62FA923F" w:rsidR="00643463" w:rsidRPr="00FD758E" w:rsidRDefault="00DA4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758E">
              <w:rPr>
                <w:rFonts w:cs="Arial"/>
                <w:color w:val="000000" w:themeColor="text1"/>
                <w:sz w:val="16"/>
                <w:szCs w:val="16"/>
              </w:rPr>
              <w:t>52 020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6A687EED" w14:textId="53570EEB" w:rsidR="00643463" w:rsidRPr="00FD758E" w:rsidRDefault="00DA4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758E">
              <w:rPr>
                <w:rFonts w:cs="Arial"/>
                <w:color w:val="000000" w:themeColor="text1"/>
                <w:sz w:val="16"/>
                <w:szCs w:val="16"/>
              </w:rPr>
              <w:t>91,8</w:t>
            </w:r>
          </w:p>
        </w:tc>
      </w:tr>
      <w:tr w:rsidR="00643463" w:rsidRPr="00A84296" w14:paraId="596442E5" w14:textId="77777777" w:rsidTr="00504A57">
        <w:trPr>
          <w:trHeight w:val="376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3127BECA" w14:textId="77777777" w:rsidR="00643463" w:rsidRPr="00267F90" w:rsidRDefault="00643463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49" w:type="dxa"/>
            <w:vAlign w:val="center"/>
          </w:tcPr>
          <w:p w14:paraId="5CCF0AD9" w14:textId="292B182E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233</w:t>
            </w:r>
          </w:p>
        </w:tc>
        <w:tc>
          <w:tcPr>
            <w:tcW w:w="1092" w:type="dxa"/>
            <w:vAlign w:val="center"/>
          </w:tcPr>
          <w:p w14:paraId="0DE00668" w14:textId="09EA7C4C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129,4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6627E39" w14:textId="2EE55D25" w:rsidR="00643463" w:rsidRPr="00267F90" w:rsidRDefault="000727FE" w:rsidP="00BA682B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ponad 15-krotnie więcej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B91449E" w14:textId="65BDD65B" w:rsidR="00643463" w:rsidRPr="00FD758E" w:rsidRDefault="00DA4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758E">
              <w:rPr>
                <w:rFonts w:cs="Arial"/>
                <w:color w:val="000000" w:themeColor="text1"/>
                <w:sz w:val="16"/>
                <w:szCs w:val="16"/>
              </w:rPr>
              <w:t>298</w:t>
            </w:r>
          </w:p>
        </w:tc>
        <w:tc>
          <w:tcPr>
            <w:tcW w:w="1217" w:type="dxa"/>
            <w:tcBorders>
              <w:right w:val="nil"/>
            </w:tcBorders>
            <w:vAlign w:val="center"/>
          </w:tcPr>
          <w:p w14:paraId="3F026187" w14:textId="4B97FDF0" w:rsidR="00643463" w:rsidRPr="00FD758E" w:rsidRDefault="00DA4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FD758E">
              <w:rPr>
                <w:rFonts w:cs="Arial"/>
                <w:color w:val="000000" w:themeColor="text1"/>
                <w:sz w:val="16"/>
                <w:szCs w:val="16"/>
              </w:rPr>
              <w:t>79,0</w:t>
            </w:r>
          </w:p>
        </w:tc>
      </w:tr>
      <w:tr w:rsidR="00643463" w:rsidRPr="00A84296" w14:paraId="1B641BCA" w14:textId="77777777" w:rsidTr="00267F90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66736A3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49" w:type="dxa"/>
            <w:vAlign w:val="center"/>
          </w:tcPr>
          <w:p w14:paraId="70A7F72F" w14:textId="5E2023DA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374</w:t>
            </w:r>
          </w:p>
        </w:tc>
        <w:tc>
          <w:tcPr>
            <w:tcW w:w="1092" w:type="dxa"/>
            <w:vAlign w:val="center"/>
          </w:tcPr>
          <w:p w14:paraId="76C2BC88" w14:textId="2387DD57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316,9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27C7B45B" w14:textId="09F35DFB" w:rsidR="00643463" w:rsidRPr="00267F90" w:rsidRDefault="00267F9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205,5</w:t>
            </w:r>
          </w:p>
        </w:tc>
        <w:tc>
          <w:tcPr>
            <w:tcW w:w="1134" w:type="dxa"/>
            <w:tcBorders>
              <w:right w:val="nil"/>
            </w:tcBorders>
          </w:tcPr>
          <w:p w14:paraId="335EBFC8" w14:textId="2680B195" w:rsidR="00643463" w:rsidRPr="00267F90" w:rsidRDefault="00DA4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621</w:t>
            </w:r>
          </w:p>
        </w:tc>
        <w:tc>
          <w:tcPr>
            <w:tcW w:w="1217" w:type="dxa"/>
            <w:tcBorders>
              <w:right w:val="nil"/>
            </w:tcBorders>
          </w:tcPr>
          <w:p w14:paraId="54F02263" w14:textId="29A1ADF7" w:rsidR="00643463" w:rsidRPr="00267F90" w:rsidRDefault="00DA4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246,4</w:t>
            </w:r>
          </w:p>
        </w:tc>
      </w:tr>
      <w:tr w:rsidR="00643463" w:rsidRPr="00A84296" w14:paraId="3BDDAADA" w14:textId="77777777" w:rsidTr="00267F90">
        <w:trPr>
          <w:trHeight w:val="328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6A8AD678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49" w:type="dxa"/>
            <w:vAlign w:val="center"/>
          </w:tcPr>
          <w:p w14:paraId="6B529B5F" w14:textId="5656D2D8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331</w:t>
            </w:r>
          </w:p>
        </w:tc>
        <w:tc>
          <w:tcPr>
            <w:tcW w:w="1092" w:type="dxa"/>
            <w:vAlign w:val="center"/>
          </w:tcPr>
          <w:p w14:paraId="5B1F8D49" w14:textId="237C4213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466,2</w:t>
            </w:r>
          </w:p>
        </w:tc>
        <w:tc>
          <w:tcPr>
            <w:tcW w:w="1275" w:type="dxa"/>
            <w:tcBorders>
              <w:right w:val="nil"/>
            </w:tcBorders>
            <w:vAlign w:val="center"/>
          </w:tcPr>
          <w:p w14:paraId="647C1A6F" w14:textId="4A210ADA" w:rsidR="00643463" w:rsidRPr="00267F90" w:rsidRDefault="00267F9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295,5</w:t>
            </w:r>
          </w:p>
        </w:tc>
        <w:tc>
          <w:tcPr>
            <w:tcW w:w="1134" w:type="dxa"/>
            <w:tcBorders>
              <w:right w:val="nil"/>
            </w:tcBorders>
          </w:tcPr>
          <w:p w14:paraId="080F0A44" w14:textId="214A46A4" w:rsidR="00643463" w:rsidRPr="00267F90" w:rsidRDefault="00DA4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443</w:t>
            </w:r>
          </w:p>
        </w:tc>
        <w:tc>
          <w:tcPr>
            <w:tcW w:w="1217" w:type="dxa"/>
            <w:tcBorders>
              <w:right w:val="nil"/>
            </w:tcBorders>
          </w:tcPr>
          <w:p w14:paraId="4409826F" w14:textId="00032279" w:rsidR="00643463" w:rsidRPr="00267F90" w:rsidRDefault="00DA4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314,2</w:t>
            </w:r>
          </w:p>
        </w:tc>
      </w:tr>
      <w:tr w:rsidR="00643463" w:rsidRPr="00A84296" w14:paraId="37181577" w14:textId="77777777" w:rsidTr="00C63D50">
        <w:trPr>
          <w:trHeight w:val="53"/>
        </w:trPr>
        <w:tc>
          <w:tcPr>
            <w:tcW w:w="2154" w:type="dxa"/>
            <w:tcBorders>
              <w:top w:val="single" w:sz="4" w:space="0" w:color="212492"/>
              <w:left w:val="nil"/>
              <w:bottom w:val="single" w:sz="4" w:space="0" w:color="auto"/>
            </w:tcBorders>
            <w:vAlign w:val="center"/>
          </w:tcPr>
          <w:p w14:paraId="41F02E75" w14:textId="77777777" w:rsidR="00643463" w:rsidRPr="00267F90" w:rsidRDefault="00643463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49" w:type="dxa"/>
            <w:tcBorders>
              <w:bottom w:val="single" w:sz="4" w:space="0" w:color="auto"/>
            </w:tcBorders>
            <w:vAlign w:val="center"/>
          </w:tcPr>
          <w:p w14:paraId="3633205C" w14:textId="675FD5D5" w:rsidR="00643463" w:rsidRPr="00267F90" w:rsidRDefault="000727FE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092" w:type="dxa"/>
            <w:tcBorders>
              <w:bottom w:val="single" w:sz="4" w:space="0" w:color="auto"/>
            </w:tcBorders>
            <w:vAlign w:val="center"/>
          </w:tcPr>
          <w:p w14:paraId="626D4BCD" w14:textId="1782E791" w:rsidR="00643463" w:rsidRPr="00267F90" w:rsidRDefault="00BA682B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275" w:type="dxa"/>
            <w:tcBorders>
              <w:bottom w:val="single" w:sz="4" w:space="0" w:color="auto"/>
              <w:right w:val="nil"/>
            </w:tcBorders>
            <w:vAlign w:val="center"/>
          </w:tcPr>
          <w:p w14:paraId="1601E445" w14:textId="599C0304" w:rsidR="00643463" w:rsidRPr="00267F90" w:rsidRDefault="00267F9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</w:tcPr>
          <w:p w14:paraId="619EFB03" w14:textId="6A1961DF" w:rsidR="00643463" w:rsidRPr="00267F90" w:rsidRDefault="00643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17" w:type="dxa"/>
            <w:tcBorders>
              <w:bottom w:val="single" w:sz="4" w:space="0" w:color="212492"/>
              <w:right w:val="nil"/>
            </w:tcBorders>
          </w:tcPr>
          <w:p w14:paraId="2B109B07" w14:textId="6C6EE7CB" w:rsidR="00643463" w:rsidRPr="00267F90" w:rsidRDefault="00DA4463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67F90">
              <w:rPr>
                <w:rFonts w:cs="Arial"/>
                <w:color w:val="000000" w:themeColor="text1"/>
                <w:sz w:val="16"/>
                <w:szCs w:val="16"/>
              </w:rPr>
              <w:t>75,0</w:t>
            </w:r>
          </w:p>
        </w:tc>
      </w:tr>
    </w:tbl>
    <w:p w14:paraId="56503EA0" w14:textId="77777777" w:rsidR="00AC280D" w:rsidRPr="00AC280D" w:rsidRDefault="00AC280D" w:rsidP="00AC280D">
      <w:pPr>
        <w:spacing w:before="0" w:after="0"/>
        <w:rPr>
          <w:lang w:eastAsia="pl-PL"/>
        </w:rPr>
      </w:pPr>
    </w:p>
    <w:p w14:paraId="4B75305E" w14:textId="0F9DC0E0" w:rsidR="00DA331D" w:rsidRPr="000647A9" w:rsidRDefault="00AC280D" w:rsidP="00AC280D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14:paraId="2CD51E8E" w14:textId="62AEA5B8" w:rsidR="00DA331D" w:rsidRDefault="00E34D1F" w:rsidP="00AC280D">
      <w:pPr>
        <w:spacing w:after="0" w:line="288" w:lineRule="auto"/>
        <w:rPr>
          <w:shd w:val="clear" w:color="auto" w:fill="FFFFFF"/>
        </w:rPr>
      </w:pPr>
      <w:r w:rsidRPr="00A31734">
        <w:rPr>
          <w:noProof/>
          <w:lang w:eastAsia="pl-PL"/>
        </w:rPr>
        <w:t xml:space="preserve">Od początku roku do końca </w:t>
      </w:r>
      <w:r w:rsidR="005E34C0">
        <w:rPr>
          <w:noProof/>
          <w:lang w:eastAsia="pl-PL"/>
        </w:rPr>
        <w:t>marca</w:t>
      </w:r>
      <w:r w:rsidRPr="00A31734">
        <w:rPr>
          <w:noProof/>
          <w:lang w:eastAsia="pl-PL"/>
        </w:rPr>
        <w:t xml:space="preserve"> 2022 r. </w:t>
      </w:r>
      <w:r w:rsidR="00AC280D" w:rsidRPr="00A31734">
        <w:rPr>
          <w:noProof/>
          <w:lang w:eastAsia="pl-PL"/>
        </w:rPr>
        <w:t xml:space="preserve">rozpoczęto budowę </w:t>
      </w:r>
      <w:r w:rsidR="001861D5">
        <w:rPr>
          <w:noProof/>
          <w:lang w:eastAsia="pl-PL"/>
        </w:rPr>
        <w:t>53,3</w:t>
      </w:r>
      <w:r w:rsidR="00AC280D" w:rsidRPr="00A31734">
        <w:rPr>
          <w:noProof/>
          <w:lang w:eastAsia="pl-PL"/>
        </w:rPr>
        <w:t xml:space="preserve"> </w:t>
      </w:r>
      <w:r w:rsidR="00AC280D" w:rsidRPr="00A31734">
        <w:rPr>
          <w:shd w:val="clear" w:color="auto" w:fill="FFFFFF"/>
        </w:rPr>
        <w:t xml:space="preserve">tys. mieszkań, tj. o </w:t>
      </w:r>
      <w:r w:rsidR="005A4A15" w:rsidRPr="00A31734">
        <w:rPr>
          <w:shd w:val="clear" w:color="auto" w:fill="FFFFFF"/>
        </w:rPr>
        <w:t>1</w:t>
      </w:r>
      <w:r w:rsidR="001861D5">
        <w:rPr>
          <w:shd w:val="clear" w:color="auto" w:fill="FFFFFF"/>
        </w:rPr>
        <w:t>6,3</w:t>
      </w:r>
      <w:r w:rsidR="00AC280D" w:rsidRPr="00A31734">
        <w:rPr>
          <w:shd w:val="clear" w:color="auto" w:fill="FFFFFF"/>
        </w:rPr>
        <w:t xml:space="preserve">%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 niż przed rokiem. Deweloperzy rozpoczęli budowę </w:t>
      </w:r>
      <w:r w:rsidR="001861D5">
        <w:rPr>
          <w:shd w:val="clear" w:color="auto" w:fill="FFFFFF"/>
        </w:rPr>
        <w:t>31</w:t>
      </w:r>
      <w:r w:rsidR="005A4A15" w:rsidRPr="00A31734">
        <w:rPr>
          <w:shd w:val="clear" w:color="auto" w:fill="FFFFFF"/>
        </w:rPr>
        <w:t>,7</w:t>
      </w:r>
      <w:r w:rsidR="00AC280D" w:rsidRPr="00A31734">
        <w:rPr>
          <w:shd w:val="clear" w:color="auto" w:fill="FFFFFF"/>
        </w:rPr>
        <w:t xml:space="preserve"> tys. mieszkań (</w:t>
      </w:r>
      <w:r w:rsidR="00AC280D" w:rsidRPr="00A31734">
        <w:t xml:space="preserve">o </w:t>
      </w:r>
      <w:r w:rsidR="001861D5">
        <w:t>21,1</w:t>
      </w:r>
      <w:r w:rsidR="00AC280D" w:rsidRPr="00A31734">
        <w:t>%</w:t>
      </w:r>
      <w:r w:rsidR="00AC280D" w:rsidRPr="00A31734">
        <w:rPr>
          <w:shd w:val="clear" w:color="auto" w:fill="FFFFFF"/>
        </w:rPr>
        <w:t xml:space="preserve"> </w:t>
      </w:r>
      <w:r w:rsidR="005566DA" w:rsidRPr="00A31734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), a inwestorzy indywidualni </w:t>
      </w:r>
      <w:r w:rsidR="001861D5">
        <w:rPr>
          <w:shd w:val="clear" w:color="auto" w:fill="FFFFFF"/>
        </w:rPr>
        <w:t>20,9</w:t>
      </w:r>
      <w:r w:rsidR="00AC280D" w:rsidRPr="00A31734">
        <w:rPr>
          <w:shd w:val="clear" w:color="auto" w:fill="FFFFFF"/>
        </w:rPr>
        <w:t xml:space="preserve"> tys. (o </w:t>
      </w:r>
      <w:r w:rsidR="001861D5">
        <w:rPr>
          <w:shd w:val="clear" w:color="auto" w:fill="FFFFFF"/>
        </w:rPr>
        <w:t>5,8</w:t>
      </w:r>
      <w:r w:rsidR="005566DA" w:rsidRPr="00A31734">
        <w:rPr>
          <w:shd w:val="clear" w:color="auto" w:fill="FFFFFF"/>
        </w:rPr>
        <w:t xml:space="preserve">% </w:t>
      </w:r>
      <w:r w:rsidR="001861D5">
        <w:rPr>
          <w:shd w:val="clear" w:color="auto" w:fill="FFFFFF"/>
        </w:rPr>
        <w:t>mniej</w:t>
      </w:r>
      <w:r w:rsidR="00AC280D" w:rsidRPr="00A31734">
        <w:rPr>
          <w:shd w:val="clear" w:color="auto" w:fill="FFFFFF"/>
        </w:rPr>
        <w:t xml:space="preserve">). Łącznie udział </w:t>
      </w:r>
      <w:r w:rsidR="00AC280D" w:rsidRPr="00FB77D1">
        <w:rPr>
          <w:shd w:val="clear" w:color="auto" w:fill="FFFFFF"/>
        </w:rPr>
        <w:t xml:space="preserve">tych form budownictwa wyniósł </w:t>
      </w:r>
      <w:r w:rsidR="00F254D3">
        <w:rPr>
          <w:shd w:val="clear" w:color="auto" w:fill="FFFFFF"/>
        </w:rPr>
        <w:t>98,6</w:t>
      </w:r>
      <w:r w:rsidR="00AC280D" w:rsidRPr="00FB77D1">
        <w:rPr>
          <w:shd w:val="clear" w:color="auto" w:fill="FFFFFF"/>
        </w:rPr>
        <w:t>% ogólnej liczby mieszkań</w:t>
      </w:r>
      <w:r w:rsidR="00AC280D" w:rsidRPr="00FF30DF">
        <w:rPr>
          <w:shd w:val="clear" w:color="auto" w:fill="FFFFFF"/>
        </w:rPr>
        <w:t xml:space="preserve">. W </w:t>
      </w:r>
      <w:r w:rsidR="00AC280D" w:rsidRPr="00FB77D1">
        <w:rPr>
          <w:shd w:val="clear" w:color="auto" w:fill="FFFFFF"/>
        </w:rPr>
        <w:t>pozostałych formach</w:t>
      </w:r>
      <w:r w:rsidR="00AC280D" w:rsidRPr="00FF30DF">
        <w:rPr>
          <w:shd w:val="clear" w:color="auto" w:fill="FFFFFF"/>
        </w:rPr>
        <w:t xml:space="preserve"> budownictwa rozpoczęto budowę </w:t>
      </w:r>
      <w:r w:rsidR="00F254D3">
        <w:rPr>
          <w:shd w:val="clear" w:color="auto" w:fill="FFFFFF"/>
        </w:rPr>
        <w:t>757</w:t>
      </w:r>
      <w:r w:rsidR="00AC280D" w:rsidRPr="00FF30DF">
        <w:rPr>
          <w:shd w:val="clear" w:color="auto" w:fill="FFFFFF"/>
        </w:rPr>
        <w:t> </w:t>
      </w:r>
      <w:r w:rsidR="00AC280D" w:rsidRPr="00F60AAF">
        <w:rPr>
          <w:shd w:val="clear" w:color="auto" w:fill="FFFFFF"/>
        </w:rPr>
        <w:t>mieszkań</w:t>
      </w:r>
      <w:r w:rsidR="00AC280D" w:rsidRPr="00FF30DF">
        <w:rPr>
          <w:shd w:val="clear" w:color="auto" w:fill="FFFFFF"/>
        </w:rPr>
        <w:t xml:space="preserve"> </w:t>
      </w:r>
      <w:r>
        <w:rPr>
          <w:shd w:val="clear" w:color="auto" w:fill="FFFFFF"/>
        </w:rPr>
        <w:t>(</w:t>
      </w:r>
      <w:r w:rsidR="00A62AAF">
        <w:rPr>
          <w:shd w:val="clear" w:color="auto" w:fill="FFFFFF"/>
        </w:rPr>
        <w:t xml:space="preserve">wobec </w:t>
      </w:r>
      <w:r w:rsidR="005A4A15" w:rsidRPr="00E34D1F">
        <w:rPr>
          <w:shd w:val="clear" w:color="auto" w:fill="FFFFFF"/>
        </w:rPr>
        <w:t xml:space="preserve">1 </w:t>
      </w:r>
      <w:r w:rsidR="00F254D3">
        <w:rPr>
          <w:shd w:val="clear" w:color="auto" w:fill="FFFFFF"/>
        </w:rPr>
        <w:t>417</w:t>
      </w:r>
      <w:r w:rsidR="00022429" w:rsidRPr="00E34D1F">
        <w:rPr>
          <w:shd w:val="clear" w:color="auto" w:fill="FFFFFF"/>
        </w:rPr>
        <w:t xml:space="preserve"> </w:t>
      </w:r>
      <w:r w:rsidRPr="00E34D1F">
        <w:rPr>
          <w:shd w:val="clear" w:color="auto" w:fill="FFFFFF"/>
        </w:rPr>
        <w:t>w roku poprzednim).</w:t>
      </w:r>
    </w:p>
    <w:p w14:paraId="6E10B658" w14:textId="15A6C402" w:rsidR="00E46466" w:rsidRPr="00F049AB" w:rsidRDefault="00AC280D" w:rsidP="00E46466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8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268"/>
        <w:gridCol w:w="1127"/>
        <w:gridCol w:w="1283"/>
        <w:gridCol w:w="1134"/>
        <w:gridCol w:w="1134"/>
        <w:gridCol w:w="1220"/>
      </w:tblGrid>
      <w:tr w:rsidR="00D01FA2" w:rsidRPr="002C7929" w14:paraId="67AE7F1D" w14:textId="77777777" w:rsidTr="002C7929">
        <w:trPr>
          <w:trHeight w:val="24"/>
        </w:trPr>
        <w:tc>
          <w:tcPr>
            <w:tcW w:w="2268" w:type="dxa"/>
            <w:vMerge w:val="restart"/>
            <w:tcBorders>
              <w:top w:val="single" w:sz="4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327E24E4" w14:textId="5A09DFFA" w:rsidR="00D01FA2" w:rsidRPr="002C7929" w:rsidRDefault="006C4386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2C5A0E67" w14:textId="7876B008" w:rsidR="00D01FA2" w:rsidRPr="002C7929" w:rsidRDefault="001861D5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03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  <w:tc>
          <w:tcPr>
            <w:tcW w:w="2354" w:type="dxa"/>
            <w:gridSpan w:val="2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15E75B83" w14:textId="2C1E2152" w:rsidR="00D01FA2" w:rsidRPr="002C7929" w:rsidRDefault="001861D5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01-03</w:t>
            </w:r>
            <w:r w:rsidR="00401013" w:rsidRPr="002C7929">
              <w:rPr>
                <w:color w:val="000000" w:themeColor="text1"/>
                <w:sz w:val="16"/>
                <w:szCs w:val="16"/>
              </w:rPr>
              <w:t xml:space="preserve"> 2022</w:t>
            </w:r>
          </w:p>
        </w:tc>
      </w:tr>
      <w:tr w:rsidR="002244A8" w:rsidRPr="002C7929" w14:paraId="4A06CB3E" w14:textId="77777777" w:rsidTr="002C7929">
        <w:trPr>
          <w:trHeight w:val="314"/>
        </w:trPr>
        <w:tc>
          <w:tcPr>
            <w:tcW w:w="2268" w:type="dxa"/>
            <w:vMerge/>
            <w:tcBorders>
              <w:top w:val="single" w:sz="12" w:space="0" w:color="212492"/>
              <w:left w:val="nil"/>
              <w:bottom w:val="single" w:sz="12" w:space="0" w:color="212492"/>
              <w:right w:val="single" w:sz="4" w:space="0" w:color="212492"/>
            </w:tcBorders>
            <w:vAlign w:val="center"/>
          </w:tcPr>
          <w:p w14:paraId="2C4F632A" w14:textId="77777777" w:rsidR="00D01FA2" w:rsidRPr="002C7929" w:rsidRDefault="00D01FA2" w:rsidP="00421385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27" w:type="dxa"/>
            <w:tcBorders>
              <w:top w:val="single" w:sz="4" w:space="0" w:color="212492"/>
              <w:left w:val="single" w:sz="4" w:space="0" w:color="212492"/>
              <w:bottom w:val="single" w:sz="12" w:space="0" w:color="212492"/>
            </w:tcBorders>
            <w:vAlign w:val="center"/>
          </w:tcPr>
          <w:p w14:paraId="7C9BFDBF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83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07629122" w14:textId="59FBE07E" w:rsidR="00D01FA2" w:rsidRPr="002C7929" w:rsidRDefault="00D01FA2" w:rsidP="009579D4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</w:t>
            </w:r>
            <w:r w:rsidR="001861D5" w:rsidRPr="002C7929">
              <w:rPr>
                <w:color w:val="000000" w:themeColor="text1"/>
                <w:sz w:val="16"/>
                <w:szCs w:val="16"/>
              </w:rPr>
              <w:t>3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202</w:t>
            </w:r>
            <w:r w:rsidR="009579D4" w:rsidRPr="002C7929">
              <w:rPr>
                <w:color w:val="000000" w:themeColor="text1"/>
                <w:sz w:val="16"/>
                <w:szCs w:val="16"/>
              </w:rPr>
              <w:t>1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6B668BDB" w14:textId="69B6A3C1" w:rsidR="00D01FA2" w:rsidRPr="002C7929" w:rsidRDefault="001861D5" w:rsidP="006025DF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02 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202</w:t>
            </w:r>
            <w:r w:rsidR="006025DF" w:rsidRPr="002C7929">
              <w:rPr>
                <w:color w:val="000000" w:themeColor="text1"/>
                <w:sz w:val="16"/>
                <w:szCs w:val="16"/>
              </w:rPr>
              <w:t>2</w:t>
            </w:r>
            <w:r w:rsidR="00D01FA2"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12" w:space="0" w:color="212492"/>
              <w:right w:val="nil"/>
            </w:tcBorders>
            <w:vAlign w:val="center"/>
          </w:tcPr>
          <w:p w14:paraId="58104DD6" w14:textId="77777777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20" w:type="dxa"/>
            <w:tcBorders>
              <w:top w:val="single" w:sz="4" w:space="0" w:color="212492"/>
              <w:bottom w:val="single" w:sz="12" w:space="0" w:color="212492"/>
              <w:right w:val="nil"/>
            </w:tcBorders>
          </w:tcPr>
          <w:p w14:paraId="0486FF8F" w14:textId="033E5608" w:rsidR="00D01FA2" w:rsidRPr="002C7929" w:rsidRDefault="00D01FA2" w:rsidP="00421385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01-0</w:t>
            </w:r>
            <w:r w:rsidR="001861D5" w:rsidRPr="002C7929">
              <w:rPr>
                <w:color w:val="000000" w:themeColor="text1"/>
                <w:sz w:val="16"/>
                <w:szCs w:val="16"/>
              </w:rPr>
              <w:t>3</w:t>
            </w:r>
            <w:r w:rsidRPr="002C7929"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2021=100</w:t>
            </w:r>
          </w:p>
        </w:tc>
      </w:tr>
      <w:tr w:rsidR="002244A8" w:rsidRPr="002C7929" w14:paraId="51B29399" w14:textId="77777777" w:rsidTr="002C7929">
        <w:trPr>
          <w:trHeight w:val="74"/>
        </w:trPr>
        <w:tc>
          <w:tcPr>
            <w:tcW w:w="2268" w:type="dxa"/>
            <w:tcBorders>
              <w:top w:val="single" w:sz="12" w:space="0" w:color="212492"/>
              <w:left w:val="nil"/>
              <w:bottom w:val="single" w:sz="4" w:space="0" w:color="212492"/>
            </w:tcBorders>
            <w:vAlign w:val="center"/>
          </w:tcPr>
          <w:p w14:paraId="01AFEF81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27" w:type="dxa"/>
            <w:tcBorders>
              <w:top w:val="single" w:sz="12" w:space="0" w:color="212492"/>
            </w:tcBorders>
            <w:vAlign w:val="center"/>
          </w:tcPr>
          <w:p w14:paraId="5583E381" w14:textId="531F30DD" w:rsidR="00D01FA2" w:rsidRPr="002C7929" w:rsidRDefault="005E34C0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b/>
                <w:color w:val="000000" w:themeColor="text1"/>
                <w:sz w:val="16"/>
                <w:szCs w:val="16"/>
              </w:rPr>
              <w:t>23 632</w:t>
            </w:r>
          </w:p>
        </w:tc>
        <w:tc>
          <w:tcPr>
            <w:tcW w:w="1283" w:type="dxa"/>
            <w:tcBorders>
              <w:top w:val="single" w:sz="12" w:space="0" w:color="212492"/>
            </w:tcBorders>
            <w:vAlign w:val="center"/>
          </w:tcPr>
          <w:p w14:paraId="3FBBBC2F" w14:textId="2CAD2F59" w:rsidR="00D01FA2" w:rsidRPr="002C7929" w:rsidRDefault="005E34C0" w:rsidP="00421385">
            <w:pPr>
              <w:spacing w:after="0"/>
              <w:jc w:val="right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  <w:t>78,4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202F2C45" w14:textId="204715E1" w:rsidR="00D01FA2" w:rsidRPr="002C7929" w:rsidRDefault="001861D5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b/>
                <w:color w:val="000000" w:themeColor="text1"/>
                <w:sz w:val="16"/>
                <w:szCs w:val="16"/>
              </w:rPr>
              <w:t>132,4</w:t>
            </w:r>
          </w:p>
        </w:tc>
        <w:tc>
          <w:tcPr>
            <w:tcW w:w="1134" w:type="dxa"/>
            <w:tcBorders>
              <w:top w:val="single" w:sz="12" w:space="0" w:color="212492"/>
              <w:right w:val="nil"/>
            </w:tcBorders>
            <w:vAlign w:val="center"/>
          </w:tcPr>
          <w:p w14:paraId="4CC21AB3" w14:textId="2BF915C5" w:rsidR="00D01FA2" w:rsidRPr="002C7929" w:rsidRDefault="005E34C0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b/>
                <w:color w:val="000000" w:themeColor="text1"/>
                <w:sz w:val="16"/>
                <w:szCs w:val="16"/>
              </w:rPr>
              <w:t>53 287</w:t>
            </w:r>
          </w:p>
        </w:tc>
        <w:tc>
          <w:tcPr>
            <w:tcW w:w="1220" w:type="dxa"/>
            <w:tcBorders>
              <w:top w:val="single" w:sz="12" w:space="0" w:color="212492"/>
              <w:right w:val="nil"/>
            </w:tcBorders>
            <w:vAlign w:val="center"/>
          </w:tcPr>
          <w:p w14:paraId="4D871161" w14:textId="53C49CC8" w:rsidR="00D01FA2" w:rsidRPr="002C7929" w:rsidRDefault="005E34C0" w:rsidP="00421385">
            <w:pPr>
              <w:spacing w:after="0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b/>
                <w:color w:val="000000" w:themeColor="text1"/>
                <w:sz w:val="16"/>
                <w:szCs w:val="16"/>
              </w:rPr>
              <w:t>83,7</w:t>
            </w:r>
          </w:p>
        </w:tc>
      </w:tr>
      <w:tr w:rsidR="002244A8" w:rsidRPr="002C7929" w14:paraId="31393AB6" w14:textId="77777777" w:rsidTr="002C7929">
        <w:trPr>
          <w:trHeight w:val="220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AD53ADC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27" w:type="dxa"/>
            <w:vAlign w:val="center"/>
          </w:tcPr>
          <w:p w14:paraId="713FE16F" w14:textId="504E0B9A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10 304</w:t>
            </w:r>
          </w:p>
        </w:tc>
        <w:tc>
          <w:tcPr>
            <w:tcW w:w="1283" w:type="dxa"/>
            <w:vAlign w:val="center"/>
          </w:tcPr>
          <w:p w14:paraId="3AB86585" w14:textId="18B1CBB3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86,2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4F1B8571" w14:textId="5792449B" w:rsidR="00D01FA2" w:rsidRPr="002C7929" w:rsidRDefault="001861D5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166,1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DDB2FFE" w14:textId="0C7B2714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20 855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0CCD0B5A" w14:textId="4A17D046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94,2</w:t>
            </w:r>
          </w:p>
        </w:tc>
      </w:tr>
      <w:tr w:rsidR="002244A8" w:rsidRPr="002C7929" w14:paraId="593E7D8A" w14:textId="77777777" w:rsidTr="002C7929">
        <w:trPr>
          <w:trHeight w:val="220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7B8E28BD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27" w:type="dxa"/>
            <w:vAlign w:val="center"/>
          </w:tcPr>
          <w:p w14:paraId="17BDC596" w14:textId="20EA9F16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13 015</w:t>
            </w:r>
          </w:p>
        </w:tc>
        <w:tc>
          <w:tcPr>
            <w:tcW w:w="1283" w:type="dxa"/>
            <w:vAlign w:val="center"/>
          </w:tcPr>
          <w:p w14:paraId="6651C6C2" w14:textId="2C2B8E9A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73,0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A42F450" w14:textId="0AC60B27" w:rsidR="00D01FA2" w:rsidRPr="002C7929" w:rsidRDefault="001861D5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115,0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25A39A39" w14:textId="1B9BD7AC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31 675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10604B89" w14:textId="3744BF02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78,9</w:t>
            </w:r>
          </w:p>
        </w:tc>
      </w:tr>
      <w:tr w:rsidR="002244A8" w:rsidRPr="002C7929" w14:paraId="10FB5E32" w14:textId="77777777" w:rsidTr="002C7929">
        <w:trPr>
          <w:trHeight w:val="23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4D630EDE" w14:textId="77777777" w:rsidR="00D01FA2" w:rsidRPr="002C7929" w:rsidRDefault="00D01FA2" w:rsidP="00421385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127" w:type="dxa"/>
            <w:vAlign w:val="center"/>
          </w:tcPr>
          <w:p w14:paraId="6C3E3E87" w14:textId="6D07249F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1283" w:type="dxa"/>
            <w:vAlign w:val="center"/>
          </w:tcPr>
          <w:p w14:paraId="2AF19FC1" w14:textId="06649876" w:rsidR="00D01FA2" w:rsidRPr="002C7929" w:rsidRDefault="00C74FD4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31,3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128A795F" w14:textId="673A6CC7" w:rsidR="00D01FA2" w:rsidRPr="002C7929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655EE536" w14:textId="2364324B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195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048C2F33" w14:textId="1983F223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114,0</w:t>
            </w:r>
          </w:p>
        </w:tc>
      </w:tr>
      <w:tr w:rsidR="002244A8" w:rsidRPr="002C7929" w14:paraId="5DE911D7" w14:textId="77777777" w:rsidTr="002C7929">
        <w:trPr>
          <w:trHeight w:val="226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6594D27" w14:textId="77777777" w:rsidR="00D01FA2" w:rsidRPr="002C7929" w:rsidRDefault="00D01FA2" w:rsidP="00421385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27" w:type="dxa"/>
            <w:vAlign w:val="center"/>
          </w:tcPr>
          <w:p w14:paraId="7AF1925A" w14:textId="09E2FD48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172</w:t>
            </w:r>
          </w:p>
        </w:tc>
        <w:tc>
          <w:tcPr>
            <w:tcW w:w="1283" w:type="dxa"/>
            <w:vAlign w:val="center"/>
          </w:tcPr>
          <w:p w14:paraId="208887F3" w14:textId="1980DDF0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55,8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30D4357E" w14:textId="1A7CF2B3" w:rsidR="00D01FA2" w:rsidRPr="002C7929" w:rsidRDefault="00D56EFC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814EFCC" w14:textId="25BDCE4B" w:rsidR="00D01FA2" w:rsidRPr="002C7929" w:rsidRDefault="005E34C0" w:rsidP="00421385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175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36405AD3" w14:textId="268146BC" w:rsidR="00D01FA2" w:rsidRPr="002C7929" w:rsidRDefault="005E34C0" w:rsidP="00A31734">
            <w:pPr>
              <w:spacing w:before="0"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36,2</w:t>
            </w:r>
          </w:p>
        </w:tc>
      </w:tr>
      <w:tr w:rsidR="00CF0C7D" w:rsidRPr="002C7929" w14:paraId="717971BF" w14:textId="77777777" w:rsidTr="002C7929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081D8928" w14:textId="2CC6BA8A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27" w:type="dxa"/>
            <w:tcBorders>
              <w:bottom w:val="single" w:sz="4" w:space="0" w:color="212492"/>
            </w:tcBorders>
            <w:vAlign w:val="center"/>
          </w:tcPr>
          <w:p w14:paraId="70236579" w14:textId="6BBBB6BA" w:rsidR="00CF0C7D" w:rsidRPr="002C7929" w:rsidRDefault="005E34C0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27</w:t>
            </w:r>
          </w:p>
        </w:tc>
        <w:tc>
          <w:tcPr>
            <w:tcW w:w="1283" w:type="dxa"/>
            <w:tcBorders>
              <w:bottom w:val="single" w:sz="4" w:space="0" w:color="212492"/>
            </w:tcBorders>
            <w:vAlign w:val="center"/>
          </w:tcPr>
          <w:p w14:paraId="18F8B7AA" w14:textId="2B0D0FEC" w:rsidR="00CF0C7D" w:rsidRPr="002C7929" w:rsidRDefault="00C74FD4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27-krotnie więcej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18AAAD08" w14:textId="48FB81CF" w:rsidR="00CF0C7D" w:rsidRPr="002C7929" w:rsidRDefault="001861D5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66BCCF31" w14:textId="37A748E7" w:rsidR="00CF0C7D" w:rsidRPr="002C7929" w:rsidRDefault="005E34C0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109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746568FC" w14:textId="5ACA4F41" w:rsidR="00CF0C7D" w:rsidRPr="002C7929" w:rsidRDefault="005E34C0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103,8</w:t>
            </w:r>
          </w:p>
        </w:tc>
      </w:tr>
      <w:tr w:rsidR="00CF0C7D" w:rsidRPr="002C7929" w14:paraId="780B2FE9" w14:textId="77777777" w:rsidTr="002C7929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515E3FFE" w14:textId="5426549B" w:rsidR="00CF0C7D" w:rsidRPr="002C7929" w:rsidRDefault="00CF0C7D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27" w:type="dxa"/>
            <w:vAlign w:val="center"/>
          </w:tcPr>
          <w:p w14:paraId="27C9D9C7" w14:textId="31144EDC" w:rsidR="00CF0C7D" w:rsidRPr="002C7929" w:rsidRDefault="005E34C0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82</w:t>
            </w:r>
          </w:p>
        </w:tc>
        <w:tc>
          <w:tcPr>
            <w:tcW w:w="1283" w:type="dxa"/>
            <w:vAlign w:val="center"/>
          </w:tcPr>
          <w:p w14:paraId="05B46D5B" w14:textId="0BFF038E" w:rsidR="00CF0C7D" w:rsidRPr="002C7929" w:rsidRDefault="001861D5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149,1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75D3E92A" w14:textId="448C5258" w:rsidR="00CF0C7D" w:rsidRPr="002C7929" w:rsidRDefault="001861D5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29,4</w:t>
            </w:r>
          </w:p>
        </w:tc>
        <w:tc>
          <w:tcPr>
            <w:tcW w:w="1134" w:type="dxa"/>
            <w:tcBorders>
              <w:right w:val="nil"/>
            </w:tcBorders>
            <w:vAlign w:val="center"/>
          </w:tcPr>
          <w:p w14:paraId="5DA4D76F" w14:textId="496A3360" w:rsidR="00CF0C7D" w:rsidRPr="002C7929" w:rsidRDefault="005E34C0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441</w:t>
            </w:r>
          </w:p>
        </w:tc>
        <w:tc>
          <w:tcPr>
            <w:tcW w:w="1220" w:type="dxa"/>
            <w:tcBorders>
              <w:right w:val="nil"/>
            </w:tcBorders>
            <w:vAlign w:val="center"/>
          </w:tcPr>
          <w:p w14:paraId="17E99BD0" w14:textId="0CB3C3AA" w:rsidR="00CF0C7D" w:rsidRPr="002C7929" w:rsidRDefault="005E34C0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53,3</w:t>
            </w:r>
          </w:p>
        </w:tc>
      </w:tr>
      <w:tr w:rsidR="00EC4714" w:rsidRPr="002C7929" w14:paraId="0A24278F" w14:textId="77777777" w:rsidTr="002C7929">
        <w:trPr>
          <w:trHeight w:val="74"/>
        </w:trPr>
        <w:tc>
          <w:tcPr>
            <w:tcW w:w="2268" w:type="dxa"/>
            <w:tcBorders>
              <w:top w:val="single" w:sz="4" w:space="0" w:color="212492"/>
              <w:left w:val="nil"/>
              <w:bottom w:val="single" w:sz="4" w:space="0" w:color="212492"/>
            </w:tcBorders>
            <w:vAlign w:val="center"/>
          </w:tcPr>
          <w:p w14:paraId="10A468CB" w14:textId="5A31FC1D" w:rsidR="00EC4714" w:rsidRPr="002C7929" w:rsidRDefault="00EC4714" w:rsidP="00CF0C7D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27" w:type="dxa"/>
            <w:tcBorders>
              <w:bottom w:val="single" w:sz="4" w:space="0" w:color="212492"/>
            </w:tcBorders>
            <w:vAlign w:val="center"/>
          </w:tcPr>
          <w:p w14:paraId="0E54ECEB" w14:textId="5E0441E3" w:rsidR="00EC4714" w:rsidRPr="002C7929" w:rsidRDefault="005E34C0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83" w:type="dxa"/>
            <w:tcBorders>
              <w:bottom w:val="single" w:sz="4" w:space="0" w:color="212492"/>
            </w:tcBorders>
            <w:vAlign w:val="center"/>
          </w:tcPr>
          <w:p w14:paraId="6B11BD8C" w14:textId="3CD73A9B" w:rsidR="00EC4714" w:rsidRPr="002C7929" w:rsidRDefault="00EC4714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2A19D52" w14:textId="27F0113F" w:rsidR="00EC4714" w:rsidRPr="002C7929" w:rsidRDefault="00EC4714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212492"/>
              <w:right w:val="nil"/>
            </w:tcBorders>
            <w:vAlign w:val="center"/>
          </w:tcPr>
          <w:p w14:paraId="2D1D1733" w14:textId="52A25356" w:rsidR="00EC4714" w:rsidRPr="002C7929" w:rsidRDefault="005E34C0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32</w:t>
            </w:r>
          </w:p>
        </w:tc>
        <w:tc>
          <w:tcPr>
            <w:tcW w:w="1220" w:type="dxa"/>
            <w:tcBorders>
              <w:bottom w:val="single" w:sz="4" w:space="0" w:color="212492"/>
              <w:right w:val="nil"/>
            </w:tcBorders>
            <w:vAlign w:val="center"/>
          </w:tcPr>
          <w:p w14:paraId="500FD326" w14:textId="03292738" w:rsidR="00EC4714" w:rsidRPr="002C7929" w:rsidRDefault="00EC4714" w:rsidP="00CF0C7D">
            <w:pPr>
              <w:spacing w:after="0"/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2C7929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</w:p>
        </w:tc>
      </w:tr>
    </w:tbl>
    <w:p w14:paraId="353A08B3" w14:textId="337A1BE9" w:rsidR="00AC280D" w:rsidRDefault="0091083F" w:rsidP="00CD6D30">
      <w:pPr>
        <w:spacing w:after="0" w:line="288" w:lineRule="auto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Szacuje się, że na koniec </w:t>
      </w:r>
      <w:r w:rsidR="00F254D3">
        <w:rPr>
          <w:shd w:val="clear" w:color="auto" w:fill="FFFFFF"/>
        </w:rPr>
        <w:t>marca</w:t>
      </w:r>
      <w:r>
        <w:rPr>
          <w:shd w:val="clear" w:color="auto" w:fill="FFFFFF"/>
        </w:rPr>
        <w:t xml:space="preserve"> </w:t>
      </w:r>
      <w:r w:rsidR="001B11C4">
        <w:rPr>
          <w:shd w:val="clear" w:color="auto" w:fill="FFFFFF"/>
        </w:rPr>
        <w:t>2022</w:t>
      </w:r>
      <w:r w:rsidR="00CD6D30" w:rsidRPr="00CD6D30">
        <w:rPr>
          <w:shd w:val="clear" w:color="auto" w:fill="FFFFFF"/>
        </w:rPr>
        <w:t xml:space="preserve"> roku w budowie pozostawało </w:t>
      </w:r>
      <w:r w:rsidR="00F254D3">
        <w:rPr>
          <w:shd w:val="clear" w:color="auto" w:fill="FFFFFF"/>
        </w:rPr>
        <w:t>869,6</w:t>
      </w:r>
      <w:r w:rsidR="00CD6D30" w:rsidRPr="00CD6D30">
        <w:rPr>
          <w:shd w:val="clear" w:color="auto" w:fill="FFFFFF"/>
        </w:rPr>
        <w:t xml:space="preserve"> tys. mieszkań, tj.</w:t>
      </w:r>
      <w:r>
        <w:t> </w:t>
      </w:r>
      <w:r w:rsidR="00CD6D30" w:rsidRPr="00CD6D30">
        <w:rPr>
          <w:shd w:val="clear" w:color="auto" w:fill="FFFFFF"/>
        </w:rPr>
        <w:t>o</w:t>
      </w:r>
      <w:r>
        <w:rPr>
          <w:shd w:val="clear" w:color="auto" w:fill="FFFFFF"/>
        </w:rPr>
        <w:t> </w:t>
      </w:r>
      <w:r w:rsidR="00F254D3">
        <w:rPr>
          <w:shd w:val="clear" w:color="auto" w:fill="FFFFFF"/>
        </w:rPr>
        <w:t>3,6</w:t>
      </w:r>
      <w:r w:rsidR="001B11C4">
        <w:rPr>
          <w:shd w:val="clear" w:color="auto" w:fill="FFFFFF"/>
        </w:rPr>
        <w:t xml:space="preserve">% więcej niż </w:t>
      </w:r>
      <w:r w:rsidR="00F52F81">
        <w:rPr>
          <w:shd w:val="clear" w:color="auto" w:fill="FFFFFF"/>
        </w:rPr>
        <w:t xml:space="preserve">w analogicznym </w:t>
      </w:r>
      <w:r w:rsidR="00EB06BF">
        <w:rPr>
          <w:shd w:val="clear" w:color="auto" w:fill="FFFFFF"/>
        </w:rPr>
        <w:t>miesiącu</w:t>
      </w:r>
      <w:r w:rsidR="001B11C4">
        <w:rPr>
          <w:shd w:val="clear" w:color="auto" w:fill="FFFFFF"/>
        </w:rPr>
        <w:t xml:space="preserve"> 2021</w:t>
      </w:r>
      <w:r w:rsidR="007C41ED">
        <w:rPr>
          <w:shd w:val="clear" w:color="auto" w:fill="FFFFFF"/>
        </w:rPr>
        <w:t xml:space="preserve"> r</w:t>
      </w:r>
      <w:r w:rsidR="00CD6D30" w:rsidRPr="00CD6D30">
        <w:rPr>
          <w:shd w:val="clear" w:color="auto" w:fill="FFFFFF"/>
        </w:rPr>
        <w:t>.</w:t>
      </w:r>
    </w:p>
    <w:p w14:paraId="78E95EC0" w14:textId="121394F0" w:rsidR="00CD6D30" w:rsidRDefault="00CD6D30" w:rsidP="00602DF9">
      <w:pPr>
        <w:pStyle w:val="Tytuwykresu0"/>
        <w:rPr>
          <w:rFonts w:ascii="Fira Sans" w:hAnsi="Fira Sans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1.</w:t>
      </w:r>
      <w:r w:rsidRPr="00696FCE">
        <w:rPr>
          <w:rFonts w:ascii="Fira Sans" w:hAnsi="Fira Sans"/>
        </w:rPr>
        <w:t xml:space="preserve"> </w:t>
      </w:r>
      <w:r w:rsidRPr="00912473">
        <w:rPr>
          <w:rFonts w:ascii="Fira Sans" w:hAnsi="Fira Sans"/>
          <w:sz w:val="18"/>
          <w:szCs w:val="18"/>
        </w:rPr>
        <w:t>Ruch budowlany w obszarze budownictwa mieszkaniowego w Polsc</w:t>
      </w:r>
      <w:r w:rsidRPr="00010204">
        <w:rPr>
          <w:rFonts w:ascii="Fira Sans" w:hAnsi="Fira Sans"/>
          <w:sz w:val="18"/>
          <w:szCs w:val="18"/>
        </w:rPr>
        <w:t>e</w:t>
      </w:r>
    </w:p>
    <w:p w14:paraId="79EA17DE" w14:textId="14457230" w:rsidR="00746E92" w:rsidRPr="00EC66BB" w:rsidRDefault="00746E92" w:rsidP="00602DF9">
      <w:pPr>
        <w:pStyle w:val="Tytuwykresu0"/>
        <w:rPr>
          <w:rFonts w:ascii="Fira Sans" w:hAnsi="Fira Sans"/>
        </w:rPr>
      </w:pPr>
      <w:r w:rsidRPr="00912473">
        <w:rPr>
          <w:rFonts w:ascii="Fira Sans" w:hAnsi="Fira Sans"/>
          <w:b w:val="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anchorId="4622BF84" wp14:editId="32C85709">
                <wp:simplePos x="0" y="0"/>
                <wp:positionH relativeFrom="page">
                  <wp:align>right</wp:align>
                </wp:positionH>
                <wp:positionV relativeFrom="paragraph">
                  <wp:posOffset>93345</wp:posOffset>
                </wp:positionV>
                <wp:extent cx="1863090" cy="1981200"/>
                <wp:effectExtent l="0" t="0" r="0" b="0"/>
                <wp:wrapSquare wrapText="bothSides"/>
                <wp:docPr id="4" name="Pole tekstowe 2" descr="W marcu, w porównaniu do lutego 2022 roku, wzrosła liczba mieszkań oddanych do użytkowania (o 14,0%), a także mieszkań, na których budowę wydano pozwolenia lub dokonano zgłoszenia z projektem budowlanym (o 17,8%) oraz mieszkań, których budowę rozpoczęto (o 32,4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090" cy="1981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3EB723" w14:textId="77777777" w:rsidR="00AA2F0E" w:rsidRDefault="00AA2F0E" w:rsidP="00CD6D30">
                            <w:pPr>
                              <w:pStyle w:val="tekstzboku"/>
                            </w:pPr>
                          </w:p>
                          <w:p w14:paraId="33F5CFC3" w14:textId="200C5001" w:rsidR="00CD6D30" w:rsidRPr="002B6B8F" w:rsidRDefault="00CD6D30" w:rsidP="00CD6D30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="008A4CA5">
                              <w:t>marcu</w:t>
                            </w:r>
                            <w:r w:rsidRPr="00FE1582">
                              <w:t>, w porównaniu do </w:t>
                            </w:r>
                            <w:r w:rsidR="008A4CA5">
                              <w:t>lutego</w:t>
                            </w:r>
                            <w:r w:rsidRPr="00FE1582">
                              <w:t xml:space="preserve"> 202</w:t>
                            </w:r>
                            <w:r w:rsidR="006025DF">
                              <w:t>2</w:t>
                            </w:r>
                            <w:r w:rsidRPr="00FE1582">
                              <w:t xml:space="preserve"> roku, </w:t>
                            </w:r>
                            <w:r w:rsidR="006025DF">
                              <w:t>wzrosła</w:t>
                            </w:r>
                            <w:r w:rsidRPr="00FE1582">
                              <w:t xml:space="preserve"> liczba mieszkań oddanych do użytkowania (o </w:t>
                            </w:r>
                            <w:r w:rsidR="008A4CA5">
                              <w:t>14,0</w:t>
                            </w:r>
                            <w:r w:rsidRPr="00FE1582">
                              <w:t xml:space="preserve">%), </w:t>
                            </w:r>
                            <w:r w:rsidR="00F94EDD" w:rsidRPr="00022429">
                              <w:t xml:space="preserve">a także </w:t>
                            </w:r>
                            <w:r w:rsidR="005947D5">
                              <w:t>mieszka</w:t>
                            </w:r>
                            <w:r w:rsidR="005947D5" w:rsidRPr="00022429">
                              <w:t>ń</w:t>
                            </w:r>
                            <w:r w:rsidR="00F94EDD" w:rsidRPr="00022429">
                              <w:rPr>
                                <w:color w:val="auto"/>
                              </w:rPr>
                              <w:t>,</w:t>
                            </w:r>
                            <w:r w:rsidR="0042599A" w:rsidRPr="00022429">
                              <w:rPr>
                                <w:color w:val="auto"/>
                              </w:rPr>
                              <w:t xml:space="preserve"> </w:t>
                            </w:r>
                            <w:r w:rsidRPr="00FE1582">
                              <w:t>na </w:t>
                            </w:r>
                            <w:r w:rsidRPr="00010204">
                              <w:t>który</w:t>
                            </w:r>
                            <w:r w:rsidR="008A4CA5" w:rsidRPr="00010204">
                              <w:t>ch</w:t>
                            </w:r>
                            <w:r w:rsidR="008A4CA5">
                              <w:t xml:space="preserve"> budowę wydano pozwolenia lub </w:t>
                            </w:r>
                            <w:r w:rsidRPr="00FE1582">
                              <w:t>dokonano zgłoszenia z projektem budowlanym (</w:t>
                            </w:r>
                            <w:r>
                              <w:t>o </w:t>
                            </w:r>
                            <w:r w:rsidR="008A4CA5">
                              <w:t>17,8</w:t>
                            </w:r>
                            <w:r w:rsidRPr="00FE1582">
                              <w:t>%)</w:t>
                            </w:r>
                            <w:r w:rsidR="0042599A">
                              <w:t xml:space="preserve"> oraz</w:t>
                            </w:r>
                            <w:r w:rsidR="00CE2AFA">
                              <w:t> </w:t>
                            </w:r>
                            <w:r w:rsidR="0042599A">
                              <w:t>mieszka</w:t>
                            </w:r>
                            <w:r w:rsidR="005947D5">
                              <w:t>ń</w:t>
                            </w:r>
                            <w:r w:rsidR="0042599A">
                              <w:t xml:space="preserve">, </w:t>
                            </w:r>
                            <w:r>
                              <w:t>których budowę rozpoczęto (o </w:t>
                            </w:r>
                            <w:r w:rsidR="008A4CA5">
                              <w:t>32,4</w:t>
                            </w:r>
                            <w:r>
                              <w:t>%)</w:t>
                            </w:r>
                          </w:p>
                          <w:p w14:paraId="783038A3" w14:textId="77777777" w:rsidR="00CD6D30" w:rsidRPr="005C3B28" w:rsidRDefault="00CD6D30" w:rsidP="00CD6D30">
                            <w:pPr>
                              <w:pStyle w:val="tekstzboku"/>
                              <w:spacing w:before="0"/>
                              <w:ind w:left="-142"/>
                              <w:rPr>
                                <w:color w:val="92D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22BF8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W marcu, w porównaniu do lutego 2022 roku, wzrosła liczba mieszkań oddanych do użytkowania (o 14,0%), a także mieszkań, na których budowę wydano pozwolenia lub dokonano zgłoszenia z projektem budowlanym (o 17,8%) oraz mieszkań, których budowę rozpoczęto (o 32,4%)" style="position:absolute;margin-left:95.5pt;margin-top:7.35pt;width:146.7pt;height:156pt;z-index:2517688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" filled="f" stroked="f">
                <v:textbox>
                  <w:txbxContent>
                    <w:p w14:paraId="163EB723" w14:textId="77777777" w:rsidR="00AA2F0E" w:rsidRDefault="00AA2F0E" w:rsidP="00CD6D30">
                      <w:pPr>
                        <w:pStyle w:val="tekstzboku"/>
                      </w:pPr>
                    </w:p>
                    <w:p w14:paraId="33F5CFC3" w14:textId="200C5001" w:rsidR="00CD6D30" w:rsidRPr="002B6B8F" w:rsidRDefault="00CD6D30" w:rsidP="00CD6D30">
                      <w:pPr>
                        <w:pStyle w:val="tekstzboku"/>
                      </w:pPr>
                      <w:r>
                        <w:t xml:space="preserve">W </w:t>
                      </w:r>
                      <w:r w:rsidR="008A4CA5">
                        <w:t>marcu</w:t>
                      </w:r>
                      <w:r w:rsidRPr="00FE1582">
                        <w:t>, w porównaniu do </w:t>
                      </w:r>
                      <w:r w:rsidR="008A4CA5">
                        <w:t>lutego</w:t>
                      </w:r>
                      <w:r w:rsidRPr="00FE1582">
                        <w:t xml:space="preserve"> 202</w:t>
                      </w:r>
                      <w:r w:rsidR="006025DF">
                        <w:t>2</w:t>
                      </w:r>
                      <w:r w:rsidRPr="00FE1582">
                        <w:t xml:space="preserve"> roku, </w:t>
                      </w:r>
                      <w:r w:rsidR="006025DF">
                        <w:t>wzrosła</w:t>
                      </w:r>
                      <w:r w:rsidRPr="00FE1582">
                        <w:t xml:space="preserve"> liczba mieszkań oddanych do użytkowania (o </w:t>
                      </w:r>
                      <w:r w:rsidR="008A4CA5">
                        <w:t>14,0</w:t>
                      </w:r>
                      <w:r w:rsidRPr="00FE1582">
                        <w:t xml:space="preserve">%), </w:t>
                      </w:r>
                      <w:r w:rsidR="00F94EDD" w:rsidRPr="00022429">
                        <w:t xml:space="preserve">a także </w:t>
                      </w:r>
                      <w:r w:rsidR="005947D5">
                        <w:t>mieszka</w:t>
                      </w:r>
                      <w:r w:rsidR="005947D5" w:rsidRPr="00022429">
                        <w:t>ń</w:t>
                      </w:r>
                      <w:r w:rsidR="00F94EDD" w:rsidRPr="00022429">
                        <w:rPr>
                          <w:color w:val="auto"/>
                        </w:rPr>
                        <w:t>,</w:t>
                      </w:r>
                      <w:r w:rsidR="0042599A" w:rsidRPr="00022429">
                        <w:rPr>
                          <w:color w:val="auto"/>
                        </w:rPr>
                        <w:t xml:space="preserve"> </w:t>
                      </w:r>
                      <w:r w:rsidRPr="00FE1582">
                        <w:t>na </w:t>
                      </w:r>
                      <w:r w:rsidRPr="00010204">
                        <w:t>który</w:t>
                      </w:r>
                      <w:r w:rsidR="008A4CA5" w:rsidRPr="00010204">
                        <w:t>ch</w:t>
                      </w:r>
                      <w:r w:rsidR="008A4CA5">
                        <w:t xml:space="preserve"> budowę wydano pozwolenia lub </w:t>
                      </w:r>
                      <w:r w:rsidRPr="00FE1582">
                        <w:t>dokonano zgłoszenia z projektem budowlanym (</w:t>
                      </w:r>
                      <w:r>
                        <w:t>o </w:t>
                      </w:r>
                      <w:r w:rsidR="008A4CA5">
                        <w:t>17,8</w:t>
                      </w:r>
                      <w:r w:rsidRPr="00FE1582">
                        <w:t>%)</w:t>
                      </w:r>
                      <w:r w:rsidR="0042599A">
                        <w:t xml:space="preserve"> oraz</w:t>
                      </w:r>
                      <w:r w:rsidR="00CE2AFA">
                        <w:t> </w:t>
                      </w:r>
                      <w:r w:rsidR="0042599A">
                        <w:t>mieszka</w:t>
                      </w:r>
                      <w:r w:rsidR="005947D5">
                        <w:t>ń</w:t>
                      </w:r>
                      <w:r w:rsidR="0042599A">
                        <w:t xml:space="preserve">, </w:t>
                      </w:r>
                      <w:r>
                        <w:t>których budowę rozpoczęto (o </w:t>
                      </w:r>
                      <w:r w:rsidR="008A4CA5">
                        <w:t>32,4</w:t>
                      </w:r>
                      <w:r>
                        <w:t>%)</w:t>
                      </w:r>
                    </w:p>
                    <w:p w14:paraId="783038A3" w14:textId="77777777" w:rsidR="00CD6D30" w:rsidRPr="005C3B28" w:rsidRDefault="00CD6D30" w:rsidP="00CD6D30">
                      <w:pPr>
                        <w:pStyle w:val="tekstzboku"/>
                        <w:spacing w:before="0"/>
                        <w:ind w:left="-142"/>
                        <w:rPr>
                          <w:color w:val="92D050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746E92">
        <w:drawing>
          <wp:anchor distT="0" distB="0" distL="114300" distR="114300" simplePos="0" relativeHeight="251771904" behindDoc="0" locked="0" layoutInCell="1" allowOverlap="1" wp14:anchorId="343C7DE6" wp14:editId="60BD9A37">
            <wp:simplePos x="0" y="0"/>
            <wp:positionH relativeFrom="margin">
              <wp:align>right</wp:align>
            </wp:positionH>
            <wp:positionV relativeFrom="paragraph">
              <wp:posOffset>164465</wp:posOffset>
            </wp:positionV>
            <wp:extent cx="5122545" cy="2406650"/>
            <wp:effectExtent l="0" t="0" r="1905" b="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8, 2019, 2020, 2021 i 2022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06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A7172B" w14:textId="06D9126D" w:rsidR="0091083F" w:rsidRDefault="0091083F" w:rsidP="00CD6D30">
      <w:pPr>
        <w:spacing w:after="0" w:line="288" w:lineRule="auto"/>
        <w:rPr>
          <w:spacing w:val="-2"/>
          <w:shd w:val="clear" w:color="auto" w:fill="FFFFFF"/>
        </w:rPr>
      </w:pPr>
    </w:p>
    <w:p w14:paraId="231F5522" w14:textId="77777777" w:rsidR="00746E92" w:rsidRDefault="00746E92" w:rsidP="00EE3D14">
      <w:pPr>
        <w:spacing w:after="0" w:line="288" w:lineRule="auto"/>
        <w:rPr>
          <w:spacing w:val="-2"/>
          <w:shd w:val="clear" w:color="auto" w:fill="FFFFFF"/>
        </w:rPr>
      </w:pPr>
    </w:p>
    <w:p w14:paraId="0411C94E" w14:textId="77777777" w:rsidR="00746E92" w:rsidRDefault="00746E92" w:rsidP="00EE3D14">
      <w:pPr>
        <w:spacing w:after="0" w:line="288" w:lineRule="auto"/>
        <w:rPr>
          <w:spacing w:val="-2"/>
          <w:shd w:val="clear" w:color="auto" w:fill="FFFFFF"/>
        </w:rPr>
      </w:pPr>
    </w:p>
    <w:p w14:paraId="3964618B" w14:textId="77777777" w:rsidR="00746E92" w:rsidRDefault="00746E92" w:rsidP="00EE3D14">
      <w:pPr>
        <w:spacing w:after="0" w:line="288" w:lineRule="auto"/>
        <w:rPr>
          <w:spacing w:val="-2"/>
          <w:shd w:val="clear" w:color="auto" w:fill="FFFFFF"/>
        </w:rPr>
      </w:pPr>
    </w:p>
    <w:p w14:paraId="5AFEF1C7" w14:textId="77777777" w:rsidR="00746E92" w:rsidRDefault="00746E92" w:rsidP="00EE3D14">
      <w:pPr>
        <w:spacing w:after="0" w:line="288" w:lineRule="auto"/>
        <w:rPr>
          <w:spacing w:val="-2"/>
          <w:shd w:val="clear" w:color="auto" w:fill="FFFFFF"/>
        </w:rPr>
      </w:pPr>
    </w:p>
    <w:p w14:paraId="018E48CC" w14:textId="77777777" w:rsidR="00746E92" w:rsidRDefault="00746E92" w:rsidP="00EE3D14">
      <w:pPr>
        <w:spacing w:after="0" w:line="288" w:lineRule="auto"/>
        <w:rPr>
          <w:spacing w:val="-2"/>
          <w:shd w:val="clear" w:color="auto" w:fill="FFFFFF"/>
        </w:rPr>
      </w:pPr>
    </w:p>
    <w:p w14:paraId="4A8B63FE" w14:textId="77777777" w:rsidR="00746E92" w:rsidRDefault="00746E92" w:rsidP="00EE3D14">
      <w:pPr>
        <w:spacing w:after="0" w:line="288" w:lineRule="auto"/>
        <w:rPr>
          <w:spacing w:val="-2"/>
          <w:shd w:val="clear" w:color="auto" w:fill="FFFFFF"/>
        </w:rPr>
      </w:pPr>
    </w:p>
    <w:p w14:paraId="6087F5B8" w14:textId="77777777" w:rsidR="00746E92" w:rsidRDefault="00746E92" w:rsidP="00EE3D14">
      <w:pPr>
        <w:spacing w:after="0" w:line="288" w:lineRule="auto"/>
        <w:rPr>
          <w:spacing w:val="-2"/>
          <w:shd w:val="clear" w:color="auto" w:fill="FFFFFF"/>
        </w:rPr>
      </w:pPr>
    </w:p>
    <w:p w14:paraId="5AEA6F1B" w14:textId="77777777" w:rsidR="00746E92" w:rsidRDefault="00746E92" w:rsidP="00EE3D14">
      <w:pPr>
        <w:spacing w:after="0" w:line="288" w:lineRule="auto"/>
        <w:rPr>
          <w:spacing w:val="-2"/>
          <w:shd w:val="clear" w:color="auto" w:fill="FFFFFF"/>
        </w:rPr>
      </w:pPr>
    </w:p>
    <w:p w14:paraId="6EB541C9" w14:textId="77777777" w:rsidR="00746E92" w:rsidRDefault="00746E92" w:rsidP="00EE3D14">
      <w:pPr>
        <w:spacing w:after="0" w:line="288" w:lineRule="auto"/>
        <w:rPr>
          <w:spacing w:val="-2"/>
          <w:shd w:val="clear" w:color="auto" w:fill="FFFFFF"/>
        </w:rPr>
      </w:pPr>
    </w:p>
    <w:p w14:paraId="5E55844A" w14:textId="1B8A34D4" w:rsidR="00EE3D14" w:rsidRDefault="00CD6D30" w:rsidP="00EE3D14">
      <w:pPr>
        <w:spacing w:after="0" w:line="288" w:lineRule="auto"/>
        <w:rPr>
          <w:spacing w:val="-2"/>
          <w:shd w:val="clear" w:color="auto" w:fill="FFFFFF"/>
        </w:rPr>
      </w:pPr>
      <w:r w:rsidRPr="008575EA">
        <w:rPr>
          <w:spacing w:val="-2"/>
          <w:shd w:val="clear" w:color="auto" w:fill="FFFFFF"/>
        </w:rPr>
        <w:t>W</w:t>
      </w:r>
      <w:r w:rsidR="00AE2010">
        <w:rPr>
          <w:spacing w:val="-2"/>
          <w:shd w:val="clear" w:color="auto" w:fill="FFFFFF"/>
        </w:rPr>
        <w:t xml:space="preserve"> </w:t>
      </w:r>
      <w:r w:rsidR="00EE3D14">
        <w:rPr>
          <w:spacing w:val="-2"/>
          <w:shd w:val="clear" w:color="auto" w:fill="FFFFFF"/>
        </w:rPr>
        <w:t>pierwszym kwartale</w:t>
      </w:r>
      <w:r w:rsidR="006E042F">
        <w:rPr>
          <w:spacing w:val="-2"/>
          <w:shd w:val="clear" w:color="auto" w:fill="FFFFFF"/>
        </w:rPr>
        <w:t xml:space="preserve"> </w:t>
      </w:r>
      <w:r w:rsidR="00912473">
        <w:rPr>
          <w:spacing w:val="-2"/>
          <w:shd w:val="clear" w:color="auto" w:fill="FFFFFF"/>
        </w:rPr>
        <w:t>2022</w:t>
      </w:r>
      <w:r w:rsidRPr="008575EA">
        <w:rPr>
          <w:spacing w:val="-2"/>
          <w:shd w:val="clear" w:color="auto" w:fill="FFFFFF"/>
        </w:rPr>
        <w:t xml:space="preserve"> r. najwyższe wartości dla mi</w:t>
      </w:r>
      <w:r w:rsidR="00EE3D14">
        <w:rPr>
          <w:spacing w:val="-2"/>
          <w:shd w:val="clear" w:color="auto" w:fill="FFFFFF"/>
        </w:rPr>
        <w:t xml:space="preserve">eszkań oddanych do użytkowania, </w:t>
      </w:r>
      <w:r w:rsidRPr="008575EA">
        <w:rPr>
          <w:spacing w:val="-2"/>
          <w:shd w:val="clear" w:color="auto" w:fill="FFFFFF"/>
        </w:rPr>
        <w:t>mieszkań których budowę rozpoczęto oraz na których budowę wydano pozwolenia lub dokonano zgłoszenia z</w:t>
      </w:r>
      <w:r w:rsidR="008575EA" w:rsidRP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projektem budowlanym, odnotowano w województwie mazowieckim (odpowiednio </w:t>
      </w:r>
      <w:r w:rsidR="00EE3D14">
        <w:rPr>
          <w:spacing w:val="-2"/>
          <w:shd w:val="clear" w:color="auto" w:fill="FFFFFF"/>
        </w:rPr>
        <w:t>9,3</w:t>
      </w:r>
      <w:r w:rsidR="008575EA" w:rsidRP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tys., </w:t>
      </w:r>
      <w:r w:rsidR="00EE3D14">
        <w:rPr>
          <w:spacing w:val="-2"/>
          <w:shd w:val="clear" w:color="auto" w:fill="FFFFFF"/>
        </w:rPr>
        <w:t>9,9</w:t>
      </w:r>
      <w:r w:rsidR="008575EA">
        <w:rPr>
          <w:spacing w:val="-2"/>
          <w:shd w:val="clear" w:color="auto" w:fill="FFFFFF"/>
        </w:rPr>
        <w:t> </w:t>
      </w:r>
      <w:r w:rsidRPr="008575EA">
        <w:rPr>
          <w:spacing w:val="-2"/>
          <w:shd w:val="clear" w:color="auto" w:fill="FFFFFF"/>
        </w:rPr>
        <w:t xml:space="preserve">tys. </w:t>
      </w:r>
      <w:r w:rsidR="00EE3D14">
        <w:rPr>
          <w:spacing w:val="-2"/>
          <w:shd w:val="clear" w:color="auto" w:fill="FFFFFF"/>
        </w:rPr>
        <w:t>i 13</w:t>
      </w:r>
      <w:r w:rsidR="006E042F">
        <w:rPr>
          <w:spacing w:val="-2"/>
          <w:shd w:val="clear" w:color="auto" w:fill="FFFFFF"/>
        </w:rPr>
        <w:t>,</w:t>
      </w:r>
      <w:r w:rsidR="00EE3D14">
        <w:rPr>
          <w:spacing w:val="-2"/>
          <w:shd w:val="clear" w:color="auto" w:fill="FFFFFF"/>
        </w:rPr>
        <w:t>1</w:t>
      </w:r>
      <w:r w:rsidR="006E042F">
        <w:rPr>
          <w:spacing w:val="-2"/>
          <w:shd w:val="clear" w:color="auto" w:fill="FFFFFF"/>
        </w:rPr>
        <w:t xml:space="preserve"> </w:t>
      </w:r>
      <w:r w:rsidRPr="008575EA">
        <w:rPr>
          <w:spacing w:val="-2"/>
          <w:shd w:val="clear" w:color="auto" w:fill="FFFFFF"/>
        </w:rPr>
        <w:t>tys. mieszkań). Wysokie wartości zanotowano również w województwie wielkopolskim (</w:t>
      </w:r>
      <w:r w:rsidR="00EE3D14" w:rsidRPr="00010204">
        <w:rPr>
          <w:spacing w:val="-2"/>
          <w:shd w:val="clear" w:color="auto" w:fill="FFFFFF"/>
        </w:rPr>
        <w:t>6,</w:t>
      </w:r>
      <w:r w:rsidR="00010204">
        <w:rPr>
          <w:spacing w:val="-2"/>
          <w:shd w:val="clear" w:color="auto" w:fill="FFFFFF"/>
        </w:rPr>
        <w:t>7</w:t>
      </w:r>
      <w:r w:rsidRPr="008575EA">
        <w:rPr>
          <w:spacing w:val="-2"/>
          <w:shd w:val="clear" w:color="auto" w:fill="FFFFFF"/>
        </w:rPr>
        <w:t xml:space="preserve"> tys., </w:t>
      </w:r>
      <w:r w:rsidR="00EE3D14">
        <w:rPr>
          <w:spacing w:val="-2"/>
          <w:shd w:val="clear" w:color="auto" w:fill="FFFFFF"/>
        </w:rPr>
        <w:t>5,4</w:t>
      </w:r>
      <w:r w:rsidRPr="008575EA">
        <w:rPr>
          <w:spacing w:val="-2"/>
          <w:shd w:val="clear" w:color="auto" w:fill="FFFFFF"/>
        </w:rPr>
        <w:t xml:space="preserve"> tys. i </w:t>
      </w:r>
      <w:r w:rsidR="00EE3D14">
        <w:rPr>
          <w:spacing w:val="-2"/>
          <w:shd w:val="clear" w:color="auto" w:fill="FFFFFF"/>
        </w:rPr>
        <w:t>8,7</w:t>
      </w:r>
      <w:r w:rsidRPr="008575EA">
        <w:rPr>
          <w:spacing w:val="-2"/>
          <w:shd w:val="clear" w:color="auto" w:fill="FFFFFF"/>
        </w:rPr>
        <w:t xml:space="preserve"> tys.)</w:t>
      </w:r>
      <w:r w:rsidR="003A6083">
        <w:rPr>
          <w:spacing w:val="-2"/>
          <w:shd w:val="clear" w:color="auto" w:fill="FFFFFF"/>
        </w:rPr>
        <w:t xml:space="preserve"> i </w:t>
      </w:r>
      <w:r w:rsidR="00887FE9">
        <w:rPr>
          <w:spacing w:val="-2"/>
          <w:shd w:val="clear" w:color="auto" w:fill="FFFFFF"/>
        </w:rPr>
        <w:t>małopolskim</w:t>
      </w:r>
      <w:r w:rsidRPr="008575EA">
        <w:rPr>
          <w:spacing w:val="-2"/>
          <w:shd w:val="clear" w:color="auto" w:fill="FFFFFF"/>
        </w:rPr>
        <w:t xml:space="preserve"> (</w:t>
      </w:r>
      <w:r w:rsidR="00EE3D14">
        <w:rPr>
          <w:spacing w:val="-2"/>
          <w:shd w:val="clear" w:color="auto" w:fill="FFFFFF"/>
        </w:rPr>
        <w:t>5,9</w:t>
      </w:r>
      <w:r w:rsidRPr="008575EA">
        <w:rPr>
          <w:spacing w:val="-2"/>
          <w:shd w:val="clear" w:color="auto" w:fill="FFFFFF"/>
        </w:rPr>
        <w:t xml:space="preserve"> tys., </w:t>
      </w:r>
      <w:r w:rsidR="00EE3D14">
        <w:rPr>
          <w:spacing w:val="-2"/>
          <w:shd w:val="clear" w:color="auto" w:fill="FFFFFF"/>
        </w:rPr>
        <w:t>4</w:t>
      </w:r>
      <w:r w:rsidR="006E042F">
        <w:rPr>
          <w:spacing w:val="-2"/>
          <w:shd w:val="clear" w:color="auto" w:fill="FFFFFF"/>
        </w:rPr>
        <w:t>,9</w:t>
      </w:r>
      <w:r w:rsidRPr="008575EA">
        <w:rPr>
          <w:spacing w:val="-2"/>
          <w:shd w:val="clear" w:color="auto" w:fill="FFFFFF"/>
        </w:rPr>
        <w:t xml:space="preserve"> tys. i</w:t>
      </w:r>
      <w:r w:rsidR="008575EA" w:rsidRPr="008575EA">
        <w:rPr>
          <w:spacing w:val="-2"/>
          <w:shd w:val="clear" w:color="auto" w:fill="FFFFFF"/>
        </w:rPr>
        <w:t> </w:t>
      </w:r>
      <w:r w:rsidR="00EE3D14">
        <w:rPr>
          <w:spacing w:val="-2"/>
          <w:shd w:val="clear" w:color="auto" w:fill="FFFFFF"/>
        </w:rPr>
        <w:t>6,6</w:t>
      </w:r>
      <w:r w:rsidR="008575EA" w:rsidRPr="008575EA">
        <w:rPr>
          <w:spacing w:val="-2"/>
          <w:shd w:val="clear" w:color="auto" w:fill="FFFFFF"/>
        </w:rPr>
        <w:t> </w:t>
      </w:r>
      <w:r w:rsidR="003A6083">
        <w:rPr>
          <w:spacing w:val="-2"/>
          <w:shd w:val="clear" w:color="auto" w:fill="FFFFFF"/>
        </w:rPr>
        <w:t>tys.</w:t>
      </w:r>
      <w:r w:rsidR="003A6083" w:rsidRPr="00010204">
        <w:rPr>
          <w:spacing w:val="-2"/>
          <w:shd w:val="clear" w:color="auto" w:fill="FFFFFF"/>
        </w:rPr>
        <w:t>)</w:t>
      </w:r>
      <w:r w:rsidR="00010204" w:rsidRPr="00010204">
        <w:rPr>
          <w:spacing w:val="-2"/>
          <w:shd w:val="clear" w:color="auto" w:fill="FFFFFF"/>
        </w:rPr>
        <w:t>.</w:t>
      </w:r>
    </w:p>
    <w:p w14:paraId="66C8E32D" w14:textId="0DB268D0" w:rsidR="00A617AC" w:rsidRPr="00EE3D14" w:rsidRDefault="00A617AC" w:rsidP="00EE3D14">
      <w:pPr>
        <w:pStyle w:val="Tytuwykresu0"/>
        <w:rPr>
          <w:rFonts w:ascii="Fira Sans" w:hAnsi="Fira Sans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A31734">
        <w:rPr>
          <w:rFonts w:ascii="Fira Sans" w:hAnsi="Fira Sans"/>
          <w:sz w:val="18"/>
          <w:szCs w:val="18"/>
        </w:rPr>
        <w:t xml:space="preserve">Ruch budowlany w obszarze budownictwa mieszkaniowego według województw </w:t>
      </w:r>
      <w:r w:rsidR="00E34D1F" w:rsidRPr="00A31734">
        <w:rPr>
          <w:rFonts w:ascii="Fira Sans" w:hAnsi="Fira Sans"/>
          <w:sz w:val="18"/>
          <w:szCs w:val="18"/>
        </w:rPr>
        <w:t>(</w:t>
      </w:r>
      <w:r w:rsidR="00EE3D14">
        <w:rPr>
          <w:rFonts w:ascii="Fira Sans" w:hAnsi="Fira Sans"/>
          <w:sz w:val="18"/>
          <w:szCs w:val="18"/>
        </w:rPr>
        <w:t>styczeń- marzec</w:t>
      </w:r>
      <w:r w:rsidR="004647E0" w:rsidRPr="00A31734">
        <w:rPr>
          <w:rFonts w:ascii="Fira Sans" w:hAnsi="Fira Sans"/>
          <w:sz w:val="18"/>
          <w:szCs w:val="18"/>
        </w:rPr>
        <w:t xml:space="preserve"> </w:t>
      </w:r>
      <w:r w:rsidR="00351173" w:rsidRPr="00A31734">
        <w:rPr>
          <w:rFonts w:ascii="Fira Sans" w:hAnsi="Fira Sans"/>
          <w:sz w:val="18"/>
          <w:szCs w:val="18"/>
        </w:rPr>
        <w:t>2022</w:t>
      </w:r>
      <w:r w:rsidRPr="00A31734">
        <w:rPr>
          <w:rFonts w:ascii="Fira Sans" w:hAnsi="Fira Sans"/>
          <w:sz w:val="18"/>
          <w:szCs w:val="18"/>
        </w:rPr>
        <w:t xml:space="preserve"> r.</w:t>
      </w:r>
      <w:r w:rsidR="00E34D1F" w:rsidRPr="00A31734">
        <w:rPr>
          <w:rFonts w:ascii="Fira Sans" w:hAnsi="Fira Sans"/>
          <w:sz w:val="18"/>
          <w:szCs w:val="18"/>
        </w:rPr>
        <w:t>)</w:t>
      </w:r>
    </w:p>
    <w:p w14:paraId="3320BDF1" w14:textId="3D18B8B9" w:rsidR="008A4CA5" w:rsidRDefault="00EE3D14" w:rsidP="008A4CA5">
      <w:pPr>
        <w:pStyle w:val="Tytuwykresu0"/>
      </w:pPr>
      <w:r w:rsidRPr="008A4CA5">
        <w:drawing>
          <wp:anchor distT="0" distB="0" distL="114300" distR="114300" simplePos="0" relativeHeight="251770880" behindDoc="0" locked="0" layoutInCell="1" allowOverlap="1" wp14:anchorId="31FBE16C" wp14:editId="451FDE18">
            <wp:simplePos x="0" y="0"/>
            <wp:positionH relativeFrom="column">
              <wp:posOffset>-123825</wp:posOffset>
            </wp:positionH>
            <wp:positionV relativeFrom="paragraph">
              <wp:posOffset>164465</wp:posOffset>
            </wp:positionV>
            <wp:extent cx="5122545" cy="2629535"/>
            <wp:effectExtent l="0" t="0" r="1905" b="0"/>
            <wp:wrapNone/>
            <wp:docPr id="17" name="Obraz 17" descr="Liczba mieszkań oddanych do użytkowania, liczba mieszkań, na których budowę wydano pozwolenia lub dokonano zgłoszenia z projektem budowlanym oraz liczba mieszkań, których budowę rozpoczęto w okresie styczeń- marzec 2022 w poszczególnych województw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629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1A05B5" w14:textId="77777777" w:rsidR="008A4CA5" w:rsidRDefault="008A4CA5" w:rsidP="0078275D">
      <w:pPr>
        <w:pStyle w:val="Tytuwykresu0"/>
        <w:ind w:left="851" w:hanging="851"/>
      </w:pPr>
    </w:p>
    <w:p w14:paraId="22676688" w14:textId="77777777" w:rsidR="008A4CA5" w:rsidRDefault="008A4CA5" w:rsidP="0078275D">
      <w:pPr>
        <w:pStyle w:val="Tytuwykresu0"/>
        <w:ind w:left="851" w:hanging="851"/>
      </w:pPr>
    </w:p>
    <w:p w14:paraId="73D52128" w14:textId="77777777" w:rsidR="008A4CA5" w:rsidRDefault="008A4CA5" w:rsidP="0078275D">
      <w:pPr>
        <w:pStyle w:val="Tytuwykresu0"/>
        <w:ind w:left="851" w:hanging="851"/>
      </w:pPr>
    </w:p>
    <w:p w14:paraId="5265ECBF" w14:textId="77777777" w:rsidR="008A4CA5" w:rsidRDefault="008A4CA5" w:rsidP="0078275D">
      <w:pPr>
        <w:pStyle w:val="Tytuwykresu0"/>
        <w:ind w:left="851" w:hanging="851"/>
      </w:pPr>
    </w:p>
    <w:p w14:paraId="2B3846E9" w14:textId="77777777" w:rsidR="008A4CA5" w:rsidRDefault="008A4CA5" w:rsidP="0078275D">
      <w:pPr>
        <w:pStyle w:val="Tytuwykresu0"/>
        <w:ind w:left="851" w:hanging="851"/>
      </w:pPr>
    </w:p>
    <w:p w14:paraId="4571C79C" w14:textId="77777777" w:rsidR="008A4CA5" w:rsidRPr="00696FCE" w:rsidRDefault="008A4CA5" w:rsidP="0078275D">
      <w:pPr>
        <w:pStyle w:val="Tytuwykresu0"/>
        <w:ind w:left="851" w:hanging="851"/>
        <w:rPr>
          <w:rFonts w:ascii="Fira Sans" w:hAnsi="Fira Sans"/>
        </w:rPr>
      </w:pPr>
    </w:p>
    <w:p w14:paraId="150396EE" w14:textId="0C2E7288" w:rsidR="006E042F" w:rsidRDefault="006E042F" w:rsidP="006E042F">
      <w:pPr>
        <w:rPr>
          <w:shd w:val="clear" w:color="auto" w:fill="FFFFFF"/>
        </w:rPr>
      </w:pPr>
    </w:p>
    <w:p w14:paraId="518A6523" w14:textId="77777777" w:rsidR="006E042F" w:rsidRDefault="006E042F" w:rsidP="006E042F">
      <w:pPr>
        <w:rPr>
          <w:shd w:val="clear" w:color="auto" w:fill="FFFFFF"/>
        </w:rPr>
      </w:pPr>
    </w:p>
    <w:p w14:paraId="4809D44B" w14:textId="0DDAD4B7" w:rsidR="00694AF0" w:rsidRDefault="0078275D" w:rsidP="0078275D">
      <w:pPr>
        <w:spacing w:after="0" w:line="288" w:lineRule="auto"/>
        <w:rPr>
          <w:sz w:val="18"/>
        </w:rPr>
      </w:pPr>
      <w:r w:rsidRPr="0078275D">
        <w:rPr>
          <w:shd w:val="clear" w:color="auto" w:fill="FFFFFF"/>
        </w:rPr>
        <w:t>W przypadku cytowania danych Głównego Urzędu Statystycznego prosimy o zamieszczenie informacji: „Źródło danych GUS”, a 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p w14:paraId="3C222B0C" w14:textId="77777777" w:rsidR="00DA331D" w:rsidRDefault="00DA331D" w:rsidP="00DA331D">
      <w:pPr>
        <w:spacing w:before="360"/>
        <w:rPr>
          <w:sz w:val="18"/>
        </w:rPr>
      </w:pPr>
    </w:p>
    <w:p w14:paraId="4F3FDCB2" w14:textId="44DDC96C" w:rsidR="00875CF3" w:rsidRPr="00001C5B" w:rsidRDefault="00875CF3" w:rsidP="00DA331D">
      <w:pPr>
        <w:spacing w:before="360"/>
        <w:rPr>
          <w:sz w:val="18"/>
        </w:rPr>
        <w:sectPr w:rsidR="00875CF3" w:rsidRPr="00001C5B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0C4C70">
        <w:trPr>
          <w:trHeight w:val="1626"/>
        </w:trPr>
        <w:tc>
          <w:tcPr>
            <w:tcW w:w="4926" w:type="dxa"/>
          </w:tcPr>
          <w:p w14:paraId="05DA311F" w14:textId="5168B573"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E9B29DC" w14:textId="701CCEB5" w:rsidR="00DE2400" w:rsidRPr="008925F0" w:rsidRDefault="00092305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14:paraId="41A1AE38" w14:textId="17205DDC" w:rsidR="00DE2400" w:rsidRPr="00946F6D" w:rsidRDefault="00DE2400" w:rsidP="00747B8C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8575EA" w:rsidRPr="00946F6D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14:paraId="5425F0B4" w14:textId="57A63FB9" w:rsidR="00DE2400" w:rsidRPr="00AB24E4" w:rsidRDefault="00DE2400" w:rsidP="008575EA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81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533</w:t>
            </w:r>
            <w:r w:rsidR="00B1687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575EA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20 52</w:t>
            </w:r>
          </w:p>
        </w:tc>
        <w:tc>
          <w:tcPr>
            <w:tcW w:w="4927" w:type="dxa"/>
          </w:tcPr>
          <w:p w14:paraId="4E8FFA16" w14:textId="77777777"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47A0FE3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77777777" w:rsidR="00DE2400" w:rsidRPr="004A1D19" w:rsidRDefault="00DE2400" w:rsidP="00747B8C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747B8C">
            <w:pPr>
              <w:rPr>
                <w:sz w:val="18"/>
              </w:rPr>
            </w:pPr>
          </w:p>
        </w:tc>
      </w:tr>
      <w:tr w:rsidR="00141CC0" w14:paraId="28647E7C" w14:textId="77777777" w:rsidTr="000C4C70">
        <w:trPr>
          <w:trHeight w:val="418"/>
        </w:trPr>
        <w:tc>
          <w:tcPr>
            <w:tcW w:w="4926" w:type="dxa"/>
            <w:vMerge w:val="restart"/>
          </w:tcPr>
          <w:p w14:paraId="076C640B" w14:textId="4EE8AFCC" w:rsidR="00141CC0" w:rsidRPr="00C91687" w:rsidRDefault="00141CC0" w:rsidP="00141CC0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6446B629" w14:textId="08E16EA6" w:rsidR="00141CC0" w:rsidRPr="00C91687" w:rsidRDefault="00141CC0" w:rsidP="00141CC0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07C73DA1" w14:textId="26907820" w:rsidR="00141CC0" w:rsidRPr="00F05FC7" w:rsidRDefault="00141CC0" w:rsidP="00141CC0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01941133" w14:textId="453D4609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5AB4AA8C" wp14:editId="5FFFB08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141CC0" w14:paraId="36A99721" w14:textId="77777777" w:rsidTr="000C4C70">
        <w:trPr>
          <w:trHeight w:val="418"/>
        </w:trPr>
        <w:tc>
          <w:tcPr>
            <w:tcW w:w="4926" w:type="dxa"/>
            <w:vMerge/>
          </w:tcPr>
          <w:p w14:paraId="3255344A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09C3C6AD" w14:textId="7335BAB1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6F481B33" wp14:editId="3C4859F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549C3B1C" w14:textId="77777777" w:rsidTr="000C4C70">
        <w:trPr>
          <w:trHeight w:val="334"/>
        </w:trPr>
        <w:tc>
          <w:tcPr>
            <w:tcW w:w="4926" w:type="dxa"/>
            <w:vMerge/>
          </w:tcPr>
          <w:p w14:paraId="231798A1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79120F2D" w:rsidR="00141CC0" w:rsidRDefault="00141CC0" w:rsidP="00141CC0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anchorId="44DD3A64" wp14:editId="7615F0B5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14:paraId="17D34B41" w14:textId="77777777" w:rsidTr="000C4C70">
        <w:trPr>
          <w:trHeight w:val="334"/>
        </w:trPr>
        <w:tc>
          <w:tcPr>
            <w:tcW w:w="4926" w:type="dxa"/>
          </w:tcPr>
          <w:p w14:paraId="3C0BDFC7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E94A6E4" w14:textId="63DFBD2B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anchorId="1969138F" wp14:editId="6F200ED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14:paraId="7CA30F25" w14:textId="77777777" w:rsidTr="000C4C70">
        <w:trPr>
          <w:trHeight w:val="334"/>
        </w:trPr>
        <w:tc>
          <w:tcPr>
            <w:tcW w:w="4926" w:type="dxa"/>
          </w:tcPr>
          <w:p w14:paraId="71FAF20E" w14:textId="77777777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324FA4C" w14:textId="322E360E" w:rsidR="00141CC0" w:rsidRPr="003D5F42" w:rsidRDefault="00141CC0" w:rsidP="00141CC0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anchorId="31DC7F2B" wp14:editId="7307646B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14:paraId="1AA0FF0B" w14:textId="77777777" w:rsidTr="000C4C70">
        <w:trPr>
          <w:trHeight w:val="953"/>
        </w:trPr>
        <w:tc>
          <w:tcPr>
            <w:tcW w:w="4926" w:type="dxa"/>
          </w:tcPr>
          <w:p w14:paraId="5CEAEDCA" w14:textId="6CD41E1E" w:rsidR="00141CC0" w:rsidRPr="00C91687" w:rsidRDefault="00141CC0" w:rsidP="00141CC0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BB14496" w14:textId="2265F82D" w:rsidR="00141CC0" w:rsidRPr="003D5F42" w:rsidRDefault="00141CC0" w:rsidP="00141CC0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3CEE98CF" wp14:editId="28691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14:paraId="385E56CC" w14:textId="77777777" w:rsidTr="000C4C70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30A3AFA" w:rsidR="00DE2400" w:rsidRPr="00876479" w:rsidRDefault="00DE2400" w:rsidP="00747B8C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615E8D9B" w14:textId="320F9DA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14:paraId="036B5146" w14:textId="289D4001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14:paraId="4719955D" w14:textId="384109B9" w:rsidR="008575EA" w:rsidRPr="00946F6D" w:rsidRDefault="008575EA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r:id="rId23" w:tooltip="Link do opracowania pt. &quot;Efekty działalności budowlanej w 2020 r.&quot;" w:history="1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14:paraId="3B83EDB2" w14:textId="22A15887" w:rsidR="008575EA" w:rsidRPr="00946F6D" w:rsidRDefault="00A65CAE" w:rsidP="008575EA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4" w:tooltip="Link do opracowania pt. &quot;Budownictwo w w I-III kwartale 2021 roku&quot;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14:paraId="55DA24D0" w14:textId="02FEE223" w:rsidR="00DE2400" w:rsidRPr="00694D63" w:rsidRDefault="00B16871" w:rsidP="00747B8C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07EA624C" w14:textId="7B71D3CA" w:rsidR="008575EA" w:rsidRPr="00946F6D" w:rsidRDefault="00A65CAE" w:rsidP="008575EA">
            <w:pPr>
              <w:rPr>
                <w:color w:val="001D77"/>
                <w:sz w:val="18"/>
                <w:szCs w:val="18"/>
              </w:rPr>
            </w:pPr>
            <w:hyperlink r:id="rId25" w:tooltip="Link do Dziedzinowej Bazy Wiedzy &quot;Mieszkania, których budowę rozpoczęto - dane miesięcz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14:paraId="45C9B847" w14:textId="60EF4414" w:rsidR="008575EA" w:rsidRPr="00946F6D" w:rsidRDefault="00A65CAE" w:rsidP="008575EA">
            <w:pPr>
              <w:rPr>
                <w:color w:val="001D77"/>
                <w:sz w:val="18"/>
                <w:szCs w:val="18"/>
              </w:rPr>
            </w:pPr>
            <w:hyperlink r:id="rId26" w:tooltip="Link do Dziedzinowej Bazy Wiedzy &quot;Mieszkania oddane do użytkowania - dane kwartalne narastające&quot;" w:history="1">
              <w:r w:rsidR="008575EA" w:rsidRPr="00946F6D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14:paraId="66AF5E3F" w14:textId="225AA2B5" w:rsidR="008575EA" w:rsidRPr="00946F6D" w:rsidRDefault="00A65CAE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r:id="rId27" w:tooltip="Link do Banku Danych Lokalnych" w:history="1">
              <w:r w:rsidR="008575EA"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14:paraId="6EC7A51E" w14:textId="5F37315F" w:rsidR="00B16871" w:rsidRPr="00694D63" w:rsidRDefault="00B16871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0CA0222C" w14:textId="231935DF" w:rsidR="008575EA" w:rsidRPr="00946F6D" w:rsidRDefault="008575EA" w:rsidP="008575EA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="0073114E"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14:paraId="764BA096" w14:textId="2F956B5A" w:rsidR="008575EA" w:rsidRPr="00946F6D" w:rsidRDefault="008575EA" w:rsidP="008575EA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r:id="rId28" w:tooltip="Link do Słownika Pojęć Statystycznych, hasło &quot;Mieszkania, któ®ych budowę rozpoczęto&quot;" w:history="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14:paraId="4E5C99F2" w14:textId="62B109CF" w:rsidR="008575EA" w:rsidRPr="00946F6D" w:rsidRDefault="00A65CAE" w:rsidP="008575EA">
            <w:pPr>
              <w:rPr>
                <w:b/>
                <w:color w:val="001D77"/>
                <w:sz w:val="18"/>
                <w:szCs w:val="18"/>
              </w:rPr>
            </w:pPr>
            <w:hyperlink r:id="rId29" w:tooltip="Link do Slownika Pojęć Statystycznych, hasło &quot;Mieszkania oddane do użytkowania&quot;" w:history="1">
              <w:r w:rsidR="008575EA" w:rsidRPr="00946F6D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14:paraId="32159E9A" w14:textId="09425F30" w:rsidR="00DE2400" w:rsidRPr="00417835" w:rsidRDefault="00DE2400" w:rsidP="00747B8C">
            <w:pPr>
              <w:rPr>
                <w:rStyle w:val="Hipercze"/>
              </w:rPr>
            </w:pPr>
          </w:p>
          <w:p w14:paraId="74120B68" w14:textId="0C052DCA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734C8732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  <w:p w14:paraId="59EB7117" w14:textId="77777777" w:rsidR="00DE2400" w:rsidRPr="00224210" w:rsidRDefault="00DE2400" w:rsidP="00747B8C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14:paraId="1634A8FA" w14:textId="3014159B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8F3638" w14:paraId="366352B6" w14:textId="77777777" w:rsidTr="00E23337">
        <w:trPr>
          <w:trHeight w:val="1912"/>
        </w:trPr>
        <w:tc>
          <w:tcPr>
            <w:tcW w:w="4379" w:type="dxa"/>
          </w:tcPr>
          <w:p w14:paraId="7D4342A1" w14:textId="1F3E22AC"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14:paraId="18600317" w14:textId="44AC38B8" w:rsidR="000470AA" w:rsidRPr="00224210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14:paraId="1B68E34A" w14:textId="791CDDA7" w:rsidR="000470AA" w:rsidRDefault="000470AA" w:rsidP="000470AA">
      <w:pPr>
        <w:rPr>
          <w:sz w:val="20"/>
        </w:rPr>
      </w:pPr>
    </w:p>
    <w:p w14:paraId="21E45930" w14:textId="7976BFE4" w:rsidR="000470AA" w:rsidRDefault="000470AA" w:rsidP="000470AA">
      <w:pPr>
        <w:rPr>
          <w:sz w:val="18"/>
        </w:rPr>
      </w:pPr>
    </w:p>
    <w:p w14:paraId="7C19EFAE" w14:textId="5C8691BC" w:rsidR="00D261A2" w:rsidRPr="00001C5B" w:rsidRDefault="00D261A2" w:rsidP="00AD0E56">
      <w:pPr>
        <w:rPr>
          <w:sz w:val="18"/>
        </w:rPr>
      </w:pPr>
    </w:p>
    <w:sectPr w:rsidR="00D261A2" w:rsidRPr="00001C5B" w:rsidSect="003B18B6">
      <w:headerReference w:type="default" r:id="rId30"/>
      <w:footerReference w:type="default" r:id="rId31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99291" w14:textId="77777777" w:rsidR="00A65CAE" w:rsidRDefault="00A65CAE" w:rsidP="000662E2">
      <w:pPr>
        <w:spacing w:after="0" w:line="240" w:lineRule="auto"/>
      </w:pPr>
      <w:r>
        <w:separator/>
      </w:r>
    </w:p>
  </w:endnote>
  <w:endnote w:type="continuationSeparator" w:id="0">
    <w:p w14:paraId="60A61A94" w14:textId="77777777" w:rsidR="00A65CAE" w:rsidRDefault="00A65CAE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02D73A0F-26A4-4127-8EBC-7898DAED42AA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8771E492-0B8F-4F43-B580-E262179DF810}"/>
    <w:embedBold r:id="rId3" w:fontKey="{C620BD91-CB6D-4F5A-AD34-7D1A63A56E27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33DBF045-2A1A-40F3-BF33-3CFF8FD48B83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7970CD73-E6E4-4292-BCA2-E989CFFC78A6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E91F2FF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CA1"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7A63DCE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CA1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1CA1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76AF03" w14:textId="77777777" w:rsidR="00A65CAE" w:rsidRDefault="00A65CAE" w:rsidP="000662E2">
      <w:pPr>
        <w:spacing w:after="0" w:line="240" w:lineRule="auto"/>
      </w:pPr>
      <w:r>
        <w:separator/>
      </w:r>
    </w:p>
  </w:footnote>
  <w:footnote w:type="continuationSeparator" w:id="0">
    <w:p w14:paraId="37FA1043" w14:textId="77777777" w:rsidR="00A65CAE" w:rsidRDefault="00A65CAE" w:rsidP="000662E2">
      <w:pPr>
        <w:spacing w:after="0" w:line="240" w:lineRule="auto"/>
      </w:pPr>
      <w:r>
        <w:continuationSeparator/>
      </w:r>
    </w:p>
  </w:footnote>
  <w:footnote w:id="1">
    <w:p w14:paraId="4E83B43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BA6DB" w14:textId="72C31978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1A999" w14:textId="532B1FFE" w:rsidR="00540C5C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7CF54E2E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6E510A8" wp14:editId="1B75F0A7">
          <wp:extent cx="1359535" cy="756285"/>
          <wp:effectExtent l="0" t="0" r="0" b="5715"/>
          <wp:docPr id="7" name="Obraz 7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194277A" w14:textId="5A2E916C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17A64D29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2.04.2022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0CE0EB66" w:rsidR="00F37172" w:rsidRPr="00A01B40" w:rsidRDefault="00DD197E" w:rsidP="00F049AB">
                          <w:pPr>
                            <w:pStyle w:val="Datainformacjisygnalnej"/>
                          </w:pPr>
                          <w:r>
                            <w:t>22</w:t>
                          </w:r>
                          <w:r w:rsidR="00DD5C23">
                            <w:t>.0</w:t>
                          </w:r>
                          <w:r>
                            <w:t>4</w:t>
                          </w:r>
                          <w:r w:rsidR="00DD5C23">
                            <w:t>.2022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2.04.2022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Zlv0fS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71967FEA" w14:textId="0CE0EB66" w:rsidR="00F37172" w:rsidRPr="00A01B40" w:rsidRDefault="00DD197E" w:rsidP="00F049AB">
                    <w:pPr>
                      <w:pStyle w:val="Datainformacjisygnalnej"/>
                    </w:pPr>
                    <w:r>
                      <w:t>22</w:t>
                    </w:r>
                    <w:r w:rsidR="00DD5C23">
                      <w:t>.0</w:t>
                    </w:r>
                    <w:r>
                      <w:t>4</w:t>
                    </w:r>
                    <w:r w:rsidR="00DD5C23">
                      <w:t>.2022</w:t>
                    </w:r>
                    <w:r w:rsidR="00DD5C23" w:rsidRPr="00194201"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3480AA" w14:textId="77777777" w:rsidR="00607CC5" w:rsidRDefault="00607CC5">
    <w:pPr>
      <w:pStyle w:val="Nagwek"/>
    </w:pPr>
  </w:p>
  <w:p w14:paraId="0738E4E9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4.5pt;height:125.25pt;visibility:visible;mso-wrap-style:square" o:bullet="t">
        <v:imagedata r:id="rId1" o:title=""/>
      </v:shape>
    </w:pict>
  </w:numPicBullet>
  <w:numPicBullet w:numPicBulletId="1">
    <w:pict>
      <v:shape id="_x0000_i1031" type="#_x0000_t75" style="width:124.5pt;height:125.25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3437"/>
    <w:rsid w:val="0000709F"/>
    <w:rsid w:val="00010204"/>
    <w:rsid w:val="000108B8"/>
    <w:rsid w:val="000152F5"/>
    <w:rsid w:val="00022429"/>
    <w:rsid w:val="00035225"/>
    <w:rsid w:val="0004582E"/>
    <w:rsid w:val="000470AA"/>
    <w:rsid w:val="00057CA1"/>
    <w:rsid w:val="000647A9"/>
    <w:rsid w:val="000662E2"/>
    <w:rsid w:val="00066883"/>
    <w:rsid w:val="00071B39"/>
    <w:rsid w:val="000727FE"/>
    <w:rsid w:val="00073B71"/>
    <w:rsid w:val="00074DD8"/>
    <w:rsid w:val="00075759"/>
    <w:rsid w:val="000806F7"/>
    <w:rsid w:val="0008478F"/>
    <w:rsid w:val="00092305"/>
    <w:rsid w:val="00097840"/>
    <w:rsid w:val="000B0727"/>
    <w:rsid w:val="000C135D"/>
    <w:rsid w:val="000C274F"/>
    <w:rsid w:val="000C4C70"/>
    <w:rsid w:val="000D1D43"/>
    <w:rsid w:val="000D1E24"/>
    <w:rsid w:val="000D1F9C"/>
    <w:rsid w:val="000D225C"/>
    <w:rsid w:val="000D2A5C"/>
    <w:rsid w:val="000D39F0"/>
    <w:rsid w:val="000E0918"/>
    <w:rsid w:val="000E33F1"/>
    <w:rsid w:val="000E5778"/>
    <w:rsid w:val="000E79A9"/>
    <w:rsid w:val="001011C3"/>
    <w:rsid w:val="00103EF6"/>
    <w:rsid w:val="00106DA3"/>
    <w:rsid w:val="00110214"/>
    <w:rsid w:val="00110D87"/>
    <w:rsid w:val="00112399"/>
    <w:rsid w:val="00114DB9"/>
    <w:rsid w:val="00116087"/>
    <w:rsid w:val="00117711"/>
    <w:rsid w:val="00130296"/>
    <w:rsid w:val="00134145"/>
    <w:rsid w:val="00136736"/>
    <w:rsid w:val="00136D67"/>
    <w:rsid w:val="00141CC0"/>
    <w:rsid w:val="001423B6"/>
    <w:rsid w:val="001448A7"/>
    <w:rsid w:val="00146621"/>
    <w:rsid w:val="001617E3"/>
    <w:rsid w:val="00162325"/>
    <w:rsid w:val="00164131"/>
    <w:rsid w:val="001669EA"/>
    <w:rsid w:val="00180D78"/>
    <w:rsid w:val="001853FF"/>
    <w:rsid w:val="001861D5"/>
    <w:rsid w:val="001951DA"/>
    <w:rsid w:val="001B053D"/>
    <w:rsid w:val="001B11C4"/>
    <w:rsid w:val="001C3269"/>
    <w:rsid w:val="001D19B6"/>
    <w:rsid w:val="001D1C75"/>
    <w:rsid w:val="001D1DB4"/>
    <w:rsid w:val="001D23F1"/>
    <w:rsid w:val="001D25F9"/>
    <w:rsid w:val="001D61ED"/>
    <w:rsid w:val="001E5B2D"/>
    <w:rsid w:val="001F1855"/>
    <w:rsid w:val="0020156C"/>
    <w:rsid w:val="00216634"/>
    <w:rsid w:val="00224210"/>
    <w:rsid w:val="002244A8"/>
    <w:rsid w:val="00242D31"/>
    <w:rsid w:val="0025481E"/>
    <w:rsid w:val="002574F9"/>
    <w:rsid w:val="00262B61"/>
    <w:rsid w:val="00262CC6"/>
    <w:rsid w:val="00263E08"/>
    <w:rsid w:val="00267F90"/>
    <w:rsid w:val="002707DF"/>
    <w:rsid w:val="00275CB3"/>
    <w:rsid w:val="00276811"/>
    <w:rsid w:val="00282699"/>
    <w:rsid w:val="002926DF"/>
    <w:rsid w:val="0029373C"/>
    <w:rsid w:val="00296697"/>
    <w:rsid w:val="002A2E23"/>
    <w:rsid w:val="002B0472"/>
    <w:rsid w:val="002B68D2"/>
    <w:rsid w:val="002B6B12"/>
    <w:rsid w:val="002C21F0"/>
    <w:rsid w:val="002C4B21"/>
    <w:rsid w:val="002C5C97"/>
    <w:rsid w:val="002C7929"/>
    <w:rsid w:val="002D01DF"/>
    <w:rsid w:val="002D1211"/>
    <w:rsid w:val="002E3EB3"/>
    <w:rsid w:val="002E6140"/>
    <w:rsid w:val="002E6985"/>
    <w:rsid w:val="002E71B6"/>
    <w:rsid w:val="002E7C63"/>
    <w:rsid w:val="002E7CC1"/>
    <w:rsid w:val="002F2AFA"/>
    <w:rsid w:val="002F35F6"/>
    <w:rsid w:val="002F77C8"/>
    <w:rsid w:val="00304F22"/>
    <w:rsid w:val="00306C7C"/>
    <w:rsid w:val="00314F86"/>
    <w:rsid w:val="00317F4D"/>
    <w:rsid w:val="00322EDD"/>
    <w:rsid w:val="003309FA"/>
    <w:rsid w:val="00332320"/>
    <w:rsid w:val="0034251D"/>
    <w:rsid w:val="00347D72"/>
    <w:rsid w:val="00351173"/>
    <w:rsid w:val="00353F45"/>
    <w:rsid w:val="00354E9A"/>
    <w:rsid w:val="00357611"/>
    <w:rsid w:val="0036432A"/>
    <w:rsid w:val="00364671"/>
    <w:rsid w:val="00364AF9"/>
    <w:rsid w:val="00367237"/>
    <w:rsid w:val="0037077F"/>
    <w:rsid w:val="00372411"/>
    <w:rsid w:val="00373882"/>
    <w:rsid w:val="003843DB"/>
    <w:rsid w:val="00390871"/>
    <w:rsid w:val="00393761"/>
    <w:rsid w:val="00393CBC"/>
    <w:rsid w:val="00394E26"/>
    <w:rsid w:val="00396691"/>
    <w:rsid w:val="00397D18"/>
    <w:rsid w:val="003A1B36"/>
    <w:rsid w:val="003A6083"/>
    <w:rsid w:val="003B1454"/>
    <w:rsid w:val="003B18B6"/>
    <w:rsid w:val="003C161B"/>
    <w:rsid w:val="003C3A7B"/>
    <w:rsid w:val="003C59E0"/>
    <w:rsid w:val="003C6C8D"/>
    <w:rsid w:val="003D2656"/>
    <w:rsid w:val="003D37CB"/>
    <w:rsid w:val="003D4F95"/>
    <w:rsid w:val="003D5F42"/>
    <w:rsid w:val="003D60A9"/>
    <w:rsid w:val="003F19DE"/>
    <w:rsid w:val="003F4C97"/>
    <w:rsid w:val="003F666D"/>
    <w:rsid w:val="003F7FE6"/>
    <w:rsid w:val="00400193"/>
    <w:rsid w:val="00401013"/>
    <w:rsid w:val="00416EAF"/>
    <w:rsid w:val="004212E7"/>
    <w:rsid w:val="00423C88"/>
    <w:rsid w:val="0042446D"/>
    <w:rsid w:val="0042599A"/>
    <w:rsid w:val="00427BF8"/>
    <w:rsid w:val="00431C02"/>
    <w:rsid w:val="00437395"/>
    <w:rsid w:val="00445047"/>
    <w:rsid w:val="00446749"/>
    <w:rsid w:val="00453EB7"/>
    <w:rsid w:val="00463E39"/>
    <w:rsid w:val="004647E0"/>
    <w:rsid w:val="004657FC"/>
    <w:rsid w:val="004733F6"/>
    <w:rsid w:val="00474E69"/>
    <w:rsid w:val="00477729"/>
    <w:rsid w:val="00483E9F"/>
    <w:rsid w:val="00485A2C"/>
    <w:rsid w:val="00487D98"/>
    <w:rsid w:val="0049621B"/>
    <w:rsid w:val="004A16D2"/>
    <w:rsid w:val="004A1D19"/>
    <w:rsid w:val="004C1895"/>
    <w:rsid w:val="004C6D40"/>
    <w:rsid w:val="004E6AA8"/>
    <w:rsid w:val="004F0C3C"/>
    <w:rsid w:val="004F2280"/>
    <w:rsid w:val="004F23BB"/>
    <w:rsid w:val="004F63FC"/>
    <w:rsid w:val="00504A57"/>
    <w:rsid w:val="00505A92"/>
    <w:rsid w:val="005203F1"/>
    <w:rsid w:val="00521BC3"/>
    <w:rsid w:val="00522DF4"/>
    <w:rsid w:val="00532B63"/>
    <w:rsid w:val="00533632"/>
    <w:rsid w:val="00534013"/>
    <w:rsid w:val="00540C5C"/>
    <w:rsid w:val="00541E6E"/>
    <w:rsid w:val="0054251F"/>
    <w:rsid w:val="005520D8"/>
    <w:rsid w:val="00552873"/>
    <w:rsid w:val="00553EDE"/>
    <w:rsid w:val="00555CFB"/>
    <w:rsid w:val="005566DA"/>
    <w:rsid w:val="00556CF1"/>
    <w:rsid w:val="005762A7"/>
    <w:rsid w:val="00587CEE"/>
    <w:rsid w:val="00590864"/>
    <w:rsid w:val="005916D7"/>
    <w:rsid w:val="0059427F"/>
    <w:rsid w:val="005947D5"/>
    <w:rsid w:val="005A4A15"/>
    <w:rsid w:val="005A698C"/>
    <w:rsid w:val="005B4EF8"/>
    <w:rsid w:val="005C0CAC"/>
    <w:rsid w:val="005D062E"/>
    <w:rsid w:val="005D688E"/>
    <w:rsid w:val="005E0799"/>
    <w:rsid w:val="005E10F9"/>
    <w:rsid w:val="005E1200"/>
    <w:rsid w:val="005E34C0"/>
    <w:rsid w:val="005E3C4E"/>
    <w:rsid w:val="005E6BD1"/>
    <w:rsid w:val="005F45EE"/>
    <w:rsid w:val="005F5A80"/>
    <w:rsid w:val="00600A20"/>
    <w:rsid w:val="006025DF"/>
    <w:rsid w:val="00602DF9"/>
    <w:rsid w:val="006044FF"/>
    <w:rsid w:val="00607CC5"/>
    <w:rsid w:val="0061179B"/>
    <w:rsid w:val="006125F9"/>
    <w:rsid w:val="006145C6"/>
    <w:rsid w:val="00633014"/>
    <w:rsid w:val="0063437B"/>
    <w:rsid w:val="0064017E"/>
    <w:rsid w:val="00643463"/>
    <w:rsid w:val="00654BB6"/>
    <w:rsid w:val="00665F10"/>
    <w:rsid w:val="006673CA"/>
    <w:rsid w:val="00673C26"/>
    <w:rsid w:val="00674DE5"/>
    <w:rsid w:val="00677ACA"/>
    <w:rsid w:val="006812AF"/>
    <w:rsid w:val="0068327D"/>
    <w:rsid w:val="0069103A"/>
    <w:rsid w:val="00691534"/>
    <w:rsid w:val="00693880"/>
    <w:rsid w:val="00694AF0"/>
    <w:rsid w:val="00696FCE"/>
    <w:rsid w:val="006A241C"/>
    <w:rsid w:val="006A4686"/>
    <w:rsid w:val="006B0030"/>
    <w:rsid w:val="006B070B"/>
    <w:rsid w:val="006B0E9E"/>
    <w:rsid w:val="006B486D"/>
    <w:rsid w:val="006B5AE4"/>
    <w:rsid w:val="006C4386"/>
    <w:rsid w:val="006C57B5"/>
    <w:rsid w:val="006D1507"/>
    <w:rsid w:val="006D282B"/>
    <w:rsid w:val="006D4054"/>
    <w:rsid w:val="006E02EC"/>
    <w:rsid w:val="006E042F"/>
    <w:rsid w:val="006E3C4F"/>
    <w:rsid w:val="006E6F41"/>
    <w:rsid w:val="006E73E6"/>
    <w:rsid w:val="007110ED"/>
    <w:rsid w:val="00714114"/>
    <w:rsid w:val="0071578A"/>
    <w:rsid w:val="007211B1"/>
    <w:rsid w:val="007277DA"/>
    <w:rsid w:val="00731143"/>
    <w:rsid w:val="0073114E"/>
    <w:rsid w:val="00731D27"/>
    <w:rsid w:val="007426A4"/>
    <w:rsid w:val="00746187"/>
    <w:rsid w:val="00746E92"/>
    <w:rsid w:val="0076254F"/>
    <w:rsid w:val="00770C54"/>
    <w:rsid w:val="007801F5"/>
    <w:rsid w:val="0078275D"/>
    <w:rsid w:val="00783CA4"/>
    <w:rsid w:val="007842FB"/>
    <w:rsid w:val="00786124"/>
    <w:rsid w:val="0079514B"/>
    <w:rsid w:val="00795252"/>
    <w:rsid w:val="007A2DC1"/>
    <w:rsid w:val="007B4D3D"/>
    <w:rsid w:val="007C41ED"/>
    <w:rsid w:val="007D02DB"/>
    <w:rsid w:val="007D07C7"/>
    <w:rsid w:val="007D0869"/>
    <w:rsid w:val="007D14C4"/>
    <w:rsid w:val="007D1F80"/>
    <w:rsid w:val="007D3319"/>
    <w:rsid w:val="007D335D"/>
    <w:rsid w:val="007D605C"/>
    <w:rsid w:val="007D799A"/>
    <w:rsid w:val="007E3314"/>
    <w:rsid w:val="007E3514"/>
    <w:rsid w:val="007E4B03"/>
    <w:rsid w:val="007F324B"/>
    <w:rsid w:val="0080553C"/>
    <w:rsid w:val="00805B46"/>
    <w:rsid w:val="00805DB4"/>
    <w:rsid w:val="0082150C"/>
    <w:rsid w:val="00823593"/>
    <w:rsid w:val="00825DC2"/>
    <w:rsid w:val="00833CD6"/>
    <w:rsid w:val="00834AD3"/>
    <w:rsid w:val="00843795"/>
    <w:rsid w:val="00847F0F"/>
    <w:rsid w:val="00852448"/>
    <w:rsid w:val="008575EA"/>
    <w:rsid w:val="00861460"/>
    <w:rsid w:val="00866297"/>
    <w:rsid w:val="00875CF3"/>
    <w:rsid w:val="00877F6C"/>
    <w:rsid w:val="0088258A"/>
    <w:rsid w:val="00886332"/>
    <w:rsid w:val="00887FE9"/>
    <w:rsid w:val="008925F0"/>
    <w:rsid w:val="0089448A"/>
    <w:rsid w:val="00895CCF"/>
    <w:rsid w:val="00897877"/>
    <w:rsid w:val="008A26D9"/>
    <w:rsid w:val="008A33AC"/>
    <w:rsid w:val="008A4CA5"/>
    <w:rsid w:val="008A7B5B"/>
    <w:rsid w:val="008B12D2"/>
    <w:rsid w:val="008C0C29"/>
    <w:rsid w:val="008D02DA"/>
    <w:rsid w:val="008D76BC"/>
    <w:rsid w:val="008E7DBA"/>
    <w:rsid w:val="008F0829"/>
    <w:rsid w:val="008F3638"/>
    <w:rsid w:val="008F4441"/>
    <w:rsid w:val="008F6850"/>
    <w:rsid w:val="008F6B20"/>
    <w:rsid w:val="008F6F31"/>
    <w:rsid w:val="008F74DF"/>
    <w:rsid w:val="00902274"/>
    <w:rsid w:val="0091083F"/>
    <w:rsid w:val="00912473"/>
    <w:rsid w:val="009127BA"/>
    <w:rsid w:val="00920AAE"/>
    <w:rsid w:val="009227A6"/>
    <w:rsid w:val="0092355A"/>
    <w:rsid w:val="00933EC1"/>
    <w:rsid w:val="009446AD"/>
    <w:rsid w:val="009465D9"/>
    <w:rsid w:val="00946F6D"/>
    <w:rsid w:val="009530DB"/>
    <w:rsid w:val="00953676"/>
    <w:rsid w:val="00956F30"/>
    <w:rsid w:val="009579D4"/>
    <w:rsid w:val="00966C9A"/>
    <w:rsid w:val="009705EE"/>
    <w:rsid w:val="00975DA9"/>
    <w:rsid w:val="00977927"/>
    <w:rsid w:val="0098135C"/>
    <w:rsid w:val="0098156A"/>
    <w:rsid w:val="009861C8"/>
    <w:rsid w:val="00987C33"/>
    <w:rsid w:val="009908DA"/>
    <w:rsid w:val="00991BAC"/>
    <w:rsid w:val="009A2390"/>
    <w:rsid w:val="009A6EA0"/>
    <w:rsid w:val="009B12CC"/>
    <w:rsid w:val="009C1335"/>
    <w:rsid w:val="009C1AB2"/>
    <w:rsid w:val="009C7251"/>
    <w:rsid w:val="009D1F9F"/>
    <w:rsid w:val="009D74A4"/>
    <w:rsid w:val="009E2E91"/>
    <w:rsid w:val="009F37F2"/>
    <w:rsid w:val="00A01B40"/>
    <w:rsid w:val="00A139F5"/>
    <w:rsid w:val="00A156FF"/>
    <w:rsid w:val="00A17742"/>
    <w:rsid w:val="00A227C0"/>
    <w:rsid w:val="00A26854"/>
    <w:rsid w:val="00A27EDD"/>
    <w:rsid w:val="00A31734"/>
    <w:rsid w:val="00A32E16"/>
    <w:rsid w:val="00A365F4"/>
    <w:rsid w:val="00A47D80"/>
    <w:rsid w:val="00A53132"/>
    <w:rsid w:val="00A563F2"/>
    <w:rsid w:val="00A566E8"/>
    <w:rsid w:val="00A617AC"/>
    <w:rsid w:val="00A62AAF"/>
    <w:rsid w:val="00A6325C"/>
    <w:rsid w:val="00A65CAE"/>
    <w:rsid w:val="00A66347"/>
    <w:rsid w:val="00A810F9"/>
    <w:rsid w:val="00A81CA1"/>
    <w:rsid w:val="00A82D31"/>
    <w:rsid w:val="00A84296"/>
    <w:rsid w:val="00A85E7E"/>
    <w:rsid w:val="00A86ECC"/>
    <w:rsid w:val="00A86FCC"/>
    <w:rsid w:val="00A90A6D"/>
    <w:rsid w:val="00A971E5"/>
    <w:rsid w:val="00AA2F0E"/>
    <w:rsid w:val="00AA710D"/>
    <w:rsid w:val="00AB192C"/>
    <w:rsid w:val="00AB64F3"/>
    <w:rsid w:val="00AB6D25"/>
    <w:rsid w:val="00AC0589"/>
    <w:rsid w:val="00AC280D"/>
    <w:rsid w:val="00AD0E56"/>
    <w:rsid w:val="00AD1F03"/>
    <w:rsid w:val="00AD7D81"/>
    <w:rsid w:val="00AE2010"/>
    <w:rsid w:val="00AE229B"/>
    <w:rsid w:val="00AE2D4B"/>
    <w:rsid w:val="00AE4F99"/>
    <w:rsid w:val="00B11B69"/>
    <w:rsid w:val="00B13921"/>
    <w:rsid w:val="00B14952"/>
    <w:rsid w:val="00B16871"/>
    <w:rsid w:val="00B25B45"/>
    <w:rsid w:val="00B30026"/>
    <w:rsid w:val="00B31E5A"/>
    <w:rsid w:val="00B3710B"/>
    <w:rsid w:val="00B43075"/>
    <w:rsid w:val="00B4309F"/>
    <w:rsid w:val="00B45E3F"/>
    <w:rsid w:val="00B47359"/>
    <w:rsid w:val="00B653AB"/>
    <w:rsid w:val="00B65C40"/>
    <w:rsid w:val="00B65F9E"/>
    <w:rsid w:val="00B66B19"/>
    <w:rsid w:val="00B73C02"/>
    <w:rsid w:val="00B74130"/>
    <w:rsid w:val="00B85F30"/>
    <w:rsid w:val="00B914E9"/>
    <w:rsid w:val="00B95343"/>
    <w:rsid w:val="00B956EE"/>
    <w:rsid w:val="00BA2BA1"/>
    <w:rsid w:val="00BA3447"/>
    <w:rsid w:val="00BA3562"/>
    <w:rsid w:val="00BA682B"/>
    <w:rsid w:val="00BB4F09"/>
    <w:rsid w:val="00BB5C6D"/>
    <w:rsid w:val="00BC2D48"/>
    <w:rsid w:val="00BC646E"/>
    <w:rsid w:val="00BD4E33"/>
    <w:rsid w:val="00BF0F9E"/>
    <w:rsid w:val="00BF246A"/>
    <w:rsid w:val="00C030DE"/>
    <w:rsid w:val="00C051A8"/>
    <w:rsid w:val="00C22105"/>
    <w:rsid w:val="00C244B6"/>
    <w:rsid w:val="00C2512A"/>
    <w:rsid w:val="00C27BF1"/>
    <w:rsid w:val="00C30F26"/>
    <w:rsid w:val="00C35967"/>
    <w:rsid w:val="00C3702F"/>
    <w:rsid w:val="00C423B3"/>
    <w:rsid w:val="00C4500A"/>
    <w:rsid w:val="00C51A44"/>
    <w:rsid w:val="00C566A2"/>
    <w:rsid w:val="00C62238"/>
    <w:rsid w:val="00C63D50"/>
    <w:rsid w:val="00C64A37"/>
    <w:rsid w:val="00C7158E"/>
    <w:rsid w:val="00C7250B"/>
    <w:rsid w:val="00C7346B"/>
    <w:rsid w:val="00C7435B"/>
    <w:rsid w:val="00C74EE7"/>
    <w:rsid w:val="00C74FD4"/>
    <w:rsid w:val="00C77C0E"/>
    <w:rsid w:val="00C91687"/>
    <w:rsid w:val="00C924A8"/>
    <w:rsid w:val="00C945FE"/>
    <w:rsid w:val="00C96FAA"/>
    <w:rsid w:val="00C97A04"/>
    <w:rsid w:val="00CA107B"/>
    <w:rsid w:val="00CA484D"/>
    <w:rsid w:val="00CA4FB6"/>
    <w:rsid w:val="00CB2F90"/>
    <w:rsid w:val="00CB6AD4"/>
    <w:rsid w:val="00CC739E"/>
    <w:rsid w:val="00CD1EBB"/>
    <w:rsid w:val="00CD28CF"/>
    <w:rsid w:val="00CD58B7"/>
    <w:rsid w:val="00CD6D30"/>
    <w:rsid w:val="00CD764E"/>
    <w:rsid w:val="00CD7967"/>
    <w:rsid w:val="00CE2AFA"/>
    <w:rsid w:val="00CF0C7D"/>
    <w:rsid w:val="00CF18EE"/>
    <w:rsid w:val="00CF30BD"/>
    <w:rsid w:val="00CF4099"/>
    <w:rsid w:val="00CF6DFF"/>
    <w:rsid w:val="00D00796"/>
    <w:rsid w:val="00D019E7"/>
    <w:rsid w:val="00D01F12"/>
    <w:rsid w:val="00D01FA2"/>
    <w:rsid w:val="00D04A00"/>
    <w:rsid w:val="00D2057C"/>
    <w:rsid w:val="00D261A2"/>
    <w:rsid w:val="00D35826"/>
    <w:rsid w:val="00D47601"/>
    <w:rsid w:val="00D51630"/>
    <w:rsid w:val="00D56EFC"/>
    <w:rsid w:val="00D616D2"/>
    <w:rsid w:val="00D63B5F"/>
    <w:rsid w:val="00D7002A"/>
    <w:rsid w:val="00D70EF7"/>
    <w:rsid w:val="00D8397C"/>
    <w:rsid w:val="00D94EED"/>
    <w:rsid w:val="00D96026"/>
    <w:rsid w:val="00D972F6"/>
    <w:rsid w:val="00DA331D"/>
    <w:rsid w:val="00DA4463"/>
    <w:rsid w:val="00DA7C1C"/>
    <w:rsid w:val="00DB147A"/>
    <w:rsid w:val="00DB1B7A"/>
    <w:rsid w:val="00DB589E"/>
    <w:rsid w:val="00DB706E"/>
    <w:rsid w:val="00DC6708"/>
    <w:rsid w:val="00DD011A"/>
    <w:rsid w:val="00DD197E"/>
    <w:rsid w:val="00DD5C23"/>
    <w:rsid w:val="00DE2400"/>
    <w:rsid w:val="00DE58F1"/>
    <w:rsid w:val="00DE6B58"/>
    <w:rsid w:val="00DF5E32"/>
    <w:rsid w:val="00E01436"/>
    <w:rsid w:val="00E03E79"/>
    <w:rsid w:val="00E045BD"/>
    <w:rsid w:val="00E04782"/>
    <w:rsid w:val="00E04D6C"/>
    <w:rsid w:val="00E109E9"/>
    <w:rsid w:val="00E17B77"/>
    <w:rsid w:val="00E231AB"/>
    <w:rsid w:val="00E23337"/>
    <w:rsid w:val="00E259EA"/>
    <w:rsid w:val="00E25D33"/>
    <w:rsid w:val="00E32061"/>
    <w:rsid w:val="00E33F48"/>
    <w:rsid w:val="00E3471B"/>
    <w:rsid w:val="00E34D1F"/>
    <w:rsid w:val="00E42FF9"/>
    <w:rsid w:val="00E44790"/>
    <w:rsid w:val="00E46466"/>
    <w:rsid w:val="00E4714C"/>
    <w:rsid w:val="00E51201"/>
    <w:rsid w:val="00E5178D"/>
    <w:rsid w:val="00E51AEB"/>
    <w:rsid w:val="00E522A7"/>
    <w:rsid w:val="00E5349E"/>
    <w:rsid w:val="00E54452"/>
    <w:rsid w:val="00E63B0C"/>
    <w:rsid w:val="00E664C5"/>
    <w:rsid w:val="00E671A2"/>
    <w:rsid w:val="00E67D16"/>
    <w:rsid w:val="00E76D26"/>
    <w:rsid w:val="00E76EE5"/>
    <w:rsid w:val="00E95B8E"/>
    <w:rsid w:val="00E96D55"/>
    <w:rsid w:val="00EB06BF"/>
    <w:rsid w:val="00EB1390"/>
    <w:rsid w:val="00EB2C71"/>
    <w:rsid w:val="00EB3333"/>
    <w:rsid w:val="00EB4340"/>
    <w:rsid w:val="00EB556D"/>
    <w:rsid w:val="00EB5A7D"/>
    <w:rsid w:val="00EB609E"/>
    <w:rsid w:val="00EC4714"/>
    <w:rsid w:val="00EC66BB"/>
    <w:rsid w:val="00ED55C0"/>
    <w:rsid w:val="00ED61F4"/>
    <w:rsid w:val="00ED682B"/>
    <w:rsid w:val="00EE3D14"/>
    <w:rsid w:val="00EE41D5"/>
    <w:rsid w:val="00EF0C25"/>
    <w:rsid w:val="00F0166F"/>
    <w:rsid w:val="00F037A4"/>
    <w:rsid w:val="00F049AB"/>
    <w:rsid w:val="00F07252"/>
    <w:rsid w:val="00F142DB"/>
    <w:rsid w:val="00F254D3"/>
    <w:rsid w:val="00F27C8F"/>
    <w:rsid w:val="00F32749"/>
    <w:rsid w:val="00F37172"/>
    <w:rsid w:val="00F4477E"/>
    <w:rsid w:val="00F46269"/>
    <w:rsid w:val="00F52F81"/>
    <w:rsid w:val="00F60BA8"/>
    <w:rsid w:val="00F65B5B"/>
    <w:rsid w:val="00F65EC5"/>
    <w:rsid w:val="00F67D8F"/>
    <w:rsid w:val="00F72307"/>
    <w:rsid w:val="00F802BE"/>
    <w:rsid w:val="00F80E93"/>
    <w:rsid w:val="00F81B0C"/>
    <w:rsid w:val="00F86024"/>
    <w:rsid w:val="00F8611A"/>
    <w:rsid w:val="00F94EDD"/>
    <w:rsid w:val="00FA5128"/>
    <w:rsid w:val="00FB42D4"/>
    <w:rsid w:val="00FB5906"/>
    <w:rsid w:val="00FB5D61"/>
    <w:rsid w:val="00FB762F"/>
    <w:rsid w:val="00FB77D1"/>
    <w:rsid w:val="00FC2AED"/>
    <w:rsid w:val="00FD2877"/>
    <w:rsid w:val="00FD5EA7"/>
    <w:rsid w:val="00FD758E"/>
    <w:rsid w:val="00FE36CF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://swaid.stat.gov.pl/Budownictwo_dashboards/Raporty_predefiniowane/RAP_DBD_BUD_9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://swaid.stat.gov.pl/Budownictwo_dashboards/Raporty_predefiniowane/RAP_DBD_BUD_7.aspx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hyperlink" Target="http://stat.gov.pl/metainformacje/slownik-pojec/pojecia-stosowane-w-statystyce-publicznej/201,pojecie.html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stat.gov.pl/obszary-tematyczne/przemysl-budownictwo-srodki-trwale/budownictwo/publikacja,13.html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://stat.gov.pl/obszary-tematyczne/przemysl-budownictwo-srodki-trwale/budownictwo/publikacja,3.html" TargetMode="External"/><Relationship Id="rId28" Type="http://schemas.openxmlformats.org/officeDocument/2006/relationships/hyperlink" Target="http://stat.gov.pl/metainformacje/slownik-pojec/pojecia-stosowane-w-statystyce-publicznej/945,pojecie.html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footer" Target="foot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bdl.stat.gov.pl/BDL/start" TargetMode="External"/><Relationship Id="rId30" Type="http://schemas.openxmlformats.org/officeDocument/2006/relationships/header" Target="header3.xml"/><Relationship Id="rId8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budownictwo_mieszkaniowe_w_okresie styczeń-luty_2022_r.docx.docx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STAT\POWESKAA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FC287-037D-44B4-A3D5-95EE84714F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94BD3443-0287-4C5E-9DEF-438E55D39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1126</Words>
  <Characters>6758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mieszkaniowe w styczniu 2022 r</vt:lpstr>
    </vt:vector>
  </TitlesOfParts>
  <Company>Główny Urząd Statystyczny</Company>
  <LinksUpToDate>false</LinksUpToDate>
  <CharactersWithSpaces>7869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mieszkaniowe w styczniu 2022 r</dc:title>
  <dc:subject/>
  <dc:creator>Główny Urząd Statystyczny</dc:creator>
  <cp:keywords>mieszkania oddane do użytkowania; mieszkania w budowie; mieszkania rozpoczęte; ozwolenie na budowę; powierzchnia użytkowa</cp:keywords>
  <dc:description/>
  <cp:lastModifiedBy>Powęska Anna</cp:lastModifiedBy>
  <cp:revision>2</cp:revision>
  <cp:lastPrinted>2019-02-21T09:45:00Z</cp:lastPrinted>
  <dcterms:created xsi:type="dcterms:W3CDTF">2022-04-22T07:31:00Z</dcterms:created>
  <dcterms:modified xsi:type="dcterms:W3CDTF">2022-04-22T07:31:00Z</dcterms:modified>
  <cp:category>Budownictwo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