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35BDEB55"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E3471B">
        <w:t>okresie styczeń -luty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3ADBCBF9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49B09F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9,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4C9DE781" w:rsidR="005C0CAC" w:rsidRPr="007D605C" w:rsidRDefault="00351173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DE6B58">
                              <w:t xml:space="preserve"> </w:t>
                            </w:r>
                            <w:r w:rsidR="00E3471B">
                              <w:rPr>
                                <w:rStyle w:val="WartowskanikaZnak"/>
                              </w:rPr>
                              <w:t>99,9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99,9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EKlpVGACAABmBAAADgAAAAAAAAAAAAAAAAAuAgAAZHJzL2Uyb0Rv&#10;Yy54bWxQSwECLQAUAAYACAAAACEAJg4ZUN0AAAAHAQAADwAAAAAAAAAAAAAAAAC6BAAAZHJzL2Rv&#10;d25yZXYueG1sUEsFBgAAAAAEAAQA8wAAAMQFAAAAAA==&#10;" fillcolor="#001d77" stroked="f">
                <v:stroke joinstyle="miter"/>
                <v:textbox>
                  <w:txbxContent>
                    <w:p w14:paraId="30951E30" w14:textId="4C9DE781" w:rsidR="005C0CAC" w:rsidRPr="007D605C" w:rsidRDefault="00351173" w:rsidP="00CE2AF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DE6B58">
                        <w:t xml:space="preserve"> </w:t>
                      </w:r>
                      <w:r w:rsidR="00E3471B">
                        <w:rPr>
                          <w:rStyle w:val="WartowskanikaZnak"/>
                        </w:rPr>
                        <w:t>99,9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D019E7">
        <w:t>W</w:t>
      </w:r>
      <w:r w:rsidR="00B95343" w:rsidRPr="00D019E7">
        <w:t xml:space="preserve"> </w:t>
      </w:r>
      <w:r w:rsidR="00E34D1F" w:rsidRPr="00D019E7">
        <w:t xml:space="preserve">dwóch pierwszych miesiącach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F07252" w:rsidRPr="009465D9">
        <w:t xml:space="preserve">nieznacznie </w:t>
      </w:r>
      <w:r w:rsidR="00B95343" w:rsidRPr="00D019E7">
        <w:t>mniej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również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bookmarkStart w:id="0" w:name="_GoBack"/>
    <w:bookmarkEnd w:id="0"/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5D0F64AA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 53,9% i 44,1% ogólnej liczby 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51ADF613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54E9A">
                              <w:t>Deweloperzy i inwestorzy</w:t>
                            </w:r>
                            <w:r w:rsidR="00CE2AFA">
                              <w:br/>
                            </w:r>
                            <w:r w:rsidRPr="00354E9A">
                              <w:t xml:space="preserve">indywidualni oddali do użytkowania odpowiednio </w:t>
                            </w:r>
                            <w:r w:rsidR="00E3471B">
                              <w:t>53,9</w:t>
                            </w:r>
                            <w:r w:rsidRPr="00354E9A">
                              <w:t>% i</w:t>
                            </w:r>
                            <w:r>
                              <w:t> </w:t>
                            </w:r>
                            <w:r w:rsidR="00E3471B">
                              <w:t>44,1</w:t>
                            </w:r>
                            <w:r w:rsidRPr="00354E9A">
                              <w:t xml:space="preserve">% ogólnej liczby </w:t>
                            </w:r>
                            <w:r w:rsidR="00CE2AFA">
                              <w:br/>
                            </w:r>
                            <w:r w:rsidRPr="00354E9A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 53,9% i 44,1% ogólnej liczby 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" filled="f" stroked="f">
                <v:textbox>
                  <w:txbxContent>
                    <w:p w14:paraId="66113316" w14:textId="51ADF613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354E9A">
                        <w:t>Deweloperzy i inwestorzy</w:t>
                      </w:r>
                      <w:r w:rsidR="00CE2AFA">
                        <w:br/>
                      </w:r>
                      <w:r w:rsidRPr="00354E9A">
                        <w:t xml:space="preserve">indywidualni oddali do użytkowania odpowiednio </w:t>
                      </w:r>
                      <w:r w:rsidR="00E3471B">
                        <w:t>53,9</w:t>
                      </w:r>
                      <w:r w:rsidRPr="00354E9A">
                        <w:t>% i</w:t>
                      </w:r>
                      <w:r>
                        <w:t> </w:t>
                      </w:r>
                      <w:r w:rsidR="00E3471B">
                        <w:t>44,1</w:t>
                      </w:r>
                      <w:r w:rsidRPr="00354E9A">
                        <w:t xml:space="preserve">% ogólnej liczby </w:t>
                      </w:r>
                      <w:r w:rsidR="00CE2AFA">
                        <w:br/>
                      </w:r>
                      <w:r w:rsidRPr="00354E9A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6259D6C6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 xml:space="preserve">okresie styczeń-luty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E3471B">
        <w:rPr>
          <w:rFonts w:eastAsia="Times New Roman" w:cs="Times New Roman"/>
          <w:spacing w:val="-2"/>
          <w:szCs w:val="19"/>
          <w:lang w:eastAsia="pl-PL"/>
        </w:rPr>
        <w:t>33,7</w:t>
      </w:r>
      <w:r w:rsidR="009D1F9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Pr="00D2057C">
        <w:rPr>
          <w:rFonts w:eastAsia="Times New Roman" w:cs="Times New Roman"/>
          <w:spacing w:val="-2"/>
          <w:szCs w:val="19"/>
          <w:lang w:eastAsia="pl-PL"/>
        </w:rPr>
        <w:t>tj.</w:t>
      </w:r>
      <w:r w:rsidR="009D1F9F"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F07252" w:rsidRPr="00D2057C">
        <w:rPr>
          <w:rFonts w:eastAsia="Times New Roman" w:cs="Times New Roman"/>
          <w:spacing w:val="-2"/>
          <w:szCs w:val="19"/>
          <w:lang w:eastAsia="pl-PL"/>
        </w:rPr>
        <w:t>porównywalnie do ilości w roku ubiegłym (</w:t>
      </w:r>
      <w:r w:rsidRPr="00D2057C">
        <w:rPr>
          <w:rFonts w:eastAsia="Times New Roman" w:cs="Times New Roman"/>
          <w:spacing w:val="-2"/>
          <w:szCs w:val="19"/>
          <w:lang w:eastAsia="pl-PL"/>
        </w:rPr>
        <w:t>o </w:t>
      </w:r>
      <w:r w:rsidR="00E3471B" w:rsidRPr="00D2057C">
        <w:rPr>
          <w:rFonts w:eastAsia="Times New Roman" w:cs="Times New Roman"/>
          <w:spacing w:val="-2"/>
          <w:szCs w:val="19"/>
          <w:lang w:eastAsia="pl-PL"/>
        </w:rPr>
        <w:t>0,1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D2057C">
        <w:rPr>
          <w:rFonts w:eastAsia="Times New Roman" w:cs="Times New Roman"/>
          <w:spacing w:val="-2"/>
          <w:szCs w:val="19"/>
          <w:lang w:eastAsia="pl-PL"/>
        </w:rPr>
        <w:t>mniej</w:t>
      </w:r>
      <w:r w:rsidR="00F07252" w:rsidRPr="00D2057C">
        <w:rPr>
          <w:rFonts w:eastAsia="Times New Roman" w:cs="Times New Roman"/>
          <w:spacing w:val="-2"/>
          <w:szCs w:val="19"/>
          <w:lang w:eastAsia="pl-PL"/>
        </w:rPr>
        <w:t>)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do eksploatacji </w:t>
      </w:r>
      <w:r w:rsidR="00E3471B">
        <w:rPr>
          <w:rFonts w:eastAsia="Times New Roman" w:cs="Times New Roman"/>
          <w:spacing w:val="-2"/>
          <w:szCs w:val="19"/>
          <w:lang w:eastAsia="pl-PL"/>
        </w:rPr>
        <w:t>18,2 </w:t>
      </w:r>
      <w:r w:rsidRPr="00354E9A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="00E3471B">
        <w:rPr>
          <w:rFonts w:eastAsia="Times New Roman" w:cs="Times New Roman"/>
          <w:spacing w:val="-2"/>
          <w:szCs w:val="19"/>
          <w:lang w:eastAsia="pl-PL"/>
        </w:rPr>
        <w:t>6,5</w:t>
      </w:r>
      <w:r w:rsidRPr="000E33F1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E3471B">
        <w:rPr>
          <w:rFonts w:eastAsia="Times New Roman" w:cs="Times New Roman"/>
          <w:spacing w:val="-2"/>
          <w:szCs w:val="19"/>
          <w:lang w:eastAsia="pl-PL"/>
        </w:rPr>
        <w:t>mniej niż w</w:t>
      </w:r>
      <w:r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202</w:t>
      </w:r>
      <w:r w:rsidR="00600A20">
        <w:rPr>
          <w:rFonts w:eastAsia="Times New Roman" w:cs="Times New Roman"/>
          <w:spacing w:val="-2"/>
          <w:szCs w:val="19"/>
          <w:lang w:eastAsia="pl-PL"/>
        </w:rPr>
        <w:t>1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E3471B">
        <w:rPr>
          <w:rFonts w:eastAsia="Times New Roman" w:cs="Times New Roman"/>
          <w:spacing w:val="-2"/>
          <w:szCs w:val="19"/>
          <w:lang w:eastAsia="pl-PL"/>
        </w:rPr>
        <w:t>14,9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>
        <w:rPr>
          <w:rFonts w:eastAsia="Times New Roman" w:cs="Times New Roman"/>
          <w:spacing w:val="-2"/>
          <w:szCs w:val="19"/>
          <w:lang w:eastAsia="pl-PL"/>
        </w:rPr>
        <w:t> </w:t>
      </w:r>
      <w:r w:rsidR="00E3471B">
        <w:rPr>
          <w:rFonts w:eastAsia="Times New Roman" w:cs="Times New Roman"/>
          <w:spacing w:val="-2"/>
          <w:szCs w:val="19"/>
          <w:lang w:eastAsia="pl-PL"/>
        </w:rPr>
        <w:t>7,8</w:t>
      </w:r>
      <w:r w:rsidRPr="00354E9A">
        <w:rPr>
          <w:rFonts w:eastAsia="Times New Roman" w:cs="Times New Roman"/>
          <w:spacing w:val="-2"/>
          <w:szCs w:val="19"/>
          <w:lang w:eastAsia="pl-PL"/>
        </w:rPr>
        <w:t>% więcej. W</w:t>
      </w:r>
      <w:r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>ramach tych form budownictwa wybudowano łącznie 98,</w:t>
      </w:r>
      <w:r w:rsidR="00E3471B">
        <w:rPr>
          <w:rFonts w:eastAsia="Times New Roman" w:cs="Times New Roman"/>
          <w:spacing w:val="-2"/>
          <w:szCs w:val="19"/>
          <w:lang w:eastAsia="pl-PL"/>
        </w:rPr>
        <w:t>0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E3471B">
        <w:rPr>
          <w:rFonts w:eastAsia="Times New Roman" w:cs="Times New Roman"/>
          <w:spacing w:val="-2"/>
          <w:szCs w:val="19"/>
          <w:lang w:eastAsia="pl-PL"/>
        </w:rPr>
        <w:t>677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mieszkań (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E3471B">
        <w:rPr>
          <w:rFonts w:eastAsia="Times New Roman" w:cs="Times New Roman"/>
          <w:spacing w:val="-2"/>
          <w:szCs w:val="19"/>
          <w:lang w:eastAsia="pl-PL"/>
        </w:rPr>
        <w:t>530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41681CB3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E3471B">
        <w:rPr>
          <w:rFonts w:eastAsia="Times New Roman" w:cs="Times New Roman"/>
          <w:spacing w:val="-2"/>
          <w:szCs w:val="19"/>
          <w:lang w:eastAsia="pl-PL"/>
        </w:rPr>
        <w:t>3,3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BC646E">
        <w:rPr>
          <w:rFonts w:eastAsia="Times New Roman" w:cs="Times New Roman"/>
          <w:spacing w:val="-2"/>
          <w:szCs w:val="19"/>
          <w:lang w:eastAsia="pl-PL"/>
        </w:rPr>
        <w:t> 2,1%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C646E">
        <w:rPr>
          <w:rFonts w:eastAsia="Times New Roman" w:cs="Times New Roman"/>
          <w:spacing w:val="-2"/>
          <w:szCs w:val="19"/>
          <w:lang w:eastAsia="pl-PL"/>
        </w:rPr>
        <w:t>98,0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146"/>
        <w:gridCol w:w="1144"/>
        <w:gridCol w:w="1150"/>
        <w:gridCol w:w="1146"/>
        <w:gridCol w:w="1268"/>
      </w:tblGrid>
      <w:tr w:rsidR="00364671" w:rsidRPr="00A84296" w14:paraId="6B69BA32" w14:textId="77777777" w:rsidTr="00E67D16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6C4386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bookmarkStart w:id="1" w:name="OLE_LINK2"/>
            <w:r w:rsidRPr="006C4386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3440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385381C1" w:rsidR="00364671" w:rsidRPr="00A84296" w:rsidRDefault="00364671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02</w:t>
            </w:r>
            <w:r w:rsidR="006C4386">
              <w:rPr>
                <w:color w:val="000000" w:themeColor="text1"/>
                <w:szCs w:val="19"/>
              </w:rPr>
              <w:t xml:space="preserve"> 2022</w:t>
            </w:r>
          </w:p>
        </w:tc>
        <w:tc>
          <w:tcPr>
            <w:tcW w:w="241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3473F0AE" w:rsidR="00364671" w:rsidRPr="00A84296" w:rsidRDefault="00364671" w:rsidP="00A84296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01-02</w:t>
            </w:r>
            <w:r w:rsidR="006C4386">
              <w:rPr>
                <w:color w:val="000000" w:themeColor="text1"/>
                <w:szCs w:val="19"/>
              </w:rPr>
              <w:t xml:space="preserve"> 2022</w:t>
            </w:r>
          </w:p>
        </w:tc>
      </w:tr>
      <w:tr w:rsidR="00B73C02" w:rsidRPr="00A84296" w14:paraId="43E4DA85" w14:textId="6A8BE078" w:rsidTr="006C4386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A84296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A84296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14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67C290C6" w:rsidR="00364671" w:rsidRPr="00A84296" w:rsidRDefault="00364671" w:rsidP="00EB06BF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="00EB06BF">
              <w:rPr>
                <w:color w:val="000000" w:themeColor="text1"/>
                <w:szCs w:val="19"/>
              </w:rPr>
              <w:t>2</w:t>
            </w:r>
            <w:r w:rsidRPr="00A84296">
              <w:rPr>
                <w:color w:val="000000" w:themeColor="text1"/>
                <w:szCs w:val="19"/>
              </w:rPr>
              <w:t xml:space="preserve"> 2021=100</w:t>
            </w:r>
          </w:p>
        </w:tc>
        <w:tc>
          <w:tcPr>
            <w:tcW w:w="115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31C24669" w:rsidR="00364671" w:rsidRPr="00A84296" w:rsidRDefault="00EB06BF" w:rsidP="00EB06BF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01 </w:t>
            </w:r>
            <w:r w:rsidR="00364671" w:rsidRPr="00A84296">
              <w:rPr>
                <w:color w:val="000000" w:themeColor="text1"/>
                <w:szCs w:val="19"/>
              </w:rPr>
              <w:t>202</w:t>
            </w:r>
            <w:r>
              <w:rPr>
                <w:color w:val="000000" w:themeColor="text1"/>
                <w:szCs w:val="19"/>
              </w:rPr>
              <w:t>2</w:t>
            </w:r>
            <w:r w:rsidR="00364671" w:rsidRPr="00A84296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A84296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26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2FB9B310" w:rsidR="00364671" w:rsidRPr="00A84296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01-0</w:t>
            </w:r>
            <w:r w:rsidRPr="00A84296">
              <w:rPr>
                <w:color w:val="000000" w:themeColor="text1"/>
                <w:szCs w:val="19"/>
              </w:rPr>
              <w:t xml:space="preserve">2 </w:t>
            </w:r>
            <w:r>
              <w:rPr>
                <w:color w:val="000000" w:themeColor="text1"/>
                <w:szCs w:val="19"/>
              </w:rPr>
              <w:br/>
            </w:r>
            <w:r w:rsidRPr="00A84296">
              <w:rPr>
                <w:color w:val="000000" w:themeColor="text1"/>
                <w:szCs w:val="19"/>
              </w:rPr>
              <w:t>2021=100</w:t>
            </w:r>
          </w:p>
        </w:tc>
      </w:tr>
      <w:tr w:rsidR="00B73C02" w:rsidRPr="00A84296" w14:paraId="6E88DAED" w14:textId="1B546D9C" w:rsidTr="006C4386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364671" w:rsidRPr="00A84296" w:rsidRDefault="00364671" w:rsidP="0036467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1146" w:type="dxa"/>
            <w:tcBorders>
              <w:top w:val="single" w:sz="12" w:space="0" w:color="212492"/>
            </w:tcBorders>
            <w:vAlign w:val="center"/>
          </w:tcPr>
          <w:p w14:paraId="3F43AB92" w14:textId="3825D4F3" w:rsidR="00364671" w:rsidRPr="00A84296" w:rsidRDefault="00EB06BF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18 420</w:t>
            </w:r>
          </w:p>
        </w:tc>
        <w:tc>
          <w:tcPr>
            <w:tcW w:w="1144" w:type="dxa"/>
            <w:tcBorders>
              <w:top w:val="single" w:sz="12" w:space="0" w:color="212492"/>
            </w:tcBorders>
            <w:vAlign w:val="center"/>
          </w:tcPr>
          <w:p w14:paraId="2219E126" w14:textId="16B766BC" w:rsidR="00364671" w:rsidRPr="00A84296" w:rsidRDefault="00EB06BF" w:rsidP="0036467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113,2</w:t>
            </w:r>
          </w:p>
        </w:tc>
        <w:tc>
          <w:tcPr>
            <w:tcW w:w="1150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369884DA" w:rsidR="00364671" w:rsidRPr="00A84296" w:rsidRDefault="00B73C02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120,3</w:t>
            </w:r>
          </w:p>
        </w:tc>
        <w:tc>
          <w:tcPr>
            <w:tcW w:w="1146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7CBCF82D" w:rsidR="00364671" w:rsidRPr="00A84296" w:rsidRDefault="001669EA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33 735</w:t>
            </w:r>
          </w:p>
        </w:tc>
        <w:tc>
          <w:tcPr>
            <w:tcW w:w="1268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3E0725E4" w:rsidR="00364671" w:rsidRPr="00A84296" w:rsidRDefault="00643463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99,9</w:t>
            </w:r>
          </w:p>
        </w:tc>
      </w:tr>
      <w:tr w:rsidR="00B73C02" w:rsidRPr="00A84296" w14:paraId="0E08519C" w14:textId="72E1EEB1" w:rsidTr="006C4386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364671" w:rsidRPr="00A84296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>Indywidualne</w:t>
            </w:r>
          </w:p>
        </w:tc>
        <w:tc>
          <w:tcPr>
            <w:tcW w:w="1146" w:type="dxa"/>
            <w:vAlign w:val="center"/>
          </w:tcPr>
          <w:p w14:paraId="25AA5142" w14:textId="33D0DC63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7 759</w:t>
            </w:r>
          </w:p>
        </w:tc>
        <w:tc>
          <w:tcPr>
            <w:tcW w:w="1144" w:type="dxa"/>
            <w:vAlign w:val="center"/>
          </w:tcPr>
          <w:p w14:paraId="11FC201B" w14:textId="440AA7BD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112,5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10685818" w14:textId="2ED522F8" w:rsidR="00364671" w:rsidRPr="001669EA" w:rsidRDefault="00B73C02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108,9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498EFBF9" w14:textId="26670DF2" w:rsidR="00364671" w:rsidRPr="001669EA" w:rsidRDefault="001669EA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1669EA">
              <w:rPr>
                <w:rFonts w:cs="Arial"/>
                <w:color w:val="000000" w:themeColor="text1"/>
                <w:szCs w:val="19"/>
              </w:rPr>
              <w:t>14 883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608EFB01" w14:textId="100E8FC8" w:rsidR="00364671" w:rsidRPr="001669EA" w:rsidRDefault="00643463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107,8</w:t>
            </w:r>
          </w:p>
        </w:tc>
      </w:tr>
      <w:tr w:rsidR="00B73C02" w:rsidRPr="00A84296" w14:paraId="1897777F" w14:textId="68403532" w:rsidTr="006C4386">
        <w:trPr>
          <w:trHeight w:val="62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364671" w:rsidRPr="00A84296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 xml:space="preserve">Przeznaczone na </w:t>
            </w: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br/>
              <w:t xml:space="preserve">sprzedaż lub wynajem </w:t>
            </w:r>
          </w:p>
        </w:tc>
        <w:tc>
          <w:tcPr>
            <w:tcW w:w="1146" w:type="dxa"/>
            <w:vAlign w:val="center"/>
          </w:tcPr>
          <w:p w14:paraId="6B350C8F" w14:textId="6A180DC0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10 270</w:t>
            </w:r>
          </w:p>
        </w:tc>
        <w:tc>
          <w:tcPr>
            <w:tcW w:w="1144" w:type="dxa"/>
            <w:vAlign w:val="center"/>
          </w:tcPr>
          <w:p w14:paraId="6D2FB4DF" w14:textId="7055CF61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112,7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5A3AB0A4" w14:textId="4F1AEDC0" w:rsidR="00364671" w:rsidRPr="001669EA" w:rsidRDefault="00B73C02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129,9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04B7E36E" w14:textId="175E7FC6" w:rsidR="00364671" w:rsidRPr="001669EA" w:rsidRDefault="001669EA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1669EA">
              <w:rPr>
                <w:rFonts w:cs="Arial"/>
                <w:color w:val="000000" w:themeColor="text1"/>
                <w:szCs w:val="19"/>
              </w:rPr>
              <w:t>18 175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0245A538" w14:textId="76D93D63" w:rsidR="00364671" w:rsidRPr="001669EA" w:rsidRDefault="00643463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93,5</w:t>
            </w:r>
          </w:p>
        </w:tc>
      </w:tr>
      <w:tr w:rsidR="00B73C02" w:rsidRPr="00A84296" w14:paraId="5ED4F881" w14:textId="44E017F4" w:rsidTr="006C4386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364671" w:rsidRPr="00A84296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A84296">
              <w:rPr>
                <w:rFonts w:eastAsiaTheme="majorEastAsia" w:cstheme="majorBidi"/>
                <w:szCs w:val="19"/>
              </w:rPr>
              <w:t xml:space="preserve">   w tym na wynajem</w:t>
            </w:r>
          </w:p>
        </w:tc>
        <w:tc>
          <w:tcPr>
            <w:tcW w:w="1146" w:type="dxa"/>
            <w:vAlign w:val="center"/>
          </w:tcPr>
          <w:p w14:paraId="1631D6D7" w14:textId="353D2878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85</w:t>
            </w:r>
          </w:p>
        </w:tc>
        <w:tc>
          <w:tcPr>
            <w:tcW w:w="1144" w:type="dxa"/>
            <w:vAlign w:val="center"/>
          </w:tcPr>
          <w:p w14:paraId="110BAD42" w14:textId="09C901B8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157,4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08026478" w14:textId="5A6F80EC" w:rsidR="00364671" w:rsidRPr="001669EA" w:rsidRDefault="00B73C02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173,5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1F5BF4D5" w14:textId="1E4321C9" w:rsidR="00364671" w:rsidRPr="001669EA" w:rsidRDefault="001669EA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1669EA">
              <w:rPr>
                <w:rFonts w:cs="Arial"/>
                <w:color w:val="000000" w:themeColor="text1"/>
                <w:szCs w:val="19"/>
              </w:rPr>
              <w:t>134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6403D7D6" w14:textId="0D8F343C" w:rsidR="00364671" w:rsidRPr="001669EA" w:rsidRDefault="00643463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83,8</w:t>
            </w:r>
          </w:p>
        </w:tc>
      </w:tr>
      <w:tr w:rsidR="00B73C02" w:rsidRPr="00A84296" w14:paraId="5EBD0ABB" w14:textId="027C28AD" w:rsidTr="006C4386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364671" w:rsidRPr="00A84296" w:rsidRDefault="00364671" w:rsidP="000847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A84296">
              <w:rPr>
                <w:rFonts w:cstheme="majorBidi"/>
                <w:color w:val="000000" w:themeColor="text1"/>
                <w:szCs w:val="19"/>
              </w:rPr>
              <w:t>Spółdzielcze</w:t>
            </w:r>
          </w:p>
        </w:tc>
        <w:tc>
          <w:tcPr>
            <w:tcW w:w="1146" w:type="dxa"/>
            <w:vAlign w:val="center"/>
          </w:tcPr>
          <w:p w14:paraId="75FDED6C" w14:textId="1E796E8A" w:rsidR="00364671" w:rsidRPr="001669EA" w:rsidRDefault="00EB06BF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37</w:t>
            </w:r>
          </w:p>
        </w:tc>
        <w:tc>
          <w:tcPr>
            <w:tcW w:w="1144" w:type="dxa"/>
            <w:vAlign w:val="center"/>
          </w:tcPr>
          <w:p w14:paraId="298A2E5D" w14:textId="4CD6B278" w:rsidR="00364671" w:rsidRPr="001669EA" w:rsidRDefault="00EB06BF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35216F71" w14:textId="7E94D7BA" w:rsidR="00364671" w:rsidRPr="001669EA" w:rsidRDefault="00E46466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22,8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2C974A68" w14:textId="07CE407F" w:rsidR="00364671" w:rsidRPr="001669EA" w:rsidRDefault="001669EA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199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703138F4" w14:textId="2039A325" w:rsidR="00364671" w:rsidRPr="001669EA" w:rsidRDefault="00643463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122,8</w:t>
            </w:r>
          </w:p>
        </w:tc>
      </w:tr>
      <w:tr w:rsidR="00B73C02" w:rsidRPr="00A84296" w14:paraId="086B3D62" w14:textId="2B62ED1E" w:rsidTr="006C4386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364671" w:rsidRPr="00A84296" w:rsidRDefault="00364671" w:rsidP="000847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Komunalne</w:t>
            </w:r>
          </w:p>
        </w:tc>
        <w:tc>
          <w:tcPr>
            <w:tcW w:w="1146" w:type="dxa"/>
            <w:vAlign w:val="center"/>
          </w:tcPr>
          <w:p w14:paraId="74060DED" w14:textId="571AEF0C" w:rsidR="00364671" w:rsidRPr="001669EA" w:rsidRDefault="00EB06BF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128</w:t>
            </w:r>
          </w:p>
        </w:tc>
        <w:tc>
          <w:tcPr>
            <w:tcW w:w="1144" w:type="dxa"/>
            <w:vAlign w:val="center"/>
          </w:tcPr>
          <w:p w14:paraId="2751289F" w14:textId="637D9F6F" w:rsidR="00364671" w:rsidRPr="001669EA" w:rsidRDefault="00EB06BF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56,6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6F902869" w14:textId="08FAA1DB" w:rsidR="00364671" w:rsidRPr="001669EA" w:rsidRDefault="00E46466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609,5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160DC191" w14:textId="666E39A1" w:rsidR="00364671" w:rsidRPr="001669EA" w:rsidRDefault="001669EA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149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0D2F67DA" w14:textId="52CD323C" w:rsidR="00364671" w:rsidRPr="001669EA" w:rsidRDefault="00643463" w:rsidP="0008478F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46,9</w:t>
            </w:r>
          </w:p>
        </w:tc>
      </w:tr>
      <w:tr w:rsidR="00B73C02" w:rsidRPr="00A84296" w14:paraId="3C74F7D7" w14:textId="6EAFC267" w:rsidTr="006C4386">
        <w:trPr>
          <w:trHeight w:val="49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364671" w:rsidRPr="00A84296" w:rsidRDefault="00364671" w:rsidP="00E46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Społeczne czynszowe</w:t>
            </w:r>
          </w:p>
        </w:tc>
        <w:tc>
          <w:tcPr>
            <w:tcW w:w="1146" w:type="dxa"/>
            <w:vAlign w:val="center"/>
          </w:tcPr>
          <w:p w14:paraId="4F5B33A9" w14:textId="4A43FC49" w:rsidR="00364671" w:rsidRPr="001669EA" w:rsidRDefault="00EB06BF" w:rsidP="00E4646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226</w:t>
            </w:r>
          </w:p>
        </w:tc>
        <w:tc>
          <w:tcPr>
            <w:tcW w:w="1144" w:type="dxa"/>
            <w:vAlign w:val="center"/>
          </w:tcPr>
          <w:p w14:paraId="78D9CA42" w14:textId="1050BDD4" w:rsidR="00364671" w:rsidRPr="001669EA" w:rsidRDefault="00E46466" w:rsidP="00E4646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869,2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56314D72" w14:textId="080A286A" w:rsidR="00364671" w:rsidRPr="001669EA" w:rsidRDefault="00B73C02" w:rsidP="00E4646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309,6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0D6563FC" w14:textId="66A5F896" w:rsidR="00364671" w:rsidRPr="001669EA" w:rsidRDefault="001669EA" w:rsidP="00E4646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299</w:t>
            </w:r>
          </w:p>
        </w:tc>
        <w:tc>
          <w:tcPr>
            <w:tcW w:w="1268" w:type="dxa"/>
            <w:tcBorders>
              <w:right w:val="nil"/>
            </w:tcBorders>
            <w:vAlign w:val="center"/>
          </w:tcPr>
          <w:p w14:paraId="67C1C9B3" w14:textId="11D84EF5" w:rsidR="00364671" w:rsidRPr="001669EA" w:rsidRDefault="00E46466" w:rsidP="00E46466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598,0</w:t>
            </w:r>
          </w:p>
        </w:tc>
      </w:tr>
      <w:tr w:rsidR="00B73C02" w:rsidRPr="00A84296" w14:paraId="4EB17B9D" w14:textId="1063C19B" w:rsidTr="006C4386">
        <w:trPr>
          <w:trHeight w:val="521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364671" w:rsidRPr="00A84296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Zakładowe</w:t>
            </w:r>
          </w:p>
        </w:tc>
        <w:tc>
          <w:tcPr>
            <w:tcW w:w="1146" w:type="dxa"/>
            <w:tcBorders>
              <w:bottom w:val="single" w:sz="4" w:space="0" w:color="212492"/>
            </w:tcBorders>
            <w:vAlign w:val="center"/>
          </w:tcPr>
          <w:p w14:paraId="43CBEE2B" w14:textId="2E87AE46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144" w:type="dxa"/>
            <w:tcBorders>
              <w:bottom w:val="single" w:sz="4" w:space="0" w:color="212492"/>
            </w:tcBorders>
            <w:vAlign w:val="center"/>
          </w:tcPr>
          <w:p w14:paraId="017CB720" w14:textId="4F87398B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50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3F0589B3" w:rsidR="00364671" w:rsidRPr="001669EA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46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18DF9CE1" w:rsidR="00364671" w:rsidRPr="001669EA" w:rsidRDefault="00643463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30</w:t>
            </w:r>
          </w:p>
        </w:tc>
        <w:tc>
          <w:tcPr>
            <w:tcW w:w="1268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20AB65FE" w:rsidR="00364671" w:rsidRPr="001669EA" w:rsidRDefault="00643463" w:rsidP="001669EA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</w:tr>
    </w:tbl>
    <w:bookmarkEnd w:id="1"/>
    <w:p w14:paraId="31EB7324" w14:textId="7C80BE90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7524B15D">
                <wp:simplePos x="0" y="0"/>
                <wp:positionH relativeFrom="column">
                  <wp:posOffset>5253990</wp:posOffset>
                </wp:positionH>
                <wp:positionV relativeFrom="page">
                  <wp:posOffset>845820</wp:posOffset>
                </wp:positionV>
                <wp:extent cx="1725295" cy="1132205"/>
                <wp:effectExtent l="0" t="0" r="0" b="0"/>
                <wp:wrapTight wrapText="bothSides">
                  <wp:wrapPolygon edited="0">
                    <wp:start x="715" y="0"/>
                    <wp:lineTo x="715" y="21079"/>
                    <wp:lineTo x="20749" y="21079"/>
                    <wp:lineTo x="20749" y="0"/>
                    <wp:lineTo x="715" y="0"/>
                  </wp:wrapPolygon>
                </wp:wrapTight>
                <wp:docPr id="13" name="Pole tekstowe 13" descr="Liczba mieszkań, na których budowę wydano pozwolenia lub dokonano zgłoszenia z projektem budowlanym spadła w okresie styczeń - luty 2022 r. o 5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12698EA1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</w:t>
                            </w:r>
                            <w:r w:rsidR="00A84296" w:rsidRPr="00A84296">
                              <w:t xml:space="preserve">spadła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5A4A15">
                              <w:t>okresie styczeń - luty</w:t>
                            </w:r>
                            <w:r>
                              <w:t xml:space="preserve"> 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o</w:t>
                            </w:r>
                            <w:r w:rsidR="00CE2AFA">
                              <w:t> </w:t>
                            </w:r>
                            <w:r w:rsidR="005A4A15">
                              <w:t>5,8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spadła w okresie styczeń - luty 2022 r. o 5,8% r/r" style="position:absolute;margin-left:413.7pt;margin-top:66.6pt;width:135.8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" filled="f" stroked="f">
                <v:textbox>
                  <w:txbxContent>
                    <w:p w14:paraId="6F82A774" w14:textId="12698EA1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</w:t>
                      </w:r>
                      <w:r w:rsidR="00A84296" w:rsidRPr="00A84296">
                        <w:t xml:space="preserve">spadła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5A4A15">
                        <w:t>okresie styczeń - luty</w:t>
                      </w:r>
                      <w:r>
                        <w:t xml:space="preserve"> 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o</w:t>
                      </w:r>
                      <w:r w:rsidR="00CE2AFA">
                        <w:t> </w:t>
                      </w:r>
                      <w:r w:rsidR="005A4A15">
                        <w:t>5,8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14:paraId="512A5A5F" w14:textId="39922F47" w:rsidR="00D972F6" w:rsidRDefault="00354E9A" w:rsidP="00AC280D">
      <w:pPr>
        <w:spacing w:after="0" w:line="288" w:lineRule="auto"/>
        <w:rPr>
          <w:shd w:val="clear" w:color="auto" w:fill="FFFFFF"/>
        </w:rPr>
      </w:pPr>
      <w:r w:rsidRPr="00354E9A">
        <w:rPr>
          <w:shd w:val="clear" w:color="auto" w:fill="FFFFFF"/>
        </w:rPr>
        <w:t>W</w:t>
      </w:r>
      <w:r w:rsidR="007110ED">
        <w:rPr>
          <w:shd w:val="clear" w:color="auto" w:fill="FFFFFF"/>
        </w:rPr>
        <w:t xml:space="preserve"> </w:t>
      </w:r>
      <w:r w:rsidR="00E34D1F" w:rsidRPr="00A31734">
        <w:rPr>
          <w:shd w:val="clear" w:color="auto" w:fill="FFFFFF"/>
        </w:rPr>
        <w:t xml:space="preserve">okresie styczeń-luty 2022 r. </w:t>
      </w:r>
      <w:r w:rsidRPr="00A31734">
        <w:rPr>
          <w:shd w:val="clear" w:color="auto" w:fill="FFFFFF"/>
        </w:rPr>
        <w:t xml:space="preserve">wydano pozwolenia lub dokonano zgłoszenia budowy </w:t>
      </w:r>
      <w:r w:rsidR="001D1C75" w:rsidRPr="00A31734">
        <w:rPr>
          <w:shd w:val="clear" w:color="auto" w:fill="FFFFFF"/>
        </w:rPr>
        <w:t>47,7 </w:t>
      </w:r>
      <w:r w:rsidRPr="00A31734">
        <w:rPr>
          <w:shd w:val="clear" w:color="auto" w:fill="FFFFFF"/>
        </w:rPr>
        <w:t>tys. mieszkań, tj. o </w:t>
      </w:r>
      <w:r w:rsidR="007110ED" w:rsidRPr="00A31734">
        <w:rPr>
          <w:shd w:val="clear" w:color="auto" w:fill="FFFFFF"/>
        </w:rPr>
        <w:t>5,</w:t>
      </w:r>
      <w:r w:rsidR="001D1C75" w:rsidRPr="00A31734">
        <w:rPr>
          <w:shd w:val="clear" w:color="auto" w:fill="FFFFFF"/>
        </w:rPr>
        <w:t>8</w:t>
      </w:r>
      <w:r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Pr="00A31734">
        <w:rPr>
          <w:shd w:val="clear" w:color="auto" w:fill="FFFFFF"/>
        </w:rPr>
        <w:t>. Pozwolenia na budowę największej liczby mieszkań otrzymali deweloperzy (</w:t>
      </w:r>
      <w:r w:rsidR="001D1C75" w:rsidRPr="00A31734">
        <w:rPr>
          <w:shd w:val="clear" w:color="auto" w:fill="FFFFFF"/>
        </w:rPr>
        <w:t>33,1 tys., spadek</w:t>
      </w:r>
      <w:r w:rsidRPr="00A31734">
        <w:rPr>
          <w:shd w:val="clear" w:color="auto" w:fill="FFFFFF"/>
        </w:rPr>
        <w:t xml:space="preserve"> o </w:t>
      </w:r>
      <w:r w:rsidR="001D1C75" w:rsidRPr="00A31734">
        <w:rPr>
          <w:shd w:val="clear" w:color="auto" w:fill="FFFFFF"/>
        </w:rPr>
        <w:t>0,7</w:t>
      </w:r>
      <w:r w:rsidRPr="00A31734">
        <w:rPr>
          <w:shd w:val="clear" w:color="auto" w:fill="FFFFFF"/>
        </w:rPr>
        <w:t>% r/r) oraz inwestorzy indywidualni (</w:t>
      </w:r>
      <w:r w:rsidR="001D1C75" w:rsidRPr="00A31734">
        <w:rPr>
          <w:shd w:val="clear" w:color="auto" w:fill="FFFFFF"/>
        </w:rPr>
        <w:t>14,2 </w:t>
      </w:r>
      <w:r w:rsidRPr="00A31734">
        <w:rPr>
          <w:shd w:val="clear" w:color="auto" w:fill="FFFFFF"/>
        </w:rPr>
        <w:t xml:space="preserve">tys., </w:t>
      </w:r>
      <w:r w:rsidR="007110ED" w:rsidRPr="00A31734">
        <w:rPr>
          <w:shd w:val="clear" w:color="auto" w:fill="FFFFFF"/>
        </w:rPr>
        <w:t>spadek</w:t>
      </w:r>
      <w:r w:rsidRPr="00A31734">
        <w:rPr>
          <w:shd w:val="clear" w:color="auto" w:fill="FFFFFF"/>
        </w:rPr>
        <w:t xml:space="preserve"> o </w:t>
      </w:r>
      <w:r w:rsidR="001D1C75" w:rsidRPr="00A31734">
        <w:rPr>
          <w:shd w:val="clear" w:color="auto" w:fill="FFFFFF"/>
        </w:rPr>
        <w:t>16,2</w:t>
      </w:r>
      <w:r w:rsidRPr="00A3173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7110ED" w:rsidRPr="00A31734">
        <w:rPr>
          <w:shd w:val="clear" w:color="auto" w:fill="FFFFFF"/>
        </w:rPr>
        <w:t>99,</w:t>
      </w:r>
      <w:r w:rsidR="00B30026" w:rsidRPr="00A31734">
        <w:rPr>
          <w:shd w:val="clear" w:color="auto" w:fill="FFFFFF"/>
        </w:rPr>
        <w:t>1</w:t>
      </w:r>
      <w:r w:rsidRPr="00A31734">
        <w:rPr>
          <w:shd w:val="clear" w:color="auto" w:fill="FFFFFF"/>
        </w:rPr>
        <w:t>% ogółu mieszkań. W</w:t>
      </w:r>
      <w:r w:rsidR="002C4B21" w:rsidRPr="00A31734">
        <w:rPr>
          <w:shd w:val="clear" w:color="auto" w:fill="FFFFFF"/>
        </w:rPr>
        <w:t> </w:t>
      </w:r>
      <w:r w:rsidRPr="00A31734">
        <w:rPr>
          <w:shd w:val="clear" w:color="auto" w:fill="FFFFFF"/>
        </w:rPr>
        <w:t xml:space="preserve">pozostałych formach budownictwa odnotowano </w:t>
      </w:r>
      <w:r w:rsidR="005A4A15" w:rsidRPr="00A31734">
        <w:rPr>
          <w:shd w:val="clear" w:color="auto" w:fill="FFFFFF"/>
        </w:rPr>
        <w:t>427</w:t>
      </w:r>
      <w:r w:rsidRPr="00A31734">
        <w:rPr>
          <w:shd w:val="clear" w:color="auto" w:fill="FFFFFF"/>
        </w:rPr>
        <w:t xml:space="preserve"> mie</w:t>
      </w:r>
      <w:r w:rsidR="007110ED" w:rsidRPr="00A31734">
        <w:rPr>
          <w:shd w:val="clear" w:color="auto" w:fill="FFFFFF"/>
        </w:rPr>
        <w:t xml:space="preserve">szkań, na których </w:t>
      </w:r>
      <w:r w:rsidR="007110ED">
        <w:rPr>
          <w:shd w:val="clear" w:color="auto" w:fill="FFFFFF"/>
        </w:rPr>
        <w:t>budowę wyda</w:t>
      </w:r>
      <w:r w:rsidRPr="00354E9A">
        <w:rPr>
          <w:shd w:val="clear" w:color="auto" w:fill="FFFFFF"/>
        </w:rPr>
        <w:t>no pozwolenia lub dokonano zgłoszenia z projektem budowlanym (</w:t>
      </w:r>
      <w:r w:rsidR="00E46466">
        <w:rPr>
          <w:shd w:val="clear" w:color="auto" w:fill="FFFFFF"/>
        </w:rPr>
        <w:t>403</w:t>
      </w:r>
      <w:r w:rsidRPr="00354E9A">
        <w:rPr>
          <w:shd w:val="clear" w:color="auto" w:fill="FFFFFF"/>
        </w:rPr>
        <w:t xml:space="preserve"> w 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154"/>
        <w:gridCol w:w="1149"/>
        <w:gridCol w:w="1149"/>
        <w:gridCol w:w="1150"/>
        <w:gridCol w:w="1292"/>
        <w:gridCol w:w="1127"/>
      </w:tblGrid>
      <w:tr w:rsidR="00643463" w:rsidRPr="00A84296" w14:paraId="2D1D1017" w14:textId="77777777" w:rsidTr="00E67D16">
        <w:trPr>
          <w:trHeight w:val="18"/>
        </w:trPr>
        <w:tc>
          <w:tcPr>
            <w:tcW w:w="2154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43463" w:rsidRPr="006C4386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r w:rsidRPr="006C4386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344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34990761" w:rsidR="00643463" w:rsidRPr="00A84296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02</w:t>
            </w:r>
            <w:r w:rsidR="006C4386">
              <w:rPr>
                <w:color w:val="000000" w:themeColor="text1"/>
                <w:szCs w:val="19"/>
              </w:rPr>
              <w:t xml:space="preserve"> 2022</w:t>
            </w:r>
          </w:p>
        </w:tc>
        <w:tc>
          <w:tcPr>
            <w:tcW w:w="24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3AC70FC2" w:rsidR="00643463" w:rsidRPr="00A84296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01-02</w:t>
            </w:r>
            <w:r w:rsidR="006C4386">
              <w:rPr>
                <w:color w:val="000000" w:themeColor="text1"/>
                <w:szCs w:val="19"/>
              </w:rPr>
              <w:t xml:space="preserve"> 2022</w:t>
            </w:r>
          </w:p>
        </w:tc>
      </w:tr>
      <w:tr w:rsidR="00643463" w:rsidRPr="00A84296" w14:paraId="533F8FA4" w14:textId="77777777" w:rsidTr="006C4386">
        <w:trPr>
          <w:trHeight w:val="18"/>
        </w:trPr>
        <w:tc>
          <w:tcPr>
            <w:tcW w:w="2154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43463" w:rsidRPr="00A84296" w:rsidRDefault="00643463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14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77777777" w:rsidR="00643463" w:rsidRPr="00A84296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14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0AD7C1AE" w:rsidR="00643463" w:rsidRPr="00A84296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="00BA682B">
              <w:rPr>
                <w:color w:val="000000" w:themeColor="text1"/>
                <w:szCs w:val="19"/>
              </w:rPr>
              <w:t>2</w:t>
            </w:r>
            <w:r w:rsidRPr="00A84296">
              <w:rPr>
                <w:color w:val="000000" w:themeColor="text1"/>
                <w:szCs w:val="19"/>
              </w:rPr>
              <w:t xml:space="preserve"> 2021=100</w:t>
            </w:r>
          </w:p>
        </w:tc>
        <w:tc>
          <w:tcPr>
            <w:tcW w:w="115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36271F" w14:textId="363B65AD" w:rsidR="00643463" w:rsidRPr="00A84296" w:rsidRDefault="00BA682B" w:rsidP="00BA682B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</w:t>
            </w:r>
            <w:r w:rsidR="00643463" w:rsidRPr="00A84296">
              <w:rPr>
                <w:color w:val="000000" w:themeColor="text1"/>
                <w:szCs w:val="19"/>
              </w:rPr>
              <w:t xml:space="preserve"> 202</w:t>
            </w:r>
            <w:r>
              <w:rPr>
                <w:color w:val="000000" w:themeColor="text1"/>
                <w:szCs w:val="19"/>
              </w:rPr>
              <w:t>2</w:t>
            </w:r>
            <w:r w:rsidR="00643463" w:rsidRPr="00A84296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2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77777777" w:rsidR="00643463" w:rsidRPr="00A84296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12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77777777" w:rsidR="00643463" w:rsidRPr="00A84296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01-0</w:t>
            </w:r>
            <w:r w:rsidRPr="00A84296">
              <w:rPr>
                <w:color w:val="000000" w:themeColor="text1"/>
                <w:szCs w:val="19"/>
              </w:rPr>
              <w:t xml:space="preserve">2 </w:t>
            </w:r>
            <w:r>
              <w:rPr>
                <w:color w:val="000000" w:themeColor="text1"/>
                <w:szCs w:val="19"/>
              </w:rPr>
              <w:br/>
            </w:r>
            <w:r w:rsidRPr="00A84296">
              <w:rPr>
                <w:color w:val="000000" w:themeColor="text1"/>
                <w:szCs w:val="19"/>
              </w:rPr>
              <w:t>2021=100</w:t>
            </w:r>
          </w:p>
        </w:tc>
      </w:tr>
      <w:tr w:rsidR="00643463" w:rsidRPr="00A84296" w14:paraId="71F491A6" w14:textId="77777777" w:rsidTr="006C4386">
        <w:trPr>
          <w:trHeight w:val="53"/>
        </w:trPr>
        <w:tc>
          <w:tcPr>
            <w:tcW w:w="2154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643463" w:rsidRPr="00A84296" w:rsidRDefault="00643463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1149" w:type="dxa"/>
            <w:tcBorders>
              <w:top w:val="single" w:sz="12" w:space="0" w:color="212492"/>
            </w:tcBorders>
            <w:vAlign w:val="center"/>
          </w:tcPr>
          <w:p w14:paraId="03C7933B" w14:textId="1CF27EEE" w:rsidR="00643463" w:rsidRPr="00A84296" w:rsidRDefault="00BA682B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25 522</w:t>
            </w:r>
          </w:p>
        </w:tc>
        <w:tc>
          <w:tcPr>
            <w:tcW w:w="1149" w:type="dxa"/>
            <w:tcBorders>
              <w:top w:val="single" w:sz="12" w:space="0" w:color="212492"/>
            </w:tcBorders>
            <w:vAlign w:val="center"/>
          </w:tcPr>
          <w:p w14:paraId="1A67FEA6" w14:textId="0A769BC1" w:rsidR="00643463" w:rsidRPr="00A84296" w:rsidRDefault="00BA682B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93,8</w:t>
            </w:r>
          </w:p>
        </w:tc>
        <w:tc>
          <w:tcPr>
            <w:tcW w:w="1150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0BF3BAD7" w:rsidR="00643463" w:rsidRPr="00A84296" w:rsidRDefault="00BA682B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114,9</w:t>
            </w:r>
          </w:p>
        </w:tc>
        <w:tc>
          <w:tcPr>
            <w:tcW w:w="1292" w:type="dxa"/>
            <w:tcBorders>
              <w:top w:val="single" w:sz="12" w:space="0" w:color="212492"/>
              <w:right w:val="nil"/>
            </w:tcBorders>
          </w:tcPr>
          <w:p w14:paraId="13A3D33B" w14:textId="3B1CF60F" w:rsidR="00643463" w:rsidRPr="00A84296" w:rsidRDefault="00643463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47 743</w:t>
            </w:r>
          </w:p>
        </w:tc>
        <w:tc>
          <w:tcPr>
            <w:tcW w:w="1127" w:type="dxa"/>
            <w:tcBorders>
              <w:top w:val="single" w:sz="12" w:space="0" w:color="212492"/>
              <w:right w:val="nil"/>
            </w:tcBorders>
          </w:tcPr>
          <w:p w14:paraId="0EEB3FA0" w14:textId="06657254" w:rsidR="00643463" w:rsidRPr="00A84296" w:rsidRDefault="00643463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94,2</w:t>
            </w:r>
          </w:p>
        </w:tc>
      </w:tr>
      <w:tr w:rsidR="00643463" w:rsidRPr="00A84296" w14:paraId="3D7B04F6" w14:textId="77777777" w:rsidTr="006C4386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643463" w:rsidRPr="00A84296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>Indywidualne</w:t>
            </w:r>
          </w:p>
        </w:tc>
        <w:tc>
          <w:tcPr>
            <w:tcW w:w="1149" w:type="dxa"/>
            <w:vAlign w:val="center"/>
          </w:tcPr>
          <w:p w14:paraId="4A5B9242" w14:textId="61D34C88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7 699</w:t>
            </w:r>
          </w:p>
        </w:tc>
        <w:tc>
          <w:tcPr>
            <w:tcW w:w="1149" w:type="dxa"/>
            <w:vAlign w:val="center"/>
          </w:tcPr>
          <w:p w14:paraId="3606C173" w14:textId="0AAA7BEF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88,3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3C381997" w14:textId="72282AF7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118,4</w:t>
            </w:r>
          </w:p>
        </w:tc>
        <w:tc>
          <w:tcPr>
            <w:tcW w:w="1292" w:type="dxa"/>
            <w:tcBorders>
              <w:right w:val="nil"/>
            </w:tcBorders>
          </w:tcPr>
          <w:p w14:paraId="4F3A9444" w14:textId="47043893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14 204</w:t>
            </w:r>
          </w:p>
        </w:tc>
        <w:tc>
          <w:tcPr>
            <w:tcW w:w="1127" w:type="dxa"/>
            <w:tcBorders>
              <w:right w:val="nil"/>
            </w:tcBorders>
          </w:tcPr>
          <w:p w14:paraId="1556C973" w14:textId="44F948E2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83,8</w:t>
            </w:r>
          </w:p>
        </w:tc>
      </w:tr>
      <w:tr w:rsidR="00643463" w:rsidRPr="00A84296" w14:paraId="45DA37CB" w14:textId="77777777" w:rsidTr="006C4386">
        <w:trPr>
          <w:trHeight w:val="359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643463" w:rsidRPr="00A84296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 xml:space="preserve">Przeznaczone na </w:t>
            </w: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br/>
              <w:t xml:space="preserve">sprzedaż lub wynajem </w:t>
            </w:r>
          </w:p>
        </w:tc>
        <w:tc>
          <w:tcPr>
            <w:tcW w:w="1149" w:type="dxa"/>
            <w:vAlign w:val="center"/>
          </w:tcPr>
          <w:p w14:paraId="72878E86" w14:textId="48026408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17 512</w:t>
            </w:r>
          </w:p>
        </w:tc>
        <w:tc>
          <w:tcPr>
            <w:tcW w:w="1149" w:type="dxa"/>
            <w:vAlign w:val="center"/>
          </w:tcPr>
          <w:p w14:paraId="5573A616" w14:textId="09B1EE7F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96,1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50B77A20" w14:textId="22256C2B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112,3</w:t>
            </w:r>
          </w:p>
        </w:tc>
        <w:tc>
          <w:tcPr>
            <w:tcW w:w="1292" w:type="dxa"/>
            <w:tcBorders>
              <w:right w:val="nil"/>
            </w:tcBorders>
          </w:tcPr>
          <w:p w14:paraId="29D4F930" w14:textId="42EA52A1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33 112</w:t>
            </w:r>
          </w:p>
        </w:tc>
        <w:tc>
          <w:tcPr>
            <w:tcW w:w="1127" w:type="dxa"/>
            <w:tcBorders>
              <w:right w:val="nil"/>
            </w:tcBorders>
          </w:tcPr>
          <w:p w14:paraId="6A687EED" w14:textId="6081BF32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99,3</w:t>
            </w:r>
          </w:p>
        </w:tc>
      </w:tr>
      <w:tr w:rsidR="00643463" w:rsidRPr="00A84296" w14:paraId="596442E5" w14:textId="77777777" w:rsidTr="006C4386">
        <w:trPr>
          <w:trHeight w:val="376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643463" w:rsidRPr="00A84296" w:rsidRDefault="00643463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A84296">
              <w:rPr>
                <w:rFonts w:cstheme="majorBidi"/>
                <w:color w:val="000000" w:themeColor="text1"/>
                <w:szCs w:val="19"/>
              </w:rPr>
              <w:t>Spółdzielcze</w:t>
            </w:r>
          </w:p>
        </w:tc>
        <w:tc>
          <w:tcPr>
            <w:tcW w:w="1149" w:type="dxa"/>
            <w:vAlign w:val="center"/>
          </w:tcPr>
          <w:p w14:paraId="5CCF0AD9" w14:textId="07891082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</w:t>
            </w:r>
          </w:p>
        </w:tc>
        <w:tc>
          <w:tcPr>
            <w:tcW w:w="1149" w:type="dxa"/>
            <w:vAlign w:val="center"/>
          </w:tcPr>
          <w:p w14:paraId="0DE00668" w14:textId="2CD19635" w:rsidR="00643463" w:rsidRPr="001669EA" w:rsidRDefault="00E46466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12,3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66627E39" w14:textId="1D472F20" w:rsidR="00643463" w:rsidRPr="001669EA" w:rsidRDefault="00E46466" w:rsidP="00BA682B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30,0</w:t>
            </w:r>
          </w:p>
        </w:tc>
        <w:tc>
          <w:tcPr>
            <w:tcW w:w="1292" w:type="dxa"/>
            <w:tcBorders>
              <w:right w:val="nil"/>
            </w:tcBorders>
          </w:tcPr>
          <w:p w14:paraId="6B91449E" w14:textId="31B97020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65</w:t>
            </w:r>
          </w:p>
        </w:tc>
        <w:tc>
          <w:tcPr>
            <w:tcW w:w="1127" w:type="dxa"/>
            <w:tcBorders>
              <w:right w:val="nil"/>
            </w:tcBorders>
          </w:tcPr>
          <w:p w14:paraId="3F026187" w14:textId="46C1DE83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33,0</w:t>
            </w:r>
          </w:p>
        </w:tc>
      </w:tr>
      <w:tr w:rsidR="00643463" w:rsidRPr="00A84296" w14:paraId="1B641BCA" w14:textId="77777777" w:rsidTr="006C4386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643463" w:rsidRPr="00A84296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Komunalne</w:t>
            </w:r>
          </w:p>
        </w:tc>
        <w:tc>
          <w:tcPr>
            <w:tcW w:w="1149" w:type="dxa"/>
            <w:vAlign w:val="center"/>
          </w:tcPr>
          <w:p w14:paraId="70A7F72F" w14:textId="0C843EF6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182</w:t>
            </w:r>
          </w:p>
        </w:tc>
        <w:tc>
          <w:tcPr>
            <w:tcW w:w="1149" w:type="dxa"/>
            <w:vAlign w:val="center"/>
          </w:tcPr>
          <w:p w14:paraId="76C2BC88" w14:textId="7ADEC30D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171,7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27C7B45B" w14:textId="37219F26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280,0</w:t>
            </w:r>
          </w:p>
        </w:tc>
        <w:tc>
          <w:tcPr>
            <w:tcW w:w="1292" w:type="dxa"/>
            <w:tcBorders>
              <w:right w:val="nil"/>
            </w:tcBorders>
          </w:tcPr>
          <w:p w14:paraId="335EBFC8" w14:textId="6E404A9B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247</w:t>
            </w:r>
          </w:p>
        </w:tc>
        <w:tc>
          <w:tcPr>
            <w:tcW w:w="1127" w:type="dxa"/>
            <w:tcBorders>
              <w:right w:val="nil"/>
            </w:tcBorders>
          </w:tcPr>
          <w:p w14:paraId="54F02263" w14:textId="68FFCF49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184,3</w:t>
            </w:r>
          </w:p>
        </w:tc>
      </w:tr>
      <w:tr w:rsidR="00643463" w:rsidRPr="00A84296" w14:paraId="3BDDAADA" w14:textId="77777777" w:rsidTr="006C4386">
        <w:trPr>
          <w:trHeight w:val="328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643463" w:rsidRPr="00A84296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Społeczne czynszowe</w:t>
            </w:r>
          </w:p>
        </w:tc>
        <w:tc>
          <w:tcPr>
            <w:tcW w:w="1149" w:type="dxa"/>
            <w:vAlign w:val="center"/>
          </w:tcPr>
          <w:p w14:paraId="6B529B5F" w14:textId="29ABEB1A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</w:t>
            </w:r>
          </w:p>
        </w:tc>
        <w:tc>
          <w:tcPr>
            <w:tcW w:w="1149" w:type="dxa"/>
            <w:vAlign w:val="center"/>
          </w:tcPr>
          <w:p w14:paraId="5B1F8D49" w14:textId="1E149ACA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203,6</w:t>
            </w:r>
          </w:p>
        </w:tc>
        <w:tc>
          <w:tcPr>
            <w:tcW w:w="1150" w:type="dxa"/>
            <w:tcBorders>
              <w:right w:val="nil"/>
            </w:tcBorders>
            <w:vAlign w:val="center"/>
          </w:tcPr>
          <w:p w14:paraId="647C1A6F" w14:textId="5533054E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292" w:type="dxa"/>
            <w:tcBorders>
              <w:right w:val="nil"/>
            </w:tcBorders>
          </w:tcPr>
          <w:p w14:paraId="080F0A44" w14:textId="61147D57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</w:t>
            </w:r>
          </w:p>
        </w:tc>
        <w:tc>
          <w:tcPr>
            <w:tcW w:w="1127" w:type="dxa"/>
            <w:tcBorders>
              <w:right w:val="nil"/>
            </w:tcBorders>
          </w:tcPr>
          <w:p w14:paraId="4409826F" w14:textId="6D8FCFE3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160,0</w:t>
            </w:r>
          </w:p>
        </w:tc>
      </w:tr>
      <w:tr w:rsidR="00643463" w:rsidRPr="00A84296" w14:paraId="37181577" w14:textId="77777777" w:rsidTr="006C4386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1F02E75" w14:textId="77777777" w:rsidR="00643463" w:rsidRPr="00A84296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Zakładowe</w:t>
            </w:r>
          </w:p>
        </w:tc>
        <w:tc>
          <w:tcPr>
            <w:tcW w:w="1149" w:type="dxa"/>
            <w:tcBorders>
              <w:bottom w:val="single" w:sz="4" w:space="0" w:color="212492"/>
            </w:tcBorders>
            <w:vAlign w:val="center"/>
          </w:tcPr>
          <w:p w14:paraId="3633205C" w14:textId="43671CDC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</w:t>
            </w:r>
          </w:p>
        </w:tc>
        <w:tc>
          <w:tcPr>
            <w:tcW w:w="1149" w:type="dxa"/>
            <w:tcBorders>
              <w:bottom w:val="single" w:sz="4" w:space="0" w:color="212492"/>
            </w:tcBorders>
            <w:vAlign w:val="center"/>
          </w:tcPr>
          <w:p w14:paraId="626D4BCD" w14:textId="1782E791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50" w:type="dxa"/>
            <w:tcBorders>
              <w:bottom w:val="single" w:sz="4" w:space="0" w:color="212492"/>
              <w:right w:val="nil"/>
            </w:tcBorders>
            <w:vAlign w:val="center"/>
          </w:tcPr>
          <w:p w14:paraId="1601E445" w14:textId="1FE3576A" w:rsidR="00643463" w:rsidRPr="001669EA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200,0</w:t>
            </w:r>
          </w:p>
        </w:tc>
        <w:tc>
          <w:tcPr>
            <w:tcW w:w="1292" w:type="dxa"/>
            <w:tcBorders>
              <w:bottom w:val="single" w:sz="4" w:space="0" w:color="212492"/>
              <w:right w:val="nil"/>
            </w:tcBorders>
          </w:tcPr>
          <w:p w14:paraId="619EFB03" w14:textId="6A1961DF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</w:t>
            </w:r>
          </w:p>
        </w:tc>
        <w:tc>
          <w:tcPr>
            <w:tcW w:w="1127" w:type="dxa"/>
            <w:tcBorders>
              <w:bottom w:val="single" w:sz="4" w:space="0" w:color="212492"/>
              <w:right w:val="nil"/>
            </w:tcBorders>
          </w:tcPr>
          <w:p w14:paraId="2B109B07" w14:textId="412737D1" w:rsidR="00643463" w:rsidRPr="001669EA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150,0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1E873113" w:rsidR="00DA331D" w:rsidRDefault="00E34D1F" w:rsidP="00AC280D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lutego 2022 r. </w:t>
      </w:r>
      <w:r w:rsidR="00AC280D" w:rsidRPr="00A31734">
        <w:rPr>
          <w:noProof/>
          <w:lang w:eastAsia="pl-PL"/>
        </w:rPr>
        <w:t xml:space="preserve">rozpoczęto budowę </w:t>
      </w:r>
      <w:r w:rsidR="005A4A15" w:rsidRPr="00A31734">
        <w:rPr>
          <w:noProof/>
          <w:lang w:eastAsia="pl-PL"/>
        </w:rPr>
        <w:t>29,7</w:t>
      </w:r>
      <w:r w:rsidR="00AC280D" w:rsidRPr="00A31734">
        <w:rPr>
          <w:noProof/>
          <w:lang w:eastAsia="pl-PL"/>
        </w:rPr>
        <w:t xml:space="preserve"> </w:t>
      </w:r>
      <w:r w:rsidR="00AC280D" w:rsidRPr="00A31734">
        <w:rPr>
          <w:shd w:val="clear" w:color="auto" w:fill="FFFFFF"/>
        </w:rPr>
        <w:t xml:space="preserve">tys. mieszkań, tj. o </w:t>
      </w:r>
      <w:r w:rsidR="005A4A15" w:rsidRPr="00A31734">
        <w:rPr>
          <w:shd w:val="clear" w:color="auto" w:fill="FFFFFF"/>
        </w:rPr>
        <w:t>1</w:t>
      </w:r>
      <w:r w:rsidRPr="00A31734">
        <w:rPr>
          <w:shd w:val="clear" w:color="auto" w:fill="FFFFFF"/>
        </w:rPr>
        <w:t>1</w:t>
      </w:r>
      <w:r w:rsidR="005A4A15" w:rsidRPr="00A31734">
        <w:rPr>
          <w:shd w:val="clear" w:color="auto" w:fill="FFFFFF"/>
        </w:rPr>
        <w:t>,6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08478F" w:rsidRPr="00A31734">
        <w:rPr>
          <w:shd w:val="clear" w:color="auto" w:fill="FFFFFF"/>
        </w:rPr>
        <w:t>18</w:t>
      </w:r>
      <w:r w:rsidR="005A4A15" w:rsidRPr="00A31734">
        <w:rPr>
          <w:shd w:val="clear" w:color="auto" w:fill="FFFFFF"/>
        </w:rPr>
        <w:t>,7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 xml:space="preserve">o </w:t>
      </w:r>
      <w:r w:rsidR="005A4A15" w:rsidRPr="00A31734">
        <w:t>16,4</w:t>
      </w:r>
      <w:r w:rsidR="00AC280D" w:rsidRPr="00A31734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5A4A15" w:rsidRPr="00A31734">
        <w:rPr>
          <w:shd w:val="clear" w:color="auto" w:fill="FFFFFF"/>
        </w:rPr>
        <w:t>10,6</w:t>
      </w:r>
      <w:r w:rsidR="00AC280D" w:rsidRPr="00A31734">
        <w:rPr>
          <w:shd w:val="clear" w:color="auto" w:fill="FFFFFF"/>
        </w:rPr>
        <w:t xml:space="preserve"> tys. (o </w:t>
      </w:r>
      <w:r w:rsidR="005A4A15" w:rsidRPr="00A31734">
        <w:rPr>
          <w:shd w:val="clear" w:color="auto" w:fill="FFFFFF"/>
        </w:rPr>
        <w:t>3,7</w:t>
      </w:r>
      <w:r w:rsidR="005566DA" w:rsidRPr="00A31734">
        <w:rPr>
          <w:shd w:val="clear" w:color="auto" w:fill="FFFFFF"/>
        </w:rPr>
        <w:t xml:space="preserve">% </w:t>
      </w:r>
      <w:r w:rsidR="005A4A15" w:rsidRPr="00A31734">
        <w:rPr>
          <w:shd w:val="clear" w:color="auto" w:fill="FFFFFF"/>
        </w:rPr>
        <w:t>więcej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5A4A15">
        <w:rPr>
          <w:shd w:val="clear" w:color="auto" w:fill="FFFFFF"/>
        </w:rPr>
        <w:t>98,5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5A4A15">
        <w:rPr>
          <w:shd w:val="clear" w:color="auto" w:fill="FFFFFF"/>
        </w:rPr>
        <w:t>444</w:t>
      </w:r>
      <w:r w:rsidR="00AC280D" w:rsidRPr="00FF30DF">
        <w:rPr>
          <w:shd w:val="clear" w:color="auto" w:fill="FFFFFF"/>
        </w:rPr>
        <w:t> </w:t>
      </w:r>
      <w:r w:rsidR="00AC280D" w:rsidRPr="00F60AAF">
        <w:rPr>
          <w:shd w:val="clear" w:color="auto" w:fill="FFFFFF"/>
        </w:rPr>
        <w:t>mieszkań</w:t>
      </w:r>
      <w:r w:rsidR="00AC280D" w:rsidRPr="00FF30D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5A4A15" w:rsidRPr="00E34D1F">
        <w:rPr>
          <w:shd w:val="clear" w:color="auto" w:fill="FFFFFF"/>
        </w:rPr>
        <w:t>1 053</w:t>
      </w:r>
      <w:r w:rsidR="00022429" w:rsidRPr="00E34D1F">
        <w:rPr>
          <w:shd w:val="clear" w:color="auto" w:fill="FFFFFF"/>
        </w:rPr>
        <w:t xml:space="preserve"> </w:t>
      </w:r>
      <w:r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68"/>
        <w:gridCol w:w="1127"/>
        <w:gridCol w:w="994"/>
        <w:gridCol w:w="1140"/>
        <w:gridCol w:w="1275"/>
        <w:gridCol w:w="1362"/>
      </w:tblGrid>
      <w:tr w:rsidR="00D01FA2" w:rsidRPr="00A84296" w14:paraId="67AE7F1D" w14:textId="77777777" w:rsidTr="00E67D16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6C4386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r w:rsidRPr="006C4386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3261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17791688" w:rsidR="00D01FA2" w:rsidRPr="00A84296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02</w:t>
            </w:r>
            <w:r w:rsidR="00401013">
              <w:rPr>
                <w:color w:val="000000" w:themeColor="text1"/>
                <w:szCs w:val="19"/>
              </w:rPr>
              <w:t xml:space="preserve"> 2022</w:t>
            </w:r>
          </w:p>
        </w:tc>
        <w:tc>
          <w:tcPr>
            <w:tcW w:w="2637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41AB5876" w:rsidR="00D01FA2" w:rsidRPr="00A84296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01-02</w:t>
            </w:r>
            <w:r w:rsidR="00401013">
              <w:rPr>
                <w:color w:val="000000" w:themeColor="text1"/>
                <w:szCs w:val="19"/>
              </w:rPr>
              <w:t xml:space="preserve"> 2022</w:t>
            </w:r>
          </w:p>
        </w:tc>
      </w:tr>
      <w:tr w:rsidR="002244A8" w:rsidRPr="00A84296" w14:paraId="4A06CB3E" w14:textId="77777777" w:rsidTr="00E46466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A84296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A84296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48EE4B8A" w:rsidR="00D01FA2" w:rsidRPr="00A84296" w:rsidRDefault="00D01FA2" w:rsidP="009579D4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</w:t>
            </w:r>
            <w:r w:rsidR="006025DF">
              <w:rPr>
                <w:color w:val="000000" w:themeColor="text1"/>
                <w:szCs w:val="19"/>
              </w:rPr>
              <w:t>2</w:t>
            </w:r>
            <w:r w:rsidRPr="00A84296">
              <w:rPr>
                <w:color w:val="000000" w:themeColor="text1"/>
                <w:szCs w:val="19"/>
              </w:rPr>
              <w:t xml:space="preserve"> 202</w:t>
            </w:r>
            <w:r w:rsidR="009579D4">
              <w:rPr>
                <w:color w:val="000000" w:themeColor="text1"/>
                <w:szCs w:val="19"/>
              </w:rPr>
              <w:t>1</w:t>
            </w:r>
            <w:r w:rsidRPr="00A84296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140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1CDA47E7" w:rsidR="00D01FA2" w:rsidRPr="00A84296" w:rsidRDefault="006025DF" w:rsidP="006025DF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01 </w:t>
            </w:r>
            <w:r w:rsidR="00D01FA2" w:rsidRPr="00A84296">
              <w:rPr>
                <w:color w:val="000000" w:themeColor="text1"/>
                <w:szCs w:val="19"/>
              </w:rPr>
              <w:t>202</w:t>
            </w:r>
            <w:r>
              <w:rPr>
                <w:color w:val="000000" w:themeColor="text1"/>
                <w:szCs w:val="19"/>
              </w:rPr>
              <w:t>2</w:t>
            </w:r>
            <w:r w:rsidR="00D01FA2" w:rsidRPr="00A84296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27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A84296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A84296">
              <w:rPr>
                <w:color w:val="000000" w:themeColor="text1"/>
                <w:szCs w:val="19"/>
              </w:rPr>
              <w:t xml:space="preserve">Liczba </w:t>
            </w:r>
            <w:r w:rsidRPr="00A84296">
              <w:rPr>
                <w:color w:val="000000" w:themeColor="text1"/>
                <w:szCs w:val="19"/>
              </w:rPr>
              <w:br/>
              <w:t>mieszkań</w:t>
            </w:r>
          </w:p>
        </w:tc>
        <w:tc>
          <w:tcPr>
            <w:tcW w:w="1362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77777777" w:rsidR="00D01FA2" w:rsidRPr="00A84296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01-0</w:t>
            </w:r>
            <w:r w:rsidRPr="00A84296">
              <w:rPr>
                <w:color w:val="000000" w:themeColor="text1"/>
                <w:szCs w:val="19"/>
              </w:rPr>
              <w:t xml:space="preserve">2 </w:t>
            </w:r>
            <w:r>
              <w:rPr>
                <w:color w:val="000000" w:themeColor="text1"/>
                <w:szCs w:val="19"/>
              </w:rPr>
              <w:br/>
            </w:r>
            <w:r w:rsidRPr="00A84296">
              <w:rPr>
                <w:color w:val="000000" w:themeColor="text1"/>
                <w:szCs w:val="19"/>
              </w:rPr>
              <w:t>2021=100</w:t>
            </w:r>
          </w:p>
        </w:tc>
      </w:tr>
      <w:tr w:rsidR="002244A8" w:rsidRPr="00A84296" w14:paraId="51B29399" w14:textId="77777777" w:rsidTr="00CF0C7D">
        <w:trPr>
          <w:trHeight w:val="7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A84296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1127" w:type="dxa"/>
            <w:tcBorders>
              <w:top w:val="single" w:sz="12" w:space="0" w:color="212492"/>
            </w:tcBorders>
            <w:vAlign w:val="center"/>
          </w:tcPr>
          <w:p w14:paraId="5583E381" w14:textId="103AB31E" w:rsidR="00D01FA2" w:rsidRPr="00A84296" w:rsidRDefault="002F2AFA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17 855</w:t>
            </w:r>
          </w:p>
        </w:tc>
        <w:tc>
          <w:tcPr>
            <w:tcW w:w="994" w:type="dxa"/>
            <w:tcBorders>
              <w:top w:val="single" w:sz="12" w:space="0" w:color="212492"/>
            </w:tcBorders>
            <w:vAlign w:val="center"/>
          </w:tcPr>
          <w:p w14:paraId="3FBBBC2F" w14:textId="2A584256" w:rsidR="00D01FA2" w:rsidRPr="00A84296" w:rsidRDefault="00D56EFC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110,8</w:t>
            </w:r>
          </w:p>
        </w:tc>
        <w:tc>
          <w:tcPr>
            <w:tcW w:w="1140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4F1BC46D" w:rsidR="00D01FA2" w:rsidRPr="00A84296" w:rsidRDefault="00D56EFC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151,3</w:t>
            </w:r>
          </w:p>
        </w:tc>
        <w:tc>
          <w:tcPr>
            <w:tcW w:w="1275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73A10F29" w:rsidR="00D01FA2" w:rsidRPr="00A84296" w:rsidRDefault="00D01FA2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29 655</w:t>
            </w:r>
          </w:p>
        </w:tc>
        <w:tc>
          <w:tcPr>
            <w:tcW w:w="1362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4D2E626A" w:rsidR="00D01FA2" w:rsidRPr="00A84296" w:rsidRDefault="00D01FA2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88,4</w:t>
            </w:r>
          </w:p>
        </w:tc>
      </w:tr>
      <w:tr w:rsidR="002244A8" w:rsidRPr="00A84296" w14:paraId="31393AB6" w14:textId="77777777" w:rsidTr="00CF0C7D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A84296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>Indywidualne</w:t>
            </w:r>
          </w:p>
        </w:tc>
        <w:tc>
          <w:tcPr>
            <w:tcW w:w="1127" w:type="dxa"/>
            <w:vAlign w:val="center"/>
          </w:tcPr>
          <w:p w14:paraId="713FE16F" w14:textId="273B04F5" w:rsidR="00D01FA2" w:rsidRPr="001669EA" w:rsidRDefault="002F2AFA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6 202</w:t>
            </w:r>
          </w:p>
        </w:tc>
        <w:tc>
          <w:tcPr>
            <w:tcW w:w="994" w:type="dxa"/>
            <w:vAlign w:val="center"/>
          </w:tcPr>
          <w:p w14:paraId="3AB86585" w14:textId="4B3CE674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114,1</w:t>
            </w: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14:paraId="4F1B8571" w14:textId="5BC63D95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142,6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DDB2FFE" w14:textId="67745133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10 551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14:paraId="0CCD0B5A" w14:textId="26F5EB14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103,7</w:t>
            </w:r>
          </w:p>
        </w:tc>
      </w:tr>
      <w:tr w:rsidR="002244A8" w:rsidRPr="00A84296" w14:paraId="593E7D8A" w14:textId="77777777" w:rsidTr="00CF0C7D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A84296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t xml:space="preserve">Przeznaczone na </w:t>
            </w:r>
            <w:r w:rsidRPr="00A84296">
              <w:rPr>
                <w:rFonts w:eastAsiaTheme="majorEastAsia" w:cstheme="majorBidi"/>
                <w:color w:val="000000" w:themeColor="text1"/>
                <w:szCs w:val="19"/>
              </w:rPr>
              <w:br/>
              <w:t xml:space="preserve">sprzedaż lub wynajem </w:t>
            </w:r>
          </w:p>
        </w:tc>
        <w:tc>
          <w:tcPr>
            <w:tcW w:w="1127" w:type="dxa"/>
            <w:vAlign w:val="center"/>
          </w:tcPr>
          <w:p w14:paraId="17BDC596" w14:textId="5B629251" w:rsidR="00D01FA2" w:rsidRPr="001669EA" w:rsidRDefault="002F2AFA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11 320</w:t>
            </w:r>
          </w:p>
        </w:tc>
        <w:tc>
          <w:tcPr>
            <w:tcW w:w="994" w:type="dxa"/>
            <w:vAlign w:val="center"/>
          </w:tcPr>
          <w:p w14:paraId="6651C6C2" w14:textId="119C4024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114,6</w:t>
            </w: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14:paraId="6A42F450" w14:textId="5359D509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154,2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5A39A39" w14:textId="23AB3CC8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18 660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14:paraId="10604B89" w14:textId="736D560E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83,6</w:t>
            </w:r>
          </w:p>
        </w:tc>
      </w:tr>
      <w:tr w:rsidR="002244A8" w:rsidRPr="00A84296" w14:paraId="10FB5E32" w14:textId="77777777" w:rsidTr="00CF0C7D">
        <w:trPr>
          <w:trHeight w:val="23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A84296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A84296">
              <w:rPr>
                <w:rFonts w:eastAsiaTheme="majorEastAsia" w:cstheme="majorBidi"/>
                <w:szCs w:val="19"/>
              </w:rPr>
              <w:t xml:space="preserve">   w tym na wynajem</w:t>
            </w:r>
          </w:p>
        </w:tc>
        <w:tc>
          <w:tcPr>
            <w:tcW w:w="1127" w:type="dxa"/>
            <w:vAlign w:val="center"/>
          </w:tcPr>
          <w:p w14:paraId="6C3E3E87" w14:textId="77C66552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994" w:type="dxa"/>
            <w:vAlign w:val="center"/>
          </w:tcPr>
          <w:p w14:paraId="2AF19FC1" w14:textId="4E1DE9E7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14:paraId="128A795F" w14:textId="673A6CC7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55EE536" w14:textId="492B0C0E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155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14:paraId="048C2F33" w14:textId="382FDBA2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360,5</w:t>
            </w:r>
          </w:p>
        </w:tc>
      </w:tr>
      <w:tr w:rsidR="002244A8" w:rsidRPr="00A84296" w14:paraId="5DE911D7" w14:textId="77777777" w:rsidTr="00CF0C7D">
        <w:trPr>
          <w:trHeight w:val="22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A84296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A84296">
              <w:rPr>
                <w:rFonts w:cstheme="majorBidi"/>
                <w:color w:val="000000" w:themeColor="text1"/>
                <w:szCs w:val="19"/>
              </w:rPr>
              <w:t>Spółdzielcze</w:t>
            </w:r>
          </w:p>
        </w:tc>
        <w:tc>
          <w:tcPr>
            <w:tcW w:w="1127" w:type="dxa"/>
            <w:vAlign w:val="center"/>
          </w:tcPr>
          <w:p w14:paraId="7AF1925A" w14:textId="33859783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994" w:type="dxa"/>
            <w:vAlign w:val="center"/>
          </w:tcPr>
          <w:p w14:paraId="208887F3" w14:textId="2A5A46D2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14:paraId="30D4357E" w14:textId="1A7CF2B3" w:rsidR="00D01FA2" w:rsidRPr="001669EA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814EFCC" w14:textId="14C84737" w:rsidR="00D01FA2" w:rsidRPr="001669EA" w:rsidRDefault="00D01FA2" w:rsidP="00421385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14:paraId="36405AD3" w14:textId="66EF3737" w:rsidR="00D01FA2" w:rsidRPr="001669EA" w:rsidRDefault="00477729" w:rsidP="00A31734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C51A44">
              <w:rPr>
                <w:rFonts w:cs="Arial"/>
                <w:color w:val="000000" w:themeColor="text1"/>
                <w:sz w:val="18"/>
                <w:szCs w:val="19"/>
              </w:rPr>
              <w:t>p</w:t>
            </w:r>
            <w:r w:rsidR="00A31734" w:rsidRPr="00C51A44">
              <w:rPr>
                <w:rFonts w:cs="Arial"/>
                <w:color w:val="000000" w:themeColor="text1"/>
                <w:sz w:val="18"/>
                <w:szCs w:val="19"/>
              </w:rPr>
              <w:t>rawie 59- krotnie mniej</w:t>
            </w:r>
          </w:p>
        </w:tc>
      </w:tr>
      <w:tr w:rsidR="00CF0C7D" w:rsidRPr="00A84296" w14:paraId="717971BF" w14:textId="77777777" w:rsidTr="00CF0C7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A84296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Komunalne</w:t>
            </w:r>
          </w:p>
        </w:tc>
        <w:tc>
          <w:tcPr>
            <w:tcW w:w="1127" w:type="dxa"/>
            <w:tcBorders>
              <w:bottom w:val="single" w:sz="4" w:space="0" w:color="212492"/>
            </w:tcBorders>
            <w:vAlign w:val="center"/>
          </w:tcPr>
          <w:p w14:paraId="70236579" w14:textId="5EEEFFBF" w:rsidR="00CF0C7D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54</w:t>
            </w:r>
          </w:p>
        </w:tc>
        <w:tc>
          <w:tcPr>
            <w:tcW w:w="994" w:type="dxa"/>
            <w:tcBorders>
              <w:bottom w:val="single" w:sz="4" w:space="0" w:color="212492"/>
            </w:tcBorders>
            <w:vAlign w:val="center"/>
          </w:tcPr>
          <w:p w14:paraId="18F8B7AA" w14:textId="11D62465" w:rsidR="00CF0C7D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54,5</w:t>
            </w:r>
          </w:p>
        </w:tc>
        <w:tc>
          <w:tcPr>
            <w:tcW w:w="1140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5F3F00A5" w:rsidR="00CF0C7D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192,9</w:t>
            </w:r>
          </w:p>
        </w:tc>
        <w:tc>
          <w:tcPr>
            <w:tcW w:w="1275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0F089E80" w:rsidR="00CF0C7D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82</w:t>
            </w:r>
          </w:p>
        </w:tc>
        <w:tc>
          <w:tcPr>
            <w:tcW w:w="1362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58B53ED5" w:rsidR="00CF0C7D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78,8</w:t>
            </w:r>
          </w:p>
        </w:tc>
      </w:tr>
      <w:tr w:rsidR="00CF0C7D" w:rsidRPr="00A84296" w14:paraId="780B2FE9" w14:textId="77777777" w:rsidTr="00EC4714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A84296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A84296">
              <w:rPr>
                <w:rFonts w:eastAsiaTheme="majorEastAsia" w:cstheme="majorBidi"/>
                <w:iCs/>
                <w:color w:val="000000" w:themeColor="text1"/>
                <w:szCs w:val="19"/>
              </w:rPr>
              <w:t>Społeczne czynszowe</w:t>
            </w:r>
          </w:p>
        </w:tc>
        <w:tc>
          <w:tcPr>
            <w:tcW w:w="1127" w:type="dxa"/>
            <w:vAlign w:val="center"/>
          </w:tcPr>
          <w:p w14:paraId="27C9D9C7" w14:textId="5F0A9B67" w:rsidR="00CF0C7D" w:rsidRPr="001669EA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279</w:t>
            </w:r>
          </w:p>
        </w:tc>
        <w:tc>
          <w:tcPr>
            <w:tcW w:w="994" w:type="dxa"/>
            <w:vAlign w:val="center"/>
          </w:tcPr>
          <w:p w14:paraId="05B46D5B" w14:textId="41F596A1" w:rsidR="00CF0C7D" w:rsidRPr="001669EA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43,5</w:t>
            </w:r>
          </w:p>
        </w:tc>
        <w:tc>
          <w:tcPr>
            <w:tcW w:w="1140" w:type="dxa"/>
            <w:tcBorders>
              <w:right w:val="nil"/>
            </w:tcBorders>
            <w:vAlign w:val="center"/>
          </w:tcPr>
          <w:p w14:paraId="75D3E92A" w14:textId="777188FB" w:rsidR="00CF0C7D" w:rsidRPr="001669EA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348,8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DA4D76F" w14:textId="0D47E788" w:rsidR="00CF0C7D" w:rsidRPr="001669EA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359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14:paraId="17E99BD0" w14:textId="3B7DAF06" w:rsidR="00CF0C7D" w:rsidRPr="001669EA" w:rsidRDefault="00CF0C7D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46,4</w:t>
            </w:r>
          </w:p>
        </w:tc>
      </w:tr>
      <w:tr w:rsidR="00EC4714" w:rsidRPr="00A84296" w14:paraId="0A24278F" w14:textId="77777777" w:rsidTr="00CF0C7D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A84296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Zakładowe</w:t>
            </w:r>
          </w:p>
        </w:tc>
        <w:tc>
          <w:tcPr>
            <w:tcW w:w="1127" w:type="dxa"/>
            <w:tcBorders>
              <w:bottom w:val="single" w:sz="4" w:space="0" w:color="212492"/>
            </w:tcBorders>
            <w:vAlign w:val="center"/>
          </w:tcPr>
          <w:p w14:paraId="0E54ECEB" w14:textId="4AA1D0E2" w:rsidR="00EC4714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994" w:type="dxa"/>
            <w:tcBorders>
              <w:bottom w:val="single" w:sz="4" w:space="0" w:color="212492"/>
            </w:tcBorders>
            <w:vAlign w:val="center"/>
          </w:tcPr>
          <w:p w14:paraId="6B11BD8C" w14:textId="3CD73A9B" w:rsidR="00EC4714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40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27F0113F" w:rsidR="00EC4714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3FD2558F" w:rsidR="00EC4714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362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03292738" w:rsidR="00EC4714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.</w:t>
            </w:r>
          </w:p>
        </w:tc>
      </w:tr>
    </w:tbl>
    <w:p w14:paraId="353A08B3" w14:textId="429F03B2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EB06BF">
        <w:rPr>
          <w:shd w:val="clear" w:color="auto" w:fill="FFFFFF"/>
        </w:rPr>
        <w:t>lutego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EB06BF">
        <w:rPr>
          <w:shd w:val="clear" w:color="auto" w:fill="FFFFFF"/>
        </w:rPr>
        <w:t>867,0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1B11C4">
        <w:rPr>
          <w:shd w:val="clear" w:color="auto" w:fill="FFFFFF"/>
        </w:rPr>
        <w:t xml:space="preserve">4,7% więcej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78E95EC0" w14:textId="2CDC9BC3" w:rsidR="00CD6D30" w:rsidRPr="00EC66BB" w:rsidRDefault="00875CF3" w:rsidP="00602DF9">
      <w:pPr>
        <w:pStyle w:val="Tytuwykresu0"/>
        <w:rPr>
          <w:rFonts w:ascii="Fira Sans" w:hAnsi="Fira Sans"/>
        </w:rPr>
      </w:pPr>
      <w:r w:rsidRPr="00875CF3">
        <w:drawing>
          <wp:anchor distT="0" distB="0" distL="114300" distR="114300" simplePos="0" relativeHeight="251769856" behindDoc="0" locked="0" layoutInCell="1" allowOverlap="1" wp14:anchorId="361718CC" wp14:editId="43D1AA13">
            <wp:simplePos x="0" y="0"/>
            <wp:positionH relativeFrom="column">
              <wp:posOffset>3810</wp:posOffset>
            </wp:positionH>
            <wp:positionV relativeFrom="paragraph">
              <wp:posOffset>483124</wp:posOffset>
            </wp:positionV>
            <wp:extent cx="5122545" cy="2397760"/>
            <wp:effectExtent l="0" t="0" r="1905" b="2540"/>
            <wp:wrapTopAndBottom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F0E" w:rsidRPr="00912473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25095C8B">
                <wp:simplePos x="0" y="0"/>
                <wp:positionH relativeFrom="page">
                  <wp:posOffset>5695950</wp:posOffset>
                </wp:positionH>
                <wp:positionV relativeFrom="paragraph">
                  <wp:posOffset>401955</wp:posOffset>
                </wp:positionV>
                <wp:extent cx="1863090" cy="1981200"/>
                <wp:effectExtent l="0" t="0" r="0" b="0"/>
                <wp:wrapSquare wrapText="bothSides"/>
                <wp:docPr id="4" name="Pole tekstowe 2" descr="W lutym, w porównaniu do stycznia 2022 roku, wzrosła liczba mieszkań oddanych do użytkowania (o 20,3%), a także mieszkań, na których budowę wydano pozwolenia lub dokonano zgłoszenia z projektem budowlanym (o 14,9%) oraz mieszkań, których budowę rozpoczęto (o 51,3%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B723" w14:textId="77777777" w:rsidR="00AA2F0E" w:rsidRDefault="00AA2F0E" w:rsidP="00CD6D30">
                            <w:pPr>
                              <w:pStyle w:val="tekstzboku"/>
                            </w:pPr>
                          </w:p>
                          <w:p w14:paraId="33F5CFC3" w14:textId="0D948D11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6025DF">
                              <w:t>lutym</w:t>
                            </w:r>
                            <w:r w:rsidRPr="00FE1582">
                              <w:t>, w porównaniu do </w:t>
                            </w:r>
                            <w:r w:rsidR="006025DF">
                              <w:t>stycznia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CE2AFA">
                              <w:br/>
                            </w:r>
                            <w:r w:rsidR="006025DF">
                              <w:t>wzrosła</w:t>
                            </w:r>
                            <w:r w:rsidRPr="00FE1582">
                              <w:t xml:space="preserve"> liczba mieszkań oddanych do użytkowania (o </w:t>
                            </w:r>
                            <w:r w:rsidR="006025DF">
                              <w:t>20,3</w:t>
                            </w:r>
                            <w:r w:rsidRPr="00FE1582">
                              <w:t xml:space="preserve">%), </w:t>
                            </w:r>
                            <w:r w:rsidR="00F94EDD" w:rsidRPr="00022429">
                              <w:t xml:space="preserve">a także </w:t>
                            </w:r>
                            <w:r w:rsidR="005947D5">
                              <w:t>mieszka</w:t>
                            </w:r>
                            <w:r w:rsidR="005947D5" w:rsidRPr="00022429">
                              <w:t>ń</w:t>
                            </w:r>
                            <w:r w:rsidR="00F94EDD" w:rsidRPr="00022429">
                              <w:rPr>
                                <w:color w:val="auto"/>
                              </w:rPr>
                              <w:t>,</w:t>
                            </w:r>
                            <w:r w:rsidR="0042599A" w:rsidRPr="00022429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E1582">
                              <w:t>na który</w:t>
                            </w:r>
                            <w:r w:rsidR="00CE2AFA">
                              <w:t>ch budowę wydano pozwolenia lub</w:t>
                            </w:r>
                            <w:r w:rsidR="00CE2AFA">
                              <w:br/>
                            </w:r>
                            <w:r w:rsidRPr="00FE1582">
                              <w:t>dokonano zgłoszenia z projektem budowlanym (</w:t>
                            </w:r>
                            <w:r>
                              <w:t>o </w:t>
                            </w:r>
                            <w:r w:rsidR="006025DF">
                              <w:t>14,9</w:t>
                            </w:r>
                            <w:r w:rsidRPr="00FE1582">
                              <w:t>%)</w:t>
                            </w:r>
                            <w:r w:rsidR="0042599A">
                              <w:t xml:space="preserve"> oraz</w:t>
                            </w:r>
                            <w:r w:rsidR="00CE2AFA">
                              <w:t> </w:t>
                            </w:r>
                            <w:r w:rsidR="0042599A">
                              <w:t>mieszka</w:t>
                            </w:r>
                            <w:r w:rsidR="005947D5">
                              <w:t>ń</w:t>
                            </w:r>
                            <w:r w:rsidR="0042599A">
                              <w:t xml:space="preserve">, </w:t>
                            </w:r>
                            <w:r>
                              <w:t>których budowę rozpoczęto (o </w:t>
                            </w:r>
                            <w:r w:rsidR="00E34D1F" w:rsidRPr="00D019E7">
                              <w:t>51,3</w:t>
                            </w:r>
                            <w:r>
                              <w:t>%)</w:t>
                            </w:r>
                          </w:p>
                          <w:p w14:paraId="783038A3" w14:textId="77777777" w:rsidR="00CD6D30" w:rsidRPr="005C3B28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BF84" id="_x0000_s1029" type="#_x0000_t202" alt="W lutym, w porównaniu do stycznia 2022 roku, wzrosła liczba mieszkań oddanych do użytkowania (o 20,3%), a także mieszkań, na których budowę wydano pozwolenia lub dokonano zgłoszenia z projektem budowlanym (o 14,9%) oraz mieszkań, których budowę rozpoczęto (o 51,3%)&#10;" style="position:absolute;margin-left:448.5pt;margin-top:31.65pt;width:146.7pt;height:15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" filled="f" stroked="f">
                <v:textbox>
                  <w:txbxContent>
                    <w:p w14:paraId="163EB723" w14:textId="77777777" w:rsidR="00AA2F0E" w:rsidRDefault="00AA2F0E" w:rsidP="00CD6D30">
                      <w:pPr>
                        <w:pStyle w:val="tekstzboku"/>
                      </w:pPr>
                    </w:p>
                    <w:p w14:paraId="33F5CFC3" w14:textId="0D948D11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6025DF">
                        <w:t>lutym</w:t>
                      </w:r>
                      <w:r w:rsidRPr="00FE1582">
                        <w:t>, w porównaniu do </w:t>
                      </w:r>
                      <w:r w:rsidR="006025DF">
                        <w:t>stycznia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CE2AFA">
                        <w:br/>
                      </w:r>
                      <w:r w:rsidR="006025DF">
                        <w:t>wzrosła</w:t>
                      </w:r>
                      <w:r w:rsidRPr="00FE1582">
                        <w:t xml:space="preserve"> liczba mieszkań oddanych do użytkowania (o </w:t>
                      </w:r>
                      <w:r w:rsidR="006025DF">
                        <w:t>20,3</w:t>
                      </w:r>
                      <w:r w:rsidRPr="00FE1582">
                        <w:t xml:space="preserve">%), </w:t>
                      </w:r>
                      <w:r w:rsidR="00F94EDD" w:rsidRPr="00022429">
                        <w:t xml:space="preserve">a także </w:t>
                      </w:r>
                      <w:r w:rsidR="005947D5">
                        <w:t>mieszka</w:t>
                      </w:r>
                      <w:r w:rsidR="005947D5" w:rsidRPr="00022429">
                        <w:t>ń</w:t>
                      </w:r>
                      <w:r w:rsidR="00F94EDD" w:rsidRPr="00022429">
                        <w:rPr>
                          <w:color w:val="auto"/>
                        </w:rPr>
                        <w:t>,</w:t>
                      </w:r>
                      <w:r w:rsidR="0042599A" w:rsidRPr="00022429">
                        <w:rPr>
                          <w:color w:val="auto"/>
                        </w:rPr>
                        <w:t xml:space="preserve"> </w:t>
                      </w:r>
                      <w:r w:rsidRPr="00FE1582">
                        <w:t>na który</w:t>
                      </w:r>
                      <w:r w:rsidR="00CE2AFA">
                        <w:t>ch budowę wydano pozwolenia lub</w:t>
                      </w:r>
                      <w:r w:rsidR="00CE2AFA">
                        <w:br/>
                      </w:r>
                      <w:r w:rsidRPr="00FE1582">
                        <w:t>dokonano zgłoszenia z projektem budowlanym (</w:t>
                      </w:r>
                      <w:r>
                        <w:t>o </w:t>
                      </w:r>
                      <w:r w:rsidR="006025DF">
                        <w:t>14,9</w:t>
                      </w:r>
                      <w:r w:rsidRPr="00FE1582">
                        <w:t>%)</w:t>
                      </w:r>
                      <w:r w:rsidR="0042599A">
                        <w:t xml:space="preserve"> oraz</w:t>
                      </w:r>
                      <w:r w:rsidR="00CE2AFA">
                        <w:t> </w:t>
                      </w:r>
                      <w:r w:rsidR="0042599A">
                        <w:t>mieszka</w:t>
                      </w:r>
                      <w:r w:rsidR="005947D5">
                        <w:t>ń</w:t>
                      </w:r>
                      <w:r w:rsidR="0042599A">
                        <w:t xml:space="preserve">, </w:t>
                      </w:r>
                      <w:r>
                        <w:t>których budowę rozpoczęto (o </w:t>
                      </w:r>
                      <w:r w:rsidR="00E34D1F" w:rsidRPr="00D019E7">
                        <w:t>51,3</w:t>
                      </w:r>
                      <w:r>
                        <w:t>%)</w:t>
                      </w:r>
                    </w:p>
                    <w:p w14:paraId="783038A3" w14:textId="77777777" w:rsidR="00CD6D30" w:rsidRPr="005C3B28" w:rsidRDefault="00CD6D30" w:rsidP="00CD6D30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912473">
        <w:rPr>
          <w:rFonts w:ascii="Fira Sans" w:hAnsi="Fira Sans"/>
          <w:sz w:val="18"/>
          <w:szCs w:val="18"/>
        </w:rPr>
        <w:t>Wykres 1.</w:t>
      </w:r>
      <w:r w:rsidR="00CD6D30" w:rsidRPr="00696FCE">
        <w:rPr>
          <w:rFonts w:ascii="Fira Sans" w:hAnsi="Fira Sans"/>
        </w:rPr>
        <w:t xml:space="preserve"> </w:t>
      </w:r>
      <w:r w:rsidR="00CD6D30" w:rsidRPr="00912473">
        <w:rPr>
          <w:rFonts w:ascii="Fira Sans" w:hAnsi="Fira Sans"/>
          <w:sz w:val="18"/>
          <w:szCs w:val="18"/>
        </w:rPr>
        <w:t>Ruch budowlany w obszarze budownictwa mieszkaniowego w Polsce</w:t>
      </w:r>
    </w:p>
    <w:p w14:paraId="05A7172B" w14:textId="0EBABC75" w:rsidR="0091083F" w:rsidRDefault="0091083F" w:rsidP="00CD6D30">
      <w:pPr>
        <w:spacing w:after="0" w:line="288" w:lineRule="auto"/>
        <w:rPr>
          <w:spacing w:val="-2"/>
          <w:shd w:val="clear" w:color="auto" w:fill="FFFFFF"/>
        </w:rPr>
      </w:pPr>
    </w:p>
    <w:p w14:paraId="2BE4E729" w14:textId="17747E07" w:rsidR="00CD6D30" w:rsidRPr="000E33F1" w:rsidRDefault="00CD6D30" w:rsidP="00CD6D30">
      <w:pPr>
        <w:spacing w:after="0" w:line="288" w:lineRule="auto"/>
        <w:rPr>
          <w:spacing w:val="-2"/>
          <w:shd w:val="clear" w:color="auto" w:fill="FFFFFF"/>
        </w:rPr>
      </w:pPr>
      <w:r w:rsidRPr="008575EA">
        <w:rPr>
          <w:spacing w:val="-2"/>
          <w:shd w:val="clear" w:color="auto" w:fill="FFFFFF"/>
        </w:rPr>
        <w:t>W</w:t>
      </w:r>
      <w:r w:rsidR="00AE2010">
        <w:rPr>
          <w:spacing w:val="-2"/>
          <w:shd w:val="clear" w:color="auto" w:fill="FFFFFF"/>
        </w:rPr>
        <w:t xml:space="preserve"> </w:t>
      </w:r>
      <w:r w:rsidR="006E042F">
        <w:rPr>
          <w:spacing w:val="-2"/>
          <w:shd w:val="clear" w:color="auto" w:fill="FFFFFF"/>
        </w:rPr>
        <w:t xml:space="preserve">okresie od stycznia do lutego </w:t>
      </w:r>
      <w:r w:rsidR="00912473">
        <w:rPr>
          <w:spacing w:val="-2"/>
          <w:shd w:val="clear" w:color="auto" w:fill="FFFFFF"/>
        </w:rPr>
        <w:t>2022</w:t>
      </w:r>
      <w:r w:rsidRPr="008575EA">
        <w:rPr>
          <w:spacing w:val="-2"/>
          <w:shd w:val="clear" w:color="auto" w:fill="FFFFFF"/>
        </w:rPr>
        <w:t xml:space="preserve"> r. najwyższe wartości dla mieszkań oddanych do użytkowania, 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projektem budowlanym, odnotowano w województwie mazowieckim (odpowiednio </w:t>
      </w:r>
      <w:r w:rsidR="006E042F">
        <w:rPr>
          <w:spacing w:val="-2"/>
          <w:shd w:val="clear" w:color="auto" w:fill="FFFFFF"/>
        </w:rPr>
        <w:t>5,6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tys., </w:t>
      </w:r>
      <w:r w:rsidR="006E042F">
        <w:rPr>
          <w:spacing w:val="-2"/>
          <w:shd w:val="clear" w:color="auto" w:fill="FFFFFF"/>
        </w:rPr>
        <w:t>5,6</w:t>
      </w:r>
      <w:r w:rsid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 </w:t>
      </w:r>
      <w:r w:rsidR="006E042F">
        <w:rPr>
          <w:spacing w:val="-2"/>
          <w:shd w:val="clear" w:color="auto" w:fill="FFFFFF"/>
        </w:rPr>
        <w:t>i 7,</w:t>
      </w:r>
      <w:r w:rsidR="009579D4">
        <w:rPr>
          <w:spacing w:val="-2"/>
          <w:shd w:val="clear" w:color="auto" w:fill="FFFFFF"/>
        </w:rPr>
        <w:t>9</w:t>
      </w:r>
      <w:r w:rsidR="006E042F">
        <w:rPr>
          <w:spacing w:val="-2"/>
          <w:shd w:val="clear" w:color="auto" w:fill="FFFFFF"/>
        </w:rPr>
        <w:t xml:space="preserve"> </w:t>
      </w:r>
      <w:r w:rsidRPr="008575EA">
        <w:rPr>
          <w:spacing w:val="-2"/>
          <w:shd w:val="clear" w:color="auto" w:fill="FFFFFF"/>
        </w:rPr>
        <w:t>tys. mieszkań). Wysokie wartości zanotowano również w województwie wielkopolskim (</w:t>
      </w:r>
      <w:r w:rsidR="006E042F">
        <w:rPr>
          <w:spacing w:val="-2"/>
          <w:shd w:val="clear" w:color="auto" w:fill="FFFFFF"/>
        </w:rPr>
        <w:t>4,4</w:t>
      </w:r>
      <w:r w:rsidRPr="008575EA">
        <w:rPr>
          <w:spacing w:val="-2"/>
          <w:shd w:val="clear" w:color="auto" w:fill="FFFFFF"/>
        </w:rPr>
        <w:t xml:space="preserve"> tys., </w:t>
      </w:r>
      <w:r w:rsidR="006E042F">
        <w:rPr>
          <w:spacing w:val="-2"/>
          <w:shd w:val="clear" w:color="auto" w:fill="FFFFFF"/>
        </w:rPr>
        <w:t>2,5</w:t>
      </w:r>
      <w:r w:rsidRPr="008575EA">
        <w:rPr>
          <w:spacing w:val="-2"/>
          <w:shd w:val="clear" w:color="auto" w:fill="FFFFFF"/>
        </w:rPr>
        <w:t xml:space="preserve"> tys. i </w:t>
      </w:r>
      <w:r w:rsidR="006E042F">
        <w:rPr>
          <w:spacing w:val="-2"/>
          <w:shd w:val="clear" w:color="auto" w:fill="FFFFFF"/>
        </w:rPr>
        <w:t>5,6</w:t>
      </w:r>
      <w:r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>
        <w:rPr>
          <w:spacing w:val="-2"/>
          <w:shd w:val="clear" w:color="auto" w:fill="FFFFFF"/>
        </w:rPr>
        <w:t xml:space="preserve"> (</w:t>
      </w:r>
      <w:r w:rsidR="006E042F">
        <w:rPr>
          <w:spacing w:val="-2"/>
          <w:shd w:val="clear" w:color="auto" w:fill="FFFFFF"/>
        </w:rPr>
        <w:t>3,7</w:t>
      </w:r>
      <w:r w:rsidRPr="008575EA">
        <w:rPr>
          <w:spacing w:val="-2"/>
          <w:shd w:val="clear" w:color="auto" w:fill="FFFFFF"/>
        </w:rPr>
        <w:t xml:space="preserve"> tys., </w:t>
      </w:r>
      <w:r w:rsidR="006E042F">
        <w:rPr>
          <w:spacing w:val="-2"/>
          <w:shd w:val="clear" w:color="auto" w:fill="FFFFFF"/>
        </w:rPr>
        <w:t>2,9</w:t>
      </w:r>
      <w:r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6E042F">
        <w:rPr>
          <w:spacing w:val="-2"/>
          <w:shd w:val="clear" w:color="auto" w:fill="FFFFFF"/>
        </w:rPr>
        <w:t>4,2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tys.).</w:t>
      </w:r>
    </w:p>
    <w:p w14:paraId="66C8E32D" w14:textId="0197C425" w:rsidR="00A617AC" w:rsidRPr="00696FCE" w:rsidRDefault="00A62AAF" w:rsidP="0078275D">
      <w:pPr>
        <w:pStyle w:val="Tytuwykresu0"/>
        <w:ind w:left="851" w:hanging="851"/>
        <w:rPr>
          <w:rFonts w:ascii="Fira Sans" w:hAnsi="Fira Sans"/>
        </w:rPr>
      </w:pPr>
      <w:r w:rsidRPr="00D51630">
        <w:drawing>
          <wp:anchor distT="0" distB="0" distL="114300" distR="114300" simplePos="0" relativeHeight="251673599" behindDoc="0" locked="0" layoutInCell="1" allowOverlap="1" wp14:anchorId="1C4BFA48" wp14:editId="47C41B03">
            <wp:simplePos x="0" y="0"/>
            <wp:positionH relativeFrom="column">
              <wp:posOffset>-120015</wp:posOffset>
            </wp:positionH>
            <wp:positionV relativeFrom="paragraph">
              <wp:posOffset>591185</wp:posOffset>
            </wp:positionV>
            <wp:extent cx="5204460" cy="2671445"/>
            <wp:effectExtent l="0" t="0" r="0" b="0"/>
            <wp:wrapTopAndBottom/>
            <wp:docPr id="24" name="Obraz 24" descr="Liczba mieszkań oddanych do użytkowania, liczba mieszkań, na których budowę wydano pozwolenia lub dokonano zgłoszenia z projektem budowlanym oraz liczba mieszkań, których budowę rozpoczęto w okresie styczeń- luty 2022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696FCE">
        <w:rPr>
          <w:rFonts w:ascii="Fira Sans" w:hAnsi="Fira Sans"/>
        </w:rPr>
        <w:t xml:space="preserve">. </w:t>
      </w:r>
      <w:r w:rsidR="00A617AC"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D51630" w:rsidRPr="00A31734">
        <w:rPr>
          <w:rFonts w:ascii="Fira Sans" w:hAnsi="Fira Sans"/>
          <w:sz w:val="18"/>
          <w:szCs w:val="18"/>
        </w:rPr>
        <w:t>styczeń- luty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="00A617AC"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</w:p>
    <w:p w14:paraId="150396EE" w14:textId="0C2E7288" w:rsidR="006E042F" w:rsidRDefault="006E042F" w:rsidP="006E042F">
      <w:pPr>
        <w:rPr>
          <w:shd w:val="clear" w:color="auto" w:fill="FFFFFF"/>
        </w:rPr>
      </w:pPr>
    </w:p>
    <w:p w14:paraId="518A6523" w14:textId="77777777" w:rsidR="006E042F" w:rsidRDefault="006E042F" w:rsidP="006E042F">
      <w:pPr>
        <w:rPr>
          <w:shd w:val="clear" w:color="auto" w:fill="FFFFFF"/>
        </w:rPr>
      </w:pPr>
    </w:p>
    <w:p w14:paraId="4809D44B" w14:textId="0DDAD4B7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77777777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453D4609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532B63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532B63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532B63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532B63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532B63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51EF7" w14:textId="77777777" w:rsidR="00532B63" w:rsidRDefault="00532B63" w:rsidP="000662E2">
      <w:pPr>
        <w:spacing w:after="0" w:line="240" w:lineRule="auto"/>
      </w:pPr>
      <w:r>
        <w:separator/>
      </w:r>
    </w:p>
  </w:endnote>
  <w:endnote w:type="continuationSeparator" w:id="0">
    <w:p w14:paraId="5F51E1C4" w14:textId="77777777" w:rsidR="00532B63" w:rsidRDefault="00532B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B0B59A8-0FAB-40AC-8C3D-7B78D5108102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7B98E1DA-021F-4B91-88E4-7CCA9514C158}"/>
    <w:embedBold r:id="rId3" w:fontKey="{86D65A8E-D9A7-446F-8E53-A6480EC3672B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9E262363-F99D-4A59-93B9-251D065A8F8F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28A9CB0-CFF8-4C2E-9C7D-FBB83F15BD0A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7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7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5D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551E5" w14:textId="77777777" w:rsidR="00532B63" w:rsidRDefault="00532B63" w:rsidP="000662E2">
      <w:pPr>
        <w:spacing w:after="0" w:line="240" w:lineRule="auto"/>
      </w:pPr>
      <w:r>
        <w:separator/>
      </w:r>
    </w:p>
  </w:footnote>
  <w:footnote w:type="continuationSeparator" w:id="0">
    <w:p w14:paraId="351A1F8E" w14:textId="77777777" w:rsidR="00532B63" w:rsidRDefault="00532B63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532B1FFE" w:rsidR="00540C5C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7CF54E2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FB333E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3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AFD5C9E" w:rsidR="00F37172" w:rsidRPr="00A01B40" w:rsidRDefault="00DD5C23" w:rsidP="00F049AB">
                          <w:pPr>
                            <w:pStyle w:val="Datainformacjisygnalnej"/>
                          </w:pPr>
                          <w:r>
                            <w:t>21.0</w:t>
                          </w:r>
                          <w:r w:rsidR="008F6850">
                            <w:t>3</w:t>
                          </w:r>
                          <w:r>
                            <w:t>.2022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3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QfHwIAABQ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B1jsQfHwIAABQ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14:paraId="71967FEA" w14:textId="5AFD5C9E" w:rsidR="00F37172" w:rsidRPr="00A01B40" w:rsidRDefault="00DD5C23" w:rsidP="00F049AB">
                    <w:pPr>
                      <w:pStyle w:val="Datainformacjisygnalnej"/>
                    </w:pPr>
                    <w:r>
                      <w:t>21.0</w:t>
                    </w:r>
                    <w:r w:rsidR="008F6850">
                      <w:t>3</w:t>
                    </w:r>
                    <w:r>
                      <w:t>.2022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2429"/>
    <w:rsid w:val="00035225"/>
    <w:rsid w:val="0004582E"/>
    <w:rsid w:val="000470AA"/>
    <w:rsid w:val="00057CA1"/>
    <w:rsid w:val="000647A9"/>
    <w:rsid w:val="000662E2"/>
    <w:rsid w:val="00066883"/>
    <w:rsid w:val="00071B39"/>
    <w:rsid w:val="00074DD8"/>
    <w:rsid w:val="00075759"/>
    <w:rsid w:val="000806F7"/>
    <w:rsid w:val="0008478F"/>
    <w:rsid w:val="00092305"/>
    <w:rsid w:val="00097840"/>
    <w:rsid w:val="000B0727"/>
    <w:rsid w:val="000C135D"/>
    <w:rsid w:val="000C274F"/>
    <w:rsid w:val="000C4C70"/>
    <w:rsid w:val="000D1D43"/>
    <w:rsid w:val="000D1E24"/>
    <w:rsid w:val="000D1F9C"/>
    <w:rsid w:val="000D225C"/>
    <w:rsid w:val="000D2A5C"/>
    <w:rsid w:val="000D39F0"/>
    <w:rsid w:val="000E0918"/>
    <w:rsid w:val="000E33F1"/>
    <w:rsid w:val="000E5778"/>
    <w:rsid w:val="000E79A9"/>
    <w:rsid w:val="001011C3"/>
    <w:rsid w:val="00103EF6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D67"/>
    <w:rsid w:val="00141CC0"/>
    <w:rsid w:val="001423B6"/>
    <w:rsid w:val="001448A7"/>
    <w:rsid w:val="00146621"/>
    <w:rsid w:val="001617E3"/>
    <w:rsid w:val="00162325"/>
    <w:rsid w:val="00164131"/>
    <w:rsid w:val="001669EA"/>
    <w:rsid w:val="00180D78"/>
    <w:rsid w:val="001951DA"/>
    <w:rsid w:val="001B053D"/>
    <w:rsid w:val="001B11C4"/>
    <w:rsid w:val="001C3269"/>
    <w:rsid w:val="001D19B6"/>
    <w:rsid w:val="001D1C75"/>
    <w:rsid w:val="001D1DB4"/>
    <w:rsid w:val="001D23F1"/>
    <w:rsid w:val="001D25F9"/>
    <w:rsid w:val="001D61ED"/>
    <w:rsid w:val="001E5B2D"/>
    <w:rsid w:val="001F1855"/>
    <w:rsid w:val="0020156C"/>
    <w:rsid w:val="00216634"/>
    <w:rsid w:val="00224210"/>
    <w:rsid w:val="002244A8"/>
    <w:rsid w:val="00242D31"/>
    <w:rsid w:val="0025481E"/>
    <w:rsid w:val="002574F9"/>
    <w:rsid w:val="00262B61"/>
    <w:rsid w:val="00262CC6"/>
    <w:rsid w:val="00263E08"/>
    <w:rsid w:val="002707DF"/>
    <w:rsid w:val="00275CB3"/>
    <w:rsid w:val="00276811"/>
    <w:rsid w:val="00282699"/>
    <w:rsid w:val="002926DF"/>
    <w:rsid w:val="0029373C"/>
    <w:rsid w:val="00296697"/>
    <w:rsid w:val="002A2E23"/>
    <w:rsid w:val="002B0472"/>
    <w:rsid w:val="002B68D2"/>
    <w:rsid w:val="002B6B12"/>
    <w:rsid w:val="002C21F0"/>
    <w:rsid w:val="002C4B21"/>
    <w:rsid w:val="002C5C97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7D72"/>
    <w:rsid w:val="00351173"/>
    <w:rsid w:val="00353F45"/>
    <w:rsid w:val="00354E9A"/>
    <w:rsid w:val="00357611"/>
    <w:rsid w:val="0036432A"/>
    <w:rsid w:val="00364671"/>
    <w:rsid w:val="00364AF9"/>
    <w:rsid w:val="00367237"/>
    <w:rsid w:val="0037077F"/>
    <w:rsid w:val="00372411"/>
    <w:rsid w:val="00373882"/>
    <w:rsid w:val="003843DB"/>
    <w:rsid w:val="00390871"/>
    <w:rsid w:val="00393761"/>
    <w:rsid w:val="00393CBC"/>
    <w:rsid w:val="00394E26"/>
    <w:rsid w:val="00396691"/>
    <w:rsid w:val="00397D18"/>
    <w:rsid w:val="003A1B36"/>
    <w:rsid w:val="003A6083"/>
    <w:rsid w:val="003B1454"/>
    <w:rsid w:val="003B18B6"/>
    <w:rsid w:val="003C161B"/>
    <w:rsid w:val="003C3A7B"/>
    <w:rsid w:val="003C59E0"/>
    <w:rsid w:val="003C6C8D"/>
    <w:rsid w:val="003D2656"/>
    <w:rsid w:val="003D37CB"/>
    <w:rsid w:val="003D4F95"/>
    <w:rsid w:val="003D5F42"/>
    <w:rsid w:val="003D60A9"/>
    <w:rsid w:val="003F19DE"/>
    <w:rsid w:val="003F4C97"/>
    <w:rsid w:val="003F666D"/>
    <w:rsid w:val="003F7FE6"/>
    <w:rsid w:val="00400193"/>
    <w:rsid w:val="00401013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3EB7"/>
    <w:rsid w:val="00463E39"/>
    <w:rsid w:val="004647E0"/>
    <w:rsid w:val="004657FC"/>
    <w:rsid w:val="004733F6"/>
    <w:rsid w:val="00474E69"/>
    <w:rsid w:val="00477729"/>
    <w:rsid w:val="00483E9F"/>
    <w:rsid w:val="00485A2C"/>
    <w:rsid w:val="00487D98"/>
    <w:rsid w:val="0049621B"/>
    <w:rsid w:val="004A1D19"/>
    <w:rsid w:val="004C1895"/>
    <w:rsid w:val="004C6D40"/>
    <w:rsid w:val="004E6AA8"/>
    <w:rsid w:val="004F0C3C"/>
    <w:rsid w:val="004F2280"/>
    <w:rsid w:val="004F23BB"/>
    <w:rsid w:val="004F63FC"/>
    <w:rsid w:val="00505A92"/>
    <w:rsid w:val="005203F1"/>
    <w:rsid w:val="00521BC3"/>
    <w:rsid w:val="00522DF4"/>
    <w:rsid w:val="00532B63"/>
    <w:rsid w:val="00533632"/>
    <w:rsid w:val="00534013"/>
    <w:rsid w:val="00540C5C"/>
    <w:rsid w:val="00541E6E"/>
    <w:rsid w:val="0054251F"/>
    <w:rsid w:val="005520D8"/>
    <w:rsid w:val="00552873"/>
    <w:rsid w:val="00553EDE"/>
    <w:rsid w:val="00555CFB"/>
    <w:rsid w:val="005566DA"/>
    <w:rsid w:val="00556CF1"/>
    <w:rsid w:val="005762A7"/>
    <w:rsid w:val="00587CEE"/>
    <w:rsid w:val="005916D7"/>
    <w:rsid w:val="0059427F"/>
    <w:rsid w:val="005947D5"/>
    <w:rsid w:val="005A4A15"/>
    <w:rsid w:val="005A698C"/>
    <w:rsid w:val="005B4EF8"/>
    <w:rsid w:val="005C0CAC"/>
    <w:rsid w:val="005D062E"/>
    <w:rsid w:val="005D688E"/>
    <w:rsid w:val="005E0799"/>
    <w:rsid w:val="005E10F9"/>
    <w:rsid w:val="005E1200"/>
    <w:rsid w:val="005E3C4E"/>
    <w:rsid w:val="005E6BD1"/>
    <w:rsid w:val="005F45EE"/>
    <w:rsid w:val="005F5A80"/>
    <w:rsid w:val="00600A20"/>
    <w:rsid w:val="006025DF"/>
    <w:rsid w:val="00602DF9"/>
    <w:rsid w:val="006044FF"/>
    <w:rsid w:val="00607CC5"/>
    <w:rsid w:val="0061179B"/>
    <w:rsid w:val="006125F9"/>
    <w:rsid w:val="00633014"/>
    <w:rsid w:val="0063437B"/>
    <w:rsid w:val="0064017E"/>
    <w:rsid w:val="00643463"/>
    <w:rsid w:val="00654BB6"/>
    <w:rsid w:val="00665F10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96FCE"/>
    <w:rsid w:val="006A241C"/>
    <w:rsid w:val="006A4686"/>
    <w:rsid w:val="006B0030"/>
    <w:rsid w:val="006B070B"/>
    <w:rsid w:val="006B0E9E"/>
    <w:rsid w:val="006B486D"/>
    <w:rsid w:val="006B5AE4"/>
    <w:rsid w:val="006C4386"/>
    <w:rsid w:val="006C57B5"/>
    <w:rsid w:val="006D1507"/>
    <w:rsid w:val="006D4054"/>
    <w:rsid w:val="006E02EC"/>
    <w:rsid w:val="006E042F"/>
    <w:rsid w:val="006E3C4F"/>
    <w:rsid w:val="006E6F41"/>
    <w:rsid w:val="006E73E6"/>
    <w:rsid w:val="007110ED"/>
    <w:rsid w:val="00714114"/>
    <w:rsid w:val="0071578A"/>
    <w:rsid w:val="007211B1"/>
    <w:rsid w:val="007277DA"/>
    <w:rsid w:val="00731143"/>
    <w:rsid w:val="0073114E"/>
    <w:rsid w:val="00731D27"/>
    <w:rsid w:val="007426A4"/>
    <w:rsid w:val="00746187"/>
    <w:rsid w:val="0076254F"/>
    <w:rsid w:val="00770C54"/>
    <w:rsid w:val="007801F5"/>
    <w:rsid w:val="0078275D"/>
    <w:rsid w:val="00783CA4"/>
    <w:rsid w:val="007842FB"/>
    <w:rsid w:val="00786124"/>
    <w:rsid w:val="0079514B"/>
    <w:rsid w:val="00795252"/>
    <w:rsid w:val="007A2DC1"/>
    <w:rsid w:val="007B4D3D"/>
    <w:rsid w:val="007C41ED"/>
    <w:rsid w:val="007D02DB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553C"/>
    <w:rsid w:val="00805B46"/>
    <w:rsid w:val="00805DB4"/>
    <w:rsid w:val="0082150C"/>
    <w:rsid w:val="00823593"/>
    <w:rsid w:val="00825DC2"/>
    <w:rsid w:val="00833CD6"/>
    <w:rsid w:val="00834AD3"/>
    <w:rsid w:val="00843795"/>
    <w:rsid w:val="00847F0F"/>
    <w:rsid w:val="00852448"/>
    <w:rsid w:val="008575EA"/>
    <w:rsid w:val="00861460"/>
    <w:rsid w:val="00866297"/>
    <w:rsid w:val="00875CF3"/>
    <w:rsid w:val="00877F6C"/>
    <w:rsid w:val="0088258A"/>
    <w:rsid w:val="00886332"/>
    <w:rsid w:val="00887FE9"/>
    <w:rsid w:val="008925F0"/>
    <w:rsid w:val="0089448A"/>
    <w:rsid w:val="00897877"/>
    <w:rsid w:val="008A26D9"/>
    <w:rsid w:val="008A33AC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20AAE"/>
    <w:rsid w:val="009227A6"/>
    <w:rsid w:val="00933EC1"/>
    <w:rsid w:val="009446AD"/>
    <w:rsid w:val="009465D9"/>
    <w:rsid w:val="00946F6D"/>
    <w:rsid w:val="009530DB"/>
    <w:rsid w:val="00953676"/>
    <w:rsid w:val="00956F30"/>
    <w:rsid w:val="009579D4"/>
    <w:rsid w:val="00966C9A"/>
    <w:rsid w:val="009705EE"/>
    <w:rsid w:val="00975DA9"/>
    <w:rsid w:val="00977927"/>
    <w:rsid w:val="0098135C"/>
    <w:rsid w:val="0098156A"/>
    <w:rsid w:val="009861C8"/>
    <w:rsid w:val="00987C33"/>
    <w:rsid w:val="00991BAC"/>
    <w:rsid w:val="009A2390"/>
    <w:rsid w:val="009A6EA0"/>
    <w:rsid w:val="009B12CC"/>
    <w:rsid w:val="009C1335"/>
    <w:rsid w:val="009C1AB2"/>
    <w:rsid w:val="009C7251"/>
    <w:rsid w:val="009D1F9F"/>
    <w:rsid w:val="009D74A4"/>
    <w:rsid w:val="009E2E91"/>
    <w:rsid w:val="009F37F2"/>
    <w:rsid w:val="00A01B40"/>
    <w:rsid w:val="00A139F5"/>
    <w:rsid w:val="00A227C0"/>
    <w:rsid w:val="00A26854"/>
    <w:rsid w:val="00A31734"/>
    <w:rsid w:val="00A32E16"/>
    <w:rsid w:val="00A365F4"/>
    <w:rsid w:val="00A47D80"/>
    <w:rsid w:val="00A53132"/>
    <w:rsid w:val="00A563F2"/>
    <w:rsid w:val="00A566E8"/>
    <w:rsid w:val="00A617AC"/>
    <w:rsid w:val="00A62AAF"/>
    <w:rsid w:val="00A6325C"/>
    <w:rsid w:val="00A66347"/>
    <w:rsid w:val="00A810F9"/>
    <w:rsid w:val="00A82D31"/>
    <w:rsid w:val="00A84296"/>
    <w:rsid w:val="00A85E7E"/>
    <w:rsid w:val="00A86ECC"/>
    <w:rsid w:val="00A86FCC"/>
    <w:rsid w:val="00A90A6D"/>
    <w:rsid w:val="00A971E5"/>
    <w:rsid w:val="00AA2F0E"/>
    <w:rsid w:val="00AA710D"/>
    <w:rsid w:val="00AB192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B11B69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E3F"/>
    <w:rsid w:val="00B47359"/>
    <w:rsid w:val="00B653AB"/>
    <w:rsid w:val="00B65C40"/>
    <w:rsid w:val="00B65F9E"/>
    <w:rsid w:val="00B66B19"/>
    <w:rsid w:val="00B73C02"/>
    <w:rsid w:val="00B85F30"/>
    <w:rsid w:val="00B914E9"/>
    <w:rsid w:val="00B95343"/>
    <w:rsid w:val="00B956EE"/>
    <w:rsid w:val="00BA2BA1"/>
    <w:rsid w:val="00BA3447"/>
    <w:rsid w:val="00BA3562"/>
    <w:rsid w:val="00BA682B"/>
    <w:rsid w:val="00BB4F09"/>
    <w:rsid w:val="00BC2D48"/>
    <w:rsid w:val="00BC646E"/>
    <w:rsid w:val="00BD4E33"/>
    <w:rsid w:val="00BF246A"/>
    <w:rsid w:val="00C030DE"/>
    <w:rsid w:val="00C051A8"/>
    <w:rsid w:val="00C22105"/>
    <w:rsid w:val="00C244B6"/>
    <w:rsid w:val="00C2512A"/>
    <w:rsid w:val="00C27BF1"/>
    <w:rsid w:val="00C30F26"/>
    <w:rsid w:val="00C35967"/>
    <w:rsid w:val="00C3702F"/>
    <w:rsid w:val="00C423B3"/>
    <w:rsid w:val="00C4500A"/>
    <w:rsid w:val="00C51A44"/>
    <w:rsid w:val="00C566A2"/>
    <w:rsid w:val="00C62238"/>
    <w:rsid w:val="00C64A37"/>
    <w:rsid w:val="00C7158E"/>
    <w:rsid w:val="00C7250B"/>
    <w:rsid w:val="00C7346B"/>
    <w:rsid w:val="00C7435B"/>
    <w:rsid w:val="00C74EE7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6DFF"/>
    <w:rsid w:val="00D00796"/>
    <w:rsid w:val="00D019E7"/>
    <w:rsid w:val="00D01FA2"/>
    <w:rsid w:val="00D04A00"/>
    <w:rsid w:val="00D2057C"/>
    <w:rsid w:val="00D261A2"/>
    <w:rsid w:val="00D35826"/>
    <w:rsid w:val="00D47601"/>
    <w:rsid w:val="00D51630"/>
    <w:rsid w:val="00D56EFC"/>
    <w:rsid w:val="00D616D2"/>
    <w:rsid w:val="00D63B5F"/>
    <w:rsid w:val="00D7002A"/>
    <w:rsid w:val="00D70EF7"/>
    <w:rsid w:val="00D8397C"/>
    <w:rsid w:val="00D94EED"/>
    <w:rsid w:val="00D96026"/>
    <w:rsid w:val="00D972F6"/>
    <w:rsid w:val="00DA331D"/>
    <w:rsid w:val="00DA7C1C"/>
    <w:rsid w:val="00DB147A"/>
    <w:rsid w:val="00DB1B7A"/>
    <w:rsid w:val="00DB589E"/>
    <w:rsid w:val="00DB706E"/>
    <w:rsid w:val="00DC6708"/>
    <w:rsid w:val="00DD011A"/>
    <w:rsid w:val="00DD5C23"/>
    <w:rsid w:val="00DE2400"/>
    <w:rsid w:val="00DE58F1"/>
    <w:rsid w:val="00DE6B58"/>
    <w:rsid w:val="00DF5E32"/>
    <w:rsid w:val="00E01436"/>
    <w:rsid w:val="00E03E79"/>
    <w:rsid w:val="00E045BD"/>
    <w:rsid w:val="00E04D6C"/>
    <w:rsid w:val="00E109E9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1201"/>
    <w:rsid w:val="00E5178D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95B8E"/>
    <w:rsid w:val="00E96D55"/>
    <w:rsid w:val="00EB06BF"/>
    <w:rsid w:val="00EB1390"/>
    <w:rsid w:val="00EB2C71"/>
    <w:rsid w:val="00EB3333"/>
    <w:rsid w:val="00EB4340"/>
    <w:rsid w:val="00EB556D"/>
    <w:rsid w:val="00EB5A7D"/>
    <w:rsid w:val="00EC4714"/>
    <w:rsid w:val="00EC66BB"/>
    <w:rsid w:val="00ED55C0"/>
    <w:rsid w:val="00ED61F4"/>
    <w:rsid w:val="00ED682B"/>
    <w:rsid w:val="00EE41D5"/>
    <w:rsid w:val="00EF0C25"/>
    <w:rsid w:val="00F0166F"/>
    <w:rsid w:val="00F037A4"/>
    <w:rsid w:val="00F049AB"/>
    <w:rsid w:val="00F07252"/>
    <w:rsid w:val="00F142DB"/>
    <w:rsid w:val="00F27C8F"/>
    <w:rsid w:val="00F32749"/>
    <w:rsid w:val="00F37172"/>
    <w:rsid w:val="00F4477E"/>
    <w:rsid w:val="00F46269"/>
    <w:rsid w:val="00F52F81"/>
    <w:rsid w:val="00F60BA8"/>
    <w:rsid w:val="00F65B5B"/>
    <w:rsid w:val="00F65EC5"/>
    <w:rsid w:val="00F67D8F"/>
    <w:rsid w:val="00F72307"/>
    <w:rsid w:val="00F802BE"/>
    <w:rsid w:val="00F80E93"/>
    <w:rsid w:val="00F86024"/>
    <w:rsid w:val="00F8611A"/>
    <w:rsid w:val="00F94EDD"/>
    <w:rsid w:val="00FA5128"/>
    <w:rsid w:val="00FB42D4"/>
    <w:rsid w:val="00FB5906"/>
    <w:rsid w:val="00FB5D61"/>
    <w:rsid w:val="00FB762F"/>
    <w:rsid w:val="00FB77D1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budownictwo_mieszkaniowe_w_okresie styczeń-luty_2022_r.docx.docx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01EFC287-037D-44B4-A3D5-95EE84714F44}"/>
</file>

<file path=customXml/itemProps3.xml><?xml version="1.0" encoding="utf-8"?>
<ds:datastoreItem xmlns:ds="http://schemas.openxmlformats.org/officeDocument/2006/customXml" ds:itemID="{0A47F329-C8CD-42E7-B623-E1E76014A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2022 r</vt:lpstr>
    </vt:vector>
  </TitlesOfParts>
  <Company>Główny Urząd Statystyczny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2022 r</dc:title>
  <dc:subject/>
  <dc:creator>Główny Urząd Statystyczny</dc:creator>
  <cp:keywords>mieszkania oddane do użytkowania; mieszkania w budowie; mieszkania rozpoczęte; ozwolenie na budowę; powierzchnia użytkowa</cp:keywords>
  <dc:description/>
  <cp:lastPrinted>2019-02-21T09:45:00Z</cp:lastPrinted>
  <dcterms:created xsi:type="dcterms:W3CDTF">2022-03-16T13:59:00Z</dcterms:created>
  <dcterms:modified xsi:type="dcterms:W3CDTF">2022-03-16T13:59:00Z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