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4236BE59" w:rsidR="00393761" w:rsidRPr="007D605C" w:rsidRDefault="00DD5C23" w:rsidP="00F049AB">
      <w:pPr>
        <w:pStyle w:val="Tytuinfomacjisygnalnej"/>
      </w:pPr>
      <w:bookmarkStart w:id="0" w:name="_GoBack"/>
      <w:bookmarkEnd w:id="0"/>
      <w:r w:rsidRPr="00DD5C23">
        <w:t>Budownictwo mieszkaniowe</w:t>
      </w:r>
      <w:r w:rsidR="00354E9A" w:rsidRPr="00B678B9">
        <w:rPr>
          <w:rStyle w:val="Odwoanieprzypisudolnego"/>
        </w:rPr>
        <w:footnoteReference w:id="1"/>
      </w:r>
      <w:r w:rsidRPr="00DD5C23">
        <w:t xml:space="preserve"> w </w:t>
      </w:r>
      <w:r w:rsidR="00224210">
        <w:t>styczniu 2022</w:t>
      </w:r>
      <w:r w:rsidRPr="00DD5C23">
        <w:t xml:space="preserve"> r.</w:t>
      </w:r>
      <w:r w:rsidR="00364AF9" w:rsidRPr="007D605C">
        <w:rPr>
          <w:sz w:val="32"/>
        </w:rPr>
        <w:tab/>
      </w:r>
    </w:p>
    <w:p w14:paraId="1E690351" w14:textId="6109ECA0" w:rsidR="00DE58F1" w:rsidRPr="007D0869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55C6299E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87,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67842E5B" w:rsidR="005C0CAC" w:rsidRPr="007D605C" w:rsidRDefault="00351173" w:rsidP="00CE2AFA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 w:rsidR="00DE6B58">
                              <w:t xml:space="preserve"> </w:t>
                            </w:r>
                            <w:r w:rsidR="00B95343">
                              <w:rPr>
                                <w:rStyle w:val="WartowskanikaZnak"/>
                              </w:rPr>
                              <w:t>87,5</w:t>
                            </w:r>
                          </w:p>
                          <w:p w14:paraId="63B3F253" w14:textId="3A66C1C4" w:rsidR="005C0CAC" w:rsidRPr="007D605C" w:rsidRDefault="00354E9A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ynamika liczby mieszkań oddanych do użytkowania 87,5" style="position:absolute;margin-left:0;margin-top:3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" fillcolor="#001d77" stroked="f">
                <v:stroke joinstyle="miter"/>
                <v:textbox>
                  <w:txbxContent>
                    <w:p w14:paraId="30951E30" w14:textId="67842E5B" w:rsidR="005C0CAC" w:rsidRPr="007D605C" w:rsidRDefault="00351173" w:rsidP="00CE2AFA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 w:rsidR="00DE6B58">
                        <w:t xml:space="preserve"> </w:t>
                      </w:r>
                      <w:r w:rsidR="00B95343">
                        <w:rPr>
                          <w:rStyle w:val="WartowskanikaZnak"/>
                        </w:rPr>
                        <w:t>87,5</w:t>
                      </w:r>
                    </w:p>
                    <w:p w14:paraId="63B3F253" w14:textId="3A66C1C4" w:rsidR="005C0CAC" w:rsidRPr="007D605C" w:rsidRDefault="00354E9A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354E9A" w:rsidRPr="00354E9A">
        <w:t>W</w:t>
      </w:r>
      <w:r w:rsidR="00B95343">
        <w:t xml:space="preserve"> styczniu 2022</w:t>
      </w:r>
      <w:r w:rsidR="00354E9A" w:rsidRPr="00354E9A">
        <w:t xml:space="preserve"> roku oddano do </w:t>
      </w:r>
      <w:r w:rsidR="00B95343">
        <w:t>użytkowania mniej</w:t>
      </w:r>
      <w:r w:rsidR="00354E9A" w:rsidRPr="00354E9A">
        <w:t xml:space="preserve"> mieszkań niż przed rokiem. </w:t>
      </w:r>
      <w:r w:rsidR="009861C8">
        <w:t>Spadła</w:t>
      </w:r>
      <w:r w:rsidR="00354E9A" w:rsidRPr="00354E9A">
        <w:t xml:space="preserve"> również liczba mieszkań, na których budowę wydano pozwolenia lub dokonano zgłoszenia z projektem budowlanym oraz liczba mieszkań, których budowę rozpoczęto.</w:t>
      </w:r>
      <w:r w:rsidR="00DE6B58" w:rsidRPr="00D8143C">
        <w:t xml:space="preserve"> </w:t>
      </w:r>
    </w:p>
    <w:p w14:paraId="3DB10F9F" w14:textId="7234040F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55D1DB6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 51,6% i 46,5% ogólnej liczby mieszka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11940771" w:rsidR="00D616D2" w:rsidRPr="00E95B8E" w:rsidRDefault="00354E9A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354E9A">
                              <w:t>Deweloperzy i inwestorzy</w:t>
                            </w:r>
                            <w:r w:rsidR="00CE2AFA">
                              <w:br/>
                            </w:r>
                            <w:r w:rsidRPr="00354E9A">
                              <w:t xml:space="preserve">indywidualni oddali do użytkowania odpowiednio </w:t>
                            </w:r>
                            <w:r w:rsidR="00600A20">
                              <w:t>51,6</w:t>
                            </w:r>
                            <w:r w:rsidRPr="00354E9A">
                              <w:t>% i</w:t>
                            </w:r>
                            <w:r>
                              <w:t> </w:t>
                            </w:r>
                            <w:r w:rsidR="00600A20">
                              <w:t>46,5</w:t>
                            </w:r>
                            <w:r w:rsidRPr="00354E9A">
                              <w:t xml:space="preserve">% ogólnej liczby </w:t>
                            </w:r>
                            <w:r w:rsidR="00CE2AFA">
                              <w:br/>
                            </w:r>
                            <w:r w:rsidRPr="00354E9A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 użytkowania odpowiednio 51,6% i 46,5% ogólnej liczby mieszkań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" filled="f" stroked="f">
                <v:textbox>
                  <w:txbxContent>
                    <w:p w14:paraId="66113316" w14:textId="11940771" w:rsidR="00D616D2" w:rsidRPr="00E95B8E" w:rsidRDefault="00354E9A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354E9A">
                        <w:t>Deweloperzy i inwestorzy</w:t>
                      </w:r>
                      <w:r w:rsidR="00CE2AFA">
                        <w:br/>
                      </w:r>
                      <w:r w:rsidRPr="00354E9A">
                        <w:t xml:space="preserve">indywidualni oddali do użytkowania odpowiednio </w:t>
                      </w:r>
                      <w:r w:rsidR="00600A20">
                        <w:t>51,6</w:t>
                      </w:r>
                      <w:r w:rsidRPr="00354E9A">
                        <w:t>% i</w:t>
                      </w:r>
                      <w:r>
                        <w:t> </w:t>
                      </w:r>
                      <w:r w:rsidR="00600A20">
                        <w:t>46,5</w:t>
                      </w:r>
                      <w:r w:rsidRPr="00354E9A">
                        <w:t xml:space="preserve">% ogólnej liczby </w:t>
                      </w:r>
                      <w:r w:rsidR="00CE2AFA">
                        <w:br/>
                      </w:r>
                      <w:r w:rsidRPr="00354E9A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3D8F5A0A" w14:textId="28B81D64" w:rsidR="00354E9A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>Według wstępnych danych, w</w:t>
      </w:r>
      <w:r w:rsidR="00600A20">
        <w:rPr>
          <w:rFonts w:eastAsia="Times New Roman" w:cs="Times New Roman"/>
          <w:spacing w:val="-2"/>
          <w:szCs w:val="19"/>
          <w:lang w:eastAsia="pl-PL"/>
        </w:rPr>
        <w:t xml:space="preserve"> styczniu 2022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roku oddano do użytkowania </w:t>
      </w:r>
      <w:r w:rsidR="009D1F9F">
        <w:rPr>
          <w:rFonts w:eastAsia="Times New Roman" w:cs="Times New Roman"/>
          <w:spacing w:val="-2"/>
          <w:szCs w:val="19"/>
          <w:lang w:eastAsia="pl-PL"/>
        </w:rPr>
        <w:t xml:space="preserve">15,3 </w:t>
      </w:r>
      <w:r w:rsidRPr="00354E9A">
        <w:rPr>
          <w:rFonts w:eastAsia="Times New Roman" w:cs="Times New Roman"/>
          <w:spacing w:val="-2"/>
          <w:szCs w:val="19"/>
          <w:lang w:eastAsia="pl-PL"/>
        </w:rPr>
        <w:t>tys. mieszkań, tj.</w:t>
      </w:r>
      <w:r w:rsidR="009D1F9F"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>o </w:t>
      </w:r>
      <w:r w:rsidR="00600A20">
        <w:rPr>
          <w:rFonts w:eastAsia="Times New Roman" w:cs="Times New Roman"/>
          <w:spacing w:val="-2"/>
          <w:szCs w:val="19"/>
          <w:lang w:eastAsia="pl-PL"/>
        </w:rPr>
        <w:t>12,5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9D1F9F">
        <w:rPr>
          <w:rFonts w:eastAsia="Times New Roman" w:cs="Times New Roman"/>
          <w:spacing w:val="-2"/>
          <w:szCs w:val="19"/>
          <w:lang w:eastAsia="pl-PL"/>
        </w:rPr>
        <w:t>mniej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przekazali do eksploatacji </w:t>
      </w:r>
      <w:r w:rsidR="00600A20">
        <w:rPr>
          <w:rFonts w:eastAsia="Times New Roman" w:cs="Times New Roman"/>
          <w:spacing w:val="-2"/>
          <w:szCs w:val="19"/>
          <w:lang w:eastAsia="pl-PL"/>
        </w:rPr>
        <w:t>7,9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tys. mieszkań – o</w:t>
      </w:r>
      <w:r w:rsidR="002E7CC1">
        <w:rPr>
          <w:rFonts w:eastAsia="Times New Roman" w:cs="Times New Roman"/>
          <w:spacing w:val="-2"/>
          <w:szCs w:val="19"/>
          <w:lang w:eastAsia="pl-PL"/>
        </w:rPr>
        <w:t> </w:t>
      </w:r>
      <w:r w:rsidR="002E7CC1" w:rsidRPr="000E33F1">
        <w:rPr>
          <w:rFonts w:eastAsia="Times New Roman" w:cs="Times New Roman"/>
          <w:spacing w:val="-2"/>
          <w:szCs w:val="19"/>
          <w:lang w:eastAsia="pl-PL"/>
        </w:rPr>
        <w:t>2</w:t>
      </w:r>
      <w:r w:rsidR="00600A20" w:rsidRPr="000E33F1">
        <w:rPr>
          <w:rFonts w:eastAsia="Times New Roman" w:cs="Times New Roman"/>
          <w:spacing w:val="-2"/>
          <w:szCs w:val="19"/>
          <w:lang w:eastAsia="pl-PL"/>
        </w:rPr>
        <w:t>3,5</w:t>
      </w:r>
      <w:r w:rsidRPr="000E33F1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mniej niż w </w:t>
      </w:r>
      <w:r w:rsidR="00600A20">
        <w:rPr>
          <w:rFonts w:eastAsia="Times New Roman" w:cs="Times New Roman"/>
          <w:spacing w:val="-2"/>
          <w:szCs w:val="19"/>
          <w:lang w:eastAsia="pl-PL"/>
        </w:rPr>
        <w:t xml:space="preserve">styczniu </w:t>
      </w:r>
      <w:r w:rsidRPr="00354E9A">
        <w:rPr>
          <w:rFonts w:eastAsia="Times New Roman" w:cs="Times New Roman"/>
          <w:spacing w:val="-2"/>
          <w:szCs w:val="19"/>
          <w:lang w:eastAsia="pl-PL"/>
        </w:rPr>
        <w:t>202</w:t>
      </w:r>
      <w:r w:rsidR="00600A20">
        <w:rPr>
          <w:rFonts w:eastAsia="Times New Roman" w:cs="Times New Roman"/>
          <w:spacing w:val="-2"/>
          <w:szCs w:val="19"/>
          <w:lang w:eastAsia="pl-PL"/>
        </w:rPr>
        <w:t>1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r., natomiast inwestorzy indywidualni – </w:t>
      </w:r>
      <w:r w:rsidR="00600A20">
        <w:rPr>
          <w:rFonts w:eastAsia="Times New Roman" w:cs="Times New Roman"/>
          <w:spacing w:val="-2"/>
          <w:szCs w:val="19"/>
          <w:lang w:eastAsia="pl-PL"/>
        </w:rPr>
        <w:t>7,1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="00600A20">
        <w:rPr>
          <w:rFonts w:eastAsia="Times New Roman" w:cs="Times New Roman"/>
          <w:spacing w:val="-2"/>
          <w:szCs w:val="19"/>
          <w:lang w:eastAsia="pl-PL"/>
        </w:rPr>
        <w:t> 3,2</w:t>
      </w:r>
      <w:r w:rsidRPr="00354E9A">
        <w:rPr>
          <w:rFonts w:eastAsia="Times New Roman" w:cs="Times New Roman"/>
          <w:spacing w:val="-2"/>
          <w:szCs w:val="19"/>
          <w:lang w:eastAsia="pl-PL"/>
        </w:rPr>
        <w:t>% więcej. W</w:t>
      </w:r>
      <w:r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>ramach tych form budownictwa wybudowano łącznie 98,</w:t>
      </w:r>
      <w:r w:rsidR="00600A20">
        <w:rPr>
          <w:rFonts w:eastAsia="Times New Roman" w:cs="Times New Roman"/>
          <w:spacing w:val="-2"/>
          <w:szCs w:val="19"/>
          <w:lang w:eastAsia="pl-PL"/>
        </w:rPr>
        <w:t>1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% ogółu nowo oddanych mieszkań. W pozostałych formach budownictwa, tj. spółdzielczej, komunalnej, społecznej czynszowej i zakładowej, oddano do użytkowania łącznie </w:t>
      </w:r>
      <w:r w:rsidR="007D02DB">
        <w:rPr>
          <w:rFonts w:eastAsia="Times New Roman" w:cs="Times New Roman"/>
          <w:spacing w:val="-2"/>
          <w:szCs w:val="19"/>
          <w:lang w:eastAsia="pl-PL"/>
        </w:rPr>
        <w:t>286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mieszkań (</w:t>
      </w:r>
      <w:r w:rsidR="002C4B21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7D02DB">
        <w:rPr>
          <w:rFonts w:eastAsia="Times New Roman" w:cs="Times New Roman"/>
          <w:spacing w:val="-2"/>
          <w:szCs w:val="19"/>
          <w:lang w:eastAsia="pl-PL"/>
        </w:rPr>
        <w:t>278</w:t>
      </w:r>
      <w:r w:rsidR="002C4B21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14:paraId="6189446F" w14:textId="1F6D5B8E" w:rsidR="00DE6B58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 </w:t>
      </w:r>
      <w:r w:rsidR="007D02DB">
        <w:rPr>
          <w:rFonts w:eastAsia="Times New Roman" w:cs="Times New Roman"/>
          <w:spacing w:val="-2"/>
          <w:szCs w:val="19"/>
          <w:lang w:eastAsia="pl-PL"/>
        </w:rPr>
        <w:t>styczniu 2022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r. wyniosła </w:t>
      </w:r>
      <w:r w:rsidR="007D02DB">
        <w:rPr>
          <w:rFonts w:eastAsia="Times New Roman" w:cs="Times New Roman"/>
          <w:spacing w:val="-2"/>
          <w:szCs w:val="19"/>
          <w:lang w:eastAsia="pl-PL"/>
        </w:rPr>
        <w:t>1,5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mln 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, czyli o </w:t>
      </w:r>
      <w:r w:rsidR="007D02DB">
        <w:rPr>
          <w:rFonts w:eastAsia="Times New Roman" w:cs="Times New Roman"/>
          <w:spacing w:val="-2"/>
          <w:szCs w:val="19"/>
          <w:lang w:eastAsia="pl-PL"/>
        </w:rPr>
        <w:t>6,9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7D02DB">
        <w:rPr>
          <w:rFonts w:eastAsia="Times New Roman" w:cs="Times New Roman"/>
          <w:spacing w:val="-2"/>
          <w:szCs w:val="19"/>
          <w:lang w:eastAsia="pl-PL"/>
        </w:rPr>
        <w:t>mnie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j niż przed rokiem, a przeciętna powierzchnia użytkowa 1 mieszkania osiągnęła wartość </w:t>
      </w:r>
      <w:r w:rsidR="007D02DB">
        <w:rPr>
          <w:rFonts w:eastAsia="Times New Roman" w:cs="Times New Roman"/>
          <w:spacing w:val="-2"/>
          <w:szCs w:val="19"/>
          <w:lang w:eastAsia="pl-PL"/>
        </w:rPr>
        <w:t>100,6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7C36352D" w14:textId="6E621B10"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676"/>
        <w:gridCol w:w="1719"/>
        <w:gridCol w:w="1701"/>
        <w:gridCol w:w="1701"/>
      </w:tblGrid>
      <w:tr w:rsidR="00A84296" w:rsidRPr="00A84296" w14:paraId="3DAF1A69" w14:textId="77777777" w:rsidTr="008D0A87">
        <w:trPr>
          <w:trHeight w:val="19"/>
        </w:trPr>
        <w:tc>
          <w:tcPr>
            <w:tcW w:w="2676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B5BC59C" w14:textId="77777777" w:rsidR="00A84296" w:rsidRPr="00A84296" w:rsidRDefault="00A84296" w:rsidP="00A84296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Cs w:val="19"/>
                <w:lang w:eastAsia="pl-PL"/>
              </w:rPr>
            </w:pPr>
            <w:bookmarkStart w:id="1" w:name="OLE_LINK2"/>
            <w:r w:rsidRPr="00A84296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5121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auto"/>
              <w:right w:val="nil"/>
            </w:tcBorders>
            <w:vAlign w:val="center"/>
          </w:tcPr>
          <w:p w14:paraId="1AB8C6CB" w14:textId="5461153A" w:rsidR="00A84296" w:rsidRPr="00A84296" w:rsidRDefault="00A84296" w:rsidP="00A84296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</w:t>
            </w:r>
            <w:r w:rsidRPr="00A84296">
              <w:rPr>
                <w:color w:val="000000" w:themeColor="text1"/>
                <w:szCs w:val="19"/>
              </w:rPr>
              <w:t>1 2022</w:t>
            </w:r>
          </w:p>
        </w:tc>
      </w:tr>
      <w:tr w:rsidR="00A84296" w:rsidRPr="00A84296" w14:paraId="43E4DA85" w14:textId="77777777" w:rsidTr="002C4B21">
        <w:trPr>
          <w:trHeight w:val="19"/>
        </w:trPr>
        <w:tc>
          <w:tcPr>
            <w:tcW w:w="2676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194FE9F" w14:textId="77777777" w:rsidR="00A84296" w:rsidRPr="00A84296" w:rsidRDefault="00A8429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71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BF8D062" w14:textId="77777777" w:rsidR="00A84296" w:rsidRPr="00A84296" w:rsidRDefault="00A84296" w:rsidP="00A84296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A84296">
              <w:rPr>
                <w:color w:val="000000" w:themeColor="text1"/>
                <w:szCs w:val="19"/>
              </w:rPr>
              <w:t xml:space="preserve">Liczba </w:t>
            </w:r>
            <w:r w:rsidRPr="00A84296">
              <w:rPr>
                <w:color w:val="000000" w:themeColor="text1"/>
                <w:szCs w:val="19"/>
              </w:rPr>
              <w:br/>
              <w:t>mieszkań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5F2967" w14:textId="442861F9" w:rsidR="00A84296" w:rsidRPr="00A84296" w:rsidRDefault="00A84296" w:rsidP="00A84296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</w:t>
            </w:r>
            <w:r w:rsidRPr="00A84296">
              <w:rPr>
                <w:color w:val="000000" w:themeColor="text1"/>
                <w:szCs w:val="19"/>
              </w:rPr>
              <w:t>1 2021=100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4C425A5" w14:textId="77777777" w:rsidR="00A84296" w:rsidRPr="00A84296" w:rsidRDefault="00A84296" w:rsidP="00A84296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A84296">
              <w:rPr>
                <w:color w:val="000000" w:themeColor="text1"/>
                <w:szCs w:val="19"/>
              </w:rPr>
              <w:t>12 2021=100</w:t>
            </w:r>
          </w:p>
        </w:tc>
      </w:tr>
      <w:tr w:rsidR="00A84296" w:rsidRPr="00A84296" w14:paraId="6E88DAED" w14:textId="77777777" w:rsidTr="002C4B21">
        <w:trPr>
          <w:trHeight w:val="55"/>
        </w:trPr>
        <w:tc>
          <w:tcPr>
            <w:tcW w:w="2676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3DA00745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1719" w:type="dxa"/>
            <w:tcBorders>
              <w:top w:val="single" w:sz="12" w:space="0" w:color="212492"/>
            </w:tcBorders>
            <w:vAlign w:val="center"/>
          </w:tcPr>
          <w:p w14:paraId="3F43AB92" w14:textId="77777777" w:rsidR="00A84296" w:rsidRPr="00A84296" w:rsidRDefault="00A84296" w:rsidP="00A84296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 w:rsidRPr="00A84296">
              <w:rPr>
                <w:rFonts w:cs="Arial"/>
                <w:b/>
                <w:color w:val="000000" w:themeColor="text1"/>
                <w:szCs w:val="19"/>
              </w:rPr>
              <w:t>15 315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2219E126" w14:textId="77777777" w:rsidR="00A84296" w:rsidRPr="00A84296" w:rsidRDefault="00A84296" w:rsidP="00A84296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  <w:r w:rsidRPr="00A84296"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  <w:t>87,5</w:t>
            </w:r>
          </w:p>
        </w:tc>
        <w:tc>
          <w:tcPr>
            <w:tcW w:w="1701" w:type="dxa"/>
            <w:tcBorders>
              <w:top w:val="single" w:sz="12" w:space="0" w:color="212492"/>
              <w:right w:val="nil"/>
            </w:tcBorders>
            <w:vAlign w:val="center"/>
          </w:tcPr>
          <w:p w14:paraId="55DF31DD" w14:textId="77777777" w:rsidR="00A84296" w:rsidRPr="00A84296" w:rsidRDefault="00A84296" w:rsidP="00A84296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 w:rsidRPr="00A84296">
              <w:rPr>
                <w:rFonts w:cs="Arial"/>
                <w:b/>
                <w:color w:val="000000" w:themeColor="text1"/>
                <w:szCs w:val="19"/>
              </w:rPr>
              <w:t>58,1</w:t>
            </w:r>
          </w:p>
        </w:tc>
      </w:tr>
      <w:tr w:rsidR="00A84296" w:rsidRPr="00A84296" w14:paraId="0E08519C" w14:textId="77777777" w:rsidTr="002C4B21">
        <w:trPr>
          <w:trHeight w:val="55"/>
        </w:trPr>
        <w:tc>
          <w:tcPr>
            <w:tcW w:w="2676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343A8AB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t>Indywidualne</w:t>
            </w:r>
          </w:p>
        </w:tc>
        <w:tc>
          <w:tcPr>
            <w:tcW w:w="1719" w:type="dxa"/>
            <w:vAlign w:val="center"/>
          </w:tcPr>
          <w:p w14:paraId="25AA5142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7 124</w:t>
            </w:r>
          </w:p>
        </w:tc>
        <w:tc>
          <w:tcPr>
            <w:tcW w:w="1701" w:type="dxa"/>
            <w:vAlign w:val="center"/>
          </w:tcPr>
          <w:p w14:paraId="11FC201B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103,2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0685818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72,9</w:t>
            </w:r>
          </w:p>
        </w:tc>
      </w:tr>
      <w:tr w:rsidR="00A84296" w:rsidRPr="00A84296" w14:paraId="1897777F" w14:textId="77777777" w:rsidTr="002C4B21">
        <w:trPr>
          <w:trHeight w:val="55"/>
        </w:trPr>
        <w:tc>
          <w:tcPr>
            <w:tcW w:w="2676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02F8CAF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t xml:space="preserve">Przeznaczone na </w:t>
            </w: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br/>
              <w:t xml:space="preserve">sprzedaż lub wynajem </w:t>
            </w:r>
          </w:p>
        </w:tc>
        <w:tc>
          <w:tcPr>
            <w:tcW w:w="1719" w:type="dxa"/>
            <w:vAlign w:val="center"/>
          </w:tcPr>
          <w:p w14:paraId="6B350C8F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7 905</w:t>
            </w:r>
          </w:p>
        </w:tc>
        <w:tc>
          <w:tcPr>
            <w:tcW w:w="1701" w:type="dxa"/>
            <w:vAlign w:val="center"/>
          </w:tcPr>
          <w:p w14:paraId="6D2FB4DF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76,5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A3AB0A4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49,0</w:t>
            </w:r>
          </w:p>
        </w:tc>
      </w:tr>
      <w:tr w:rsidR="00A84296" w:rsidRPr="00A84296" w14:paraId="5ED4F881" w14:textId="77777777" w:rsidTr="002C4B21">
        <w:trPr>
          <w:trHeight w:val="55"/>
        </w:trPr>
        <w:tc>
          <w:tcPr>
            <w:tcW w:w="2676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5CFF68B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vertAlign w:val="superscript"/>
              </w:rPr>
            </w:pPr>
            <w:r w:rsidRPr="00A84296">
              <w:rPr>
                <w:rFonts w:eastAsiaTheme="majorEastAsia" w:cstheme="majorBidi"/>
                <w:szCs w:val="19"/>
              </w:rPr>
              <w:t xml:space="preserve">   w tym na wynajem</w:t>
            </w:r>
          </w:p>
        </w:tc>
        <w:tc>
          <w:tcPr>
            <w:tcW w:w="1719" w:type="dxa"/>
            <w:vAlign w:val="center"/>
          </w:tcPr>
          <w:p w14:paraId="1631D6D7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49</w:t>
            </w:r>
          </w:p>
        </w:tc>
        <w:tc>
          <w:tcPr>
            <w:tcW w:w="1701" w:type="dxa"/>
            <w:vAlign w:val="center"/>
          </w:tcPr>
          <w:p w14:paraId="110BAD42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46,2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08026478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33,6</w:t>
            </w:r>
          </w:p>
        </w:tc>
      </w:tr>
      <w:tr w:rsidR="00A84296" w:rsidRPr="00A84296" w14:paraId="5EBD0ABB" w14:textId="77777777" w:rsidTr="002C4B21">
        <w:trPr>
          <w:trHeight w:val="55"/>
        </w:trPr>
        <w:tc>
          <w:tcPr>
            <w:tcW w:w="2676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B4E4D73" w14:textId="77777777" w:rsidR="00A84296" w:rsidRPr="00A84296" w:rsidRDefault="00A84296" w:rsidP="00A84296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Cs w:val="19"/>
              </w:rPr>
            </w:pPr>
            <w:r w:rsidRPr="00A84296">
              <w:rPr>
                <w:rFonts w:cstheme="majorBidi"/>
                <w:color w:val="000000" w:themeColor="text1"/>
                <w:szCs w:val="19"/>
              </w:rPr>
              <w:t>Spółdzielcze</w:t>
            </w:r>
          </w:p>
        </w:tc>
        <w:tc>
          <w:tcPr>
            <w:tcW w:w="1719" w:type="dxa"/>
            <w:vAlign w:val="center"/>
          </w:tcPr>
          <w:p w14:paraId="75FDED6C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162</w:t>
            </w:r>
          </w:p>
        </w:tc>
        <w:tc>
          <w:tcPr>
            <w:tcW w:w="1701" w:type="dxa"/>
            <w:vAlign w:val="center"/>
          </w:tcPr>
          <w:p w14:paraId="298A2E5D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100,0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5216F71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87,1</w:t>
            </w:r>
          </w:p>
        </w:tc>
      </w:tr>
      <w:tr w:rsidR="00A84296" w:rsidRPr="00A84296" w14:paraId="086B3D62" w14:textId="77777777" w:rsidTr="002C4B21">
        <w:trPr>
          <w:trHeight w:val="55"/>
        </w:trPr>
        <w:tc>
          <w:tcPr>
            <w:tcW w:w="2676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51891E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Komunalne</w:t>
            </w:r>
          </w:p>
        </w:tc>
        <w:tc>
          <w:tcPr>
            <w:tcW w:w="1719" w:type="dxa"/>
            <w:vAlign w:val="center"/>
          </w:tcPr>
          <w:p w14:paraId="74060DED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21</w:t>
            </w:r>
          </w:p>
        </w:tc>
        <w:tc>
          <w:tcPr>
            <w:tcW w:w="1701" w:type="dxa"/>
            <w:vAlign w:val="center"/>
          </w:tcPr>
          <w:p w14:paraId="2751289F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22,8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F902869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60,0</w:t>
            </w:r>
          </w:p>
        </w:tc>
      </w:tr>
      <w:tr w:rsidR="00A84296" w:rsidRPr="00A84296" w14:paraId="3C74F7D7" w14:textId="77777777" w:rsidTr="002C4B21">
        <w:trPr>
          <w:trHeight w:val="334"/>
        </w:trPr>
        <w:tc>
          <w:tcPr>
            <w:tcW w:w="2676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1E882F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Społeczne czynszowe</w:t>
            </w:r>
          </w:p>
        </w:tc>
        <w:tc>
          <w:tcPr>
            <w:tcW w:w="1719" w:type="dxa"/>
            <w:vAlign w:val="center"/>
          </w:tcPr>
          <w:p w14:paraId="4F5B33A9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73</w:t>
            </w:r>
          </w:p>
        </w:tc>
        <w:tc>
          <w:tcPr>
            <w:tcW w:w="1701" w:type="dxa"/>
            <w:vAlign w:val="center"/>
          </w:tcPr>
          <w:p w14:paraId="78D9CA42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304,2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6314D72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38,6</w:t>
            </w:r>
          </w:p>
        </w:tc>
      </w:tr>
      <w:tr w:rsidR="00A84296" w:rsidRPr="00A84296" w14:paraId="4EB17B9D" w14:textId="77777777" w:rsidTr="002C4B21">
        <w:trPr>
          <w:trHeight w:val="55"/>
        </w:trPr>
        <w:tc>
          <w:tcPr>
            <w:tcW w:w="2676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E54BC62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Zakładowe</w:t>
            </w:r>
          </w:p>
        </w:tc>
        <w:tc>
          <w:tcPr>
            <w:tcW w:w="1719" w:type="dxa"/>
            <w:tcBorders>
              <w:bottom w:val="single" w:sz="4" w:space="0" w:color="212492"/>
            </w:tcBorders>
            <w:vAlign w:val="center"/>
          </w:tcPr>
          <w:p w14:paraId="43CBEE2B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017CB720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212492"/>
              <w:right w:val="nil"/>
            </w:tcBorders>
            <w:vAlign w:val="center"/>
          </w:tcPr>
          <w:p w14:paraId="2889EF63" w14:textId="26D376AA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75,0</w:t>
            </w:r>
          </w:p>
        </w:tc>
      </w:tr>
      <w:bookmarkEnd w:id="1"/>
    </w:tbl>
    <w:p w14:paraId="12C530BD" w14:textId="634786A1" w:rsidR="00354E9A" w:rsidRDefault="00354E9A" w:rsidP="00966C9A">
      <w:pPr>
        <w:pStyle w:val="Tablicanotka"/>
      </w:pPr>
    </w:p>
    <w:p w14:paraId="4A04BF68" w14:textId="77777777" w:rsidR="00354E9A" w:rsidRDefault="00354E9A">
      <w:pPr>
        <w:spacing w:before="0" w:after="160" w:line="259" w:lineRule="auto"/>
        <w:rPr>
          <w:noProof/>
          <w:spacing w:val="-2"/>
          <w:sz w:val="16"/>
          <w:szCs w:val="16"/>
        </w:rPr>
      </w:pPr>
      <w:r>
        <w:br w:type="page"/>
      </w:r>
    </w:p>
    <w:p w14:paraId="31EB7324" w14:textId="7C80BE90" w:rsidR="00DA331D" w:rsidRDefault="00354E9A" w:rsidP="00DA331D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0C738683">
                <wp:simplePos x="0" y="0"/>
                <wp:positionH relativeFrom="column">
                  <wp:posOffset>5253990</wp:posOffset>
                </wp:positionH>
                <wp:positionV relativeFrom="page">
                  <wp:posOffset>845820</wp:posOffset>
                </wp:positionV>
                <wp:extent cx="1725295" cy="1132205"/>
                <wp:effectExtent l="0" t="0" r="0" b="0"/>
                <wp:wrapTight wrapText="bothSides">
                  <wp:wrapPolygon edited="0">
                    <wp:start x="715" y="0"/>
                    <wp:lineTo x="715" y="21079"/>
                    <wp:lineTo x="20749" y="21079"/>
                    <wp:lineTo x="20749" y="0"/>
                    <wp:lineTo x="715" y="0"/>
                  </wp:wrapPolygon>
                </wp:wrapTight>
                <wp:docPr id="13" name="Pole tekstowe 13" descr="Liczba mieszkań, na których budowę wydano pozwolenia lub dokonano zgłoszenia z projektem budowlanym spadła styczniu 2022 r. o 5,4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A774" w14:textId="57868DB4" w:rsidR="00216634" w:rsidRPr="00E95B8E" w:rsidRDefault="00354E9A" w:rsidP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>
                              <w:t xml:space="preserve"> </w:t>
                            </w:r>
                            <w:r w:rsidR="00A84296" w:rsidRPr="00A84296">
                              <w:t xml:space="preserve">spadła </w:t>
                            </w:r>
                            <w:r>
                              <w:t>w</w:t>
                            </w:r>
                            <w:r w:rsidR="00665F10">
                              <w:t> styczniu</w:t>
                            </w:r>
                            <w:r>
                              <w:t xml:space="preserve"> 202</w:t>
                            </w:r>
                            <w:r w:rsidR="00665F10">
                              <w:t>2</w:t>
                            </w:r>
                            <w:r>
                              <w:t xml:space="preserve"> r.</w:t>
                            </w:r>
                            <w:r w:rsidR="00665F10">
                              <w:t xml:space="preserve"> o</w:t>
                            </w:r>
                            <w:r w:rsidR="00CE2AFA">
                              <w:t> </w:t>
                            </w:r>
                            <w:r w:rsidR="00665F10">
                              <w:t>5,4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DF10" id="Pole tekstowe 13" o:spid="_x0000_s1028" type="#_x0000_t202" alt="Liczba mieszkań, na których budowę wydano pozwolenia lub dokonano zgłoszenia z projektem budowlanym spadła styczniu 2022 r. o 5,4% r/r" style="position:absolute;margin-left:413.7pt;margin-top:66.6pt;width:135.8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" filled="f" stroked="f">
                <v:textbox>
                  <w:txbxContent>
                    <w:p w14:paraId="6F82A774" w14:textId="57868DB4" w:rsidR="00216634" w:rsidRPr="00E95B8E" w:rsidRDefault="00354E9A" w:rsidP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>
                        <w:t xml:space="preserve"> </w:t>
                      </w:r>
                      <w:r w:rsidR="00A84296" w:rsidRPr="00A84296">
                        <w:t xml:space="preserve">spadła </w:t>
                      </w:r>
                      <w:r>
                        <w:t>w</w:t>
                      </w:r>
                      <w:r w:rsidR="00665F10">
                        <w:t> styczniu</w:t>
                      </w:r>
                      <w:r>
                        <w:t xml:space="preserve"> 202</w:t>
                      </w:r>
                      <w:r w:rsidR="00665F10">
                        <w:t>2</w:t>
                      </w:r>
                      <w:r>
                        <w:t xml:space="preserve"> r.</w:t>
                      </w:r>
                      <w:r w:rsidR="00665F10">
                        <w:t xml:space="preserve"> o</w:t>
                      </w:r>
                      <w:r w:rsidR="00CE2AFA">
                        <w:t> </w:t>
                      </w:r>
                      <w:r w:rsidR="00665F10">
                        <w:t>5,4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354E9A">
        <w:rPr>
          <w:rFonts w:ascii="Fira Sans" w:hAnsi="Fira Sans"/>
          <w:b/>
          <w:szCs w:val="19"/>
        </w:rPr>
        <w:t>Mieszkania, na których budowę wydano pozwolenia lub dokonano zgłoszenia z projektem budowlanym</w:t>
      </w:r>
    </w:p>
    <w:p w14:paraId="512A5A5F" w14:textId="25178231" w:rsidR="00D972F6" w:rsidRDefault="00354E9A" w:rsidP="00AC280D">
      <w:pPr>
        <w:spacing w:after="0" w:line="288" w:lineRule="auto"/>
        <w:rPr>
          <w:shd w:val="clear" w:color="auto" w:fill="FFFFFF"/>
        </w:rPr>
      </w:pPr>
      <w:r w:rsidRPr="00354E9A">
        <w:rPr>
          <w:shd w:val="clear" w:color="auto" w:fill="FFFFFF"/>
        </w:rPr>
        <w:t>W</w:t>
      </w:r>
      <w:r w:rsidR="007110ED">
        <w:rPr>
          <w:shd w:val="clear" w:color="auto" w:fill="FFFFFF"/>
        </w:rPr>
        <w:t xml:space="preserve"> styczniu</w:t>
      </w:r>
      <w:r w:rsidRPr="00354E9A">
        <w:rPr>
          <w:shd w:val="clear" w:color="auto" w:fill="FFFFFF"/>
        </w:rPr>
        <w:t xml:space="preserve"> 202</w:t>
      </w:r>
      <w:r w:rsidR="007110ED">
        <w:rPr>
          <w:shd w:val="clear" w:color="auto" w:fill="FFFFFF"/>
        </w:rPr>
        <w:t>2</w:t>
      </w:r>
      <w:r w:rsidRPr="00354E9A">
        <w:rPr>
          <w:shd w:val="clear" w:color="auto" w:fill="FFFFFF"/>
        </w:rPr>
        <w:t xml:space="preserve"> r. wydano pozwolenia lub dokonano zgłoszenia budowy </w:t>
      </w:r>
      <w:r w:rsidR="007110ED">
        <w:rPr>
          <w:shd w:val="clear" w:color="auto" w:fill="FFFFFF"/>
        </w:rPr>
        <w:t>22,2</w:t>
      </w:r>
      <w:r w:rsidRPr="00354E9A">
        <w:rPr>
          <w:shd w:val="clear" w:color="auto" w:fill="FFFFFF"/>
        </w:rPr>
        <w:t xml:space="preserve"> tys. mieszkań, tj.</w:t>
      </w:r>
      <w:r>
        <w:rPr>
          <w:shd w:val="clear" w:color="auto" w:fill="FFFFFF"/>
        </w:rPr>
        <w:t> </w:t>
      </w:r>
      <w:r w:rsidRPr="00354E9A">
        <w:rPr>
          <w:shd w:val="clear" w:color="auto" w:fill="FFFFFF"/>
        </w:rPr>
        <w:t>o</w:t>
      </w:r>
      <w:r>
        <w:rPr>
          <w:shd w:val="clear" w:color="auto" w:fill="FFFFFF"/>
        </w:rPr>
        <w:t> </w:t>
      </w:r>
      <w:r w:rsidR="007110ED">
        <w:rPr>
          <w:shd w:val="clear" w:color="auto" w:fill="FFFFFF"/>
        </w:rPr>
        <w:t>5,4</w:t>
      </w:r>
      <w:r w:rsidRPr="00354E9A">
        <w:rPr>
          <w:shd w:val="clear" w:color="auto" w:fill="FFFFFF"/>
        </w:rPr>
        <w:t xml:space="preserve">% </w:t>
      </w:r>
      <w:r w:rsidR="009D1F9F">
        <w:rPr>
          <w:shd w:val="clear" w:color="auto" w:fill="FFFFFF"/>
        </w:rPr>
        <w:t xml:space="preserve">mniej </w:t>
      </w:r>
      <w:r w:rsidR="003F19DE" w:rsidRPr="00022429">
        <w:rPr>
          <w:shd w:val="clear" w:color="auto" w:fill="FFFFFF"/>
        </w:rPr>
        <w:t>niż w analogicznym miesiącu 2021 roku</w:t>
      </w:r>
      <w:r w:rsidRPr="00022429">
        <w:rPr>
          <w:shd w:val="clear" w:color="auto" w:fill="FFFFFF"/>
        </w:rPr>
        <w:t>.</w:t>
      </w:r>
      <w:r w:rsidRPr="00354E9A">
        <w:rPr>
          <w:shd w:val="clear" w:color="auto" w:fill="FFFFFF"/>
        </w:rPr>
        <w:t xml:space="preserve"> Pozwolenia na budowę największej liczby mieszkań otrzymali deweloperzy (</w:t>
      </w:r>
      <w:r w:rsidR="007110ED">
        <w:rPr>
          <w:shd w:val="clear" w:color="auto" w:fill="FFFFFF"/>
        </w:rPr>
        <w:t>15,6</w:t>
      </w:r>
      <w:r w:rsidRPr="00354E9A">
        <w:rPr>
          <w:shd w:val="clear" w:color="auto" w:fill="FFFFFF"/>
        </w:rPr>
        <w:t xml:space="preserve"> tys., wzrost o 3,</w:t>
      </w:r>
      <w:r w:rsidR="007110ED">
        <w:rPr>
          <w:shd w:val="clear" w:color="auto" w:fill="FFFFFF"/>
        </w:rPr>
        <w:t>1</w:t>
      </w:r>
      <w:r w:rsidRPr="00354E9A">
        <w:rPr>
          <w:shd w:val="clear" w:color="auto" w:fill="FFFFFF"/>
        </w:rPr>
        <w:t>% r/r) oraz inwestorzy indywidualni (</w:t>
      </w:r>
      <w:r w:rsidR="007110ED">
        <w:rPr>
          <w:shd w:val="clear" w:color="auto" w:fill="FFFFFF"/>
        </w:rPr>
        <w:t>6,5</w:t>
      </w:r>
      <w:r w:rsidRPr="00354E9A">
        <w:rPr>
          <w:shd w:val="clear" w:color="auto" w:fill="FFFFFF"/>
        </w:rPr>
        <w:t xml:space="preserve"> tys., </w:t>
      </w:r>
      <w:r w:rsidR="007110ED">
        <w:rPr>
          <w:shd w:val="clear" w:color="auto" w:fill="FFFFFF"/>
        </w:rPr>
        <w:t>spadek</w:t>
      </w:r>
      <w:r w:rsidRPr="00354E9A">
        <w:rPr>
          <w:shd w:val="clear" w:color="auto" w:fill="FFFFFF"/>
        </w:rPr>
        <w:t xml:space="preserve"> o</w:t>
      </w:r>
      <w:r>
        <w:rPr>
          <w:shd w:val="clear" w:color="auto" w:fill="FFFFFF"/>
        </w:rPr>
        <w:t> </w:t>
      </w:r>
      <w:r w:rsidR="007110ED">
        <w:rPr>
          <w:shd w:val="clear" w:color="auto" w:fill="FFFFFF"/>
        </w:rPr>
        <w:t>20,9</w:t>
      </w:r>
      <w:r w:rsidRPr="00354E9A">
        <w:rPr>
          <w:shd w:val="clear" w:color="auto" w:fill="FFFFFF"/>
        </w:rPr>
        <w:t xml:space="preserve">%). Łącznie w ramach tych form budownictwa otrzymano pozwolenia lub dokonano zgłoszenia budowy z projektem budowlanym dla </w:t>
      </w:r>
      <w:r w:rsidR="007110ED">
        <w:rPr>
          <w:shd w:val="clear" w:color="auto" w:fill="FFFFFF"/>
        </w:rPr>
        <w:t>99,5</w:t>
      </w:r>
      <w:r w:rsidRPr="00354E9A">
        <w:rPr>
          <w:shd w:val="clear" w:color="auto" w:fill="FFFFFF"/>
        </w:rPr>
        <w:t>% ogółu mieszkań. W</w:t>
      </w:r>
      <w:r w:rsidR="002C4B21">
        <w:rPr>
          <w:shd w:val="clear" w:color="auto" w:fill="FFFFFF"/>
        </w:rPr>
        <w:t> </w:t>
      </w:r>
      <w:r w:rsidRPr="00354E9A">
        <w:rPr>
          <w:shd w:val="clear" w:color="auto" w:fill="FFFFFF"/>
        </w:rPr>
        <w:t xml:space="preserve">pozostałych formach budownictwa odnotowano </w:t>
      </w:r>
      <w:r w:rsidR="007110ED">
        <w:rPr>
          <w:shd w:val="clear" w:color="auto" w:fill="FFFFFF"/>
        </w:rPr>
        <w:t>116</w:t>
      </w:r>
      <w:r w:rsidRPr="00354E9A">
        <w:rPr>
          <w:shd w:val="clear" w:color="auto" w:fill="FFFFFF"/>
        </w:rPr>
        <w:t xml:space="preserve"> mie</w:t>
      </w:r>
      <w:r w:rsidR="007110ED">
        <w:rPr>
          <w:shd w:val="clear" w:color="auto" w:fill="FFFFFF"/>
        </w:rPr>
        <w:t>szkań, na których budowę wyda</w:t>
      </w:r>
      <w:r w:rsidRPr="00354E9A">
        <w:rPr>
          <w:shd w:val="clear" w:color="auto" w:fill="FFFFFF"/>
        </w:rPr>
        <w:t>no pozwolenia lub dokonano zgłoszenia z projektem budowlanym (</w:t>
      </w:r>
      <w:r w:rsidR="007110ED">
        <w:rPr>
          <w:shd w:val="clear" w:color="auto" w:fill="FFFFFF"/>
        </w:rPr>
        <w:t>120</w:t>
      </w:r>
      <w:r w:rsidRPr="00354E9A">
        <w:rPr>
          <w:shd w:val="clear" w:color="auto" w:fill="FFFFFF"/>
        </w:rPr>
        <w:t xml:space="preserve"> mieszkań w roku ubiegłym).</w:t>
      </w:r>
    </w:p>
    <w:p w14:paraId="3863D452" w14:textId="6617EA9E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2"/>
        <w:tblpPr w:leftFromText="141" w:rightFromText="141" w:vertAnchor="text" w:horzAnchor="margin" w:tblpY="98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771"/>
        <w:gridCol w:w="1765"/>
        <w:gridCol w:w="1701"/>
        <w:gridCol w:w="1560"/>
      </w:tblGrid>
      <w:tr w:rsidR="00A84296" w:rsidRPr="00A84296" w14:paraId="5DB972DF" w14:textId="77777777" w:rsidTr="00A84296">
        <w:trPr>
          <w:trHeight w:val="19"/>
        </w:trPr>
        <w:tc>
          <w:tcPr>
            <w:tcW w:w="2771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B80DBCF" w14:textId="77777777" w:rsidR="00A84296" w:rsidRPr="00A84296" w:rsidRDefault="00A84296" w:rsidP="00A84296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Cs w:val="19"/>
                <w:lang w:eastAsia="pl-PL"/>
              </w:rPr>
            </w:pPr>
            <w:r w:rsidRPr="00A84296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5026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97D79E0" w14:textId="72B6BE1C" w:rsidR="00A84296" w:rsidRPr="00A84296" w:rsidRDefault="00A84296" w:rsidP="00A84296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</w:t>
            </w:r>
            <w:r w:rsidRPr="00A84296">
              <w:rPr>
                <w:color w:val="000000" w:themeColor="text1"/>
                <w:szCs w:val="19"/>
              </w:rPr>
              <w:t>1 2022</w:t>
            </w:r>
          </w:p>
        </w:tc>
      </w:tr>
      <w:tr w:rsidR="00A84296" w:rsidRPr="00A84296" w14:paraId="0C7B7FA1" w14:textId="77777777" w:rsidTr="002C4B21">
        <w:trPr>
          <w:trHeight w:val="19"/>
        </w:trPr>
        <w:tc>
          <w:tcPr>
            <w:tcW w:w="2771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E78AF74" w14:textId="77777777" w:rsidR="00A84296" w:rsidRPr="00A84296" w:rsidRDefault="00A8429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765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66EFB1D5" w14:textId="77777777" w:rsidR="00A84296" w:rsidRPr="00A84296" w:rsidRDefault="00A84296" w:rsidP="00A84296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A84296">
              <w:rPr>
                <w:color w:val="000000" w:themeColor="text1"/>
                <w:szCs w:val="19"/>
              </w:rPr>
              <w:t xml:space="preserve">Liczba </w:t>
            </w:r>
            <w:r w:rsidRPr="00A84296">
              <w:rPr>
                <w:color w:val="000000" w:themeColor="text1"/>
                <w:szCs w:val="19"/>
              </w:rPr>
              <w:br/>
              <w:t>mieszkań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1486172B" w14:textId="5220C029" w:rsidR="00A84296" w:rsidRPr="00A84296" w:rsidRDefault="00A84296" w:rsidP="00A84296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</w:t>
            </w:r>
            <w:r w:rsidRPr="00A84296">
              <w:rPr>
                <w:color w:val="000000" w:themeColor="text1"/>
                <w:szCs w:val="19"/>
              </w:rPr>
              <w:t>1 2021=100</w:t>
            </w:r>
          </w:p>
        </w:tc>
        <w:tc>
          <w:tcPr>
            <w:tcW w:w="1560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733777A" w14:textId="77777777" w:rsidR="00A84296" w:rsidRPr="00A84296" w:rsidRDefault="00A84296" w:rsidP="00A84296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A84296">
              <w:rPr>
                <w:color w:val="000000" w:themeColor="text1"/>
                <w:szCs w:val="19"/>
              </w:rPr>
              <w:t>12 2021=100</w:t>
            </w:r>
          </w:p>
        </w:tc>
      </w:tr>
      <w:tr w:rsidR="00A84296" w:rsidRPr="00A84296" w14:paraId="39C73413" w14:textId="77777777" w:rsidTr="002C4B21">
        <w:trPr>
          <w:trHeight w:val="55"/>
        </w:trPr>
        <w:tc>
          <w:tcPr>
            <w:tcW w:w="2771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78DC0426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1765" w:type="dxa"/>
            <w:tcBorders>
              <w:top w:val="single" w:sz="12" w:space="0" w:color="212492"/>
            </w:tcBorders>
            <w:vAlign w:val="center"/>
          </w:tcPr>
          <w:p w14:paraId="2B981CA4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 w:rsidRPr="00A84296">
              <w:rPr>
                <w:rFonts w:cs="Arial"/>
                <w:b/>
                <w:color w:val="000000" w:themeColor="text1"/>
                <w:szCs w:val="19"/>
              </w:rPr>
              <w:t>22 221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058F9CB8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 w:rsidRPr="00A84296">
              <w:rPr>
                <w:rFonts w:cs="Arial"/>
                <w:b/>
                <w:color w:val="000000" w:themeColor="text1"/>
                <w:szCs w:val="19"/>
              </w:rPr>
              <w:t>94,6</w:t>
            </w:r>
          </w:p>
        </w:tc>
        <w:tc>
          <w:tcPr>
            <w:tcW w:w="1560" w:type="dxa"/>
            <w:tcBorders>
              <w:top w:val="single" w:sz="12" w:space="0" w:color="212492"/>
              <w:right w:val="nil"/>
            </w:tcBorders>
            <w:vAlign w:val="center"/>
          </w:tcPr>
          <w:p w14:paraId="717BE9DA" w14:textId="77777777" w:rsidR="00A84296" w:rsidRPr="00A84296" w:rsidRDefault="00A84296" w:rsidP="00A84296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 w:rsidRPr="00A84296">
              <w:rPr>
                <w:rFonts w:cs="Arial"/>
                <w:b/>
                <w:color w:val="000000" w:themeColor="text1"/>
                <w:szCs w:val="19"/>
              </w:rPr>
              <w:t>67,9</w:t>
            </w:r>
          </w:p>
        </w:tc>
      </w:tr>
      <w:tr w:rsidR="00A84296" w:rsidRPr="00A84296" w14:paraId="64E5380A" w14:textId="77777777" w:rsidTr="002C4B21">
        <w:trPr>
          <w:trHeight w:val="55"/>
        </w:trPr>
        <w:tc>
          <w:tcPr>
            <w:tcW w:w="2771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A259BB0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t>Indywidualne</w:t>
            </w:r>
          </w:p>
        </w:tc>
        <w:tc>
          <w:tcPr>
            <w:tcW w:w="1765" w:type="dxa"/>
            <w:vAlign w:val="center"/>
          </w:tcPr>
          <w:p w14:paraId="7FD28028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6 505</w:t>
            </w:r>
          </w:p>
        </w:tc>
        <w:tc>
          <w:tcPr>
            <w:tcW w:w="1701" w:type="dxa"/>
            <w:vAlign w:val="center"/>
          </w:tcPr>
          <w:p w14:paraId="498B7AD6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79,1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06F44AC6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78,9</w:t>
            </w:r>
          </w:p>
        </w:tc>
      </w:tr>
      <w:tr w:rsidR="00A84296" w:rsidRPr="00A84296" w14:paraId="246336FC" w14:textId="77777777" w:rsidTr="002C4B21">
        <w:trPr>
          <w:trHeight w:val="55"/>
        </w:trPr>
        <w:tc>
          <w:tcPr>
            <w:tcW w:w="2771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8A3B49E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t xml:space="preserve">Przeznaczone na </w:t>
            </w: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br/>
              <w:t xml:space="preserve">sprzedaż lub wynajem </w:t>
            </w:r>
          </w:p>
        </w:tc>
        <w:tc>
          <w:tcPr>
            <w:tcW w:w="1765" w:type="dxa"/>
            <w:vAlign w:val="center"/>
          </w:tcPr>
          <w:p w14:paraId="4B54FB32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15 600</w:t>
            </w:r>
          </w:p>
        </w:tc>
        <w:tc>
          <w:tcPr>
            <w:tcW w:w="1701" w:type="dxa"/>
            <w:vAlign w:val="center"/>
          </w:tcPr>
          <w:p w14:paraId="1635994A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103,1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2146637B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66,3</w:t>
            </w:r>
          </w:p>
        </w:tc>
      </w:tr>
      <w:tr w:rsidR="00A84296" w:rsidRPr="00A84296" w14:paraId="656E60B9" w14:textId="77777777" w:rsidTr="002C4B21">
        <w:trPr>
          <w:trHeight w:val="55"/>
        </w:trPr>
        <w:tc>
          <w:tcPr>
            <w:tcW w:w="2771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D411819" w14:textId="77777777" w:rsidR="00A84296" w:rsidRPr="00A84296" w:rsidRDefault="00A84296" w:rsidP="00A84296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Cs w:val="19"/>
              </w:rPr>
            </w:pPr>
            <w:r w:rsidRPr="00A84296">
              <w:rPr>
                <w:rFonts w:cstheme="majorBidi"/>
                <w:color w:val="000000" w:themeColor="text1"/>
                <w:szCs w:val="19"/>
              </w:rPr>
              <w:t>Spółdzielcze</w:t>
            </w:r>
          </w:p>
        </w:tc>
        <w:tc>
          <w:tcPr>
            <w:tcW w:w="1765" w:type="dxa"/>
            <w:vAlign w:val="center"/>
          </w:tcPr>
          <w:p w14:paraId="1546338D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50</w:t>
            </w:r>
          </w:p>
        </w:tc>
        <w:tc>
          <w:tcPr>
            <w:tcW w:w="1701" w:type="dxa"/>
            <w:vAlign w:val="center"/>
          </w:tcPr>
          <w:p w14:paraId="4134721A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66,7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140A2D09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46,3</w:t>
            </w:r>
          </w:p>
        </w:tc>
      </w:tr>
      <w:tr w:rsidR="00A84296" w:rsidRPr="00A84296" w14:paraId="0B56E81A" w14:textId="77777777" w:rsidTr="002C4B21">
        <w:trPr>
          <w:trHeight w:val="55"/>
        </w:trPr>
        <w:tc>
          <w:tcPr>
            <w:tcW w:w="2771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6818AB9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Komunalne</w:t>
            </w:r>
          </w:p>
        </w:tc>
        <w:tc>
          <w:tcPr>
            <w:tcW w:w="1765" w:type="dxa"/>
            <w:vAlign w:val="center"/>
          </w:tcPr>
          <w:p w14:paraId="42B3BC2A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65</w:t>
            </w:r>
          </w:p>
        </w:tc>
        <w:tc>
          <w:tcPr>
            <w:tcW w:w="1701" w:type="dxa"/>
            <w:vAlign w:val="center"/>
          </w:tcPr>
          <w:p w14:paraId="044672C0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232,1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7D7C2E1C" w14:textId="50BF8758" w:rsidR="00A84296" w:rsidRDefault="000E33F1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ponad 13</w:t>
            </w:r>
            <w:r w:rsidR="00A84296">
              <w:rPr>
                <w:rFonts w:cs="Arial"/>
                <w:szCs w:val="19"/>
              </w:rPr>
              <w:t>–</w:t>
            </w:r>
          </w:p>
          <w:p w14:paraId="1DACDAE9" w14:textId="2001F5CA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 xml:space="preserve">krotnie </w:t>
            </w:r>
            <w:r>
              <w:rPr>
                <w:rFonts w:cs="Arial"/>
                <w:szCs w:val="19"/>
              </w:rPr>
              <w:t>mniej</w:t>
            </w:r>
          </w:p>
        </w:tc>
      </w:tr>
      <w:tr w:rsidR="00A84296" w:rsidRPr="00A84296" w14:paraId="717707D6" w14:textId="77777777" w:rsidTr="002C4B21">
        <w:trPr>
          <w:trHeight w:val="337"/>
        </w:trPr>
        <w:tc>
          <w:tcPr>
            <w:tcW w:w="2771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012DD8D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Społeczne czynszowe</w:t>
            </w:r>
          </w:p>
        </w:tc>
        <w:tc>
          <w:tcPr>
            <w:tcW w:w="1765" w:type="dxa"/>
            <w:vAlign w:val="center"/>
          </w:tcPr>
          <w:p w14:paraId="0ECA353B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-</w:t>
            </w:r>
          </w:p>
        </w:tc>
        <w:tc>
          <w:tcPr>
            <w:tcW w:w="1701" w:type="dxa"/>
            <w:vAlign w:val="center"/>
          </w:tcPr>
          <w:p w14:paraId="7E68C516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.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145DE717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.</w:t>
            </w:r>
          </w:p>
        </w:tc>
      </w:tr>
      <w:tr w:rsidR="00A84296" w:rsidRPr="00A84296" w14:paraId="63A8A3B8" w14:textId="77777777" w:rsidTr="002C4B21">
        <w:trPr>
          <w:trHeight w:val="55"/>
        </w:trPr>
        <w:tc>
          <w:tcPr>
            <w:tcW w:w="2771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E749C91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Zakładowe</w:t>
            </w:r>
          </w:p>
        </w:tc>
        <w:tc>
          <w:tcPr>
            <w:tcW w:w="1765" w:type="dxa"/>
            <w:tcBorders>
              <w:bottom w:val="single" w:sz="4" w:space="0" w:color="212492"/>
            </w:tcBorders>
            <w:vAlign w:val="center"/>
          </w:tcPr>
          <w:p w14:paraId="5AA76262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62761F3E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50,0</w:t>
            </w:r>
          </w:p>
        </w:tc>
        <w:tc>
          <w:tcPr>
            <w:tcW w:w="1560" w:type="dxa"/>
            <w:tcBorders>
              <w:bottom w:val="single" w:sz="4" w:space="0" w:color="212492"/>
              <w:right w:val="nil"/>
            </w:tcBorders>
            <w:vAlign w:val="center"/>
          </w:tcPr>
          <w:p w14:paraId="68997EF6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25,0</w:t>
            </w:r>
          </w:p>
        </w:tc>
      </w:tr>
    </w:tbl>
    <w:p w14:paraId="56503EA0" w14:textId="77777777" w:rsidR="00AC280D" w:rsidRPr="00AC280D" w:rsidRDefault="00AC280D" w:rsidP="00AC280D">
      <w:pPr>
        <w:spacing w:before="0" w:after="0"/>
        <w:rPr>
          <w:lang w:eastAsia="pl-PL"/>
        </w:rPr>
      </w:pPr>
    </w:p>
    <w:p w14:paraId="4B75305E" w14:textId="0F9DC0E0"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14:paraId="2CD51E8E" w14:textId="11EA68CC" w:rsidR="00DA331D" w:rsidRDefault="00AC280D" w:rsidP="00AC280D">
      <w:pPr>
        <w:spacing w:after="0" w:line="288" w:lineRule="auto"/>
        <w:rPr>
          <w:shd w:val="clear" w:color="auto" w:fill="FFFFFF"/>
        </w:rPr>
      </w:pPr>
      <w:r w:rsidRPr="002A3E97">
        <w:rPr>
          <w:noProof/>
          <w:lang w:eastAsia="pl-PL"/>
        </w:rPr>
        <w:t xml:space="preserve">W </w:t>
      </w:r>
      <w:r w:rsidR="00F94EDD" w:rsidRPr="00022429">
        <w:rPr>
          <w:noProof/>
          <w:lang w:eastAsia="pl-PL"/>
        </w:rPr>
        <w:t xml:space="preserve">styczniu </w:t>
      </w:r>
      <w:r w:rsidRPr="002D020F">
        <w:rPr>
          <w:noProof/>
          <w:lang w:eastAsia="pl-PL"/>
        </w:rPr>
        <w:t>202</w:t>
      </w:r>
      <w:r w:rsidR="005566DA">
        <w:rPr>
          <w:noProof/>
          <w:lang w:eastAsia="pl-PL"/>
        </w:rPr>
        <w:t>2</w:t>
      </w:r>
      <w:r w:rsidRPr="002D020F">
        <w:rPr>
          <w:noProof/>
          <w:lang w:eastAsia="pl-PL"/>
        </w:rPr>
        <w:t xml:space="preserve"> r. rozpoczęto budowę </w:t>
      </w:r>
      <w:r w:rsidR="005566DA">
        <w:rPr>
          <w:noProof/>
          <w:lang w:eastAsia="pl-PL"/>
        </w:rPr>
        <w:t>11,8</w:t>
      </w:r>
      <w:r>
        <w:rPr>
          <w:noProof/>
          <w:lang w:eastAsia="pl-PL"/>
        </w:rPr>
        <w:t xml:space="preserve"> </w:t>
      </w:r>
      <w:r w:rsidRPr="002D020F">
        <w:rPr>
          <w:shd w:val="clear" w:color="auto" w:fill="FFFFFF"/>
        </w:rPr>
        <w:t xml:space="preserve">tys. </w:t>
      </w:r>
      <w:r w:rsidRPr="00FC1915">
        <w:rPr>
          <w:shd w:val="clear" w:color="auto" w:fill="FFFFFF"/>
        </w:rPr>
        <w:t xml:space="preserve">mieszkań, tj. o </w:t>
      </w:r>
      <w:r w:rsidR="005566DA">
        <w:rPr>
          <w:shd w:val="clear" w:color="auto" w:fill="FFFFFF"/>
        </w:rPr>
        <w:t>32,3</w:t>
      </w:r>
      <w:r w:rsidRPr="00FC1915">
        <w:rPr>
          <w:shd w:val="clear" w:color="auto" w:fill="FFFFFF"/>
        </w:rPr>
        <w:t xml:space="preserve">% </w:t>
      </w:r>
      <w:r w:rsidR="005566DA">
        <w:rPr>
          <w:shd w:val="clear" w:color="auto" w:fill="FFFFFF"/>
        </w:rPr>
        <w:t>mniej</w:t>
      </w:r>
      <w:r w:rsidRPr="00FC1915">
        <w:rPr>
          <w:shd w:val="clear" w:color="auto" w:fill="FFFFFF"/>
        </w:rPr>
        <w:t xml:space="preserve"> niż przed rokiem. </w:t>
      </w:r>
      <w:r w:rsidRPr="00FB77D1">
        <w:rPr>
          <w:shd w:val="clear" w:color="auto" w:fill="FFFFFF"/>
        </w:rPr>
        <w:t xml:space="preserve">Deweloperzy rozpoczęli budowę </w:t>
      </w:r>
      <w:r w:rsidR="005566DA" w:rsidRPr="00FB77D1">
        <w:rPr>
          <w:shd w:val="clear" w:color="auto" w:fill="FFFFFF"/>
        </w:rPr>
        <w:t>7,3</w:t>
      </w:r>
      <w:r w:rsidRPr="00FB77D1">
        <w:rPr>
          <w:shd w:val="clear" w:color="auto" w:fill="FFFFFF"/>
        </w:rPr>
        <w:t xml:space="preserve"> tys.</w:t>
      </w:r>
      <w:r w:rsidRPr="00FB77D1">
        <w:rPr>
          <w:color w:val="FF0000"/>
          <w:shd w:val="clear" w:color="auto" w:fill="FFFFFF"/>
        </w:rPr>
        <w:t xml:space="preserve"> </w:t>
      </w:r>
      <w:r w:rsidRPr="00FB77D1">
        <w:rPr>
          <w:shd w:val="clear" w:color="auto" w:fill="FFFFFF"/>
        </w:rPr>
        <w:t>mieszkań (</w:t>
      </w:r>
      <w:r w:rsidRPr="00FB77D1">
        <w:t xml:space="preserve">o </w:t>
      </w:r>
      <w:r w:rsidR="005566DA" w:rsidRPr="00FB77D1">
        <w:t>40,9</w:t>
      </w:r>
      <w:r w:rsidRPr="00FB77D1">
        <w:t>%</w:t>
      </w:r>
      <w:r w:rsidRPr="00FB77D1">
        <w:rPr>
          <w:shd w:val="clear" w:color="auto" w:fill="FFFFFF"/>
        </w:rPr>
        <w:t xml:space="preserve"> </w:t>
      </w:r>
      <w:r w:rsidR="005566DA" w:rsidRPr="00FB77D1">
        <w:rPr>
          <w:shd w:val="clear" w:color="auto" w:fill="FFFFFF"/>
        </w:rPr>
        <w:t>mniej</w:t>
      </w:r>
      <w:r w:rsidRPr="00FB77D1">
        <w:rPr>
          <w:shd w:val="clear" w:color="auto" w:fill="FFFFFF"/>
        </w:rPr>
        <w:t xml:space="preserve">), a inwestorzy indywidualni </w:t>
      </w:r>
      <w:r w:rsidR="005566DA" w:rsidRPr="00FB77D1">
        <w:rPr>
          <w:shd w:val="clear" w:color="auto" w:fill="FFFFFF"/>
        </w:rPr>
        <w:t>4,3</w:t>
      </w:r>
      <w:r w:rsidRPr="00FB77D1">
        <w:rPr>
          <w:shd w:val="clear" w:color="auto" w:fill="FFFFFF"/>
        </w:rPr>
        <w:t xml:space="preserve"> tys. (o </w:t>
      </w:r>
      <w:r w:rsidR="005566DA" w:rsidRPr="00FB77D1">
        <w:rPr>
          <w:shd w:val="clear" w:color="auto" w:fill="FFFFFF"/>
        </w:rPr>
        <w:t>8,2% mniej</w:t>
      </w:r>
      <w:r w:rsidRPr="00FB77D1">
        <w:rPr>
          <w:shd w:val="clear" w:color="auto" w:fill="FFFFFF"/>
        </w:rPr>
        <w:t xml:space="preserve">). Łącznie udział tych form budownictwa wyniósł </w:t>
      </w:r>
      <w:r w:rsidR="005566DA" w:rsidRPr="00FB77D1">
        <w:rPr>
          <w:shd w:val="clear" w:color="auto" w:fill="FFFFFF"/>
        </w:rPr>
        <w:t>99,1</w:t>
      </w:r>
      <w:r w:rsidRPr="00FB77D1">
        <w:rPr>
          <w:shd w:val="clear" w:color="auto" w:fill="FFFFFF"/>
        </w:rPr>
        <w:t>% ogólnej liczby mieszkań</w:t>
      </w:r>
      <w:r w:rsidRPr="00FF30DF">
        <w:rPr>
          <w:shd w:val="clear" w:color="auto" w:fill="FFFFFF"/>
        </w:rPr>
        <w:t xml:space="preserve">. W </w:t>
      </w:r>
      <w:r w:rsidRPr="00FB77D1">
        <w:rPr>
          <w:shd w:val="clear" w:color="auto" w:fill="FFFFFF"/>
        </w:rPr>
        <w:t>pozostałych formach</w:t>
      </w:r>
      <w:r w:rsidRPr="00FF30DF">
        <w:rPr>
          <w:shd w:val="clear" w:color="auto" w:fill="FFFFFF"/>
        </w:rPr>
        <w:t xml:space="preserve"> budownictwa rozpoczęto budowę </w:t>
      </w:r>
      <w:r w:rsidR="005566DA">
        <w:rPr>
          <w:shd w:val="clear" w:color="auto" w:fill="FFFFFF"/>
        </w:rPr>
        <w:t>111</w:t>
      </w:r>
      <w:r w:rsidRPr="00FF30DF">
        <w:rPr>
          <w:shd w:val="clear" w:color="auto" w:fill="FFFFFF"/>
        </w:rPr>
        <w:t> </w:t>
      </w:r>
      <w:r w:rsidRPr="00F60AAF">
        <w:rPr>
          <w:shd w:val="clear" w:color="auto" w:fill="FFFFFF"/>
        </w:rPr>
        <w:t>mieszkań</w:t>
      </w:r>
      <w:r w:rsidRPr="00FF30DF">
        <w:rPr>
          <w:shd w:val="clear" w:color="auto" w:fill="FFFFFF"/>
        </w:rPr>
        <w:t xml:space="preserve"> (</w:t>
      </w:r>
      <w:r w:rsidR="005566DA">
        <w:rPr>
          <w:shd w:val="clear" w:color="auto" w:fill="FFFFFF"/>
        </w:rPr>
        <w:t>252</w:t>
      </w:r>
      <w:r w:rsidR="00022429">
        <w:rPr>
          <w:shd w:val="clear" w:color="auto" w:fill="FFFFFF"/>
        </w:rPr>
        <w:t xml:space="preserve"> </w:t>
      </w:r>
      <w:r w:rsidRPr="002D020F">
        <w:rPr>
          <w:shd w:val="clear" w:color="auto" w:fill="FFFFFF"/>
        </w:rPr>
        <w:t>w roku poprzednim).</w:t>
      </w:r>
    </w:p>
    <w:p w14:paraId="6EDD2FD5" w14:textId="717AEC3F" w:rsidR="00AC280D" w:rsidRPr="00F049AB" w:rsidRDefault="00AC280D" w:rsidP="00AC280D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3"/>
        <w:tblpPr w:leftFromText="141" w:rightFromText="141" w:vertAnchor="text" w:horzAnchor="margin" w:tblpY="98"/>
        <w:tblW w:w="7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552"/>
        <w:gridCol w:w="1701"/>
        <w:gridCol w:w="1843"/>
        <w:gridCol w:w="1508"/>
      </w:tblGrid>
      <w:tr w:rsidR="00A84296" w:rsidRPr="00A84296" w14:paraId="38A7B7A7" w14:textId="77777777" w:rsidTr="008D0A87">
        <w:trPr>
          <w:trHeight w:val="19"/>
        </w:trPr>
        <w:tc>
          <w:tcPr>
            <w:tcW w:w="2552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87490AF" w14:textId="77777777" w:rsidR="00A84296" w:rsidRPr="00A84296" w:rsidRDefault="00A84296" w:rsidP="00A84296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Cs w:val="19"/>
                <w:lang w:eastAsia="pl-PL"/>
              </w:rPr>
            </w:pPr>
            <w:r w:rsidRPr="00A84296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5052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auto"/>
              <w:right w:val="nil"/>
            </w:tcBorders>
            <w:vAlign w:val="center"/>
          </w:tcPr>
          <w:p w14:paraId="0ADF6EBB" w14:textId="4FF3F6F7" w:rsidR="00A84296" w:rsidRPr="00A84296" w:rsidRDefault="00A84296" w:rsidP="00A84296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</w:t>
            </w:r>
            <w:r w:rsidRPr="00A84296">
              <w:rPr>
                <w:color w:val="000000" w:themeColor="text1"/>
                <w:szCs w:val="19"/>
              </w:rPr>
              <w:t>1 2022</w:t>
            </w:r>
          </w:p>
        </w:tc>
      </w:tr>
      <w:tr w:rsidR="00A84296" w:rsidRPr="00A84296" w14:paraId="73BEF4A9" w14:textId="77777777" w:rsidTr="008D0A87">
        <w:trPr>
          <w:trHeight w:val="19"/>
        </w:trPr>
        <w:tc>
          <w:tcPr>
            <w:tcW w:w="2552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153D5298" w14:textId="77777777" w:rsidR="00A84296" w:rsidRPr="00A84296" w:rsidRDefault="00A8429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6C964B49" w14:textId="77777777" w:rsidR="00A84296" w:rsidRPr="00A84296" w:rsidRDefault="00A84296" w:rsidP="00A84296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A84296">
              <w:rPr>
                <w:color w:val="000000" w:themeColor="text1"/>
                <w:szCs w:val="19"/>
              </w:rPr>
              <w:t xml:space="preserve">Liczba </w:t>
            </w:r>
            <w:r w:rsidRPr="00A84296">
              <w:rPr>
                <w:color w:val="000000" w:themeColor="text1"/>
                <w:szCs w:val="19"/>
              </w:rPr>
              <w:br/>
              <w:t>mieszkań</w:t>
            </w:r>
          </w:p>
        </w:tc>
        <w:tc>
          <w:tcPr>
            <w:tcW w:w="1843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5CD326F4" w14:textId="22F6236E" w:rsidR="00A84296" w:rsidRPr="00A84296" w:rsidRDefault="00A84296" w:rsidP="00A84296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</w:t>
            </w:r>
            <w:r w:rsidRPr="00A84296">
              <w:rPr>
                <w:color w:val="000000" w:themeColor="text1"/>
                <w:szCs w:val="19"/>
              </w:rPr>
              <w:t>1 2021=100</w:t>
            </w:r>
          </w:p>
        </w:tc>
        <w:tc>
          <w:tcPr>
            <w:tcW w:w="1508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B8A4D29" w14:textId="77777777" w:rsidR="00A84296" w:rsidRPr="00A84296" w:rsidRDefault="00A84296" w:rsidP="00A84296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A84296">
              <w:rPr>
                <w:color w:val="000000" w:themeColor="text1"/>
                <w:szCs w:val="19"/>
              </w:rPr>
              <w:t>12 2021=100</w:t>
            </w:r>
          </w:p>
        </w:tc>
      </w:tr>
      <w:tr w:rsidR="00A84296" w:rsidRPr="00A84296" w14:paraId="3A0F60FB" w14:textId="77777777" w:rsidTr="008D0A87">
        <w:trPr>
          <w:trHeight w:val="55"/>
        </w:trPr>
        <w:tc>
          <w:tcPr>
            <w:tcW w:w="2552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7FBCDE44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0BA7E60B" w14:textId="77777777" w:rsidR="00A84296" w:rsidRPr="00A84296" w:rsidRDefault="00A84296" w:rsidP="00A84296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 w:rsidRPr="00A84296">
              <w:rPr>
                <w:rFonts w:cs="Arial"/>
                <w:b/>
                <w:color w:val="000000" w:themeColor="text1"/>
                <w:szCs w:val="19"/>
              </w:rPr>
              <w:t>11 800</w:t>
            </w:r>
          </w:p>
        </w:tc>
        <w:tc>
          <w:tcPr>
            <w:tcW w:w="1843" w:type="dxa"/>
            <w:tcBorders>
              <w:top w:val="single" w:sz="12" w:space="0" w:color="212492"/>
            </w:tcBorders>
            <w:vAlign w:val="center"/>
          </w:tcPr>
          <w:p w14:paraId="4330F9E8" w14:textId="77777777" w:rsidR="00A84296" w:rsidRPr="00A84296" w:rsidRDefault="00A84296" w:rsidP="00A84296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  <w:r w:rsidRPr="00A84296"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  <w:t>67,7</w:t>
            </w:r>
          </w:p>
        </w:tc>
        <w:tc>
          <w:tcPr>
            <w:tcW w:w="1508" w:type="dxa"/>
            <w:tcBorders>
              <w:top w:val="single" w:sz="12" w:space="0" w:color="212492"/>
              <w:right w:val="nil"/>
            </w:tcBorders>
            <w:vAlign w:val="center"/>
          </w:tcPr>
          <w:p w14:paraId="48EFFED1" w14:textId="77777777" w:rsidR="00A84296" w:rsidRPr="00A84296" w:rsidRDefault="00A84296" w:rsidP="00A84296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 w:rsidRPr="00A84296">
              <w:rPr>
                <w:rFonts w:cs="Arial"/>
                <w:b/>
                <w:color w:val="000000" w:themeColor="text1"/>
                <w:szCs w:val="19"/>
              </w:rPr>
              <w:t>68,0</w:t>
            </w:r>
          </w:p>
        </w:tc>
      </w:tr>
      <w:tr w:rsidR="00A84296" w:rsidRPr="00A84296" w14:paraId="2138164F" w14:textId="77777777" w:rsidTr="008D0A87">
        <w:trPr>
          <w:trHeight w:val="55"/>
        </w:trPr>
        <w:tc>
          <w:tcPr>
            <w:tcW w:w="2552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B085AD7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t>Indywidualne</w:t>
            </w:r>
          </w:p>
        </w:tc>
        <w:tc>
          <w:tcPr>
            <w:tcW w:w="1701" w:type="dxa"/>
            <w:vAlign w:val="center"/>
          </w:tcPr>
          <w:p w14:paraId="0A91EC42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4 349</w:t>
            </w:r>
          </w:p>
        </w:tc>
        <w:tc>
          <w:tcPr>
            <w:tcW w:w="1843" w:type="dxa"/>
            <w:tcBorders>
              <w:bottom w:val="single" w:sz="4" w:space="0" w:color="212492"/>
            </w:tcBorders>
            <w:vAlign w:val="center"/>
          </w:tcPr>
          <w:p w14:paraId="1B216716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91,8</w:t>
            </w:r>
          </w:p>
        </w:tc>
        <w:tc>
          <w:tcPr>
            <w:tcW w:w="1508" w:type="dxa"/>
            <w:tcBorders>
              <w:right w:val="nil"/>
            </w:tcBorders>
            <w:vAlign w:val="center"/>
          </w:tcPr>
          <w:p w14:paraId="6B7C78ED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92,7</w:t>
            </w:r>
          </w:p>
        </w:tc>
      </w:tr>
      <w:tr w:rsidR="00A84296" w:rsidRPr="00A84296" w14:paraId="5FA5854F" w14:textId="77777777" w:rsidTr="008D0A87">
        <w:trPr>
          <w:trHeight w:val="55"/>
        </w:trPr>
        <w:tc>
          <w:tcPr>
            <w:tcW w:w="2552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FBC9210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t xml:space="preserve">Przeznaczone na </w:t>
            </w: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br/>
              <w:t xml:space="preserve">sprzedaż lub wynajem </w:t>
            </w:r>
          </w:p>
        </w:tc>
        <w:tc>
          <w:tcPr>
            <w:tcW w:w="1701" w:type="dxa"/>
            <w:vAlign w:val="center"/>
          </w:tcPr>
          <w:p w14:paraId="003C66F4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7 340</w:t>
            </w:r>
          </w:p>
        </w:tc>
        <w:tc>
          <w:tcPr>
            <w:tcW w:w="1843" w:type="dxa"/>
            <w:tcBorders>
              <w:top w:val="single" w:sz="4" w:space="0" w:color="212492"/>
            </w:tcBorders>
            <w:vAlign w:val="center"/>
          </w:tcPr>
          <w:p w14:paraId="28464AED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59,1</w:t>
            </w:r>
          </w:p>
        </w:tc>
        <w:tc>
          <w:tcPr>
            <w:tcW w:w="1508" w:type="dxa"/>
            <w:tcBorders>
              <w:right w:val="nil"/>
            </w:tcBorders>
            <w:vAlign w:val="center"/>
          </w:tcPr>
          <w:p w14:paraId="2BB526FD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58,3</w:t>
            </w:r>
          </w:p>
        </w:tc>
      </w:tr>
      <w:tr w:rsidR="00A84296" w:rsidRPr="00A84296" w14:paraId="4D23EB2D" w14:textId="77777777" w:rsidTr="008D0A87">
        <w:trPr>
          <w:trHeight w:val="55"/>
        </w:trPr>
        <w:tc>
          <w:tcPr>
            <w:tcW w:w="2552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BF819E3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vertAlign w:val="superscript"/>
              </w:rPr>
            </w:pPr>
            <w:r w:rsidRPr="00A84296">
              <w:rPr>
                <w:rFonts w:eastAsiaTheme="majorEastAsia" w:cstheme="majorBidi"/>
                <w:szCs w:val="19"/>
              </w:rPr>
              <w:t xml:space="preserve">   w tym na wynajem</w:t>
            </w:r>
          </w:p>
        </w:tc>
        <w:tc>
          <w:tcPr>
            <w:tcW w:w="1701" w:type="dxa"/>
            <w:vAlign w:val="center"/>
          </w:tcPr>
          <w:p w14:paraId="280612C7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155</w:t>
            </w:r>
          </w:p>
        </w:tc>
        <w:tc>
          <w:tcPr>
            <w:tcW w:w="1843" w:type="dxa"/>
            <w:vAlign w:val="center"/>
          </w:tcPr>
          <w:p w14:paraId="0C0B12C5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469,7</w:t>
            </w:r>
          </w:p>
        </w:tc>
        <w:tc>
          <w:tcPr>
            <w:tcW w:w="1508" w:type="dxa"/>
            <w:tcBorders>
              <w:right w:val="nil"/>
            </w:tcBorders>
            <w:vAlign w:val="center"/>
          </w:tcPr>
          <w:p w14:paraId="1FDBC511" w14:textId="1DFC57EC" w:rsidR="00A84296" w:rsidRPr="00A84296" w:rsidRDefault="000E33F1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15,5</w:t>
            </w:r>
            <w:r w:rsidR="00A84296" w:rsidRPr="00A84296">
              <w:rPr>
                <w:rFonts w:cs="Arial"/>
                <w:szCs w:val="19"/>
              </w:rPr>
              <w:t>–krotnie więcej</w:t>
            </w:r>
          </w:p>
        </w:tc>
      </w:tr>
      <w:tr w:rsidR="00A84296" w:rsidRPr="00A84296" w14:paraId="58EFB261" w14:textId="77777777" w:rsidTr="008D0A87">
        <w:trPr>
          <w:trHeight w:val="55"/>
        </w:trPr>
        <w:tc>
          <w:tcPr>
            <w:tcW w:w="2552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601FA8E" w14:textId="77777777" w:rsidR="00A84296" w:rsidRPr="00A84296" w:rsidRDefault="00A84296" w:rsidP="00A84296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Cs w:val="19"/>
              </w:rPr>
            </w:pPr>
            <w:r w:rsidRPr="00A84296">
              <w:rPr>
                <w:rFonts w:cstheme="majorBidi"/>
                <w:color w:val="000000" w:themeColor="text1"/>
                <w:szCs w:val="19"/>
              </w:rPr>
              <w:t>Spółdzielcze</w:t>
            </w:r>
          </w:p>
        </w:tc>
        <w:tc>
          <w:tcPr>
            <w:tcW w:w="1701" w:type="dxa"/>
            <w:vAlign w:val="center"/>
          </w:tcPr>
          <w:p w14:paraId="44F6184A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3</w:t>
            </w:r>
          </w:p>
        </w:tc>
        <w:tc>
          <w:tcPr>
            <w:tcW w:w="1843" w:type="dxa"/>
            <w:vAlign w:val="center"/>
          </w:tcPr>
          <w:p w14:paraId="33B14E7C" w14:textId="04CA0B0E" w:rsid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prawie 39</w:t>
            </w:r>
            <w:r w:rsidRPr="00A84296">
              <w:rPr>
                <w:rFonts w:cs="Arial"/>
                <w:szCs w:val="19"/>
              </w:rPr>
              <w:t>–</w:t>
            </w:r>
          </w:p>
          <w:p w14:paraId="300EAEB8" w14:textId="341CC39D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krotnie mniej</w:t>
            </w:r>
          </w:p>
        </w:tc>
        <w:tc>
          <w:tcPr>
            <w:tcW w:w="1508" w:type="dxa"/>
            <w:tcBorders>
              <w:right w:val="nil"/>
            </w:tcBorders>
            <w:vAlign w:val="center"/>
          </w:tcPr>
          <w:p w14:paraId="3E518889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.</w:t>
            </w:r>
          </w:p>
        </w:tc>
      </w:tr>
      <w:tr w:rsidR="00A84296" w:rsidRPr="00A84296" w14:paraId="31E18F52" w14:textId="77777777" w:rsidTr="008D0A87">
        <w:trPr>
          <w:trHeight w:val="55"/>
        </w:trPr>
        <w:tc>
          <w:tcPr>
            <w:tcW w:w="2552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E9B1F6E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Komunalne</w:t>
            </w:r>
          </w:p>
        </w:tc>
        <w:tc>
          <w:tcPr>
            <w:tcW w:w="1701" w:type="dxa"/>
            <w:vAlign w:val="center"/>
          </w:tcPr>
          <w:p w14:paraId="2011CA41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28</w:t>
            </w:r>
          </w:p>
        </w:tc>
        <w:tc>
          <w:tcPr>
            <w:tcW w:w="1843" w:type="dxa"/>
            <w:vAlign w:val="center"/>
          </w:tcPr>
          <w:p w14:paraId="2D884313" w14:textId="1533F1A5" w:rsid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prawie </w:t>
            </w:r>
            <w:r w:rsidR="000E33F1">
              <w:rPr>
                <w:rFonts w:cs="Arial"/>
                <w:szCs w:val="19"/>
              </w:rPr>
              <w:t>6</w:t>
            </w:r>
            <w:r w:rsidRPr="00A84296">
              <w:rPr>
                <w:rFonts w:cs="Arial"/>
                <w:szCs w:val="19"/>
              </w:rPr>
              <w:t>–</w:t>
            </w:r>
          </w:p>
          <w:p w14:paraId="6588ECDD" w14:textId="523FA714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krotnie </w:t>
            </w:r>
            <w:r w:rsidRPr="00A84296">
              <w:rPr>
                <w:rFonts w:cs="Arial"/>
                <w:szCs w:val="19"/>
              </w:rPr>
              <w:t>więcej</w:t>
            </w:r>
          </w:p>
        </w:tc>
        <w:tc>
          <w:tcPr>
            <w:tcW w:w="1508" w:type="dxa"/>
            <w:tcBorders>
              <w:right w:val="nil"/>
            </w:tcBorders>
            <w:vAlign w:val="center"/>
          </w:tcPr>
          <w:p w14:paraId="50F3BE8A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46,7</w:t>
            </w:r>
          </w:p>
        </w:tc>
      </w:tr>
      <w:tr w:rsidR="00A84296" w:rsidRPr="00A84296" w14:paraId="7EDDF4E9" w14:textId="77777777" w:rsidTr="008D0A87">
        <w:trPr>
          <w:trHeight w:val="335"/>
        </w:trPr>
        <w:tc>
          <w:tcPr>
            <w:tcW w:w="2552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54418CD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Społeczne czynszowe</w:t>
            </w:r>
          </w:p>
        </w:tc>
        <w:tc>
          <w:tcPr>
            <w:tcW w:w="1701" w:type="dxa"/>
            <w:vAlign w:val="center"/>
          </w:tcPr>
          <w:p w14:paraId="10784C6A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80</w:t>
            </w:r>
          </w:p>
        </w:tc>
        <w:tc>
          <w:tcPr>
            <w:tcW w:w="1843" w:type="dxa"/>
            <w:vAlign w:val="center"/>
          </w:tcPr>
          <w:p w14:paraId="72182D1C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61,1</w:t>
            </w:r>
          </w:p>
        </w:tc>
        <w:tc>
          <w:tcPr>
            <w:tcW w:w="1508" w:type="dxa"/>
            <w:tcBorders>
              <w:right w:val="nil"/>
            </w:tcBorders>
            <w:vAlign w:val="center"/>
          </w:tcPr>
          <w:p w14:paraId="24878AA0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444,4</w:t>
            </w:r>
          </w:p>
        </w:tc>
      </w:tr>
      <w:tr w:rsidR="00A84296" w:rsidRPr="00A84296" w14:paraId="40C465FC" w14:textId="77777777" w:rsidTr="008D0A87">
        <w:trPr>
          <w:trHeight w:val="55"/>
        </w:trPr>
        <w:tc>
          <w:tcPr>
            <w:tcW w:w="2552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4099837" w14:textId="77777777" w:rsidR="00A84296" w:rsidRPr="00A84296" w:rsidRDefault="00A84296" w:rsidP="00A84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Zakładowe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1F213C57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212492"/>
            </w:tcBorders>
            <w:vAlign w:val="center"/>
          </w:tcPr>
          <w:p w14:paraId="59149E96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A84296"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508" w:type="dxa"/>
            <w:tcBorders>
              <w:bottom w:val="single" w:sz="4" w:space="0" w:color="212492"/>
              <w:right w:val="nil"/>
            </w:tcBorders>
            <w:vAlign w:val="center"/>
          </w:tcPr>
          <w:p w14:paraId="0714B730" w14:textId="77777777" w:rsidR="00A84296" w:rsidRPr="00A84296" w:rsidRDefault="00A84296" w:rsidP="00A84296">
            <w:pPr>
              <w:spacing w:before="0" w:after="0"/>
              <w:jc w:val="right"/>
              <w:rPr>
                <w:rFonts w:cs="Arial"/>
                <w:szCs w:val="19"/>
              </w:rPr>
            </w:pPr>
            <w:r w:rsidRPr="00A84296">
              <w:rPr>
                <w:rFonts w:cs="Arial"/>
                <w:szCs w:val="19"/>
              </w:rPr>
              <w:t>.</w:t>
            </w:r>
          </w:p>
        </w:tc>
      </w:tr>
    </w:tbl>
    <w:p w14:paraId="5EC92B29" w14:textId="77777777" w:rsidR="007B4D3D" w:rsidRDefault="007B4D3D" w:rsidP="00CD6D30">
      <w:pPr>
        <w:spacing w:after="0" w:line="288" w:lineRule="auto"/>
        <w:rPr>
          <w:shd w:val="clear" w:color="auto" w:fill="FFFFFF"/>
        </w:rPr>
      </w:pPr>
    </w:p>
    <w:p w14:paraId="353A08B3" w14:textId="6D8E79A5" w:rsidR="00AC280D" w:rsidRDefault="0091083F" w:rsidP="00CD6D30">
      <w:pPr>
        <w:spacing w:after="0" w:line="288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Szacuje się, że na koniec stycznia </w:t>
      </w:r>
      <w:r w:rsidR="001B11C4">
        <w:rPr>
          <w:shd w:val="clear" w:color="auto" w:fill="FFFFFF"/>
        </w:rPr>
        <w:t>2022</w:t>
      </w:r>
      <w:r w:rsidR="00CD6D30" w:rsidRPr="00CD6D30">
        <w:rPr>
          <w:shd w:val="clear" w:color="auto" w:fill="FFFFFF"/>
        </w:rPr>
        <w:t xml:space="preserve"> roku w budowie pozostawało </w:t>
      </w:r>
      <w:r w:rsidR="001B11C4">
        <w:rPr>
          <w:shd w:val="clear" w:color="auto" w:fill="FFFFFF"/>
        </w:rPr>
        <w:t>867,8</w:t>
      </w:r>
      <w:r w:rsidR="00CD6D30" w:rsidRPr="00CD6D30">
        <w:rPr>
          <w:shd w:val="clear" w:color="auto" w:fill="FFFFFF"/>
        </w:rPr>
        <w:t xml:space="preserve"> tys. mieszkań, tj.</w:t>
      </w:r>
      <w:r>
        <w:t> </w:t>
      </w:r>
      <w:r w:rsidR="00CD6D30" w:rsidRPr="00CD6D30">
        <w:rPr>
          <w:shd w:val="clear" w:color="auto" w:fill="FFFFFF"/>
        </w:rPr>
        <w:t>o</w:t>
      </w:r>
      <w:r>
        <w:rPr>
          <w:shd w:val="clear" w:color="auto" w:fill="FFFFFF"/>
        </w:rPr>
        <w:t> </w:t>
      </w:r>
      <w:r w:rsidR="001B11C4">
        <w:rPr>
          <w:shd w:val="clear" w:color="auto" w:fill="FFFFFF"/>
        </w:rPr>
        <w:t xml:space="preserve">4,7% więcej niż </w:t>
      </w:r>
      <w:r w:rsidR="00F52F81">
        <w:rPr>
          <w:shd w:val="clear" w:color="auto" w:fill="FFFFFF"/>
        </w:rPr>
        <w:t>w analogicznym miesiącu</w:t>
      </w:r>
      <w:r w:rsidR="001B11C4">
        <w:rPr>
          <w:shd w:val="clear" w:color="auto" w:fill="FFFFFF"/>
        </w:rPr>
        <w:t xml:space="preserve"> 2021</w:t>
      </w:r>
      <w:r w:rsidR="007C41ED">
        <w:rPr>
          <w:shd w:val="clear" w:color="auto" w:fill="FFFFFF"/>
        </w:rPr>
        <w:t xml:space="preserve"> r</w:t>
      </w:r>
      <w:r w:rsidR="00CD6D30" w:rsidRPr="00CD6D30">
        <w:rPr>
          <w:shd w:val="clear" w:color="auto" w:fill="FFFFFF"/>
        </w:rPr>
        <w:t>.</w:t>
      </w:r>
    </w:p>
    <w:p w14:paraId="78E95EC0" w14:textId="764CF6C0" w:rsidR="00CD6D30" w:rsidRPr="00EC66BB" w:rsidRDefault="00AA2F0E" w:rsidP="00602DF9">
      <w:pPr>
        <w:pStyle w:val="Tytuwykresu0"/>
        <w:rPr>
          <w:rFonts w:ascii="Fira Sans" w:hAnsi="Fira Sans"/>
        </w:rPr>
      </w:pPr>
      <w:r w:rsidRPr="00912473">
        <w:rPr>
          <w:rFonts w:ascii="Fira Sans" w:hAnsi="Fira Sans"/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622BF84" wp14:editId="63D14668">
                <wp:simplePos x="0" y="0"/>
                <wp:positionH relativeFrom="page">
                  <wp:posOffset>5695950</wp:posOffset>
                </wp:positionH>
                <wp:positionV relativeFrom="paragraph">
                  <wp:posOffset>401955</wp:posOffset>
                </wp:positionV>
                <wp:extent cx="1863090" cy="1981200"/>
                <wp:effectExtent l="0" t="0" r="0" b="0"/>
                <wp:wrapSquare wrapText="bothSides"/>
                <wp:docPr id="4" name="Pole tekstowe 2" descr="W styczniu 2022 r., w porównaniu do grudnia 2021 roku, &#10;spadła liczba mieszkań oddanych do użytkowania (o 41,9%), a także mieszkań, na których budowę wydano pozwolenia lub dokonano zgłoszenia z projektem budowlanym (o 32,1%) oraz mieszkań, których budowę rozpoczęto (o 32,0%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EB723" w14:textId="77777777" w:rsidR="00AA2F0E" w:rsidRDefault="00AA2F0E" w:rsidP="00CD6D30">
                            <w:pPr>
                              <w:pStyle w:val="tekstzboku"/>
                            </w:pPr>
                          </w:p>
                          <w:p w14:paraId="33F5CFC3" w14:textId="6E86DE4B" w:rsidR="00CD6D30" w:rsidRPr="002B6B8F" w:rsidRDefault="00CD6D30" w:rsidP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42599A">
                              <w:t>styczniu 2022</w:t>
                            </w:r>
                            <w:r w:rsidR="0029373C">
                              <w:t xml:space="preserve"> </w:t>
                            </w:r>
                            <w:r w:rsidR="0042599A">
                              <w:t>r.</w:t>
                            </w:r>
                            <w:r w:rsidRPr="00FE1582">
                              <w:t>, w porównaniu do </w:t>
                            </w:r>
                            <w:r w:rsidR="0042599A">
                              <w:t>grudnia</w:t>
                            </w:r>
                            <w:r w:rsidRPr="00FE1582">
                              <w:t xml:space="preserve"> 2021 roku, </w:t>
                            </w:r>
                            <w:r w:rsidR="00CE2AFA">
                              <w:br/>
                            </w:r>
                            <w:r w:rsidR="0042599A">
                              <w:t>spadła</w:t>
                            </w:r>
                            <w:r w:rsidRPr="00FE1582">
                              <w:t xml:space="preserve"> liczba mieszkań oddanych do użytkowania (o </w:t>
                            </w:r>
                            <w:r w:rsidR="0042599A">
                              <w:t>41,9</w:t>
                            </w:r>
                            <w:r w:rsidRPr="00FE1582">
                              <w:t xml:space="preserve">%), </w:t>
                            </w:r>
                            <w:r w:rsidR="00F94EDD" w:rsidRPr="00022429">
                              <w:t xml:space="preserve">a także </w:t>
                            </w:r>
                            <w:r w:rsidR="005947D5">
                              <w:t>mieszka</w:t>
                            </w:r>
                            <w:r w:rsidR="005947D5" w:rsidRPr="00022429">
                              <w:t>ń</w:t>
                            </w:r>
                            <w:r w:rsidR="00F94EDD" w:rsidRPr="00022429">
                              <w:rPr>
                                <w:color w:val="auto"/>
                              </w:rPr>
                              <w:t>,</w:t>
                            </w:r>
                            <w:r w:rsidR="0042599A" w:rsidRPr="00022429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FE1582">
                              <w:t>na który</w:t>
                            </w:r>
                            <w:r w:rsidR="00CE2AFA">
                              <w:t>ch budowę wydano pozwolenia lub</w:t>
                            </w:r>
                            <w:r w:rsidR="00CE2AFA">
                              <w:br/>
                            </w:r>
                            <w:r w:rsidRPr="00FE1582">
                              <w:t>dokonano zgłoszenia z projektem budowlanym (</w:t>
                            </w:r>
                            <w:r>
                              <w:t>o </w:t>
                            </w:r>
                            <w:r w:rsidR="0042599A">
                              <w:t>32,1</w:t>
                            </w:r>
                            <w:r w:rsidRPr="00FE1582">
                              <w:t>%)</w:t>
                            </w:r>
                            <w:r w:rsidR="0042599A">
                              <w:t xml:space="preserve"> oraz</w:t>
                            </w:r>
                            <w:r w:rsidR="00CE2AFA">
                              <w:t> </w:t>
                            </w:r>
                            <w:r w:rsidR="0042599A">
                              <w:t>mieszka</w:t>
                            </w:r>
                            <w:r w:rsidR="005947D5">
                              <w:t>ń</w:t>
                            </w:r>
                            <w:r w:rsidR="0042599A">
                              <w:t xml:space="preserve">, </w:t>
                            </w:r>
                            <w:r>
                              <w:t>których budowę rozpoczęto (o </w:t>
                            </w:r>
                            <w:r w:rsidR="0042599A">
                              <w:t>32,0</w:t>
                            </w:r>
                            <w:r>
                              <w:t>%)</w:t>
                            </w:r>
                          </w:p>
                          <w:p w14:paraId="783038A3" w14:textId="77777777" w:rsidR="00CD6D30" w:rsidRPr="005C3B28" w:rsidRDefault="00CD6D30" w:rsidP="00CD6D30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2BF8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W styczniu 2022 r., w porównaniu do grudnia 2021 roku, &#10;spadła liczba mieszkań oddanych do użytkowania (o 41,9%), a także mieszkań, na których budowę wydano pozwolenia lub dokonano zgłoszenia z projektem budowlanym (o 32,1%) oraz mieszkań, których budowę rozpoczęto (o 32,0%)&#10;" style="position:absolute;margin-left:448.5pt;margin-top:31.65pt;width:146.7pt;height:156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" filled="f" stroked="f">
                <v:textbox>
                  <w:txbxContent>
                    <w:p w14:paraId="163EB723" w14:textId="77777777" w:rsidR="00AA2F0E" w:rsidRDefault="00AA2F0E" w:rsidP="00CD6D30">
                      <w:pPr>
                        <w:pStyle w:val="tekstzboku"/>
                      </w:pPr>
                    </w:p>
                    <w:p w14:paraId="33F5CFC3" w14:textId="6E86DE4B" w:rsidR="00CD6D30" w:rsidRPr="002B6B8F" w:rsidRDefault="00CD6D30" w:rsidP="00CD6D30">
                      <w:pPr>
                        <w:pStyle w:val="tekstzboku"/>
                      </w:pPr>
                      <w:r>
                        <w:t xml:space="preserve">W </w:t>
                      </w:r>
                      <w:r w:rsidR="0042599A">
                        <w:t>styczniu 2022</w:t>
                      </w:r>
                      <w:r w:rsidR="0029373C">
                        <w:t xml:space="preserve"> </w:t>
                      </w:r>
                      <w:r w:rsidR="0042599A">
                        <w:t>r.</w:t>
                      </w:r>
                      <w:r w:rsidRPr="00FE1582">
                        <w:t>, w porównaniu do </w:t>
                      </w:r>
                      <w:r w:rsidR="0042599A">
                        <w:t>grudnia</w:t>
                      </w:r>
                      <w:r w:rsidRPr="00FE1582">
                        <w:t xml:space="preserve"> 2021 roku, </w:t>
                      </w:r>
                      <w:r w:rsidR="00CE2AFA">
                        <w:br/>
                      </w:r>
                      <w:r w:rsidR="0042599A">
                        <w:t>spadła</w:t>
                      </w:r>
                      <w:r w:rsidRPr="00FE1582">
                        <w:t xml:space="preserve"> liczba mieszkań oddanych do użytkowania (o </w:t>
                      </w:r>
                      <w:r w:rsidR="0042599A">
                        <w:t>41,9</w:t>
                      </w:r>
                      <w:r w:rsidRPr="00FE1582">
                        <w:t xml:space="preserve">%), </w:t>
                      </w:r>
                      <w:r w:rsidR="00F94EDD" w:rsidRPr="00022429">
                        <w:t xml:space="preserve">a także </w:t>
                      </w:r>
                      <w:r w:rsidR="005947D5">
                        <w:t>mieszka</w:t>
                      </w:r>
                      <w:r w:rsidR="005947D5" w:rsidRPr="00022429">
                        <w:t>ń</w:t>
                      </w:r>
                      <w:r w:rsidR="00F94EDD" w:rsidRPr="00022429">
                        <w:rPr>
                          <w:color w:val="auto"/>
                        </w:rPr>
                        <w:t>,</w:t>
                      </w:r>
                      <w:r w:rsidR="0042599A" w:rsidRPr="00022429">
                        <w:rPr>
                          <w:color w:val="auto"/>
                        </w:rPr>
                        <w:t xml:space="preserve"> </w:t>
                      </w:r>
                      <w:r w:rsidRPr="00FE1582">
                        <w:t>na który</w:t>
                      </w:r>
                      <w:r w:rsidR="00CE2AFA">
                        <w:t>ch budowę wydano pozwolenia lub</w:t>
                      </w:r>
                      <w:r w:rsidR="00CE2AFA">
                        <w:br/>
                      </w:r>
                      <w:r w:rsidRPr="00FE1582">
                        <w:t>dokonano zgłoszenia z projektem budowlanym (</w:t>
                      </w:r>
                      <w:r>
                        <w:t>o </w:t>
                      </w:r>
                      <w:r w:rsidR="0042599A">
                        <w:t>32,1</w:t>
                      </w:r>
                      <w:r w:rsidRPr="00FE1582">
                        <w:t>%)</w:t>
                      </w:r>
                      <w:r w:rsidR="0042599A">
                        <w:t xml:space="preserve"> oraz</w:t>
                      </w:r>
                      <w:r w:rsidR="00CE2AFA">
                        <w:t> </w:t>
                      </w:r>
                      <w:r w:rsidR="0042599A">
                        <w:t>mieszka</w:t>
                      </w:r>
                      <w:r w:rsidR="005947D5">
                        <w:t>ń</w:t>
                      </w:r>
                      <w:r w:rsidR="0042599A">
                        <w:t xml:space="preserve">, </w:t>
                      </w:r>
                      <w:r>
                        <w:t>których budowę rozpoczęto (o </w:t>
                      </w:r>
                      <w:r w:rsidR="0042599A">
                        <w:t>32,0</w:t>
                      </w:r>
                      <w:r>
                        <w:t>%)</w:t>
                      </w:r>
                    </w:p>
                    <w:p w14:paraId="783038A3" w14:textId="77777777" w:rsidR="00CD6D30" w:rsidRPr="005C3B28" w:rsidRDefault="00CD6D30" w:rsidP="00CD6D30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C4B21" w:rsidRPr="00912473">
        <w:rPr>
          <w:sz w:val="18"/>
          <w:szCs w:val="18"/>
        </w:rPr>
        <w:drawing>
          <wp:anchor distT="0" distB="0" distL="114300" distR="114300" simplePos="0" relativeHeight="251769856" behindDoc="0" locked="0" layoutInCell="1" allowOverlap="1" wp14:anchorId="10E18095" wp14:editId="01A3186B">
            <wp:simplePos x="0" y="0"/>
            <wp:positionH relativeFrom="column">
              <wp:posOffset>-67751</wp:posOffset>
            </wp:positionH>
            <wp:positionV relativeFrom="paragraph">
              <wp:posOffset>482821</wp:posOffset>
            </wp:positionV>
            <wp:extent cx="5122545" cy="2406650"/>
            <wp:effectExtent l="0" t="0" r="1905" b="0"/>
            <wp:wrapTopAndBottom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8, 2019, 2020, 2021 i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D30" w:rsidRPr="00912473">
        <w:rPr>
          <w:rFonts w:ascii="Fira Sans" w:hAnsi="Fira Sans"/>
          <w:sz w:val="18"/>
          <w:szCs w:val="18"/>
        </w:rPr>
        <w:t>Wykres 1.</w:t>
      </w:r>
      <w:r w:rsidR="00CD6D30" w:rsidRPr="00696FCE">
        <w:rPr>
          <w:rFonts w:ascii="Fira Sans" w:hAnsi="Fira Sans"/>
        </w:rPr>
        <w:t xml:space="preserve"> </w:t>
      </w:r>
      <w:r w:rsidR="00CD6D30" w:rsidRPr="00912473">
        <w:rPr>
          <w:rFonts w:ascii="Fira Sans" w:hAnsi="Fira Sans"/>
          <w:sz w:val="18"/>
          <w:szCs w:val="18"/>
        </w:rPr>
        <w:t>Ruch budowlany w obszarze budownictwa mieszkaniowego w Polsce</w:t>
      </w:r>
    </w:p>
    <w:p w14:paraId="05A7172B" w14:textId="1CE08925" w:rsidR="0091083F" w:rsidRDefault="0091083F" w:rsidP="00CD6D30">
      <w:pPr>
        <w:spacing w:after="0" w:line="288" w:lineRule="auto"/>
        <w:rPr>
          <w:spacing w:val="-2"/>
          <w:shd w:val="clear" w:color="auto" w:fill="FFFFFF"/>
        </w:rPr>
      </w:pPr>
    </w:p>
    <w:p w14:paraId="2BE4E729" w14:textId="1D1644A0" w:rsidR="00CD6D30" w:rsidRPr="000E33F1" w:rsidRDefault="00CD6D30" w:rsidP="00CD6D30">
      <w:pPr>
        <w:spacing w:after="0" w:line="288" w:lineRule="auto"/>
        <w:rPr>
          <w:spacing w:val="-2"/>
          <w:shd w:val="clear" w:color="auto" w:fill="FFFFFF"/>
        </w:rPr>
      </w:pPr>
      <w:r w:rsidRPr="008575EA">
        <w:rPr>
          <w:spacing w:val="-2"/>
          <w:shd w:val="clear" w:color="auto" w:fill="FFFFFF"/>
        </w:rPr>
        <w:t>W</w:t>
      </w:r>
      <w:r w:rsidR="00AE2010">
        <w:rPr>
          <w:spacing w:val="-2"/>
          <w:shd w:val="clear" w:color="auto" w:fill="FFFFFF"/>
        </w:rPr>
        <w:t xml:space="preserve"> styczniu</w:t>
      </w:r>
      <w:r w:rsidR="00912473">
        <w:rPr>
          <w:spacing w:val="-2"/>
          <w:shd w:val="clear" w:color="auto" w:fill="FFFFFF"/>
        </w:rPr>
        <w:t xml:space="preserve"> 2022</w:t>
      </w:r>
      <w:r w:rsidRPr="008575EA">
        <w:rPr>
          <w:spacing w:val="-2"/>
          <w:shd w:val="clear" w:color="auto" w:fill="FFFFFF"/>
        </w:rPr>
        <w:t xml:space="preserve"> r. najwyższe wartości dla mieszkań oddanych do użytkowania, mieszkań których budowę rozpoczęto oraz na których budowę wydano pozwolenia lub dokonano zgłoszenia z</w:t>
      </w:r>
      <w:r w:rsidR="008575EA" w:rsidRPr="008575EA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 xml:space="preserve">projektem budowlanym, odnotowano w województwie mazowieckim (odpowiednio </w:t>
      </w:r>
      <w:r w:rsidR="00887FE9">
        <w:rPr>
          <w:spacing w:val="-2"/>
          <w:shd w:val="clear" w:color="auto" w:fill="FFFFFF"/>
        </w:rPr>
        <w:t>2,9</w:t>
      </w:r>
      <w:r w:rsidR="008575EA" w:rsidRPr="008575EA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 xml:space="preserve">tys., </w:t>
      </w:r>
      <w:r w:rsidR="00887FE9">
        <w:rPr>
          <w:spacing w:val="-2"/>
          <w:shd w:val="clear" w:color="auto" w:fill="FFFFFF"/>
        </w:rPr>
        <w:t>1,9</w:t>
      </w:r>
      <w:r w:rsidR="008575EA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 xml:space="preserve">tys. i </w:t>
      </w:r>
      <w:r w:rsidR="00887FE9">
        <w:rPr>
          <w:spacing w:val="-2"/>
          <w:shd w:val="clear" w:color="auto" w:fill="FFFFFF"/>
        </w:rPr>
        <w:t>3,5</w:t>
      </w:r>
      <w:r w:rsidRPr="008575EA">
        <w:rPr>
          <w:spacing w:val="-2"/>
          <w:shd w:val="clear" w:color="auto" w:fill="FFFFFF"/>
        </w:rPr>
        <w:t xml:space="preserve"> tys. mieszkań). Wysokie wartości zanotowano również w województwie wielkopolskim (</w:t>
      </w:r>
      <w:r w:rsidR="00887FE9">
        <w:rPr>
          <w:spacing w:val="-2"/>
          <w:shd w:val="clear" w:color="auto" w:fill="FFFFFF"/>
        </w:rPr>
        <w:t>2,0</w:t>
      </w:r>
      <w:r w:rsidRPr="008575EA">
        <w:rPr>
          <w:spacing w:val="-2"/>
          <w:shd w:val="clear" w:color="auto" w:fill="FFFFFF"/>
        </w:rPr>
        <w:t xml:space="preserve"> tys., </w:t>
      </w:r>
      <w:r w:rsidR="00887FE9">
        <w:rPr>
          <w:spacing w:val="-2"/>
          <w:shd w:val="clear" w:color="auto" w:fill="FFFFFF"/>
        </w:rPr>
        <w:t>0,8</w:t>
      </w:r>
      <w:r w:rsidRPr="008575EA">
        <w:rPr>
          <w:spacing w:val="-2"/>
          <w:shd w:val="clear" w:color="auto" w:fill="FFFFFF"/>
        </w:rPr>
        <w:t xml:space="preserve"> tys. i </w:t>
      </w:r>
      <w:r w:rsidR="00887FE9">
        <w:rPr>
          <w:spacing w:val="-2"/>
          <w:shd w:val="clear" w:color="auto" w:fill="FFFFFF"/>
        </w:rPr>
        <w:t>2,9</w:t>
      </w:r>
      <w:r w:rsidRPr="008575EA">
        <w:rPr>
          <w:spacing w:val="-2"/>
          <w:shd w:val="clear" w:color="auto" w:fill="FFFFFF"/>
        </w:rPr>
        <w:t xml:space="preserve"> tys.)</w:t>
      </w:r>
      <w:r w:rsidR="003A6083">
        <w:rPr>
          <w:spacing w:val="-2"/>
          <w:shd w:val="clear" w:color="auto" w:fill="FFFFFF"/>
        </w:rPr>
        <w:t xml:space="preserve"> i </w:t>
      </w:r>
      <w:r w:rsidR="00887FE9">
        <w:rPr>
          <w:spacing w:val="-2"/>
          <w:shd w:val="clear" w:color="auto" w:fill="FFFFFF"/>
        </w:rPr>
        <w:t>małopolskim</w:t>
      </w:r>
      <w:r w:rsidRPr="008575EA">
        <w:rPr>
          <w:spacing w:val="-2"/>
          <w:shd w:val="clear" w:color="auto" w:fill="FFFFFF"/>
        </w:rPr>
        <w:t xml:space="preserve"> (</w:t>
      </w:r>
      <w:r w:rsidR="00887FE9">
        <w:rPr>
          <w:spacing w:val="-2"/>
          <w:shd w:val="clear" w:color="auto" w:fill="FFFFFF"/>
        </w:rPr>
        <w:t>1,7</w:t>
      </w:r>
      <w:r w:rsidRPr="008575EA">
        <w:rPr>
          <w:spacing w:val="-2"/>
          <w:shd w:val="clear" w:color="auto" w:fill="FFFFFF"/>
        </w:rPr>
        <w:t xml:space="preserve"> tys., </w:t>
      </w:r>
      <w:r w:rsidR="00887FE9">
        <w:rPr>
          <w:spacing w:val="-2"/>
          <w:shd w:val="clear" w:color="auto" w:fill="FFFFFF"/>
        </w:rPr>
        <w:t>1,0</w:t>
      </w:r>
      <w:r w:rsidRPr="008575EA">
        <w:rPr>
          <w:spacing w:val="-2"/>
          <w:shd w:val="clear" w:color="auto" w:fill="FFFFFF"/>
        </w:rPr>
        <w:t xml:space="preserve"> tys. i</w:t>
      </w:r>
      <w:r w:rsidR="008575EA" w:rsidRPr="008575EA">
        <w:rPr>
          <w:spacing w:val="-2"/>
          <w:shd w:val="clear" w:color="auto" w:fill="FFFFFF"/>
        </w:rPr>
        <w:t> </w:t>
      </w:r>
      <w:r w:rsidR="00887FE9">
        <w:rPr>
          <w:spacing w:val="-2"/>
          <w:shd w:val="clear" w:color="auto" w:fill="FFFFFF"/>
        </w:rPr>
        <w:t>1,6</w:t>
      </w:r>
      <w:r w:rsidR="008575EA" w:rsidRPr="008575EA">
        <w:rPr>
          <w:spacing w:val="-2"/>
          <w:shd w:val="clear" w:color="auto" w:fill="FFFFFF"/>
        </w:rPr>
        <w:t> </w:t>
      </w:r>
      <w:r w:rsidR="003A6083">
        <w:rPr>
          <w:spacing w:val="-2"/>
          <w:shd w:val="clear" w:color="auto" w:fill="FFFFFF"/>
        </w:rPr>
        <w:t>tys.).</w:t>
      </w:r>
    </w:p>
    <w:p w14:paraId="66C8E32D" w14:textId="38F27A53" w:rsidR="00A617AC" w:rsidRPr="00696FCE" w:rsidRDefault="00731143" w:rsidP="0078275D">
      <w:pPr>
        <w:pStyle w:val="Tytuwykresu0"/>
        <w:ind w:left="851" w:hanging="851"/>
        <w:rPr>
          <w:rFonts w:ascii="Fira Sans" w:hAnsi="Fira Sans"/>
        </w:rPr>
      </w:pPr>
      <w:r w:rsidRPr="00912473">
        <w:rPr>
          <w:sz w:val="18"/>
          <w:szCs w:val="18"/>
        </w:rPr>
        <w:drawing>
          <wp:anchor distT="0" distB="0" distL="114300" distR="114300" simplePos="0" relativeHeight="251770880" behindDoc="0" locked="0" layoutInCell="1" allowOverlap="1" wp14:anchorId="65F4DE4A" wp14:editId="72352A70">
            <wp:simplePos x="0" y="0"/>
            <wp:positionH relativeFrom="column">
              <wp:posOffset>-67945</wp:posOffset>
            </wp:positionH>
            <wp:positionV relativeFrom="paragraph">
              <wp:posOffset>597535</wp:posOffset>
            </wp:positionV>
            <wp:extent cx="5234940" cy="2766695"/>
            <wp:effectExtent l="0" t="0" r="3810" b="0"/>
            <wp:wrapTopAndBottom/>
            <wp:docPr id="20" name="Obraz 20" descr="Liczba mieszkań oddanych do użytkowania, liczba mieszkań, na których budowę wydano pozwolenia lub dokonano zgłoszenia z projektem budowlanym oraz liczba mieszkań, których budowę rozpoczęto w styczniu 2022 w poszczególnych województw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7AC" w:rsidRPr="00912473">
        <w:rPr>
          <w:rFonts w:ascii="Fira Sans" w:hAnsi="Fira Sans"/>
          <w:sz w:val="18"/>
          <w:szCs w:val="18"/>
        </w:rPr>
        <w:t>Wykres 2</w:t>
      </w:r>
      <w:r w:rsidR="00A617AC" w:rsidRPr="00696FCE">
        <w:rPr>
          <w:rFonts w:ascii="Fira Sans" w:hAnsi="Fira Sans"/>
        </w:rPr>
        <w:t xml:space="preserve">. </w:t>
      </w:r>
      <w:r w:rsidR="00A617AC" w:rsidRPr="00912473">
        <w:rPr>
          <w:rFonts w:ascii="Fira Sans" w:hAnsi="Fira Sans"/>
          <w:sz w:val="18"/>
          <w:szCs w:val="18"/>
        </w:rPr>
        <w:t>Ruch budowlany w obszarze budownictwa mieszkaniowego według województw w</w:t>
      </w:r>
      <w:r w:rsidR="0078275D" w:rsidRPr="00912473">
        <w:rPr>
          <w:rFonts w:ascii="Fira Sans" w:hAnsi="Fira Sans"/>
          <w:sz w:val="18"/>
          <w:szCs w:val="18"/>
        </w:rPr>
        <w:t> </w:t>
      </w:r>
      <w:r w:rsidR="00351173" w:rsidRPr="00912473">
        <w:rPr>
          <w:rFonts w:ascii="Fira Sans" w:hAnsi="Fira Sans"/>
          <w:sz w:val="18"/>
          <w:szCs w:val="18"/>
        </w:rPr>
        <w:t>styczniu</w:t>
      </w:r>
      <w:r w:rsidR="004647E0" w:rsidRPr="00912473">
        <w:rPr>
          <w:rFonts w:ascii="Fira Sans" w:hAnsi="Fira Sans"/>
          <w:sz w:val="18"/>
          <w:szCs w:val="18"/>
        </w:rPr>
        <w:t xml:space="preserve"> </w:t>
      </w:r>
      <w:r w:rsidR="00351173" w:rsidRPr="00912473">
        <w:rPr>
          <w:rFonts w:ascii="Fira Sans" w:hAnsi="Fira Sans"/>
          <w:sz w:val="18"/>
          <w:szCs w:val="18"/>
        </w:rPr>
        <w:t>2022</w:t>
      </w:r>
      <w:r w:rsidR="00A617AC" w:rsidRPr="00912473">
        <w:rPr>
          <w:rFonts w:ascii="Fira Sans" w:hAnsi="Fira Sans"/>
          <w:sz w:val="18"/>
          <w:szCs w:val="18"/>
        </w:rPr>
        <w:t xml:space="preserve"> r.</w:t>
      </w:r>
    </w:p>
    <w:p w14:paraId="3DE4A53A" w14:textId="66921E8A" w:rsidR="0078275D" w:rsidRDefault="0078275D" w:rsidP="00E95B8E">
      <w:pPr>
        <w:rPr>
          <w:sz w:val="16"/>
        </w:rPr>
      </w:pPr>
    </w:p>
    <w:p w14:paraId="6689A90C" w14:textId="77777777" w:rsidR="007B4D3D" w:rsidRDefault="007B4D3D" w:rsidP="0078275D">
      <w:pPr>
        <w:spacing w:after="0" w:line="288" w:lineRule="auto"/>
        <w:rPr>
          <w:shd w:val="clear" w:color="auto" w:fill="FFFFFF"/>
        </w:rPr>
      </w:pPr>
    </w:p>
    <w:p w14:paraId="4A271371" w14:textId="77777777" w:rsidR="007B4D3D" w:rsidRDefault="007B4D3D" w:rsidP="0078275D">
      <w:pPr>
        <w:spacing w:after="0" w:line="288" w:lineRule="auto"/>
        <w:rPr>
          <w:shd w:val="clear" w:color="auto" w:fill="FFFFFF"/>
        </w:rPr>
      </w:pPr>
    </w:p>
    <w:p w14:paraId="4809D44B" w14:textId="79B63C70" w:rsidR="00694AF0" w:rsidRDefault="0078275D" w:rsidP="0078275D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14:paraId="3C222B0C" w14:textId="77777777" w:rsidR="00DA331D" w:rsidRPr="00001C5B" w:rsidRDefault="00DA331D" w:rsidP="00DA331D">
      <w:pPr>
        <w:spacing w:before="360"/>
        <w:rPr>
          <w:sz w:val="18"/>
        </w:rPr>
        <w:sectPr w:rsidR="00DA331D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0C4C70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701CCEB5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41A1AE38" w14:textId="17205DDC" w:rsidR="00DE2400" w:rsidRPr="00946F6D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5425F0B4" w14:textId="57A63FB9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20 52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141CC0" w14:paraId="28647E7C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141CC0" w:rsidRPr="00C91687" w:rsidRDefault="00141CC0" w:rsidP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7390F82C" w:rsidR="00141CC0" w:rsidRPr="00C91687" w:rsidRDefault="00141CC0" w:rsidP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141CC0" w:rsidRPr="00F05FC7" w:rsidRDefault="00141CC0" w:rsidP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453D4609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5AB4AA8C" wp14:editId="5FFFB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141CC0" w14:paraId="36A99721" w14:textId="77777777" w:rsidTr="000C4C70">
        <w:trPr>
          <w:trHeight w:val="418"/>
        </w:trPr>
        <w:tc>
          <w:tcPr>
            <w:tcW w:w="4926" w:type="dxa"/>
            <w:vMerge/>
          </w:tcPr>
          <w:p w14:paraId="3255344A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7335BAB1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6F481B33" wp14:editId="3C4859F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549C3B1C" w14:textId="77777777" w:rsidTr="000C4C70">
        <w:trPr>
          <w:trHeight w:val="334"/>
        </w:trPr>
        <w:tc>
          <w:tcPr>
            <w:tcW w:w="4926" w:type="dxa"/>
            <w:vMerge/>
          </w:tcPr>
          <w:p w14:paraId="231798A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9120F2D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4DD3A64" wp14:editId="7615F0B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17D34B41" w14:textId="77777777" w:rsidTr="000C4C70">
        <w:trPr>
          <w:trHeight w:val="334"/>
        </w:trPr>
        <w:tc>
          <w:tcPr>
            <w:tcW w:w="4926" w:type="dxa"/>
          </w:tcPr>
          <w:p w14:paraId="3C0BDFC7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E94A6E4" w14:textId="63DFBD2B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969138F" wp14:editId="6F200E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14:paraId="7CA30F25" w14:textId="77777777" w:rsidTr="000C4C70">
        <w:trPr>
          <w:trHeight w:val="334"/>
        </w:trPr>
        <w:tc>
          <w:tcPr>
            <w:tcW w:w="4926" w:type="dxa"/>
          </w:tcPr>
          <w:p w14:paraId="71FAF20E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324FA4C" w14:textId="322E360E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31DC7F2B" wp14:editId="7307646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14:paraId="1AA0FF0B" w14:textId="77777777" w:rsidTr="000C4C70">
        <w:trPr>
          <w:trHeight w:val="953"/>
        </w:trPr>
        <w:tc>
          <w:tcPr>
            <w:tcW w:w="4926" w:type="dxa"/>
          </w:tcPr>
          <w:p w14:paraId="5CEAEDCA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BB14496" w14:textId="2265F82D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3CEE98CF" wp14:editId="28691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385E56C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77777777"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15E8D9B" w14:textId="320F9DA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036B5146" w14:textId="289D4001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4719955D" w14:textId="5E697F5B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0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3B83EDB2" w14:textId="0BD7490F" w:rsidR="008575EA" w:rsidRPr="00946F6D" w:rsidRDefault="00A26854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-III kwartale 2021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55DA24D0" w14:textId="668397AC" w:rsidR="00DE2400" w:rsidRPr="00694D63" w:rsidRDefault="00B16871" w:rsidP="00747B8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7EA624C" w14:textId="7B71D3CA" w:rsidR="008575EA" w:rsidRPr="00946F6D" w:rsidRDefault="00A26854" w:rsidP="008575EA">
            <w:pPr>
              <w:rPr>
                <w:color w:val="001D77"/>
                <w:sz w:val="18"/>
                <w:szCs w:val="18"/>
              </w:rPr>
            </w:pPr>
            <w:hyperlink r:id="rId25" w:tooltip="Link do Dziedzinowej Bazy Wiedzy &quot;Mieszkania, których budowę rozpoczęto - dane miesięcz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14:paraId="45C9B847" w14:textId="60EF4414" w:rsidR="008575EA" w:rsidRPr="00946F6D" w:rsidRDefault="00A26854" w:rsidP="008575EA">
            <w:pPr>
              <w:rPr>
                <w:color w:val="001D77"/>
                <w:sz w:val="18"/>
                <w:szCs w:val="18"/>
              </w:rPr>
            </w:pPr>
            <w:hyperlink r:id="rId26" w:tooltip="Link do Dziedzinowej Bazy Wiedzy &quot;Mieszkania oddane do użytkowania - dane kwartal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14:paraId="66AF5E3F" w14:textId="59D4263D" w:rsidR="008575EA" w:rsidRPr="00946F6D" w:rsidRDefault="00A26854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6EC7A51E" w14:textId="7E2FB973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CA0222C" w14:textId="4A93EADD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764BA096" w14:textId="2F956B5A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®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E5C99F2" w14:textId="7E1E26A5" w:rsidR="008575EA" w:rsidRPr="00946F6D" w:rsidRDefault="00A26854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32159E9A" w14:textId="306E2577" w:rsidR="00DE2400" w:rsidRPr="00417835" w:rsidRDefault="00DE2400" w:rsidP="00747B8C">
            <w:pPr>
              <w:rPr>
                <w:rStyle w:val="Hipercze"/>
              </w:rPr>
            </w:pPr>
          </w:p>
          <w:p w14:paraId="74120B68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734C8732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59EB7117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8600317" w14:textId="77777777" w:rsidR="000470AA" w:rsidRPr="0022421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1B68E34A" w14:textId="77777777" w:rsidR="000470AA" w:rsidRDefault="000470AA" w:rsidP="000470AA">
      <w:pPr>
        <w:rPr>
          <w:sz w:val="20"/>
        </w:rPr>
      </w:pPr>
    </w:p>
    <w:p w14:paraId="21E45930" w14:textId="77777777" w:rsidR="000470AA" w:rsidRDefault="000470AA" w:rsidP="000470AA">
      <w:pPr>
        <w:rPr>
          <w:sz w:val="18"/>
        </w:rPr>
      </w:pPr>
    </w:p>
    <w:p w14:paraId="7C19EFAE" w14:textId="5AAD912C" w:rsidR="00D261A2" w:rsidRPr="00001C5B" w:rsidRDefault="00D261A2" w:rsidP="00AD0E56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96370" w14:textId="77777777" w:rsidR="00A26854" w:rsidRDefault="00A26854" w:rsidP="000662E2">
      <w:pPr>
        <w:spacing w:after="0" w:line="240" w:lineRule="auto"/>
      </w:pPr>
      <w:r>
        <w:separator/>
      </w:r>
    </w:p>
  </w:endnote>
  <w:endnote w:type="continuationSeparator" w:id="0">
    <w:p w14:paraId="03870D8B" w14:textId="77777777" w:rsidR="00A26854" w:rsidRDefault="00A2685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A17E7EAF-8076-44D8-A37F-8A8EE937D19D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248CA7C5-2138-4D8D-8126-E9E475E65251}"/>
    <w:embedBold r:id="rId3" w:fontKey="{84A882CE-DF92-4E35-88F6-E9397132DB6E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36686619-78C2-4459-9830-EFF378B3EC88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CD083B46-3503-4401-B4AE-C2458E065AAF}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70B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70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70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C7AC0" w14:textId="77777777" w:rsidR="00A26854" w:rsidRDefault="00A26854" w:rsidP="000662E2">
      <w:pPr>
        <w:spacing w:after="0" w:line="240" w:lineRule="auto"/>
      </w:pPr>
      <w:r>
        <w:separator/>
      </w:r>
    </w:p>
  </w:footnote>
  <w:footnote w:type="continuationSeparator" w:id="0">
    <w:p w14:paraId="0AB704B4" w14:textId="77777777" w:rsidR="00A26854" w:rsidRDefault="00A26854" w:rsidP="000662E2">
      <w:pPr>
        <w:spacing w:after="0" w:line="240" w:lineRule="auto"/>
      </w:pPr>
      <w:r>
        <w:continuationSeparator/>
      </w:r>
    </w:p>
  </w:footnote>
  <w:footnote w:id="1">
    <w:p w14:paraId="4E83B43B" w14:textId="77777777"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A999" w14:textId="532B1FFE" w:rsidR="00540C5C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15F1AE4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94277A" w14:textId="5A2E916C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56750EE0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 21.02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435C65EB" w:rsidR="00F37172" w:rsidRPr="00A01B40" w:rsidRDefault="00DD5C23" w:rsidP="00F049AB">
                          <w:pPr>
                            <w:pStyle w:val="Datainformacjisygnalnej"/>
                          </w:pPr>
                          <w:r>
                            <w:t>21.0</w:t>
                          </w:r>
                          <w:r w:rsidR="00CE2AFA">
                            <w:t>2</w:t>
                          </w:r>
                          <w:r>
                            <w:t>.2022</w:t>
                          </w:r>
                          <w:r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 21.02.2022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" filled="f" stroked="f">
              <v:textbox>
                <w:txbxContent>
                  <w:p w14:paraId="71967FEA" w14:textId="435C65EB" w:rsidR="00F37172" w:rsidRPr="00A01B40" w:rsidRDefault="00DD5C23" w:rsidP="00F049AB">
                    <w:pPr>
                      <w:pStyle w:val="Datainformacjisygnalnej"/>
                    </w:pPr>
                    <w:r>
                      <w:t>21.0</w:t>
                    </w:r>
                    <w:r w:rsidR="00CE2AFA">
                      <w:t>2</w:t>
                    </w:r>
                    <w:r>
                      <w:t>.2022</w:t>
                    </w:r>
                    <w:r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4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4pt;height:1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2429"/>
    <w:rsid w:val="00035225"/>
    <w:rsid w:val="0004582E"/>
    <w:rsid w:val="000470AA"/>
    <w:rsid w:val="00057CA1"/>
    <w:rsid w:val="000647A9"/>
    <w:rsid w:val="000662E2"/>
    <w:rsid w:val="00066883"/>
    <w:rsid w:val="00071B39"/>
    <w:rsid w:val="00074DD8"/>
    <w:rsid w:val="00075759"/>
    <w:rsid w:val="000806F7"/>
    <w:rsid w:val="00092305"/>
    <w:rsid w:val="00097840"/>
    <w:rsid w:val="000B0727"/>
    <w:rsid w:val="000C135D"/>
    <w:rsid w:val="000C4C70"/>
    <w:rsid w:val="000D1D43"/>
    <w:rsid w:val="000D1E24"/>
    <w:rsid w:val="000D225C"/>
    <w:rsid w:val="000D2A5C"/>
    <w:rsid w:val="000D39F0"/>
    <w:rsid w:val="000E0918"/>
    <w:rsid w:val="000E33F1"/>
    <w:rsid w:val="000E79A9"/>
    <w:rsid w:val="001011C3"/>
    <w:rsid w:val="00103EF6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736"/>
    <w:rsid w:val="00136D67"/>
    <w:rsid w:val="00141CC0"/>
    <w:rsid w:val="001423B6"/>
    <w:rsid w:val="001448A7"/>
    <w:rsid w:val="00146621"/>
    <w:rsid w:val="001617E3"/>
    <w:rsid w:val="00162325"/>
    <w:rsid w:val="00164131"/>
    <w:rsid w:val="00180D78"/>
    <w:rsid w:val="001951DA"/>
    <w:rsid w:val="001B053D"/>
    <w:rsid w:val="001B11C4"/>
    <w:rsid w:val="001C3269"/>
    <w:rsid w:val="001D19B6"/>
    <w:rsid w:val="001D1DB4"/>
    <w:rsid w:val="001D23F1"/>
    <w:rsid w:val="001D25F9"/>
    <w:rsid w:val="001D61ED"/>
    <w:rsid w:val="001E5B2D"/>
    <w:rsid w:val="0020156C"/>
    <w:rsid w:val="00216634"/>
    <w:rsid w:val="00224210"/>
    <w:rsid w:val="00242D31"/>
    <w:rsid w:val="0025481E"/>
    <w:rsid w:val="002574F9"/>
    <w:rsid w:val="00262B61"/>
    <w:rsid w:val="00262CC6"/>
    <w:rsid w:val="00263E08"/>
    <w:rsid w:val="002707DF"/>
    <w:rsid w:val="00275CB3"/>
    <w:rsid w:val="00276811"/>
    <w:rsid w:val="00282699"/>
    <w:rsid w:val="002926DF"/>
    <w:rsid w:val="0029373C"/>
    <w:rsid w:val="00296697"/>
    <w:rsid w:val="002A2E23"/>
    <w:rsid w:val="002B0472"/>
    <w:rsid w:val="002B68D2"/>
    <w:rsid w:val="002B6B12"/>
    <w:rsid w:val="002C21F0"/>
    <w:rsid w:val="002C4B21"/>
    <w:rsid w:val="002C5C97"/>
    <w:rsid w:val="002D01DF"/>
    <w:rsid w:val="002D1211"/>
    <w:rsid w:val="002E3EB3"/>
    <w:rsid w:val="002E6140"/>
    <w:rsid w:val="002E6985"/>
    <w:rsid w:val="002E71B6"/>
    <w:rsid w:val="002E7CC1"/>
    <w:rsid w:val="002F35F6"/>
    <w:rsid w:val="002F77C8"/>
    <w:rsid w:val="00304F22"/>
    <w:rsid w:val="00306C7C"/>
    <w:rsid w:val="00314F86"/>
    <w:rsid w:val="00317F4D"/>
    <w:rsid w:val="00322EDD"/>
    <w:rsid w:val="003309FA"/>
    <w:rsid w:val="00332320"/>
    <w:rsid w:val="00347D72"/>
    <w:rsid w:val="00351173"/>
    <w:rsid w:val="00353F45"/>
    <w:rsid w:val="00354E9A"/>
    <w:rsid w:val="00357611"/>
    <w:rsid w:val="0036432A"/>
    <w:rsid w:val="00364AF9"/>
    <w:rsid w:val="00367237"/>
    <w:rsid w:val="0037077F"/>
    <w:rsid w:val="00372411"/>
    <w:rsid w:val="00373882"/>
    <w:rsid w:val="003843DB"/>
    <w:rsid w:val="00390871"/>
    <w:rsid w:val="00393761"/>
    <w:rsid w:val="00393CBC"/>
    <w:rsid w:val="00394E26"/>
    <w:rsid w:val="00396691"/>
    <w:rsid w:val="00397D18"/>
    <w:rsid w:val="003A1B36"/>
    <w:rsid w:val="003A6083"/>
    <w:rsid w:val="003B1454"/>
    <w:rsid w:val="003B18B6"/>
    <w:rsid w:val="003C161B"/>
    <w:rsid w:val="003C59E0"/>
    <w:rsid w:val="003C6C8D"/>
    <w:rsid w:val="003D2656"/>
    <w:rsid w:val="003D37CB"/>
    <w:rsid w:val="003D4F95"/>
    <w:rsid w:val="003D5F42"/>
    <w:rsid w:val="003D60A9"/>
    <w:rsid w:val="003F19DE"/>
    <w:rsid w:val="003F4C97"/>
    <w:rsid w:val="003F666D"/>
    <w:rsid w:val="003F7FE6"/>
    <w:rsid w:val="00400193"/>
    <w:rsid w:val="00416EAF"/>
    <w:rsid w:val="004212E7"/>
    <w:rsid w:val="00423C88"/>
    <w:rsid w:val="0042446D"/>
    <w:rsid w:val="0042599A"/>
    <w:rsid w:val="00427BF8"/>
    <w:rsid w:val="00431C02"/>
    <w:rsid w:val="00437395"/>
    <w:rsid w:val="00445047"/>
    <w:rsid w:val="00446749"/>
    <w:rsid w:val="00453EB7"/>
    <w:rsid w:val="00463E39"/>
    <w:rsid w:val="004647E0"/>
    <w:rsid w:val="004657FC"/>
    <w:rsid w:val="004733F6"/>
    <w:rsid w:val="00474E69"/>
    <w:rsid w:val="00483E9F"/>
    <w:rsid w:val="00485A2C"/>
    <w:rsid w:val="0049621B"/>
    <w:rsid w:val="004A1D19"/>
    <w:rsid w:val="004C1895"/>
    <w:rsid w:val="004C6D40"/>
    <w:rsid w:val="004E6AA8"/>
    <w:rsid w:val="004F0C3C"/>
    <w:rsid w:val="004F2280"/>
    <w:rsid w:val="004F23BB"/>
    <w:rsid w:val="004F63FC"/>
    <w:rsid w:val="00505A92"/>
    <w:rsid w:val="005203F1"/>
    <w:rsid w:val="00521BC3"/>
    <w:rsid w:val="00522DF4"/>
    <w:rsid w:val="00533632"/>
    <w:rsid w:val="00534013"/>
    <w:rsid w:val="00540C5C"/>
    <w:rsid w:val="00541E6E"/>
    <w:rsid w:val="0054251F"/>
    <w:rsid w:val="005520D8"/>
    <w:rsid w:val="00553EDE"/>
    <w:rsid w:val="00555CFB"/>
    <w:rsid w:val="005566DA"/>
    <w:rsid w:val="00556CF1"/>
    <w:rsid w:val="005762A7"/>
    <w:rsid w:val="00587CEE"/>
    <w:rsid w:val="005916D7"/>
    <w:rsid w:val="0059427F"/>
    <w:rsid w:val="005947D5"/>
    <w:rsid w:val="005A698C"/>
    <w:rsid w:val="005B4EF8"/>
    <w:rsid w:val="005C0CAC"/>
    <w:rsid w:val="005D062E"/>
    <w:rsid w:val="005D688E"/>
    <w:rsid w:val="005E0799"/>
    <w:rsid w:val="005E10F9"/>
    <w:rsid w:val="005E1200"/>
    <w:rsid w:val="005E3C4E"/>
    <w:rsid w:val="005E6BD1"/>
    <w:rsid w:val="005F45EE"/>
    <w:rsid w:val="005F5A80"/>
    <w:rsid w:val="00600A20"/>
    <w:rsid w:val="00602DF9"/>
    <w:rsid w:val="006044FF"/>
    <w:rsid w:val="00607CC5"/>
    <w:rsid w:val="0061179B"/>
    <w:rsid w:val="006125F9"/>
    <w:rsid w:val="00633014"/>
    <w:rsid w:val="0063437B"/>
    <w:rsid w:val="0064017E"/>
    <w:rsid w:val="00654BB6"/>
    <w:rsid w:val="00665F10"/>
    <w:rsid w:val="006673CA"/>
    <w:rsid w:val="00673C26"/>
    <w:rsid w:val="00674DE5"/>
    <w:rsid w:val="00677ACA"/>
    <w:rsid w:val="006812AF"/>
    <w:rsid w:val="0068327D"/>
    <w:rsid w:val="00691534"/>
    <w:rsid w:val="00693880"/>
    <w:rsid w:val="00694AF0"/>
    <w:rsid w:val="00696FCE"/>
    <w:rsid w:val="006A4686"/>
    <w:rsid w:val="006B0030"/>
    <w:rsid w:val="006B070B"/>
    <w:rsid w:val="006B0E9E"/>
    <w:rsid w:val="006B486D"/>
    <w:rsid w:val="006B5AE4"/>
    <w:rsid w:val="006C57B5"/>
    <w:rsid w:val="006D1507"/>
    <w:rsid w:val="006D4054"/>
    <w:rsid w:val="006E02EC"/>
    <w:rsid w:val="006E3C4F"/>
    <w:rsid w:val="006E6F41"/>
    <w:rsid w:val="006E73E6"/>
    <w:rsid w:val="007110ED"/>
    <w:rsid w:val="0071578A"/>
    <w:rsid w:val="007211B1"/>
    <w:rsid w:val="007277DA"/>
    <w:rsid w:val="00731143"/>
    <w:rsid w:val="0073114E"/>
    <w:rsid w:val="00731D27"/>
    <w:rsid w:val="007426A4"/>
    <w:rsid w:val="00746187"/>
    <w:rsid w:val="0076254F"/>
    <w:rsid w:val="00770C54"/>
    <w:rsid w:val="007801F5"/>
    <w:rsid w:val="0078275D"/>
    <w:rsid w:val="00783CA4"/>
    <w:rsid w:val="007842FB"/>
    <w:rsid w:val="00786124"/>
    <w:rsid w:val="0079514B"/>
    <w:rsid w:val="00795252"/>
    <w:rsid w:val="007A2DC1"/>
    <w:rsid w:val="007B4D3D"/>
    <w:rsid w:val="007C41ED"/>
    <w:rsid w:val="007D02DB"/>
    <w:rsid w:val="007D0869"/>
    <w:rsid w:val="007D14C4"/>
    <w:rsid w:val="007D3319"/>
    <w:rsid w:val="007D335D"/>
    <w:rsid w:val="007D605C"/>
    <w:rsid w:val="007D799A"/>
    <w:rsid w:val="007E3314"/>
    <w:rsid w:val="007E3514"/>
    <w:rsid w:val="007E4B03"/>
    <w:rsid w:val="007F324B"/>
    <w:rsid w:val="0080553C"/>
    <w:rsid w:val="00805B46"/>
    <w:rsid w:val="00805DB4"/>
    <w:rsid w:val="00823593"/>
    <w:rsid w:val="00825DC2"/>
    <w:rsid w:val="00833CD6"/>
    <w:rsid w:val="00834AD3"/>
    <w:rsid w:val="00843795"/>
    <w:rsid w:val="00847F0F"/>
    <w:rsid w:val="00852448"/>
    <w:rsid w:val="008575EA"/>
    <w:rsid w:val="00861460"/>
    <w:rsid w:val="00877F6C"/>
    <w:rsid w:val="0088258A"/>
    <w:rsid w:val="00886332"/>
    <w:rsid w:val="00887FE9"/>
    <w:rsid w:val="008925F0"/>
    <w:rsid w:val="0089448A"/>
    <w:rsid w:val="00897877"/>
    <w:rsid w:val="008A26D9"/>
    <w:rsid w:val="008A33AC"/>
    <w:rsid w:val="008A7B5B"/>
    <w:rsid w:val="008B12D2"/>
    <w:rsid w:val="008C0C29"/>
    <w:rsid w:val="008D02DA"/>
    <w:rsid w:val="008D76BC"/>
    <w:rsid w:val="008E7DBA"/>
    <w:rsid w:val="008F0829"/>
    <w:rsid w:val="008F3638"/>
    <w:rsid w:val="008F4441"/>
    <w:rsid w:val="008F6B20"/>
    <w:rsid w:val="008F6F31"/>
    <w:rsid w:val="008F74DF"/>
    <w:rsid w:val="00902274"/>
    <w:rsid w:val="0091083F"/>
    <w:rsid w:val="00912473"/>
    <w:rsid w:val="009127BA"/>
    <w:rsid w:val="00920AAE"/>
    <w:rsid w:val="009227A6"/>
    <w:rsid w:val="00933EC1"/>
    <w:rsid w:val="009446AD"/>
    <w:rsid w:val="00946F6D"/>
    <w:rsid w:val="009530DB"/>
    <w:rsid w:val="00953676"/>
    <w:rsid w:val="00956F30"/>
    <w:rsid w:val="00966C9A"/>
    <w:rsid w:val="009705EE"/>
    <w:rsid w:val="00975DA9"/>
    <w:rsid w:val="00977927"/>
    <w:rsid w:val="0098135C"/>
    <w:rsid w:val="0098156A"/>
    <w:rsid w:val="009861C8"/>
    <w:rsid w:val="00987C33"/>
    <w:rsid w:val="00991BAC"/>
    <w:rsid w:val="009A2390"/>
    <w:rsid w:val="009A6EA0"/>
    <w:rsid w:val="009B12CC"/>
    <w:rsid w:val="009C1335"/>
    <w:rsid w:val="009C1AB2"/>
    <w:rsid w:val="009C7251"/>
    <w:rsid w:val="009D1F9F"/>
    <w:rsid w:val="009D74A4"/>
    <w:rsid w:val="009E2E91"/>
    <w:rsid w:val="009F37F2"/>
    <w:rsid w:val="00A01B40"/>
    <w:rsid w:val="00A139F5"/>
    <w:rsid w:val="00A26854"/>
    <w:rsid w:val="00A32E16"/>
    <w:rsid w:val="00A365F4"/>
    <w:rsid w:val="00A47D80"/>
    <w:rsid w:val="00A53132"/>
    <w:rsid w:val="00A563F2"/>
    <w:rsid w:val="00A566E8"/>
    <w:rsid w:val="00A617AC"/>
    <w:rsid w:val="00A6325C"/>
    <w:rsid w:val="00A66347"/>
    <w:rsid w:val="00A810F9"/>
    <w:rsid w:val="00A82D31"/>
    <w:rsid w:val="00A84296"/>
    <w:rsid w:val="00A85E7E"/>
    <w:rsid w:val="00A86ECC"/>
    <w:rsid w:val="00A86FCC"/>
    <w:rsid w:val="00A90A6D"/>
    <w:rsid w:val="00A971E5"/>
    <w:rsid w:val="00AA2F0E"/>
    <w:rsid w:val="00AA710D"/>
    <w:rsid w:val="00AB192C"/>
    <w:rsid w:val="00AB64F3"/>
    <w:rsid w:val="00AB6D25"/>
    <w:rsid w:val="00AC0589"/>
    <w:rsid w:val="00AC280D"/>
    <w:rsid w:val="00AD0E56"/>
    <w:rsid w:val="00AD1F03"/>
    <w:rsid w:val="00AD7D81"/>
    <w:rsid w:val="00AE2010"/>
    <w:rsid w:val="00AE229B"/>
    <w:rsid w:val="00AE2D4B"/>
    <w:rsid w:val="00AE4F99"/>
    <w:rsid w:val="00B11B69"/>
    <w:rsid w:val="00B13921"/>
    <w:rsid w:val="00B14952"/>
    <w:rsid w:val="00B16871"/>
    <w:rsid w:val="00B25B45"/>
    <w:rsid w:val="00B31E5A"/>
    <w:rsid w:val="00B3710B"/>
    <w:rsid w:val="00B43075"/>
    <w:rsid w:val="00B4309F"/>
    <w:rsid w:val="00B47359"/>
    <w:rsid w:val="00B653AB"/>
    <w:rsid w:val="00B65C40"/>
    <w:rsid w:val="00B65F9E"/>
    <w:rsid w:val="00B66B19"/>
    <w:rsid w:val="00B85F30"/>
    <w:rsid w:val="00B914E9"/>
    <w:rsid w:val="00B95343"/>
    <w:rsid w:val="00B956EE"/>
    <w:rsid w:val="00BA2BA1"/>
    <w:rsid w:val="00BA3447"/>
    <w:rsid w:val="00BA3562"/>
    <w:rsid w:val="00BB4F09"/>
    <w:rsid w:val="00BC2D48"/>
    <w:rsid w:val="00BD4E33"/>
    <w:rsid w:val="00BF246A"/>
    <w:rsid w:val="00C030DE"/>
    <w:rsid w:val="00C051A8"/>
    <w:rsid w:val="00C22105"/>
    <w:rsid w:val="00C244B6"/>
    <w:rsid w:val="00C2512A"/>
    <w:rsid w:val="00C27BF1"/>
    <w:rsid w:val="00C30F26"/>
    <w:rsid w:val="00C3702F"/>
    <w:rsid w:val="00C423B3"/>
    <w:rsid w:val="00C4500A"/>
    <w:rsid w:val="00C62238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B6AD4"/>
    <w:rsid w:val="00CC739E"/>
    <w:rsid w:val="00CD1EBB"/>
    <w:rsid w:val="00CD28CF"/>
    <w:rsid w:val="00CD58B7"/>
    <w:rsid w:val="00CD6D30"/>
    <w:rsid w:val="00CD7967"/>
    <w:rsid w:val="00CE2AFA"/>
    <w:rsid w:val="00CF18EE"/>
    <w:rsid w:val="00CF30BD"/>
    <w:rsid w:val="00CF4099"/>
    <w:rsid w:val="00CF6DFF"/>
    <w:rsid w:val="00D00796"/>
    <w:rsid w:val="00D04A00"/>
    <w:rsid w:val="00D261A2"/>
    <w:rsid w:val="00D35826"/>
    <w:rsid w:val="00D616D2"/>
    <w:rsid w:val="00D63B5F"/>
    <w:rsid w:val="00D70EF7"/>
    <w:rsid w:val="00D8397C"/>
    <w:rsid w:val="00D94EED"/>
    <w:rsid w:val="00D96026"/>
    <w:rsid w:val="00D972F6"/>
    <w:rsid w:val="00DA331D"/>
    <w:rsid w:val="00DA7C1C"/>
    <w:rsid w:val="00DB147A"/>
    <w:rsid w:val="00DB1B7A"/>
    <w:rsid w:val="00DB706E"/>
    <w:rsid w:val="00DC6708"/>
    <w:rsid w:val="00DD011A"/>
    <w:rsid w:val="00DD5C23"/>
    <w:rsid w:val="00DE2400"/>
    <w:rsid w:val="00DE58F1"/>
    <w:rsid w:val="00DE6B58"/>
    <w:rsid w:val="00DF5E32"/>
    <w:rsid w:val="00E01436"/>
    <w:rsid w:val="00E03E79"/>
    <w:rsid w:val="00E045BD"/>
    <w:rsid w:val="00E04D6C"/>
    <w:rsid w:val="00E109E9"/>
    <w:rsid w:val="00E17B77"/>
    <w:rsid w:val="00E231AB"/>
    <w:rsid w:val="00E23337"/>
    <w:rsid w:val="00E259EA"/>
    <w:rsid w:val="00E25D33"/>
    <w:rsid w:val="00E32061"/>
    <w:rsid w:val="00E33F48"/>
    <w:rsid w:val="00E42FF9"/>
    <w:rsid w:val="00E44790"/>
    <w:rsid w:val="00E4714C"/>
    <w:rsid w:val="00E5178D"/>
    <w:rsid w:val="00E51AEB"/>
    <w:rsid w:val="00E522A7"/>
    <w:rsid w:val="00E5349E"/>
    <w:rsid w:val="00E54452"/>
    <w:rsid w:val="00E63B0C"/>
    <w:rsid w:val="00E664C5"/>
    <w:rsid w:val="00E671A2"/>
    <w:rsid w:val="00E76D26"/>
    <w:rsid w:val="00E76EE5"/>
    <w:rsid w:val="00E95B8E"/>
    <w:rsid w:val="00EB1390"/>
    <w:rsid w:val="00EB2C71"/>
    <w:rsid w:val="00EB3333"/>
    <w:rsid w:val="00EB4340"/>
    <w:rsid w:val="00EB556D"/>
    <w:rsid w:val="00EB5A7D"/>
    <w:rsid w:val="00EC66BB"/>
    <w:rsid w:val="00ED55C0"/>
    <w:rsid w:val="00ED61F4"/>
    <w:rsid w:val="00ED682B"/>
    <w:rsid w:val="00EE41D5"/>
    <w:rsid w:val="00F0166F"/>
    <w:rsid w:val="00F037A4"/>
    <w:rsid w:val="00F049AB"/>
    <w:rsid w:val="00F142DB"/>
    <w:rsid w:val="00F27C8F"/>
    <w:rsid w:val="00F32749"/>
    <w:rsid w:val="00F37172"/>
    <w:rsid w:val="00F4477E"/>
    <w:rsid w:val="00F46269"/>
    <w:rsid w:val="00F52F81"/>
    <w:rsid w:val="00F60BA8"/>
    <w:rsid w:val="00F65B5B"/>
    <w:rsid w:val="00F65EC5"/>
    <w:rsid w:val="00F67D8F"/>
    <w:rsid w:val="00F802BE"/>
    <w:rsid w:val="00F80E93"/>
    <w:rsid w:val="00F86024"/>
    <w:rsid w:val="00F8611A"/>
    <w:rsid w:val="00F94EDD"/>
    <w:rsid w:val="00FA5128"/>
    <w:rsid w:val="00FB42D4"/>
    <w:rsid w:val="00FB5906"/>
    <w:rsid w:val="00FB5D61"/>
    <w:rsid w:val="00FB762F"/>
    <w:rsid w:val="00FB77D1"/>
    <w:rsid w:val="00FC2AED"/>
    <w:rsid w:val="00FD5EA7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budownictwo_mieszkaniowe_w styczniu 2022_r 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STAT\POWESKAA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01EFC287-037D-44B4-A3D5-95EE8471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EADE9-D218-4D4D-B598-02794272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2022 r</dc:title>
  <dc:subject/>
  <dc:creator>GUS</dc:creator>
  <cp:keywords/>
  <dc:description/>
  <cp:lastModifiedBy>Putkowska Beata</cp:lastModifiedBy>
  <cp:revision>3</cp:revision>
  <cp:lastPrinted>2019-02-21T09:45:00Z</cp:lastPrinted>
  <dcterms:created xsi:type="dcterms:W3CDTF">2022-02-17T09:07:00Z</dcterms:created>
  <dcterms:modified xsi:type="dcterms:W3CDTF">2022-02-21T06:59:00Z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