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677CC107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9E35D2" w:rsidRPr="009E35D2">
        <w:rPr>
          <w:shd w:val="clear" w:color="auto" w:fill="FFFFFF"/>
        </w:rPr>
        <w:t>2</w:t>
      </w:r>
      <w:r w:rsidR="00CF49DE" w:rsidRPr="009E35D2">
        <w:rPr>
          <w:shd w:val="clear" w:color="auto" w:fill="FFFFFF"/>
        </w:rPr>
        <w:t xml:space="preserve"> kwartale 202</w:t>
      </w:r>
      <w:r w:rsidR="00EC19C0" w:rsidRPr="009E35D2">
        <w:rPr>
          <w:shd w:val="clear" w:color="auto" w:fill="FFFFFF"/>
        </w:rPr>
        <w:t>2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0392BC0C" w:rsidR="00445429" w:rsidRPr="009E35D2" w:rsidRDefault="00C61F5C" w:rsidP="00863646">
      <w:pPr>
        <w:pStyle w:val="tekstnaniebieskimtle"/>
        <w:spacing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BFE79E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zwiększenie się wartości 58,3% wzrost liczby przekroczeń granicy Polski w 1 półroczu 2022 roku w porównaniu z 1 półroczem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2FC75DCE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A7268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58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A7268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08E9DBD5" w:rsidR="00B2033F" w:rsidRPr="00AC4540" w:rsidRDefault="00B2033F" w:rsidP="00B2033F">
                            <w:pPr>
                              <w:pStyle w:val="Opiswskanika"/>
                              <w:rPr>
                                <w:spacing w:val="-2"/>
                                <w:sz w:val="18"/>
                                <w:szCs w:val="20"/>
                              </w:rPr>
                            </w:pPr>
                            <w:r w:rsidRPr="00AC4540">
                              <w:rPr>
                                <w:spacing w:val="-2"/>
                              </w:rPr>
                              <w:t xml:space="preserve">Wzrost </w:t>
                            </w:r>
                            <w:r w:rsidR="00AC4540" w:rsidRPr="00AC4540">
                              <w:rPr>
                                <w:spacing w:val="-2"/>
                                <w:szCs w:val="20"/>
                              </w:rPr>
                              <w:t>liczby przekroczeń granicy Polski w 1 półroczu 2022 r. w porównaniu z 1 półroczem 2021 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zwiększenie się wartości 58,3% wzrost liczby przekroczeń granicy Polski w 1 półroczu 2022 roku w porównaniu z 1 półroczem 2021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" fillcolor="#001d77" stroked="f">
                <v:stroke joinstyle="miter"/>
                <v:textbox inset="2mm,,2mm">
                  <w:txbxContent>
                    <w:p w14:paraId="1D1B0A34" w14:textId="2FC75DCE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A7268F">
                        <w:rPr>
                          <w:rStyle w:val="WartowskanikaZnak"/>
                          <w:sz w:val="72"/>
                          <w:szCs w:val="72"/>
                        </w:rPr>
                        <w:t>58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A7268F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08E9DBD5" w:rsidR="00B2033F" w:rsidRPr="00AC4540" w:rsidRDefault="00B2033F" w:rsidP="00B2033F">
                      <w:pPr>
                        <w:pStyle w:val="Opiswskanika"/>
                        <w:rPr>
                          <w:spacing w:val="-2"/>
                          <w:sz w:val="18"/>
                          <w:szCs w:val="20"/>
                        </w:rPr>
                      </w:pPr>
                      <w:r w:rsidRPr="00AC4540">
                        <w:rPr>
                          <w:spacing w:val="-2"/>
                        </w:rPr>
                        <w:t xml:space="preserve">Wzrost </w:t>
                      </w:r>
                      <w:r w:rsidR="00AC4540" w:rsidRPr="00AC4540">
                        <w:rPr>
                          <w:spacing w:val="-2"/>
                          <w:szCs w:val="20"/>
                        </w:rPr>
                        <w:t>liczby przekroczeń granicy Polski w 1 półroczu 2022 r. w porównaniu z 1 półroczem 2021 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C4540" w:rsidRPr="004226C0">
        <w:rPr>
          <w:b/>
          <w:sz w:val="19"/>
          <w:szCs w:val="19"/>
        </w:rPr>
        <w:t xml:space="preserve">W </w:t>
      </w:r>
      <w:r w:rsidR="00AC4540">
        <w:rPr>
          <w:b/>
          <w:sz w:val="19"/>
          <w:szCs w:val="19"/>
        </w:rPr>
        <w:t>1</w:t>
      </w:r>
      <w:r w:rsidR="00AC4540" w:rsidRPr="004226C0">
        <w:rPr>
          <w:b/>
          <w:sz w:val="19"/>
          <w:szCs w:val="19"/>
        </w:rPr>
        <w:t xml:space="preserve"> półroczu 202</w:t>
      </w:r>
      <w:r w:rsidR="003C124A">
        <w:rPr>
          <w:b/>
          <w:sz w:val="19"/>
          <w:szCs w:val="19"/>
        </w:rPr>
        <w:t>2</w:t>
      </w:r>
      <w:r w:rsidR="00AC4540" w:rsidRPr="004226C0">
        <w:rPr>
          <w:b/>
          <w:sz w:val="19"/>
          <w:szCs w:val="19"/>
        </w:rPr>
        <w:t xml:space="preserve"> r. liczba przekroczeń granicy Polski wyniosła </w:t>
      </w:r>
      <w:r w:rsidR="00A7268F">
        <w:rPr>
          <w:b/>
          <w:sz w:val="19"/>
          <w:szCs w:val="19"/>
        </w:rPr>
        <w:t>125</w:t>
      </w:r>
      <w:r w:rsidR="00AC4540" w:rsidRPr="004226C0">
        <w:rPr>
          <w:b/>
          <w:sz w:val="19"/>
          <w:szCs w:val="19"/>
        </w:rPr>
        <w:t>,</w:t>
      </w:r>
      <w:r w:rsidR="00A7268F">
        <w:rPr>
          <w:b/>
          <w:sz w:val="19"/>
          <w:szCs w:val="19"/>
        </w:rPr>
        <w:t>6</w:t>
      </w:r>
      <w:r w:rsidR="00AC4540" w:rsidRPr="004226C0">
        <w:rPr>
          <w:b/>
          <w:sz w:val="19"/>
          <w:szCs w:val="19"/>
        </w:rPr>
        <w:t xml:space="preserve"> mln. W stosunku do</w:t>
      </w:r>
      <w:r w:rsidR="00AC4540" w:rsidRPr="004226C0">
        <w:rPr>
          <w:sz w:val="19"/>
          <w:szCs w:val="19"/>
        </w:rPr>
        <w:t xml:space="preserve"> </w:t>
      </w:r>
      <w:r w:rsidR="00AC4540" w:rsidRPr="004226C0">
        <w:rPr>
          <w:b/>
          <w:sz w:val="19"/>
          <w:szCs w:val="19"/>
        </w:rPr>
        <w:t xml:space="preserve">analogicznego okresu poprzedniego roku odnotowano </w:t>
      </w:r>
      <w:r w:rsidR="00A7268F">
        <w:rPr>
          <w:b/>
          <w:sz w:val="19"/>
          <w:szCs w:val="19"/>
        </w:rPr>
        <w:t>większy</w:t>
      </w:r>
      <w:r w:rsidR="00AC4540" w:rsidRPr="004226C0">
        <w:rPr>
          <w:b/>
          <w:sz w:val="19"/>
          <w:szCs w:val="19"/>
        </w:rPr>
        <w:t xml:space="preserve"> ruch graniczny zarówno cudzoziemców (o</w:t>
      </w:r>
      <w:r w:rsidR="00A7268F">
        <w:rPr>
          <w:b/>
          <w:sz w:val="19"/>
          <w:szCs w:val="19"/>
        </w:rPr>
        <w:t> 62</w:t>
      </w:r>
      <w:r w:rsidR="00AC4540" w:rsidRPr="004226C0">
        <w:rPr>
          <w:b/>
          <w:sz w:val="19"/>
          <w:szCs w:val="19"/>
        </w:rPr>
        <w:t>,</w:t>
      </w:r>
      <w:r w:rsidR="00A7268F">
        <w:rPr>
          <w:b/>
          <w:sz w:val="19"/>
          <w:szCs w:val="19"/>
        </w:rPr>
        <w:t>2</w:t>
      </w:r>
      <w:r w:rsidR="00AC4540" w:rsidRPr="004226C0">
        <w:rPr>
          <w:b/>
          <w:sz w:val="19"/>
          <w:szCs w:val="19"/>
        </w:rPr>
        <w:t>%), jak i Polaków (o </w:t>
      </w:r>
      <w:r w:rsidR="00A7268F">
        <w:rPr>
          <w:b/>
          <w:sz w:val="19"/>
          <w:szCs w:val="19"/>
        </w:rPr>
        <w:t>53</w:t>
      </w:r>
      <w:r w:rsidR="00AC4540" w:rsidRPr="004226C0">
        <w:rPr>
          <w:b/>
          <w:sz w:val="19"/>
          <w:szCs w:val="19"/>
        </w:rPr>
        <w:t>,</w:t>
      </w:r>
      <w:r w:rsidR="00A7268F">
        <w:rPr>
          <w:b/>
          <w:sz w:val="19"/>
          <w:szCs w:val="19"/>
        </w:rPr>
        <w:t>0</w:t>
      </w:r>
      <w:r w:rsidR="00AC4540" w:rsidRPr="004226C0">
        <w:rPr>
          <w:b/>
          <w:sz w:val="19"/>
          <w:szCs w:val="19"/>
        </w:rPr>
        <w:t>%).</w:t>
      </w:r>
    </w:p>
    <w:p w14:paraId="07458035" w14:textId="581B6F0B" w:rsidR="00314458" w:rsidRPr="00B81271" w:rsidRDefault="00314458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>
        <w:rPr>
          <w:rFonts w:eastAsia="Times New Roman" w:cs="Times New Roman"/>
          <w:b/>
          <w:bCs/>
          <w:szCs w:val="19"/>
          <w:lang w:eastAsia="pl-PL"/>
        </w:rPr>
        <w:t>W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artości towarów i usług zakupionych </w:t>
      </w:r>
      <w:r w:rsidRPr="004226C0">
        <w:rPr>
          <w:b/>
          <w:szCs w:val="19"/>
        </w:rPr>
        <w:t xml:space="preserve">w tym okresie 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przez cudzoziemców w Polsce </w:t>
      </w:r>
      <w:r>
        <w:rPr>
          <w:rFonts w:eastAsia="Times New Roman" w:cs="Times New Roman"/>
          <w:b/>
          <w:bCs/>
          <w:szCs w:val="19"/>
          <w:lang w:eastAsia="pl-PL"/>
        </w:rPr>
        <w:t>(</w:t>
      </w:r>
      <w:r w:rsidR="00D85AD9">
        <w:rPr>
          <w:rFonts w:eastAsia="Times New Roman" w:cs="Times New Roman"/>
          <w:b/>
          <w:bCs/>
          <w:szCs w:val="19"/>
          <w:lang w:eastAsia="pl-PL"/>
        </w:rPr>
        <w:t>16,5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oraz towarów i</w:t>
      </w:r>
      <w:r w:rsidRPr="004226C0">
        <w:rPr>
          <w:szCs w:val="19"/>
        </w:rPr>
        <w:t> </w:t>
      </w:r>
      <w:r w:rsidRPr="004226C0">
        <w:rPr>
          <w:rFonts w:eastAsia="Times New Roman" w:cs="Times New Roman"/>
          <w:b/>
          <w:bCs/>
          <w:szCs w:val="19"/>
          <w:lang w:eastAsia="pl-PL"/>
        </w:rPr>
        <w:t>usług zakupionych przez Polaków za granicą (</w:t>
      </w:r>
      <w:r w:rsidR="00143F3E">
        <w:rPr>
          <w:rFonts w:eastAsia="Times New Roman" w:cs="Times New Roman"/>
          <w:b/>
          <w:bCs/>
          <w:szCs w:val="19"/>
          <w:lang w:eastAsia="pl-PL"/>
        </w:rPr>
        <w:t>9,5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mld zł) były </w:t>
      </w:r>
      <w:r w:rsidR="00D85AD9">
        <w:rPr>
          <w:rFonts w:eastAsia="Times New Roman" w:cs="Times New Roman"/>
          <w:b/>
          <w:bCs/>
          <w:szCs w:val="19"/>
          <w:lang w:eastAsia="pl-PL"/>
        </w:rPr>
        <w:t>większe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niż</w:t>
      </w:r>
      <w:r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w </w:t>
      </w:r>
      <w:r w:rsidR="00AE2D08">
        <w:rPr>
          <w:rFonts w:eastAsia="Times New Roman" w:cs="Times New Roman"/>
          <w:b/>
          <w:bCs/>
          <w:szCs w:val="19"/>
          <w:lang w:eastAsia="pl-PL"/>
        </w:rPr>
        <w:t>1</w:t>
      </w:r>
      <w:r w:rsidRPr="004226C0">
        <w:rPr>
          <w:rFonts w:eastAsia="Times New Roman" w:cs="Times New Roman"/>
          <w:b/>
          <w:bCs/>
          <w:szCs w:val="19"/>
          <w:lang w:eastAsia="pl-PL"/>
        </w:rPr>
        <w:t xml:space="preserve"> półroczu 20</w:t>
      </w:r>
      <w:r>
        <w:rPr>
          <w:rFonts w:eastAsia="Times New Roman" w:cs="Times New Roman"/>
          <w:b/>
          <w:bCs/>
          <w:szCs w:val="19"/>
          <w:lang w:eastAsia="pl-PL"/>
        </w:rPr>
        <w:t>2</w:t>
      </w:r>
      <w:r w:rsidR="00D85AD9">
        <w:rPr>
          <w:rFonts w:eastAsia="Times New Roman" w:cs="Times New Roman"/>
          <w:b/>
          <w:bCs/>
          <w:szCs w:val="19"/>
          <w:lang w:eastAsia="pl-PL"/>
        </w:rPr>
        <w:t>1</w:t>
      </w:r>
      <w:r w:rsidRPr="004226C0">
        <w:rPr>
          <w:rFonts w:eastAsia="Times New Roman" w:cs="Times New Roman"/>
          <w:b/>
          <w:bCs/>
          <w:szCs w:val="19"/>
          <w:lang w:eastAsia="pl-PL"/>
        </w:rPr>
        <w:t> r. odpowiednio o </w:t>
      </w:r>
      <w:r w:rsidR="00D85AD9">
        <w:rPr>
          <w:rFonts w:eastAsia="Times New Roman" w:cs="Times New Roman"/>
          <w:b/>
          <w:bCs/>
          <w:szCs w:val="19"/>
          <w:lang w:eastAsia="pl-PL"/>
        </w:rPr>
        <w:t>77,0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 i</w:t>
      </w:r>
      <w:r w:rsidR="004F1FCD">
        <w:rPr>
          <w:rFonts w:eastAsia="Times New Roman" w:cs="Times New Roman"/>
          <w:b/>
          <w:bCs/>
          <w:szCs w:val="19"/>
          <w:lang w:eastAsia="pl-PL"/>
        </w:rPr>
        <w:t xml:space="preserve"> o</w:t>
      </w:r>
      <w:r w:rsidRPr="004226C0">
        <w:rPr>
          <w:rFonts w:eastAsia="Times New Roman" w:cs="Times New Roman"/>
          <w:b/>
          <w:bCs/>
          <w:szCs w:val="19"/>
          <w:lang w:eastAsia="pl-PL"/>
        </w:rPr>
        <w:t> </w:t>
      </w:r>
      <w:r w:rsidR="00143F3E">
        <w:rPr>
          <w:rFonts w:eastAsia="Times New Roman" w:cs="Times New Roman"/>
          <w:b/>
          <w:bCs/>
          <w:szCs w:val="19"/>
          <w:lang w:eastAsia="pl-PL"/>
        </w:rPr>
        <w:t>34,9</w:t>
      </w:r>
      <w:r w:rsidRPr="004226C0">
        <w:rPr>
          <w:rFonts w:eastAsia="Times New Roman" w:cs="Times New Roman"/>
          <w:b/>
          <w:bCs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6CB5729A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2 kwartale 2022 r. liczba przekroczeń granicy Polski przez cudzoziemców i Polaków była większa w porównaniu z analogicznym okresem ubiegłego roku, a także w porównaniu z 1 kwar-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0C6D037E" w:rsidR="00CF49DE" w:rsidRPr="00CA2B1B" w:rsidRDefault="003A605B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F50C7B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442A2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 w:rsidR="00B85A3F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442A2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</w:t>
                            </w:r>
                            <w:r w:rsidR="00CF49D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254AF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1442A2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porównaniu z</w:t>
                            </w:r>
                            <w:r w:rsid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</w:t>
                            </w:r>
                            <w:r w:rsidR="00254AF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9B4868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8757F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a także w porównaniu z 1 kwartałem 2022 r.</w:t>
                            </w:r>
                            <w:r w:rsidR="009B4868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2 r. liczba przekroczeń granicy Polski przez cudzoziemców i Polaków była większa w porównaniu z analogicznym okresem ubiegłego roku, a także w porównaniu z 1 kwar-tałem 2022 r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" filled="f" stroked="f">
                <v:textbox inset=",0">
                  <w:txbxContent>
                    <w:p w14:paraId="67F09CDE" w14:textId="0C6D037E" w:rsidR="00CF49DE" w:rsidRPr="00CA2B1B" w:rsidRDefault="003A605B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F50C7B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442A2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 w:rsidR="00B85A3F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442A2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</w:t>
                      </w:r>
                      <w:r w:rsidR="00CF49D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254AF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1442A2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porównaniu z</w:t>
                      </w:r>
                      <w:r w:rsid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</w:t>
                      </w:r>
                      <w:r w:rsidR="00254AF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9B4868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8757F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a także w porównaniu z 1 kwartałem 2022 r.</w:t>
                      </w:r>
                      <w:r w:rsidR="009B4868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3DE50815" w:rsidR="00CF49DE" w:rsidRPr="004F1FCD" w:rsidRDefault="005A3CF9" w:rsidP="00863646">
      <w:pPr>
        <w:spacing w:before="0" w:after="0" w:line="288" w:lineRule="auto"/>
        <w:rPr>
          <w:spacing w:val="-2"/>
          <w:szCs w:val="19"/>
        </w:rPr>
      </w:pPr>
      <w:r w:rsidRPr="007B4C79">
        <w:rPr>
          <w:color w:val="000000" w:themeColor="text1"/>
          <w:spacing w:val="-2"/>
          <w:szCs w:val="20"/>
        </w:rPr>
        <w:t xml:space="preserve">W </w:t>
      </w:r>
      <w:r w:rsidR="007B4C79" w:rsidRPr="007B4C79">
        <w:rPr>
          <w:color w:val="000000" w:themeColor="text1"/>
          <w:spacing w:val="-2"/>
          <w:szCs w:val="20"/>
        </w:rPr>
        <w:t>2</w:t>
      </w:r>
      <w:r w:rsidR="001442A2" w:rsidRPr="007B4C79">
        <w:rPr>
          <w:color w:val="000000" w:themeColor="text1"/>
          <w:spacing w:val="-2"/>
          <w:szCs w:val="20"/>
        </w:rPr>
        <w:t xml:space="preserve"> kwartale 202</w:t>
      </w:r>
      <w:r w:rsidR="00D819B4" w:rsidRPr="007B4C79">
        <w:rPr>
          <w:color w:val="000000" w:themeColor="text1"/>
          <w:spacing w:val="-2"/>
          <w:szCs w:val="20"/>
        </w:rPr>
        <w:t>2</w:t>
      </w:r>
      <w:r w:rsidR="001442A2" w:rsidRPr="007B4C79">
        <w:rPr>
          <w:color w:val="000000" w:themeColor="text1"/>
          <w:spacing w:val="-2"/>
          <w:szCs w:val="20"/>
        </w:rPr>
        <w:t xml:space="preserve"> r. l</w:t>
      </w:r>
      <w:r w:rsidR="00CF49DE" w:rsidRPr="007B4C79">
        <w:rPr>
          <w:color w:val="000000" w:themeColor="text1"/>
          <w:spacing w:val="-2"/>
          <w:szCs w:val="19"/>
        </w:rPr>
        <w:t xml:space="preserve">iczba przekroczeń granicy Polski wyniosła </w:t>
      </w:r>
      <w:r w:rsidR="007B4C79" w:rsidRPr="007B4C79">
        <w:rPr>
          <w:color w:val="000000" w:themeColor="text1"/>
          <w:spacing w:val="-2"/>
          <w:szCs w:val="19"/>
        </w:rPr>
        <w:t>71</w:t>
      </w:r>
      <w:r w:rsidR="005D3337" w:rsidRPr="007B4C79">
        <w:rPr>
          <w:color w:val="000000" w:themeColor="text1"/>
          <w:spacing w:val="-2"/>
          <w:szCs w:val="19"/>
        </w:rPr>
        <w:t>,</w:t>
      </w:r>
      <w:r w:rsidR="003F6A4C" w:rsidRPr="007B4C79">
        <w:rPr>
          <w:color w:val="000000" w:themeColor="text1"/>
          <w:spacing w:val="-2"/>
          <w:szCs w:val="19"/>
        </w:rPr>
        <w:t>8</w:t>
      </w:r>
      <w:r w:rsidR="00D651C3" w:rsidRPr="007B4C79">
        <w:rPr>
          <w:color w:val="000000" w:themeColor="text1"/>
          <w:spacing w:val="-2"/>
          <w:szCs w:val="19"/>
        </w:rPr>
        <w:t xml:space="preserve"> </w:t>
      </w:r>
      <w:r w:rsidR="00CF49DE" w:rsidRPr="007B4C79">
        <w:rPr>
          <w:color w:val="000000" w:themeColor="text1"/>
          <w:spacing w:val="-2"/>
          <w:szCs w:val="19"/>
        </w:rPr>
        <w:t>m</w:t>
      </w:r>
      <w:r w:rsidR="00F96670" w:rsidRPr="007B4C79">
        <w:rPr>
          <w:color w:val="000000" w:themeColor="text1"/>
          <w:spacing w:val="-2"/>
          <w:szCs w:val="19"/>
        </w:rPr>
        <w:t>ln.</w:t>
      </w:r>
      <w:r w:rsidR="00F541A1" w:rsidRPr="007B4C79">
        <w:rPr>
          <w:color w:val="000000" w:themeColor="text1"/>
          <w:spacing w:val="-2"/>
          <w:szCs w:val="19"/>
        </w:rPr>
        <w:t xml:space="preserve"> </w:t>
      </w:r>
      <w:r w:rsidR="00CF49DE" w:rsidRPr="007B4C79">
        <w:rPr>
          <w:color w:val="000000" w:themeColor="text1"/>
          <w:spacing w:val="-2"/>
          <w:szCs w:val="19"/>
        </w:rPr>
        <w:t xml:space="preserve">W ogólnej liczbie przekroczeń granicy cudzoziemcy (nierezydenci) stanowili </w:t>
      </w:r>
      <w:r w:rsidR="005D3337" w:rsidRPr="007B4C79">
        <w:rPr>
          <w:color w:val="000000" w:themeColor="text1"/>
          <w:spacing w:val="-2"/>
          <w:szCs w:val="19"/>
        </w:rPr>
        <w:t>5</w:t>
      </w:r>
      <w:r w:rsidR="007B4C79" w:rsidRPr="007B4C79">
        <w:rPr>
          <w:color w:val="000000" w:themeColor="text1"/>
          <w:spacing w:val="-2"/>
          <w:szCs w:val="19"/>
        </w:rPr>
        <w:t>9</w:t>
      </w:r>
      <w:r w:rsidR="005D3337" w:rsidRPr="007B4C79">
        <w:rPr>
          <w:color w:val="000000" w:themeColor="text1"/>
          <w:spacing w:val="-2"/>
          <w:szCs w:val="19"/>
        </w:rPr>
        <w:t>,</w:t>
      </w:r>
      <w:r w:rsidR="007B4C79" w:rsidRPr="007B4C79">
        <w:rPr>
          <w:color w:val="000000" w:themeColor="text1"/>
          <w:spacing w:val="-2"/>
          <w:szCs w:val="19"/>
        </w:rPr>
        <w:t>5</w:t>
      </w:r>
      <w:r w:rsidR="00CF49DE" w:rsidRPr="007B4C79">
        <w:rPr>
          <w:color w:val="000000" w:themeColor="text1"/>
          <w:spacing w:val="-2"/>
          <w:szCs w:val="19"/>
        </w:rPr>
        <w:t xml:space="preserve">%, a mieszkańcy Polski (rezydenci) – </w:t>
      </w:r>
      <w:r w:rsidR="005D3337" w:rsidRPr="007B4C79">
        <w:rPr>
          <w:color w:val="000000" w:themeColor="text1"/>
          <w:spacing w:val="-2"/>
          <w:szCs w:val="19"/>
        </w:rPr>
        <w:t>4</w:t>
      </w:r>
      <w:r w:rsidR="007B4C79" w:rsidRPr="007B4C79">
        <w:rPr>
          <w:color w:val="000000" w:themeColor="text1"/>
          <w:spacing w:val="-2"/>
          <w:szCs w:val="19"/>
        </w:rPr>
        <w:t>0</w:t>
      </w:r>
      <w:r w:rsidR="005D3337" w:rsidRPr="007B4C79">
        <w:rPr>
          <w:color w:val="000000" w:themeColor="text1"/>
          <w:spacing w:val="-2"/>
          <w:szCs w:val="19"/>
        </w:rPr>
        <w:t>,</w:t>
      </w:r>
      <w:r w:rsidR="007B4C79" w:rsidRPr="007B4C79">
        <w:rPr>
          <w:color w:val="000000" w:themeColor="text1"/>
          <w:spacing w:val="-2"/>
          <w:szCs w:val="19"/>
        </w:rPr>
        <w:t>5</w:t>
      </w:r>
      <w:r w:rsidR="00CF49DE" w:rsidRPr="007B4C79">
        <w:rPr>
          <w:color w:val="000000" w:themeColor="text1"/>
          <w:spacing w:val="-2"/>
          <w:szCs w:val="19"/>
        </w:rPr>
        <w:t>%. Ruch graniczny (z</w:t>
      </w:r>
      <w:r w:rsidR="002E027F" w:rsidRPr="007B4C79">
        <w:rPr>
          <w:color w:val="000000" w:themeColor="text1"/>
          <w:spacing w:val="-2"/>
          <w:szCs w:val="19"/>
        </w:rPr>
        <w:t> </w:t>
      </w:r>
      <w:r w:rsidR="00553E9A" w:rsidRPr="007B4C79">
        <w:rPr>
          <w:color w:val="000000" w:themeColor="text1"/>
          <w:spacing w:val="-2"/>
          <w:szCs w:val="19"/>
        </w:rPr>
        <w:t>Polski i do Polski) był większy</w:t>
      </w:r>
      <w:r w:rsidR="00F541A1" w:rsidRPr="007B4C79">
        <w:rPr>
          <w:color w:val="000000" w:themeColor="text1"/>
          <w:spacing w:val="-2"/>
          <w:szCs w:val="19"/>
        </w:rPr>
        <w:t xml:space="preserve"> </w:t>
      </w:r>
      <w:r w:rsidR="00434E4E" w:rsidRPr="007B4C79">
        <w:rPr>
          <w:color w:val="000000" w:themeColor="text1"/>
          <w:spacing w:val="-2"/>
          <w:szCs w:val="19"/>
        </w:rPr>
        <w:t>o </w:t>
      </w:r>
      <w:r w:rsidR="007B4C79" w:rsidRPr="007B4C79">
        <w:rPr>
          <w:color w:val="000000" w:themeColor="text1"/>
          <w:spacing w:val="-2"/>
          <w:szCs w:val="19"/>
        </w:rPr>
        <w:t>27</w:t>
      </w:r>
      <w:r w:rsidR="003D4113" w:rsidRPr="007B4C79">
        <w:rPr>
          <w:color w:val="000000" w:themeColor="text1"/>
          <w:spacing w:val="-2"/>
          <w:szCs w:val="19"/>
        </w:rPr>
        <w:t>,</w:t>
      </w:r>
      <w:r w:rsidR="007B4C79" w:rsidRPr="007B4C79">
        <w:rPr>
          <w:color w:val="000000" w:themeColor="text1"/>
          <w:spacing w:val="-2"/>
          <w:szCs w:val="19"/>
        </w:rPr>
        <w:t>7</w:t>
      </w:r>
      <w:r w:rsidR="003D4113" w:rsidRPr="007B4C79">
        <w:rPr>
          <w:color w:val="000000" w:themeColor="text1"/>
          <w:spacing w:val="-2"/>
          <w:szCs w:val="19"/>
        </w:rPr>
        <w:t xml:space="preserve"> mln </w:t>
      </w:r>
      <w:r w:rsidR="00270D49" w:rsidRPr="007B4C79">
        <w:rPr>
          <w:color w:val="000000" w:themeColor="text1"/>
          <w:spacing w:val="-2"/>
          <w:szCs w:val="19"/>
        </w:rPr>
        <w:t xml:space="preserve">przekroczeń </w:t>
      </w:r>
      <w:r w:rsidR="00F541A1" w:rsidRPr="007B4C79">
        <w:rPr>
          <w:color w:val="000000" w:themeColor="text1"/>
          <w:spacing w:val="-2"/>
          <w:szCs w:val="19"/>
        </w:rPr>
        <w:t>w porównaniu z</w:t>
      </w:r>
      <w:r w:rsidR="003D4113" w:rsidRPr="007B4C79">
        <w:rPr>
          <w:color w:val="000000" w:themeColor="text1"/>
          <w:spacing w:val="-2"/>
          <w:szCs w:val="19"/>
        </w:rPr>
        <w:t> </w:t>
      </w:r>
      <w:r w:rsidR="00CF49DE" w:rsidRPr="007B4C79">
        <w:rPr>
          <w:color w:val="000000" w:themeColor="text1"/>
          <w:spacing w:val="-2"/>
          <w:szCs w:val="19"/>
        </w:rPr>
        <w:t xml:space="preserve">analogicznym okresem poprzedniego </w:t>
      </w:r>
      <w:r w:rsidR="00CF49DE" w:rsidRPr="008A6ADA">
        <w:rPr>
          <w:color w:val="000000" w:themeColor="text1"/>
          <w:spacing w:val="-2"/>
          <w:szCs w:val="19"/>
        </w:rPr>
        <w:t>roku</w:t>
      </w:r>
      <w:r w:rsidR="00F541A1" w:rsidRPr="008A6ADA">
        <w:rPr>
          <w:color w:val="000000" w:themeColor="text1"/>
          <w:spacing w:val="-2"/>
          <w:szCs w:val="19"/>
        </w:rPr>
        <w:t xml:space="preserve">. W </w:t>
      </w:r>
      <w:r w:rsidR="00CF49DE" w:rsidRPr="008A6ADA">
        <w:rPr>
          <w:color w:val="000000" w:themeColor="text1"/>
          <w:spacing w:val="-2"/>
          <w:szCs w:val="19"/>
        </w:rPr>
        <w:t xml:space="preserve">stosunku do </w:t>
      </w:r>
      <w:r w:rsidR="00F15721" w:rsidRPr="008A6ADA">
        <w:rPr>
          <w:color w:val="000000" w:themeColor="text1"/>
          <w:spacing w:val="-2"/>
          <w:szCs w:val="19"/>
        </w:rPr>
        <w:t xml:space="preserve">poprzedniego </w:t>
      </w:r>
      <w:r w:rsidR="00CF49DE" w:rsidRPr="008A6ADA">
        <w:rPr>
          <w:color w:val="000000" w:themeColor="text1"/>
          <w:spacing w:val="-2"/>
          <w:szCs w:val="19"/>
        </w:rPr>
        <w:t xml:space="preserve">kwartału </w:t>
      </w:r>
      <w:r w:rsidR="007C1344" w:rsidRPr="008A6ADA">
        <w:rPr>
          <w:color w:val="000000" w:themeColor="text1"/>
          <w:spacing w:val="-2"/>
          <w:szCs w:val="19"/>
        </w:rPr>
        <w:t xml:space="preserve">ogólna </w:t>
      </w:r>
      <w:r w:rsidR="00CF49DE" w:rsidRPr="008A6ADA">
        <w:rPr>
          <w:color w:val="000000" w:themeColor="text1"/>
          <w:spacing w:val="-2"/>
          <w:szCs w:val="19"/>
        </w:rPr>
        <w:t xml:space="preserve">liczba przekroczeń </w:t>
      </w:r>
      <w:r w:rsidR="003E7EAC" w:rsidRPr="008A6ADA">
        <w:rPr>
          <w:color w:val="000000" w:themeColor="text1"/>
          <w:spacing w:val="-2"/>
          <w:szCs w:val="19"/>
        </w:rPr>
        <w:t>wzrosła</w:t>
      </w:r>
      <w:r w:rsidR="00F978D9" w:rsidRPr="008A6ADA">
        <w:rPr>
          <w:color w:val="000000" w:themeColor="text1"/>
          <w:spacing w:val="-2"/>
          <w:szCs w:val="19"/>
        </w:rPr>
        <w:t xml:space="preserve"> </w:t>
      </w:r>
      <w:r w:rsidR="00CF49DE" w:rsidRPr="008A6ADA">
        <w:rPr>
          <w:color w:val="000000" w:themeColor="text1"/>
          <w:spacing w:val="-2"/>
          <w:szCs w:val="19"/>
        </w:rPr>
        <w:t>o</w:t>
      </w:r>
      <w:r w:rsidR="002E027F" w:rsidRPr="008A6ADA">
        <w:rPr>
          <w:color w:val="000000" w:themeColor="text1"/>
          <w:spacing w:val="-2"/>
          <w:szCs w:val="19"/>
        </w:rPr>
        <w:t> </w:t>
      </w:r>
      <w:r w:rsidR="007B4C79" w:rsidRPr="008A6ADA">
        <w:rPr>
          <w:color w:val="000000" w:themeColor="text1"/>
          <w:spacing w:val="-2"/>
          <w:szCs w:val="19"/>
        </w:rPr>
        <w:t>33</w:t>
      </w:r>
      <w:r w:rsidR="00553E9A" w:rsidRPr="008A6ADA">
        <w:rPr>
          <w:color w:val="000000" w:themeColor="text1"/>
          <w:spacing w:val="-2"/>
          <w:szCs w:val="19"/>
        </w:rPr>
        <w:t>,</w:t>
      </w:r>
      <w:r w:rsidR="007B4C79" w:rsidRPr="008A6ADA">
        <w:rPr>
          <w:color w:val="000000" w:themeColor="text1"/>
          <w:spacing w:val="-2"/>
          <w:szCs w:val="19"/>
        </w:rPr>
        <w:t>4</w:t>
      </w:r>
      <w:r w:rsidR="00CF49DE" w:rsidRPr="008A6ADA">
        <w:rPr>
          <w:color w:val="000000" w:themeColor="text1"/>
          <w:spacing w:val="-2"/>
          <w:szCs w:val="19"/>
        </w:rPr>
        <w:t xml:space="preserve">% (cudzoziemców </w:t>
      </w:r>
      <w:r w:rsidR="003E7EAC" w:rsidRPr="008A6ADA">
        <w:rPr>
          <w:color w:val="000000" w:themeColor="text1"/>
          <w:spacing w:val="-2"/>
          <w:szCs w:val="19"/>
        </w:rPr>
        <w:t xml:space="preserve">wzrosła </w:t>
      </w:r>
      <w:r w:rsidR="00CF49DE" w:rsidRPr="008A6ADA">
        <w:rPr>
          <w:color w:val="000000" w:themeColor="text1"/>
          <w:spacing w:val="-2"/>
          <w:szCs w:val="19"/>
        </w:rPr>
        <w:t>o</w:t>
      </w:r>
      <w:r w:rsidR="00F541A1" w:rsidRPr="008A6ADA">
        <w:rPr>
          <w:color w:val="000000" w:themeColor="text1"/>
          <w:spacing w:val="-2"/>
          <w:szCs w:val="19"/>
        </w:rPr>
        <w:t xml:space="preserve"> </w:t>
      </w:r>
      <w:r w:rsidR="007B4C79" w:rsidRPr="008A6ADA">
        <w:rPr>
          <w:color w:val="000000" w:themeColor="text1"/>
          <w:spacing w:val="-2"/>
          <w:szCs w:val="19"/>
        </w:rPr>
        <w:t>37,4</w:t>
      </w:r>
      <w:r w:rsidR="00F541A1" w:rsidRPr="008A6ADA">
        <w:rPr>
          <w:color w:val="000000" w:themeColor="text1"/>
          <w:spacing w:val="-2"/>
          <w:szCs w:val="19"/>
        </w:rPr>
        <w:t xml:space="preserve">%, a Polaków o </w:t>
      </w:r>
      <w:r w:rsidR="003E7EAC" w:rsidRPr="008A6ADA">
        <w:rPr>
          <w:color w:val="000000" w:themeColor="text1"/>
          <w:spacing w:val="-2"/>
          <w:szCs w:val="19"/>
        </w:rPr>
        <w:t>28</w:t>
      </w:r>
      <w:r w:rsidR="007B4C79" w:rsidRPr="008A6ADA">
        <w:rPr>
          <w:color w:val="000000" w:themeColor="text1"/>
          <w:spacing w:val="-2"/>
          <w:szCs w:val="19"/>
        </w:rPr>
        <w:t>,</w:t>
      </w:r>
      <w:r w:rsidR="007B4C79" w:rsidRPr="004F1FCD">
        <w:rPr>
          <w:spacing w:val="-2"/>
          <w:szCs w:val="19"/>
        </w:rPr>
        <w:t>0</w:t>
      </w:r>
      <w:r w:rsidR="00CF49DE" w:rsidRPr="004F1FCD">
        <w:rPr>
          <w:spacing w:val="-2"/>
          <w:szCs w:val="19"/>
        </w:rPr>
        <w:t>%).</w:t>
      </w:r>
    </w:p>
    <w:p w14:paraId="1211D4B9" w14:textId="62FCEEBF" w:rsidR="00CF49DE" w:rsidRPr="00BD6ED6" w:rsidRDefault="004F74BC" w:rsidP="00863646">
      <w:pPr>
        <w:spacing w:line="288" w:lineRule="auto"/>
        <w:rPr>
          <w:noProof/>
          <w:szCs w:val="19"/>
          <w:lang w:eastAsia="pl-PL"/>
        </w:rPr>
      </w:pPr>
      <w:r w:rsidRPr="00BD6ED6">
        <w:rPr>
          <w:noProof/>
          <w:szCs w:val="19"/>
          <w:lang w:eastAsia="pl-PL"/>
        </w:rPr>
        <w:t xml:space="preserve">W </w:t>
      </w:r>
      <w:r w:rsidR="00044C32" w:rsidRPr="00BD6ED6">
        <w:rPr>
          <w:noProof/>
          <w:szCs w:val="19"/>
          <w:lang w:eastAsia="pl-PL"/>
        </w:rPr>
        <w:t>omawianym</w:t>
      </w:r>
      <w:r w:rsidRPr="00BD6ED6">
        <w:rPr>
          <w:noProof/>
          <w:szCs w:val="19"/>
          <w:lang w:eastAsia="pl-PL"/>
        </w:rPr>
        <w:t xml:space="preserve"> kwartale</w:t>
      </w:r>
      <w:r w:rsidR="00CF49DE" w:rsidRPr="00BD6ED6">
        <w:rPr>
          <w:noProof/>
          <w:szCs w:val="19"/>
          <w:lang w:eastAsia="pl-PL"/>
        </w:rPr>
        <w:t xml:space="preserve"> </w:t>
      </w:r>
      <w:r w:rsidR="00FA382E" w:rsidRPr="00BD6ED6">
        <w:rPr>
          <w:noProof/>
          <w:szCs w:val="19"/>
          <w:lang w:eastAsia="pl-PL"/>
        </w:rPr>
        <w:t>79</w:t>
      </w:r>
      <w:r w:rsidR="00206BD4" w:rsidRPr="00BD6ED6">
        <w:rPr>
          <w:noProof/>
          <w:szCs w:val="19"/>
          <w:lang w:eastAsia="pl-PL"/>
        </w:rPr>
        <w:t>,</w:t>
      </w:r>
      <w:r w:rsidR="00FA382E" w:rsidRPr="00BD6ED6">
        <w:rPr>
          <w:noProof/>
          <w:szCs w:val="19"/>
          <w:lang w:eastAsia="pl-PL"/>
        </w:rPr>
        <w:t>1</w:t>
      </w:r>
      <w:r w:rsidR="00CF49DE" w:rsidRPr="00BD6ED6">
        <w:rPr>
          <w:noProof/>
          <w:szCs w:val="19"/>
          <w:lang w:eastAsia="pl-PL"/>
        </w:rPr>
        <w:t>% ogółu przekroczeń dotyczyło granicy lądowej Polski z</w:t>
      </w:r>
      <w:r w:rsidR="000106C6" w:rsidRPr="00BD6ED6">
        <w:rPr>
          <w:noProof/>
          <w:szCs w:val="19"/>
          <w:lang w:eastAsia="pl-PL"/>
        </w:rPr>
        <w:t xml:space="preserve"> krajami Unii Europejskiej (UE),</w:t>
      </w:r>
      <w:r w:rsidR="00CF49DE" w:rsidRPr="00BD6ED6">
        <w:rPr>
          <w:noProof/>
          <w:szCs w:val="19"/>
          <w:lang w:eastAsia="pl-PL"/>
        </w:rPr>
        <w:t xml:space="preserve"> </w:t>
      </w:r>
      <w:r w:rsidR="00FA382E" w:rsidRPr="00BD6ED6">
        <w:rPr>
          <w:noProof/>
          <w:szCs w:val="19"/>
          <w:lang w:eastAsia="pl-PL"/>
        </w:rPr>
        <w:t>13</w:t>
      </w:r>
      <w:r w:rsidR="00F978D9" w:rsidRPr="00BD6ED6">
        <w:rPr>
          <w:noProof/>
          <w:szCs w:val="19"/>
          <w:lang w:eastAsia="pl-PL"/>
        </w:rPr>
        <w:t>,</w:t>
      </w:r>
      <w:r w:rsidR="00FA382E" w:rsidRPr="00BD6ED6">
        <w:rPr>
          <w:noProof/>
          <w:szCs w:val="19"/>
          <w:lang w:eastAsia="pl-PL"/>
        </w:rPr>
        <w:t>3</w:t>
      </w:r>
      <w:r w:rsidR="005108D2" w:rsidRPr="00BD6ED6">
        <w:rPr>
          <w:noProof/>
          <w:szCs w:val="19"/>
          <w:lang w:eastAsia="pl-PL"/>
        </w:rPr>
        <w:t>% granicy na lotniskach</w:t>
      </w:r>
      <w:r w:rsidR="000106C6" w:rsidRPr="00BD6ED6">
        <w:rPr>
          <w:noProof/>
          <w:szCs w:val="19"/>
          <w:lang w:eastAsia="pl-PL"/>
        </w:rPr>
        <w:t>,</w:t>
      </w:r>
      <w:r w:rsidR="005108D2" w:rsidRPr="00BD6ED6">
        <w:rPr>
          <w:noProof/>
          <w:szCs w:val="19"/>
          <w:lang w:eastAsia="pl-PL"/>
        </w:rPr>
        <w:t xml:space="preserve"> </w:t>
      </w:r>
      <w:r w:rsidR="00FA382E" w:rsidRPr="00BD6ED6">
        <w:rPr>
          <w:noProof/>
          <w:szCs w:val="19"/>
          <w:lang w:eastAsia="pl-PL"/>
        </w:rPr>
        <w:t>7</w:t>
      </w:r>
      <w:r w:rsidRPr="00BD6ED6">
        <w:rPr>
          <w:noProof/>
          <w:szCs w:val="19"/>
          <w:lang w:eastAsia="pl-PL"/>
        </w:rPr>
        <w:t>,</w:t>
      </w:r>
      <w:r w:rsidR="00FA382E" w:rsidRPr="00BD6ED6">
        <w:rPr>
          <w:noProof/>
          <w:szCs w:val="19"/>
          <w:lang w:eastAsia="pl-PL"/>
        </w:rPr>
        <w:t>0</w:t>
      </w:r>
      <w:r w:rsidR="00CF49DE" w:rsidRPr="00BD6ED6">
        <w:rPr>
          <w:noProof/>
          <w:szCs w:val="19"/>
          <w:lang w:eastAsia="pl-PL"/>
        </w:rPr>
        <w:t>% zewnętrznej granicy lądowej</w:t>
      </w:r>
      <w:r w:rsidRPr="00BD6ED6">
        <w:rPr>
          <w:noProof/>
          <w:szCs w:val="19"/>
          <w:lang w:eastAsia="pl-PL"/>
        </w:rPr>
        <w:t xml:space="preserve"> UE</w:t>
      </w:r>
      <w:r w:rsidR="00F541A1" w:rsidRPr="00BD6ED6">
        <w:rPr>
          <w:noProof/>
          <w:szCs w:val="19"/>
          <w:lang w:eastAsia="pl-PL"/>
        </w:rPr>
        <w:t xml:space="preserve"> </w:t>
      </w:r>
      <w:r w:rsidR="00015E89" w:rsidRPr="00BD6ED6">
        <w:rPr>
          <w:noProof/>
          <w:szCs w:val="19"/>
          <w:lang w:eastAsia="pl-PL"/>
        </w:rPr>
        <w:br/>
      </w:r>
      <w:r w:rsidR="00F541A1" w:rsidRPr="00BD6ED6">
        <w:rPr>
          <w:noProof/>
          <w:szCs w:val="19"/>
          <w:lang w:eastAsia="pl-PL"/>
        </w:rPr>
        <w:t>i </w:t>
      </w:r>
      <w:r w:rsidR="00F978D9" w:rsidRPr="00BD6ED6">
        <w:rPr>
          <w:noProof/>
          <w:szCs w:val="19"/>
          <w:lang w:eastAsia="pl-PL"/>
        </w:rPr>
        <w:t>0</w:t>
      </w:r>
      <w:r w:rsidR="00FA382E" w:rsidRPr="00BD6ED6">
        <w:rPr>
          <w:noProof/>
          <w:szCs w:val="19"/>
          <w:lang w:eastAsia="pl-PL"/>
        </w:rPr>
        <w:t>,6</w:t>
      </w:r>
      <w:r w:rsidR="00CF49DE" w:rsidRPr="00BD6ED6">
        <w:rPr>
          <w:noProof/>
          <w:szCs w:val="19"/>
          <w:lang w:eastAsia="pl-PL"/>
        </w:rPr>
        <w:t xml:space="preserve">% </w:t>
      </w:r>
      <w:r w:rsidR="00086740" w:rsidRPr="00BD6ED6">
        <w:rPr>
          <w:noProof/>
          <w:szCs w:val="19"/>
          <w:lang w:eastAsia="pl-PL"/>
        </w:rPr>
        <w:t xml:space="preserve">granicy </w:t>
      </w:r>
      <w:r w:rsidR="00CF49DE" w:rsidRPr="00BD6ED6">
        <w:rPr>
          <w:noProof/>
          <w:szCs w:val="19"/>
          <w:lang w:eastAsia="pl-PL"/>
        </w:rPr>
        <w:t>morskiej.</w:t>
      </w:r>
    </w:p>
    <w:p w14:paraId="6CAAE7C2" w14:textId="45B8AC68" w:rsidR="0080162D" w:rsidRPr="00BD6ED6" w:rsidRDefault="00D357A3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ED6">
        <w:rPr>
          <w:rFonts w:eastAsia="Times New Roman" w:cs="Arial"/>
          <w:b/>
          <w:szCs w:val="19"/>
          <w:lang w:eastAsia="pl-PL"/>
        </w:rPr>
        <w:t>Mapa</w:t>
      </w:r>
      <w:r w:rsidR="008A697D" w:rsidRPr="00BD6ED6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ED6">
        <w:rPr>
          <w:szCs w:val="19"/>
        </w:rPr>
        <w:t xml:space="preserve"> </w:t>
      </w:r>
      <w:r w:rsidR="00115A35" w:rsidRPr="00BD6ED6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BD6ED6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BD6ED6">
        <w:rPr>
          <w:rFonts w:eastAsia="Times New Roman" w:cs="Arial"/>
          <w:b/>
          <w:szCs w:val="19"/>
          <w:lang w:eastAsia="pl-PL"/>
        </w:rPr>
        <w:t xml:space="preserve"> w </w:t>
      </w:r>
      <w:r w:rsidR="0098425D" w:rsidRPr="00BD6ED6">
        <w:rPr>
          <w:rFonts w:eastAsia="Times New Roman" w:cs="Arial"/>
          <w:b/>
          <w:szCs w:val="19"/>
          <w:lang w:eastAsia="pl-PL"/>
        </w:rPr>
        <w:t>2</w:t>
      </w:r>
      <w:r w:rsidR="00115A35" w:rsidRPr="00BD6ED6">
        <w:rPr>
          <w:rFonts w:eastAsia="Times New Roman" w:cs="Arial"/>
          <w:b/>
          <w:szCs w:val="19"/>
          <w:lang w:eastAsia="pl-PL"/>
        </w:rPr>
        <w:t xml:space="preserve"> kwartale 202</w:t>
      </w:r>
      <w:r w:rsidR="002459ED" w:rsidRPr="00BD6ED6">
        <w:rPr>
          <w:rFonts w:eastAsia="Times New Roman" w:cs="Arial"/>
          <w:b/>
          <w:szCs w:val="19"/>
          <w:lang w:eastAsia="pl-PL"/>
        </w:rPr>
        <w:t>2</w:t>
      </w:r>
      <w:r w:rsidR="00BD6753" w:rsidRPr="00BD6ED6">
        <w:rPr>
          <w:rFonts w:eastAsia="Times New Roman" w:cs="Arial"/>
          <w:b/>
          <w:szCs w:val="19"/>
          <w:lang w:eastAsia="pl-PL"/>
        </w:rPr>
        <w:t> </w:t>
      </w:r>
      <w:r w:rsidR="00115A35" w:rsidRPr="00BD6ED6">
        <w:rPr>
          <w:rFonts w:eastAsia="Times New Roman" w:cs="Arial"/>
          <w:b/>
          <w:szCs w:val="19"/>
          <w:lang w:eastAsia="pl-PL"/>
        </w:rPr>
        <w:t>roku</w:t>
      </w:r>
    </w:p>
    <w:p w14:paraId="1D5E959A" w14:textId="7ADD4042" w:rsidR="00B535A7" w:rsidRPr="00CF75BD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9E35D2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6ED6" w:rsidRPr="00BD6ED6">
        <w:rPr>
          <w:noProof/>
        </w:rPr>
        <w:drawing>
          <wp:inline distT="0" distB="0" distL="0" distR="0" wp14:anchorId="05306484" wp14:editId="63676690">
            <wp:extent cx="4708038" cy="2772000"/>
            <wp:effectExtent l="0" t="0" r="0" b="9525"/>
            <wp:docPr id="13" name="Obraz 13" descr="Mapa 1. Struktura ruchu granicznego osób (z Polski i do Polski) według odcinków granic w 2 kwartale 2022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038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7F3F052E" w:rsidR="0094458F" w:rsidRPr="00C20247" w:rsidRDefault="0094458F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C20247">
        <w:rPr>
          <w:color w:val="000000" w:themeColor="text1"/>
          <w:szCs w:val="19"/>
        </w:rPr>
        <w:t xml:space="preserve">W strukturze ruchu granicznego na granicy lądowej </w:t>
      </w:r>
      <w:r w:rsidR="00DD5FBE" w:rsidRPr="00C20247">
        <w:rPr>
          <w:color w:val="000000" w:themeColor="text1"/>
          <w:szCs w:val="19"/>
        </w:rPr>
        <w:t xml:space="preserve">największy udział miały </w:t>
      </w:r>
      <w:r w:rsidRPr="00C20247">
        <w:rPr>
          <w:color w:val="000000" w:themeColor="text1"/>
          <w:szCs w:val="19"/>
        </w:rPr>
        <w:t>przekroczenia odcinka granicy z Niemcami (</w:t>
      </w:r>
      <w:r w:rsidR="008D3203" w:rsidRPr="00C20247">
        <w:rPr>
          <w:color w:val="000000" w:themeColor="text1"/>
          <w:szCs w:val="19"/>
        </w:rPr>
        <w:t>5</w:t>
      </w:r>
      <w:r w:rsidR="00222C4D" w:rsidRPr="00C20247">
        <w:rPr>
          <w:color w:val="000000" w:themeColor="text1"/>
          <w:szCs w:val="19"/>
        </w:rPr>
        <w:t>2</w:t>
      </w:r>
      <w:r w:rsidR="008567CA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2</w:t>
      </w:r>
      <w:r w:rsidR="00115A35" w:rsidRPr="00C20247">
        <w:rPr>
          <w:color w:val="000000" w:themeColor="text1"/>
          <w:szCs w:val="19"/>
        </w:rPr>
        <w:t>%</w:t>
      </w:r>
      <w:r w:rsidRPr="00C20247">
        <w:rPr>
          <w:color w:val="000000" w:themeColor="text1"/>
          <w:szCs w:val="19"/>
        </w:rPr>
        <w:t>), następnie z Czechami (</w:t>
      </w:r>
      <w:r w:rsidR="001F2408" w:rsidRPr="00C20247">
        <w:rPr>
          <w:color w:val="000000" w:themeColor="text1"/>
          <w:szCs w:val="19"/>
        </w:rPr>
        <w:t>2</w:t>
      </w:r>
      <w:r w:rsidR="00C20247" w:rsidRPr="00C20247">
        <w:rPr>
          <w:color w:val="000000" w:themeColor="text1"/>
          <w:szCs w:val="19"/>
        </w:rPr>
        <w:t>3</w:t>
      </w:r>
      <w:r w:rsidR="001F2408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5</w:t>
      </w:r>
      <w:r w:rsidR="006C69A5" w:rsidRPr="00C20247">
        <w:rPr>
          <w:color w:val="000000" w:themeColor="text1"/>
          <w:szCs w:val="19"/>
        </w:rPr>
        <w:t>%), Słowacją (</w:t>
      </w:r>
      <w:r w:rsidR="001F2408" w:rsidRPr="00C20247">
        <w:rPr>
          <w:color w:val="000000" w:themeColor="text1"/>
          <w:szCs w:val="19"/>
        </w:rPr>
        <w:t>1</w:t>
      </w:r>
      <w:r w:rsidR="00C20247" w:rsidRPr="00C20247">
        <w:rPr>
          <w:color w:val="000000" w:themeColor="text1"/>
          <w:szCs w:val="19"/>
        </w:rPr>
        <w:t>2</w:t>
      </w:r>
      <w:r w:rsidR="001F2408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7</w:t>
      </w:r>
      <w:r w:rsidR="008567CA" w:rsidRPr="00C20247">
        <w:rPr>
          <w:color w:val="000000" w:themeColor="text1"/>
          <w:szCs w:val="19"/>
        </w:rPr>
        <w:t>%)</w:t>
      </w:r>
      <w:r w:rsidR="00D675B1" w:rsidRPr="00C20247">
        <w:rPr>
          <w:color w:val="000000" w:themeColor="text1"/>
          <w:szCs w:val="19"/>
        </w:rPr>
        <w:t>,</w:t>
      </w:r>
      <w:r w:rsidR="001B4F73" w:rsidRPr="00C20247">
        <w:rPr>
          <w:color w:val="000000" w:themeColor="text1"/>
          <w:szCs w:val="19"/>
        </w:rPr>
        <w:t xml:space="preserve"> </w:t>
      </w:r>
      <w:r w:rsidR="008D3203" w:rsidRPr="00C20247">
        <w:rPr>
          <w:color w:val="000000" w:themeColor="text1"/>
          <w:szCs w:val="19"/>
        </w:rPr>
        <w:t>Ukrainą (</w:t>
      </w:r>
      <w:r w:rsidR="00C20247" w:rsidRPr="00C20247">
        <w:rPr>
          <w:color w:val="000000" w:themeColor="text1"/>
          <w:szCs w:val="19"/>
        </w:rPr>
        <w:t>6</w:t>
      </w:r>
      <w:r w:rsidR="00D675B1" w:rsidRPr="00C20247">
        <w:rPr>
          <w:color w:val="000000" w:themeColor="text1"/>
          <w:szCs w:val="19"/>
        </w:rPr>
        <w:t>,</w:t>
      </w:r>
      <w:r w:rsidR="00C20247" w:rsidRPr="00C20247">
        <w:rPr>
          <w:color w:val="000000" w:themeColor="text1"/>
          <w:szCs w:val="19"/>
        </w:rPr>
        <w:t>7</w:t>
      </w:r>
      <w:r w:rsidR="008567CA" w:rsidRPr="00C20247">
        <w:rPr>
          <w:color w:val="000000" w:themeColor="text1"/>
          <w:szCs w:val="19"/>
        </w:rPr>
        <w:t xml:space="preserve">%), </w:t>
      </w:r>
      <w:r w:rsidR="00D675B1" w:rsidRPr="00C20247">
        <w:rPr>
          <w:color w:val="000000" w:themeColor="text1"/>
          <w:szCs w:val="19"/>
        </w:rPr>
        <w:t>Litwą (3,</w:t>
      </w:r>
      <w:r w:rsidR="00C20247" w:rsidRPr="00C20247">
        <w:rPr>
          <w:color w:val="000000" w:themeColor="text1"/>
          <w:szCs w:val="19"/>
        </w:rPr>
        <w:t>5</w:t>
      </w:r>
      <w:r w:rsidR="00D675B1" w:rsidRPr="00C20247">
        <w:rPr>
          <w:color w:val="000000" w:themeColor="text1"/>
          <w:szCs w:val="19"/>
        </w:rPr>
        <w:t>%),</w:t>
      </w:r>
      <w:r w:rsidRPr="00C20247">
        <w:rPr>
          <w:color w:val="000000" w:themeColor="text1"/>
          <w:szCs w:val="19"/>
        </w:rPr>
        <w:t xml:space="preserve"> </w:t>
      </w:r>
      <w:r w:rsidR="006C69A5" w:rsidRPr="00C20247">
        <w:rPr>
          <w:color w:val="000000" w:themeColor="text1"/>
          <w:szCs w:val="19"/>
        </w:rPr>
        <w:t>Białorusią (</w:t>
      </w:r>
      <w:r w:rsidR="00D675B1" w:rsidRPr="00C20247">
        <w:rPr>
          <w:color w:val="000000" w:themeColor="text1"/>
          <w:szCs w:val="19"/>
        </w:rPr>
        <w:t>1,</w:t>
      </w:r>
      <w:r w:rsidR="00C20247" w:rsidRPr="00C20247">
        <w:rPr>
          <w:color w:val="000000" w:themeColor="text1"/>
          <w:szCs w:val="19"/>
        </w:rPr>
        <w:t>3</w:t>
      </w:r>
      <w:r w:rsidRPr="00C20247">
        <w:rPr>
          <w:color w:val="000000" w:themeColor="text1"/>
          <w:szCs w:val="19"/>
        </w:rPr>
        <w:t>%)</w:t>
      </w:r>
      <w:r w:rsidR="006C69A5" w:rsidRPr="00C20247">
        <w:rPr>
          <w:color w:val="000000" w:themeColor="text1"/>
          <w:szCs w:val="19"/>
        </w:rPr>
        <w:t xml:space="preserve"> i Rosją (</w:t>
      </w:r>
      <w:r w:rsidR="008D3203" w:rsidRPr="00C20247">
        <w:rPr>
          <w:color w:val="000000" w:themeColor="text1"/>
          <w:szCs w:val="19"/>
        </w:rPr>
        <w:t>0,</w:t>
      </w:r>
      <w:r w:rsidR="006C2F61" w:rsidRPr="00C20247">
        <w:rPr>
          <w:color w:val="000000" w:themeColor="text1"/>
          <w:szCs w:val="19"/>
        </w:rPr>
        <w:t>1</w:t>
      </w:r>
      <w:r w:rsidR="006C69A5" w:rsidRPr="00C20247">
        <w:rPr>
          <w:color w:val="000000" w:themeColor="text1"/>
          <w:szCs w:val="19"/>
        </w:rPr>
        <w:t>%).</w:t>
      </w:r>
    </w:p>
    <w:p w14:paraId="120C3C77" w14:textId="616B7A21" w:rsidR="00010594" w:rsidRPr="007A547E" w:rsidRDefault="00115A35" w:rsidP="00863646">
      <w:pPr>
        <w:tabs>
          <w:tab w:val="left" w:pos="-840"/>
        </w:tabs>
        <w:spacing w:after="0" w:line="288" w:lineRule="auto"/>
        <w:rPr>
          <w:color w:val="000000" w:themeColor="text1"/>
          <w:szCs w:val="19"/>
        </w:rPr>
      </w:pPr>
      <w:r w:rsidRPr="007A547E">
        <w:rPr>
          <w:color w:val="000000" w:themeColor="text1"/>
          <w:spacing w:val="-2"/>
          <w:szCs w:val="19"/>
        </w:rPr>
        <w:t>Wśród cudzoziemców przekraczających poszczególne od</w:t>
      </w:r>
      <w:r w:rsidR="001B34DD" w:rsidRPr="007A547E">
        <w:rPr>
          <w:color w:val="000000" w:themeColor="text1"/>
          <w:spacing w:val="-2"/>
          <w:szCs w:val="19"/>
        </w:rPr>
        <w:t xml:space="preserve">cinki lądowej granicy Polski </w:t>
      </w:r>
      <w:r w:rsidR="001B34DD" w:rsidRPr="00E40BDF">
        <w:rPr>
          <w:color w:val="000000" w:themeColor="text1"/>
          <w:spacing w:val="-2"/>
          <w:szCs w:val="19"/>
        </w:rPr>
        <w:t>do</w:t>
      </w:r>
      <w:r w:rsidRPr="00E40BDF">
        <w:rPr>
          <w:color w:val="000000" w:themeColor="text1"/>
          <w:spacing w:val="-2"/>
          <w:szCs w:val="19"/>
        </w:rPr>
        <w:t xml:space="preserve">minowali </w:t>
      </w:r>
      <w:r w:rsidRPr="007A547E">
        <w:rPr>
          <w:color w:val="000000" w:themeColor="text1"/>
          <w:spacing w:val="-2"/>
          <w:szCs w:val="19"/>
        </w:rPr>
        <w:t xml:space="preserve">obywatele kraju sąsiadującego, na przykład: na granicy z Ukrainą – obywatele Ukrainy </w:t>
      </w:r>
      <w:r w:rsidRPr="007A547E">
        <w:rPr>
          <w:color w:val="000000" w:themeColor="text1"/>
          <w:spacing w:val="-2"/>
          <w:szCs w:val="19"/>
        </w:rPr>
        <w:lastRenderedPageBreak/>
        <w:t>(</w:t>
      </w:r>
      <w:r w:rsidR="00995504" w:rsidRPr="007A547E">
        <w:rPr>
          <w:color w:val="000000" w:themeColor="text1"/>
          <w:spacing w:val="-2"/>
          <w:szCs w:val="19"/>
        </w:rPr>
        <w:t>9</w:t>
      </w:r>
      <w:r w:rsidR="0080555B" w:rsidRPr="007A547E">
        <w:rPr>
          <w:color w:val="000000" w:themeColor="text1"/>
          <w:spacing w:val="-2"/>
          <w:szCs w:val="19"/>
        </w:rPr>
        <w:t>6</w:t>
      </w:r>
      <w:r w:rsidR="00C609B9" w:rsidRPr="007A547E">
        <w:rPr>
          <w:color w:val="000000" w:themeColor="text1"/>
          <w:spacing w:val="-2"/>
          <w:szCs w:val="19"/>
        </w:rPr>
        <w:t>,</w:t>
      </w:r>
      <w:r w:rsidR="00E44A97" w:rsidRPr="007A547E">
        <w:rPr>
          <w:color w:val="000000" w:themeColor="text1"/>
          <w:spacing w:val="-2"/>
          <w:szCs w:val="19"/>
        </w:rPr>
        <w:t>0</w:t>
      </w:r>
      <w:r w:rsidRPr="007A547E">
        <w:rPr>
          <w:color w:val="000000" w:themeColor="text1"/>
          <w:spacing w:val="-2"/>
          <w:szCs w:val="19"/>
        </w:rPr>
        <w:t xml:space="preserve">%), </w:t>
      </w:r>
      <w:r w:rsidR="00C6659B" w:rsidRPr="007A547E">
        <w:rPr>
          <w:color w:val="000000" w:themeColor="text1"/>
          <w:spacing w:val="-2"/>
          <w:szCs w:val="19"/>
        </w:rPr>
        <w:t>na granicy z Białorusią – obywatele Białorusi (</w:t>
      </w:r>
      <w:r w:rsidR="00E816D4" w:rsidRPr="007A547E">
        <w:rPr>
          <w:color w:val="000000" w:themeColor="text1"/>
          <w:spacing w:val="-2"/>
          <w:szCs w:val="19"/>
        </w:rPr>
        <w:t>88</w:t>
      </w:r>
      <w:r w:rsidR="00995504" w:rsidRPr="007A547E">
        <w:rPr>
          <w:color w:val="000000" w:themeColor="text1"/>
          <w:spacing w:val="-2"/>
          <w:szCs w:val="19"/>
        </w:rPr>
        <w:t>,</w:t>
      </w:r>
      <w:r w:rsidR="0080555B" w:rsidRPr="007A547E">
        <w:rPr>
          <w:color w:val="000000" w:themeColor="text1"/>
          <w:spacing w:val="-2"/>
          <w:szCs w:val="19"/>
        </w:rPr>
        <w:t>9</w:t>
      </w:r>
      <w:r w:rsidR="00C6659B" w:rsidRPr="007A547E">
        <w:rPr>
          <w:color w:val="000000" w:themeColor="text1"/>
          <w:spacing w:val="-2"/>
          <w:szCs w:val="19"/>
        </w:rPr>
        <w:t>%)</w:t>
      </w:r>
      <w:r w:rsidRPr="007A547E">
        <w:rPr>
          <w:color w:val="000000" w:themeColor="text1"/>
          <w:spacing w:val="-2"/>
          <w:szCs w:val="19"/>
        </w:rPr>
        <w:t>, a</w:t>
      </w:r>
      <w:r w:rsidR="00C6659B" w:rsidRPr="007A547E">
        <w:rPr>
          <w:color w:val="000000" w:themeColor="text1"/>
          <w:spacing w:val="-2"/>
          <w:szCs w:val="19"/>
        </w:rPr>
        <w:t xml:space="preserve"> na granicy z Rosją – obywa</w:t>
      </w:r>
      <w:r w:rsidR="00C6659B" w:rsidRPr="007A547E">
        <w:rPr>
          <w:color w:val="000000" w:themeColor="text1"/>
          <w:szCs w:val="19"/>
        </w:rPr>
        <w:t>tele Rosji (</w:t>
      </w:r>
      <w:r w:rsidR="0080555B" w:rsidRPr="007A547E">
        <w:rPr>
          <w:color w:val="000000" w:themeColor="text1"/>
          <w:szCs w:val="19"/>
        </w:rPr>
        <w:t>43</w:t>
      </w:r>
      <w:r w:rsidR="00995504" w:rsidRPr="007A547E">
        <w:rPr>
          <w:color w:val="000000" w:themeColor="text1"/>
          <w:szCs w:val="19"/>
        </w:rPr>
        <w:t>,</w:t>
      </w:r>
      <w:r w:rsidR="0080555B" w:rsidRPr="007A547E">
        <w:rPr>
          <w:color w:val="000000" w:themeColor="text1"/>
          <w:szCs w:val="19"/>
        </w:rPr>
        <w:t>0</w:t>
      </w:r>
      <w:r w:rsidR="00C6659B" w:rsidRPr="007A547E">
        <w:rPr>
          <w:color w:val="000000" w:themeColor="text1"/>
          <w:szCs w:val="19"/>
        </w:rPr>
        <w:t>%)</w:t>
      </w:r>
      <w:r w:rsidRPr="007A547E">
        <w:rPr>
          <w:color w:val="000000" w:themeColor="text1"/>
          <w:szCs w:val="19"/>
        </w:rPr>
        <w:t>.</w:t>
      </w:r>
    </w:p>
    <w:p w14:paraId="431A38D5" w14:textId="2A0C8167" w:rsidR="009363FA" w:rsidRPr="009E35D2" w:rsidRDefault="00F02F29" w:rsidP="00EA0CAA">
      <w:pPr>
        <w:tabs>
          <w:tab w:val="left" w:pos="-840"/>
        </w:tabs>
        <w:spacing w:before="360" w:line="240" w:lineRule="auto"/>
        <w:rPr>
          <w:b/>
          <w:color w:val="FF0000"/>
        </w:rPr>
      </w:pPr>
      <w:r w:rsidRPr="00D51F0F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6BC95D68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towarów i usług była większa niż w 2 kwartale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215386C5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</w:t>
                            </w:r>
                            <w:r w:rsidR="0096035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143F3E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DA550F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, zarówno przez cudzoziemców w Polsce jak i przez Polaków za granicą towarów i usług była większa niż w 2 kwartale 2021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bFjQIAAJs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" filled="f" stroked="f">
                <v:textbox inset=",0,1mm,0">
                  <w:txbxContent>
                    <w:p w14:paraId="7F50BFEB" w14:textId="215386C5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</w:t>
                      </w:r>
                      <w:r w:rsidR="0096035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143F3E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DA550F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51F0F">
        <w:rPr>
          <w:b/>
          <w:color w:val="001D77"/>
        </w:rPr>
        <w:t>Wydatki cudzoziemców w Polsce i Polaków za granicą</w:t>
      </w:r>
    </w:p>
    <w:p w14:paraId="05C4631D" w14:textId="403C7707" w:rsidR="00566710" w:rsidRPr="00143F3E" w:rsidRDefault="00B13E70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143F3E">
        <w:rPr>
          <w:spacing w:val="-2"/>
          <w:szCs w:val="19"/>
        </w:rPr>
        <w:t>Wartość towarów i usług zakupionych w Polsce przez cudzoziemców w</w:t>
      </w:r>
      <w:r w:rsidR="00FE17F5" w:rsidRPr="00143F3E">
        <w:rPr>
          <w:spacing w:val="-2"/>
          <w:szCs w:val="19"/>
        </w:rPr>
        <w:t xml:space="preserve"> </w:t>
      </w:r>
      <w:r w:rsidR="00D85AD9" w:rsidRPr="00143F3E">
        <w:rPr>
          <w:spacing w:val="-2"/>
          <w:szCs w:val="19"/>
        </w:rPr>
        <w:t>2</w:t>
      </w:r>
      <w:r w:rsidR="00FF12B5" w:rsidRPr="00143F3E">
        <w:rPr>
          <w:spacing w:val="-2"/>
          <w:szCs w:val="19"/>
        </w:rPr>
        <w:t xml:space="preserve"> kwartale 202</w:t>
      </w:r>
      <w:r w:rsidR="00F31115" w:rsidRPr="00143F3E">
        <w:rPr>
          <w:spacing w:val="-2"/>
          <w:szCs w:val="19"/>
        </w:rPr>
        <w:t>2</w:t>
      </w:r>
      <w:r w:rsidR="00566710" w:rsidRPr="00143F3E">
        <w:rPr>
          <w:spacing w:val="-2"/>
          <w:szCs w:val="19"/>
        </w:rPr>
        <w:t xml:space="preserve"> r. </w:t>
      </w:r>
      <w:r w:rsidRPr="00143F3E">
        <w:rPr>
          <w:spacing w:val="-2"/>
          <w:szCs w:val="19"/>
        </w:rPr>
        <w:t xml:space="preserve">ukształtowała </w:t>
      </w:r>
      <w:r w:rsidR="00566710" w:rsidRPr="00143F3E">
        <w:rPr>
          <w:spacing w:val="-2"/>
          <w:szCs w:val="19"/>
        </w:rPr>
        <w:t xml:space="preserve">się na poziomie </w:t>
      </w:r>
      <w:r w:rsidR="002B4AC5" w:rsidRPr="00143F3E">
        <w:rPr>
          <w:spacing w:val="-2"/>
          <w:szCs w:val="19"/>
        </w:rPr>
        <w:t>10,0</w:t>
      </w:r>
      <w:r w:rsidR="000D7251" w:rsidRPr="00143F3E">
        <w:rPr>
          <w:spacing w:val="-2"/>
          <w:szCs w:val="19"/>
        </w:rPr>
        <w:t xml:space="preserve"> </w:t>
      </w:r>
      <w:r w:rsidR="00566710" w:rsidRPr="00143F3E">
        <w:rPr>
          <w:spacing w:val="-2"/>
          <w:szCs w:val="19"/>
        </w:rPr>
        <w:t xml:space="preserve">mld zł, natomiast wydatki poniesione </w:t>
      </w:r>
      <w:r w:rsidR="00DB2888" w:rsidRPr="00143F3E">
        <w:rPr>
          <w:spacing w:val="-2"/>
          <w:szCs w:val="19"/>
        </w:rPr>
        <w:t xml:space="preserve">w tym okresie </w:t>
      </w:r>
      <w:r w:rsidR="00566710" w:rsidRPr="00143F3E">
        <w:rPr>
          <w:spacing w:val="-2"/>
          <w:szCs w:val="19"/>
        </w:rPr>
        <w:t>za granicą przez mieszkańców Po</w:t>
      </w:r>
      <w:r w:rsidR="00C424E8" w:rsidRPr="00143F3E">
        <w:rPr>
          <w:spacing w:val="-2"/>
          <w:szCs w:val="19"/>
        </w:rPr>
        <w:t xml:space="preserve">lski wyniosły </w:t>
      </w:r>
      <w:r w:rsidR="00143F3E" w:rsidRPr="00143F3E">
        <w:rPr>
          <w:spacing w:val="-2"/>
          <w:szCs w:val="19"/>
        </w:rPr>
        <w:t>5,5</w:t>
      </w:r>
      <w:r w:rsidR="00C424E8" w:rsidRPr="00143F3E">
        <w:rPr>
          <w:spacing w:val="-2"/>
          <w:szCs w:val="19"/>
        </w:rPr>
        <w:t> </w:t>
      </w:r>
      <w:r w:rsidR="00566710" w:rsidRPr="00143F3E">
        <w:rPr>
          <w:spacing w:val="-2"/>
          <w:szCs w:val="19"/>
        </w:rPr>
        <w:t xml:space="preserve">mld zł. Było to odpowiednio o </w:t>
      </w:r>
      <w:r w:rsidR="002B4AC5" w:rsidRPr="00143F3E">
        <w:rPr>
          <w:spacing w:val="-2"/>
          <w:szCs w:val="19"/>
        </w:rPr>
        <w:t>89,2</w:t>
      </w:r>
      <w:r w:rsidR="00566710" w:rsidRPr="00143F3E">
        <w:rPr>
          <w:spacing w:val="-2"/>
          <w:szCs w:val="19"/>
        </w:rPr>
        <w:t xml:space="preserve">% i </w:t>
      </w:r>
      <w:r w:rsidR="00106763" w:rsidRPr="00143F3E">
        <w:rPr>
          <w:spacing w:val="-2"/>
          <w:szCs w:val="19"/>
        </w:rPr>
        <w:t xml:space="preserve">o </w:t>
      </w:r>
      <w:r w:rsidR="00143F3E" w:rsidRPr="00143F3E">
        <w:rPr>
          <w:spacing w:val="-2"/>
          <w:szCs w:val="19"/>
        </w:rPr>
        <w:t>82,7</w:t>
      </w:r>
      <w:r w:rsidR="00566710" w:rsidRPr="00143F3E">
        <w:rPr>
          <w:spacing w:val="-2"/>
          <w:szCs w:val="19"/>
        </w:rPr>
        <w:t xml:space="preserve">% </w:t>
      </w:r>
      <w:r w:rsidR="00396A6F" w:rsidRPr="00143F3E">
        <w:rPr>
          <w:spacing w:val="-2"/>
          <w:szCs w:val="19"/>
        </w:rPr>
        <w:t>więc</w:t>
      </w:r>
      <w:r w:rsidR="00566710" w:rsidRPr="00143F3E">
        <w:rPr>
          <w:spacing w:val="-2"/>
          <w:szCs w:val="19"/>
        </w:rPr>
        <w:t xml:space="preserve">ej niż przed rokiem. W stosunku do </w:t>
      </w:r>
      <w:r w:rsidR="005E449C" w:rsidRPr="00143F3E">
        <w:rPr>
          <w:spacing w:val="-2"/>
          <w:szCs w:val="19"/>
        </w:rPr>
        <w:t xml:space="preserve">poprzedniego </w:t>
      </w:r>
      <w:r w:rsidR="00566710" w:rsidRPr="00143F3E">
        <w:rPr>
          <w:spacing w:val="-2"/>
          <w:szCs w:val="19"/>
        </w:rPr>
        <w:t>kwartału wydatki cudzoziemców</w:t>
      </w:r>
      <w:r w:rsidR="00290986" w:rsidRPr="00143F3E">
        <w:rPr>
          <w:spacing w:val="-2"/>
          <w:szCs w:val="19"/>
        </w:rPr>
        <w:t xml:space="preserve"> </w:t>
      </w:r>
      <w:r w:rsidR="00566710" w:rsidRPr="00143F3E">
        <w:rPr>
          <w:spacing w:val="-2"/>
          <w:szCs w:val="19"/>
        </w:rPr>
        <w:t xml:space="preserve">były </w:t>
      </w:r>
      <w:r w:rsidR="002B4AC5" w:rsidRPr="00143F3E">
        <w:rPr>
          <w:spacing w:val="-2"/>
          <w:szCs w:val="19"/>
        </w:rPr>
        <w:t>więk</w:t>
      </w:r>
      <w:r w:rsidR="00566710" w:rsidRPr="00143F3E">
        <w:rPr>
          <w:spacing w:val="-2"/>
          <w:szCs w:val="19"/>
        </w:rPr>
        <w:t>sze</w:t>
      </w:r>
      <w:r w:rsidR="00290986" w:rsidRPr="00143F3E">
        <w:rPr>
          <w:spacing w:val="-2"/>
          <w:szCs w:val="19"/>
        </w:rPr>
        <w:t xml:space="preserve"> o </w:t>
      </w:r>
      <w:r w:rsidR="002B4AC5" w:rsidRPr="00143F3E">
        <w:rPr>
          <w:spacing w:val="-2"/>
          <w:szCs w:val="19"/>
        </w:rPr>
        <w:t>55,0</w:t>
      </w:r>
      <w:r w:rsidR="00290986" w:rsidRPr="00143F3E">
        <w:rPr>
          <w:spacing w:val="-2"/>
          <w:szCs w:val="19"/>
        </w:rPr>
        <w:t>%</w:t>
      </w:r>
      <w:r w:rsidR="00566710" w:rsidRPr="00143F3E">
        <w:rPr>
          <w:spacing w:val="-2"/>
          <w:szCs w:val="19"/>
        </w:rPr>
        <w:t xml:space="preserve">, </w:t>
      </w:r>
      <w:r w:rsidR="00143F3E" w:rsidRPr="00143F3E">
        <w:rPr>
          <w:spacing w:val="-2"/>
          <w:szCs w:val="19"/>
        </w:rPr>
        <w:t>a</w:t>
      </w:r>
      <w:r w:rsidR="00290986" w:rsidRPr="00143F3E">
        <w:rPr>
          <w:spacing w:val="-2"/>
          <w:szCs w:val="19"/>
        </w:rPr>
        <w:t xml:space="preserve"> Polaków wzrosły</w:t>
      </w:r>
      <w:r w:rsidR="00566710" w:rsidRPr="00143F3E">
        <w:rPr>
          <w:spacing w:val="-2"/>
          <w:szCs w:val="19"/>
        </w:rPr>
        <w:t xml:space="preserve"> o </w:t>
      </w:r>
      <w:r w:rsidR="00143F3E" w:rsidRPr="00143F3E">
        <w:rPr>
          <w:spacing w:val="-2"/>
          <w:szCs w:val="19"/>
        </w:rPr>
        <w:t>38,3</w:t>
      </w:r>
      <w:r w:rsidR="00566710" w:rsidRPr="00143F3E">
        <w:rPr>
          <w:spacing w:val="-2"/>
          <w:szCs w:val="19"/>
        </w:rPr>
        <w:t>%.</w:t>
      </w:r>
    </w:p>
    <w:p w14:paraId="581C75FC" w14:textId="756381FF" w:rsidR="004C7802" w:rsidRPr="00851DBC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851DBC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>
        <w:rPr>
          <w:rFonts w:cs="Arial"/>
          <w:b/>
          <w:bCs/>
          <w:spacing w:val="-2"/>
          <w:szCs w:val="19"/>
        </w:rPr>
        <w:t xml:space="preserve">ogółem </w:t>
      </w:r>
      <w:r w:rsidRPr="00851DBC">
        <w:rPr>
          <w:rFonts w:cs="Arial"/>
          <w:b/>
          <w:bCs/>
          <w:spacing w:val="-2"/>
          <w:szCs w:val="19"/>
        </w:rPr>
        <w:t xml:space="preserve">cudzoziemców w Polsce i Polaków za granicą w </w:t>
      </w:r>
      <w:r w:rsidR="00851DBC" w:rsidRPr="00851DBC">
        <w:rPr>
          <w:rFonts w:cs="Arial"/>
          <w:b/>
          <w:bCs/>
          <w:spacing w:val="-2"/>
          <w:szCs w:val="19"/>
        </w:rPr>
        <w:t>2</w:t>
      </w:r>
      <w:r w:rsidRPr="00851DBC">
        <w:rPr>
          <w:rFonts w:cs="Arial"/>
          <w:b/>
          <w:bCs/>
          <w:spacing w:val="-2"/>
          <w:szCs w:val="19"/>
        </w:rPr>
        <w:t xml:space="preserve"> kwartale 202</w:t>
      </w:r>
      <w:r w:rsidR="002E5DB6" w:rsidRPr="00851DBC">
        <w:rPr>
          <w:rFonts w:cs="Arial"/>
          <w:b/>
          <w:bCs/>
          <w:spacing w:val="-2"/>
          <w:szCs w:val="19"/>
        </w:rPr>
        <w:t>2</w:t>
      </w:r>
      <w:r w:rsidRPr="00851DBC">
        <w:rPr>
          <w:b/>
          <w:bCs/>
          <w:spacing w:val="-2"/>
          <w:szCs w:val="19"/>
        </w:rPr>
        <w:t> </w:t>
      </w:r>
      <w:r w:rsidRPr="00851DBC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25B109C2" w:rsidR="008F56E0" w:rsidRPr="00C47D19" w:rsidRDefault="00851DBC" w:rsidP="008F56E0">
      <w:pPr>
        <w:spacing w:before="240" w:after="240" w:line="240" w:lineRule="auto"/>
        <w:jc w:val="center"/>
        <w:rPr>
          <w:szCs w:val="19"/>
        </w:rPr>
      </w:pPr>
      <w:r w:rsidRPr="00851DBC">
        <w:rPr>
          <w:noProof/>
        </w:rPr>
        <w:drawing>
          <wp:inline distT="0" distB="0" distL="0" distR="0" wp14:anchorId="489E3D0F" wp14:editId="25C9F677">
            <wp:extent cx="4837360" cy="1764000"/>
            <wp:effectExtent l="0" t="0" r="1905" b="8255"/>
            <wp:docPr id="3" name="Obraz 3" descr="Wykres 1. Struktura wydatków cudzoziemców w Polsce i Polaków za granicą w 2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36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12980648" w:rsidR="00566710" w:rsidRPr="00C47D19" w:rsidRDefault="00566710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C47D19">
        <w:rPr>
          <w:spacing w:val="-2"/>
          <w:szCs w:val="19"/>
        </w:rPr>
        <w:t>W strukturze wydatków poniesionych w Polsce przez cudzoziemców prze</w:t>
      </w:r>
      <w:r w:rsidR="00366144" w:rsidRPr="00C47D19">
        <w:rPr>
          <w:spacing w:val="-2"/>
          <w:szCs w:val="19"/>
        </w:rPr>
        <w:t xml:space="preserve">kraczających lądową granicę w </w:t>
      </w:r>
      <w:r w:rsidR="002B4AC5" w:rsidRPr="00C47D19">
        <w:rPr>
          <w:spacing w:val="-2"/>
          <w:szCs w:val="19"/>
        </w:rPr>
        <w:t>2</w:t>
      </w:r>
      <w:r w:rsidR="00366144" w:rsidRPr="00C47D19">
        <w:rPr>
          <w:spacing w:val="-2"/>
          <w:szCs w:val="19"/>
        </w:rPr>
        <w:t xml:space="preserve"> kwartale 202</w:t>
      </w:r>
      <w:r w:rsidR="004176BA" w:rsidRPr="00C47D19">
        <w:rPr>
          <w:spacing w:val="-2"/>
          <w:szCs w:val="19"/>
        </w:rPr>
        <w:t>2</w:t>
      </w:r>
      <w:r w:rsidRPr="00C47D19">
        <w:rPr>
          <w:spacing w:val="-2"/>
          <w:szCs w:val="19"/>
        </w:rPr>
        <w:t xml:space="preserve"> r. największy udział miały wydatki przekraczających granicę z</w:t>
      </w:r>
      <w:r w:rsidR="00D848C9" w:rsidRPr="00C47D19">
        <w:rPr>
          <w:spacing w:val="-2"/>
          <w:szCs w:val="19"/>
        </w:rPr>
        <w:t>:</w:t>
      </w:r>
      <w:r w:rsidRPr="00C47D19">
        <w:rPr>
          <w:spacing w:val="-2"/>
          <w:szCs w:val="19"/>
        </w:rPr>
        <w:t xml:space="preserve"> Niemcami (</w:t>
      </w:r>
      <w:r w:rsidR="002B4AC5" w:rsidRPr="00C47D19">
        <w:rPr>
          <w:spacing w:val="-2"/>
          <w:szCs w:val="19"/>
        </w:rPr>
        <w:t>53,1</w:t>
      </w:r>
      <w:r w:rsidRPr="00C47D19">
        <w:rPr>
          <w:spacing w:val="-2"/>
          <w:szCs w:val="19"/>
        </w:rPr>
        <w:t>%), następnie</w:t>
      </w:r>
      <w:r w:rsidR="00997BF9" w:rsidRPr="00C47D19">
        <w:rPr>
          <w:spacing w:val="-2"/>
          <w:szCs w:val="19"/>
        </w:rPr>
        <w:t xml:space="preserve"> z</w:t>
      </w:r>
      <w:r w:rsidRPr="00C47D19">
        <w:rPr>
          <w:spacing w:val="-2"/>
          <w:szCs w:val="19"/>
        </w:rPr>
        <w:t xml:space="preserve"> </w:t>
      </w:r>
      <w:r w:rsidR="002B4AC5" w:rsidRPr="00C47D19">
        <w:rPr>
          <w:spacing w:val="-2"/>
          <w:szCs w:val="19"/>
        </w:rPr>
        <w:t xml:space="preserve">Ukrainą </w:t>
      </w:r>
      <w:r w:rsidR="00C94084" w:rsidRPr="00C47D19">
        <w:rPr>
          <w:spacing w:val="-2"/>
          <w:szCs w:val="19"/>
        </w:rPr>
        <w:t>(1</w:t>
      </w:r>
      <w:r w:rsidR="002B4AC5" w:rsidRPr="00C47D19">
        <w:rPr>
          <w:spacing w:val="-2"/>
          <w:szCs w:val="19"/>
        </w:rPr>
        <w:t>7,9</w:t>
      </w:r>
      <w:r w:rsidR="00C94084" w:rsidRPr="00C47D19">
        <w:rPr>
          <w:spacing w:val="-2"/>
          <w:szCs w:val="19"/>
        </w:rPr>
        <w:t>%)</w:t>
      </w:r>
      <w:r w:rsidRPr="00C47D19">
        <w:rPr>
          <w:spacing w:val="-2"/>
          <w:szCs w:val="19"/>
        </w:rPr>
        <w:t>,</w:t>
      </w:r>
      <w:r w:rsidR="00C94084" w:rsidRPr="00C47D19">
        <w:rPr>
          <w:spacing w:val="-2"/>
          <w:szCs w:val="19"/>
        </w:rPr>
        <w:t xml:space="preserve"> </w:t>
      </w:r>
      <w:r w:rsidR="002B4AC5" w:rsidRPr="00C47D19">
        <w:rPr>
          <w:spacing w:val="-2"/>
          <w:szCs w:val="19"/>
        </w:rPr>
        <w:t xml:space="preserve">Czechami </w:t>
      </w:r>
      <w:r w:rsidR="00C94084" w:rsidRPr="00C47D19">
        <w:rPr>
          <w:spacing w:val="-2"/>
          <w:szCs w:val="19"/>
        </w:rPr>
        <w:t>(1</w:t>
      </w:r>
      <w:r w:rsidR="002B4AC5" w:rsidRPr="00C47D19">
        <w:rPr>
          <w:spacing w:val="-2"/>
          <w:szCs w:val="19"/>
        </w:rPr>
        <w:t>3,5</w:t>
      </w:r>
      <w:r w:rsidR="00C94084" w:rsidRPr="00C47D19">
        <w:rPr>
          <w:spacing w:val="-2"/>
          <w:szCs w:val="19"/>
        </w:rPr>
        <w:t>%)</w:t>
      </w:r>
      <w:r w:rsidR="000B284B" w:rsidRPr="00C47D19">
        <w:rPr>
          <w:spacing w:val="-2"/>
          <w:szCs w:val="19"/>
        </w:rPr>
        <w:t xml:space="preserve">, </w:t>
      </w:r>
      <w:r w:rsidRPr="00C47D19">
        <w:rPr>
          <w:spacing w:val="-2"/>
          <w:szCs w:val="19"/>
        </w:rPr>
        <w:t>Słowacją (</w:t>
      </w:r>
      <w:r w:rsidR="00C94084" w:rsidRPr="00C47D19">
        <w:rPr>
          <w:spacing w:val="-2"/>
          <w:szCs w:val="19"/>
        </w:rPr>
        <w:t>8,</w:t>
      </w:r>
      <w:r w:rsidR="002B4AC5" w:rsidRPr="00C47D19">
        <w:rPr>
          <w:spacing w:val="-2"/>
          <w:szCs w:val="19"/>
        </w:rPr>
        <w:t>2</w:t>
      </w:r>
      <w:r w:rsidRPr="00C47D19">
        <w:rPr>
          <w:spacing w:val="-2"/>
          <w:szCs w:val="19"/>
        </w:rPr>
        <w:t>%), Litwą (</w:t>
      </w:r>
      <w:r w:rsidR="004176BA" w:rsidRPr="00C47D19">
        <w:rPr>
          <w:spacing w:val="-2"/>
          <w:szCs w:val="19"/>
        </w:rPr>
        <w:t>4,</w:t>
      </w:r>
      <w:r w:rsidR="002B4AC5" w:rsidRPr="00C47D19">
        <w:rPr>
          <w:spacing w:val="-2"/>
          <w:szCs w:val="19"/>
        </w:rPr>
        <w:t>4</w:t>
      </w:r>
      <w:r w:rsidRPr="00C47D19">
        <w:rPr>
          <w:spacing w:val="-2"/>
          <w:szCs w:val="19"/>
        </w:rPr>
        <w:t>%), Białorusią (</w:t>
      </w:r>
      <w:r w:rsidR="004176BA" w:rsidRPr="00C47D19">
        <w:rPr>
          <w:spacing w:val="-2"/>
          <w:szCs w:val="19"/>
        </w:rPr>
        <w:t>2,</w:t>
      </w:r>
      <w:r w:rsidR="002B4AC5" w:rsidRPr="00C47D19">
        <w:rPr>
          <w:spacing w:val="-2"/>
          <w:szCs w:val="19"/>
        </w:rPr>
        <w:t>7</w:t>
      </w:r>
      <w:r w:rsidR="00F42CE5" w:rsidRPr="00C47D19">
        <w:rPr>
          <w:spacing w:val="-2"/>
          <w:szCs w:val="19"/>
        </w:rPr>
        <w:t>%)</w:t>
      </w:r>
      <w:r w:rsidRPr="00C47D19">
        <w:rPr>
          <w:spacing w:val="-2"/>
          <w:szCs w:val="19"/>
        </w:rPr>
        <w:t xml:space="preserve"> i Rosją (</w:t>
      </w:r>
      <w:r w:rsidR="00C94084" w:rsidRPr="00C47D19">
        <w:rPr>
          <w:spacing w:val="-2"/>
          <w:szCs w:val="19"/>
        </w:rPr>
        <w:t>0,</w:t>
      </w:r>
      <w:r w:rsidR="00C47D19" w:rsidRPr="00C47D19">
        <w:rPr>
          <w:spacing w:val="-2"/>
          <w:szCs w:val="19"/>
        </w:rPr>
        <w:t>2</w:t>
      </w:r>
      <w:r w:rsidRPr="00C47D19">
        <w:rPr>
          <w:spacing w:val="-2"/>
          <w:szCs w:val="19"/>
        </w:rPr>
        <w:t>%).</w:t>
      </w:r>
    </w:p>
    <w:p w14:paraId="19223E49" w14:textId="61581F8A" w:rsidR="00566710" w:rsidRPr="00143F3E" w:rsidRDefault="00566710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143F3E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143F3E" w:rsidRPr="00143F3E">
        <w:rPr>
          <w:spacing w:val="-2"/>
          <w:szCs w:val="19"/>
        </w:rPr>
        <w:t>59,3</w:t>
      </w:r>
      <w:r w:rsidRPr="00143F3E">
        <w:rPr>
          <w:spacing w:val="-2"/>
          <w:szCs w:val="19"/>
        </w:rPr>
        <w:t>%</w:t>
      </w:r>
      <w:r w:rsidR="0091593F" w:rsidRPr="00143F3E">
        <w:rPr>
          <w:spacing w:val="-2"/>
          <w:szCs w:val="19"/>
        </w:rPr>
        <w:t>)</w:t>
      </w:r>
      <w:r w:rsidRPr="00143F3E">
        <w:rPr>
          <w:spacing w:val="-2"/>
          <w:szCs w:val="19"/>
        </w:rPr>
        <w:t>, następnie z Czechami (</w:t>
      </w:r>
      <w:r w:rsidR="00C43631" w:rsidRPr="00143F3E">
        <w:rPr>
          <w:spacing w:val="-2"/>
          <w:szCs w:val="19"/>
        </w:rPr>
        <w:t>2</w:t>
      </w:r>
      <w:r w:rsidR="00143F3E" w:rsidRPr="00143F3E">
        <w:rPr>
          <w:spacing w:val="-2"/>
          <w:szCs w:val="19"/>
        </w:rPr>
        <w:t>4,0</w:t>
      </w:r>
      <w:r w:rsidRPr="00143F3E">
        <w:rPr>
          <w:spacing w:val="-2"/>
          <w:szCs w:val="19"/>
        </w:rPr>
        <w:t>%), Słowacją (</w:t>
      </w:r>
      <w:r w:rsidR="00F03C49" w:rsidRPr="00143F3E">
        <w:rPr>
          <w:spacing w:val="-2"/>
          <w:szCs w:val="19"/>
        </w:rPr>
        <w:t>1</w:t>
      </w:r>
      <w:r w:rsidR="00143F3E" w:rsidRPr="00143F3E">
        <w:rPr>
          <w:spacing w:val="-2"/>
          <w:szCs w:val="19"/>
        </w:rPr>
        <w:t>3,1</w:t>
      </w:r>
      <w:r w:rsidRPr="00143F3E">
        <w:rPr>
          <w:spacing w:val="-2"/>
          <w:szCs w:val="19"/>
        </w:rPr>
        <w:t>%), Litwą (</w:t>
      </w:r>
      <w:r w:rsidR="00CB0FAF" w:rsidRPr="00143F3E">
        <w:rPr>
          <w:spacing w:val="-2"/>
          <w:szCs w:val="19"/>
        </w:rPr>
        <w:t>2,</w:t>
      </w:r>
      <w:r w:rsidR="00143F3E" w:rsidRPr="00143F3E">
        <w:rPr>
          <w:spacing w:val="-2"/>
          <w:szCs w:val="19"/>
        </w:rPr>
        <w:t>9</w:t>
      </w:r>
      <w:r w:rsidRPr="00143F3E">
        <w:rPr>
          <w:spacing w:val="-2"/>
          <w:szCs w:val="19"/>
        </w:rPr>
        <w:t>%), Ukrainą (0,</w:t>
      </w:r>
      <w:r w:rsidR="00143F3E" w:rsidRPr="00143F3E">
        <w:rPr>
          <w:spacing w:val="-2"/>
          <w:szCs w:val="19"/>
        </w:rPr>
        <w:t>4</w:t>
      </w:r>
      <w:r w:rsidRPr="00143F3E">
        <w:rPr>
          <w:spacing w:val="-2"/>
          <w:szCs w:val="19"/>
        </w:rPr>
        <w:t>%), Białorusią (</w:t>
      </w:r>
      <w:r w:rsidR="006311D4" w:rsidRPr="00143F3E">
        <w:rPr>
          <w:spacing w:val="-2"/>
          <w:szCs w:val="19"/>
        </w:rPr>
        <w:t>0,</w:t>
      </w:r>
      <w:r w:rsidR="00143F3E" w:rsidRPr="00143F3E">
        <w:rPr>
          <w:spacing w:val="-2"/>
          <w:szCs w:val="19"/>
        </w:rPr>
        <w:t>2</w:t>
      </w:r>
      <w:r w:rsidRPr="00143F3E">
        <w:rPr>
          <w:spacing w:val="-2"/>
          <w:szCs w:val="19"/>
        </w:rPr>
        <w:t>%)</w:t>
      </w:r>
      <w:r w:rsidR="00F03C49" w:rsidRPr="00143F3E">
        <w:rPr>
          <w:spacing w:val="-2"/>
          <w:szCs w:val="19"/>
        </w:rPr>
        <w:t xml:space="preserve"> i </w:t>
      </w:r>
      <w:r w:rsidRPr="00143F3E">
        <w:rPr>
          <w:spacing w:val="-2"/>
          <w:szCs w:val="19"/>
        </w:rPr>
        <w:t xml:space="preserve">Rosją </w:t>
      </w:r>
      <w:r w:rsidR="00F03C49" w:rsidRPr="00143F3E">
        <w:rPr>
          <w:spacing w:val="-2"/>
          <w:szCs w:val="19"/>
        </w:rPr>
        <w:t>(</w:t>
      </w:r>
      <w:r w:rsidR="006311D4" w:rsidRPr="00143F3E">
        <w:rPr>
          <w:spacing w:val="-2"/>
          <w:szCs w:val="19"/>
        </w:rPr>
        <w:t>0,1</w:t>
      </w:r>
      <w:r w:rsidRPr="00143F3E">
        <w:rPr>
          <w:spacing w:val="-2"/>
          <w:szCs w:val="19"/>
        </w:rPr>
        <w:t>%</w:t>
      </w:r>
      <w:r w:rsidR="00F03C49" w:rsidRPr="00143F3E">
        <w:rPr>
          <w:spacing w:val="-2"/>
          <w:szCs w:val="19"/>
        </w:rPr>
        <w:t>)</w:t>
      </w:r>
      <w:r w:rsidRPr="00143F3E">
        <w:rPr>
          <w:spacing w:val="-2"/>
          <w:szCs w:val="19"/>
        </w:rPr>
        <w:t>.</w:t>
      </w:r>
    </w:p>
    <w:p w14:paraId="02C441F0" w14:textId="53F8D1E0" w:rsidR="004C7802" w:rsidRPr="002E0343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2E0343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2E0343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2E0343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2E0343" w:rsidRPr="002E0343">
        <w:rPr>
          <w:rFonts w:ascii="Fira Sans" w:hAnsi="Fira Sans" w:cs="Arial"/>
          <w:b/>
          <w:bCs/>
          <w:sz w:val="19"/>
          <w:szCs w:val="19"/>
        </w:rPr>
        <w:t>2</w:t>
      </w:r>
      <w:r w:rsidRPr="002E0343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719B9" w:rsidRPr="002E0343">
        <w:rPr>
          <w:rFonts w:ascii="Fira Sans" w:hAnsi="Fira Sans" w:cs="Arial"/>
          <w:b/>
          <w:bCs/>
          <w:sz w:val="19"/>
          <w:szCs w:val="19"/>
        </w:rPr>
        <w:t>2</w:t>
      </w:r>
      <w:r w:rsidRPr="002E0343">
        <w:rPr>
          <w:rFonts w:ascii="Fira Sans" w:hAnsi="Fira Sans"/>
          <w:b/>
          <w:bCs/>
          <w:sz w:val="19"/>
          <w:szCs w:val="19"/>
        </w:rPr>
        <w:t> </w:t>
      </w:r>
      <w:r w:rsidRPr="002E0343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144C0DC2" w:rsidR="008F56E0" w:rsidRPr="00C47D19" w:rsidRDefault="002E0343" w:rsidP="00B900AA">
      <w:pPr>
        <w:spacing w:line="240" w:lineRule="auto"/>
        <w:jc w:val="center"/>
        <w:rPr>
          <w:szCs w:val="19"/>
        </w:rPr>
      </w:pPr>
      <w:r w:rsidRPr="002E0343">
        <w:rPr>
          <w:noProof/>
        </w:rPr>
        <w:drawing>
          <wp:inline distT="0" distB="0" distL="0" distR="0" wp14:anchorId="0AB1CC75" wp14:editId="1D45FCA6">
            <wp:extent cx="5122545" cy="1771210"/>
            <wp:effectExtent l="0" t="0" r="0" b="635"/>
            <wp:docPr id="15" name="Obraz 15" descr="Wykres 2. Struktura wydatków cudzoziemców w Polsce i Polaków za granicą według grup&#10;asortymentowych w 2 kwartale 2022 roku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77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76EF852E" w:rsidR="008A697D" w:rsidRPr="00FB1F95" w:rsidRDefault="00956D9F" w:rsidP="00863646">
      <w:pPr>
        <w:spacing w:before="0" w:line="288" w:lineRule="auto"/>
        <w:rPr>
          <w:szCs w:val="19"/>
        </w:rPr>
      </w:pPr>
      <w:r w:rsidRPr="00FB1F95">
        <w:rPr>
          <w:szCs w:val="19"/>
        </w:rPr>
        <w:t>C</w:t>
      </w:r>
      <w:r w:rsidR="008A697D" w:rsidRPr="00FB1F95">
        <w:rPr>
          <w:szCs w:val="19"/>
        </w:rPr>
        <w:t>udzoziemcy przekraczający zewnętrzną lądową granicę UE na teren</w:t>
      </w:r>
      <w:r w:rsidR="00600F25" w:rsidRPr="00FB1F95">
        <w:rPr>
          <w:szCs w:val="19"/>
        </w:rPr>
        <w:t xml:space="preserve">ie Polski </w:t>
      </w:r>
      <w:r w:rsidR="008A697D" w:rsidRPr="00FB1F95">
        <w:rPr>
          <w:szCs w:val="19"/>
        </w:rPr>
        <w:t>na zakup towaró</w:t>
      </w:r>
      <w:r w:rsidR="00E236E9" w:rsidRPr="00FB1F95">
        <w:rPr>
          <w:szCs w:val="19"/>
        </w:rPr>
        <w:t>w nieżywnościowych przeznaczyli</w:t>
      </w:r>
      <w:r w:rsidR="008A697D" w:rsidRPr="00FB1F95">
        <w:rPr>
          <w:szCs w:val="19"/>
        </w:rPr>
        <w:t xml:space="preserve"> </w:t>
      </w:r>
      <w:r w:rsidR="00CB76DF" w:rsidRPr="00FB1F95">
        <w:rPr>
          <w:szCs w:val="19"/>
        </w:rPr>
        <w:t>8</w:t>
      </w:r>
      <w:r w:rsidR="00FB1F95" w:rsidRPr="00FB1F95">
        <w:rPr>
          <w:szCs w:val="19"/>
        </w:rPr>
        <w:t>0</w:t>
      </w:r>
      <w:r w:rsidR="00CB76DF" w:rsidRPr="00FB1F95">
        <w:rPr>
          <w:szCs w:val="19"/>
        </w:rPr>
        <w:t>,</w:t>
      </w:r>
      <w:r w:rsidR="00D97EB6" w:rsidRPr="00FB1F95">
        <w:rPr>
          <w:szCs w:val="19"/>
        </w:rPr>
        <w:t>3</w:t>
      </w:r>
      <w:r w:rsidR="008A697D" w:rsidRPr="00FB1F95">
        <w:rPr>
          <w:szCs w:val="19"/>
        </w:rPr>
        <w:t>% swoich wydatków, na żywno</w:t>
      </w:r>
      <w:r w:rsidR="00E236E9" w:rsidRPr="00FB1F95">
        <w:rPr>
          <w:szCs w:val="19"/>
        </w:rPr>
        <w:t xml:space="preserve">ść i napoje </w:t>
      </w:r>
      <w:r w:rsidR="0001765B" w:rsidRPr="00FB1F95">
        <w:rPr>
          <w:szCs w:val="19"/>
        </w:rPr>
        <w:t xml:space="preserve">bezalkoholowe </w:t>
      </w:r>
      <w:r w:rsidR="006A4048" w:rsidRPr="00FB1F95">
        <w:rPr>
          <w:szCs w:val="19"/>
        </w:rPr>
        <w:t xml:space="preserve">– </w:t>
      </w:r>
      <w:r w:rsidR="00CB76DF" w:rsidRPr="00FB1F95">
        <w:rPr>
          <w:szCs w:val="19"/>
        </w:rPr>
        <w:t>1</w:t>
      </w:r>
      <w:r w:rsidR="00EC6B32" w:rsidRPr="00FB1F95">
        <w:rPr>
          <w:szCs w:val="19"/>
        </w:rPr>
        <w:t>3,</w:t>
      </w:r>
      <w:r w:rsidR="00FB1F95" w:rsidRPr="00FB1F95">
        <w:rPr>
          <w:szCs w:val="19"/>
        </w:rPr>
        <w:t>2</w:t>
      </w:r>
      <w:r w:rsidR="008A697D" w:rsidRPr="00FB1F95">
        <w:rPr>
          <w:szCs w:val="19"/>
        </w:rPr>
        <w:t xml:space="preserve">%, a na </w:t>
      </w:r>
      <w:r w:rsidR="0001765B" w:rsidRPr="00FB1F95">
        <w:rPr>
          <w:szCs w:val="19"/>
        </w:rPr>
        <w:t>pozostałe wydatki (usługi)</w:t>
      </w:r>
      <w:r w:rsidR="00E236E9" w:rsidRPr="00FB1F95">
        <w:rPr>
          <w:szCs w:val="19"/>
        </w:rPr>
        <w:t xml:space="preserve"> </w:t>
      </w:r>
      <w:r w:rsidR="006A4048" w:rsidRPr="00FB1F95">
        <w:rPr>
          <w:szCs w:val="19"/>
        </w:rPr>
        <w:t xml:space="preserve">– </w:t>
      </w:r>
      <w:r w:rsidR="00FB1F95" w:rsidRPr="00FB1F95">
        <w:rPr>
          <w:szCs w:val="19"/>
        </w:rPr>
        <w:t>6,4</w:t>
      </w:r>
      <w:r w:rsidR="00BF7B08" w:rsidRPr="00FB1F95">
        <w:rPr>
          <w:szCs w:val="19"/>
        </w:rPr>
        <w:t>%.</w:t>
      </w:r>
    </w:p>
    <w:p w14:paraId="4F6A51A7" w14:textId="04EACC4C" w:rsidR="00566710" w:rsidRPr="00143F3E" w:rsidRDefault="00566710" w:rsidP="00863646">
      <w:pPr>
        <w:spacing w:after="0" w:line="288" w:lineRule="auto"/>
        <w:rPr>
          <w:spacing w:val="-2"/>
          <w:szCs w:val="19"/>
        </w:rPr>
      </w:pPr>
      <w:r w:rsidRPr="00143F3E">
        <w:rPr>
          <w:spacing w:val="-2"/>
          <w:szCs w:val="19"/>
        </w:rPr>
        <w:t xml:space="preserve">Mieszkańcy Polski, przekraczający zewnętrzną lądową granicę UE na terenie Polski, większość </w:t>
      </w:r>
      <w:r w:rsidR="00603E8D" w:rsidRPr="00143F3E">
        <w:rPr>
          <w:spacing w:val="-2"/>
          <w:szCs w:val="19"/>
        </w:rPr>
        <w:t>(</w:t>
      </w:r>
      <w:r w:rsidR="008B334B" w:rsidRPr="00143F3E">
        <w:rPr>
          <w:spacing w:val="-2"/>
          <w:szCs w:val="19"/>
        </w:rPr>
        <w:t>60</w:t>
      </w:r>
      <w:r w:rsidR="00D7709F" w:rsidRPr="00143F3E">
        <w:rPr>
          <w:spacing w:val="-2"/>
          <w:szCs w:val="19"/>
        </w:rPr>
        <w:t>,</w:t>
      </w:r>
      <w:r w:rsidR="00143F3E" w:rsidRPr="00143F3E">
        <w:rPr>
          <w:spacing w:val="-2"/>
          <w:szCs w:val="19"/>
        </w:rPr>
        <w:t>7</w:t>
      </w:r>
      <w:r w:rsidRPr="00143F3E">
        <w:rPr>
          <w:spacing w:val="-2"/>
          <w:szCs w:val="19"/>
        </w:rPr>
        <w:t>%</w:t>
      </w:r>
      <w:r w:rsidR="00603E8D" w:rsidRPr="00143F3E">
        <w:rPr>
          <w:spacing w:val="-2"/>
          <w:szCs w:val="19"/>
        </w:rPr>
        <w:t>)</w:t>
      </w:r>
      <w:r w:rsidRPr="00143F3E">
        <w:rPr>
          <w:spacing w:val="-2"/>
          <w:szCs w:val="19"/>
        </w:rPr>
        <w:t xml:space="preserve"> wydatkowanych za granicą środków przeznaczyli na zakup towarów nieżywnościowych, na pozostałe wydatki (usługi) przeznaczyli </w:t>
      </w:r>
      <w:r w:rsidR="008B334B" w:rsidRPr="00143F3E">
        <w:rPr>
          <w:spacing w:val="-2"/>
          <w:szCs w:val="19"/>
        </w:rPr>
        <w:t>1</w:t>
      </w:r>
      <w:r w:rsidR="00143F3E" w:rsidRPr="00143F3E">
        <w:rPr>
          <w:spacing w:val="-2"/>
          <w:szCs w:val="19"/>
        </w:rPr>
        <w:t>5,7</w:t>
      </w:r>
      <w:r w:rsidRPr="00143F3E">
        <w:rPr>
          <w:spacing w:val="-2"/>
          <w:szCs w:val="19"/>
        </w:rPr>
        <w:t xml:space="preserve">%, a na żywność i napoje bezalkoholowe </w:t>
      </w:r>
      <w:r w:rsidR="00230652" w:rsidRPr="00143F3E">
        <w:rPr>
          <w:spacing w:val="-2"/>
          <w:szCs w:val="19"/>
        </w:rPr>
        <w:t xml:space="preserve">– </w:t>
      </w:r>
      <w:r w:rsidR="00FF69B7" w:rsidRPr="00143F3E">
        <w:rPr>
          <w:spacing w:val="-2"/>
          <w:szCs w:val="19"/>
        </w:rPr>
        <w:t>9,</w:t>
      </w:r>
      <w:r w:rsidR="00143F3E" w:rsidRPr="00143F3E">
        <w:rPr>
          <w:spacing w:val="-2"/>
          <w:szCs w:val="19"/>
        </w:rPr>
        <w:t>2</w:t>
      </w:r>
      <w:r w:rsidRPr="00143F3E">
        <w:rPr>
          <w:spacing w:val="-2"/>
          <w:szCs w:val="19"/>
        </w:rPr>
        <w:t>%.</w:t>
      </w:r>
    </w:p>
    <w:p w14:paraId="3CCB4BC9" w14:textId="3194BBBF" w:rsidR="00566710" w:rsidRPr="00143F3E" w:rsidRDefault="00566710" w:rsidP="00863646">
      <w:pPr>
        <w:spacing w:line="288" w:lineRule="auto"/>
        <w:rPr>
          <w:szCs w:val="19"/>
        </w:rPr>
      </w:pPr>
      <w:r w:rsidRPr="00FB1F95">
        <w:rPr>
          <w:spacing w:val="-4"/>
          <w:szCs w:val="19"/>
        </w:rPr>
        <w:lastRenderedPageBreak/>
        <w:t>Cudzoziemcy przekrac</w:t>
      </w:r>
      <w:r w:rsidR="00FE17F5" w:rsidRPr="00FB1F95">
        <w:rPr>
          <w:spacing w:val="-4"/>
          <w:szCs w:val="19"/>
        </w:rPr>
        <w:t xml:space="preserve">zający wewnętrzną granicę UE w </w:t>
      </w:r>
      <w:r w:rsidR="00FB1F95" w:rsidRPr="00FB1F95">
        <w:rPr>
          <w:spacing w:val="-4"/>
          <w:szCs w:val="19"/>
        </w:rPr>
        <w:t>2</w:t>
      </w:r>
      <w:r w:rsidR="005D2CC4" w:rsidRPr="00FB1F95">
        <w:rPr>
          <w:spacing w:val="-4"/>
          <w:szCs w:val="19"/>
        </w:rPr>
        <w:t xml:space="preserve"> kwartale 202</w:t>
      </w:r>
      <w:r w:rsidR="00EC6B32" w:rsidRPr="00FB1F95">
        <w:rPr>
          <w:spacing w:val="-4"/>
          <w:szCs w:val="19"/>
        </w:rPr>
        <w:t>2</w:t>
      </w:r>
      <w:r w:rsidRPr="00FB1F95">
        <w:rPr>
          <w:spacing w:val="-4"/>
          <w:szCs w:val="19"/>
        </w:rPr>
        <w:t xml:space="preserve"> r. największy odsetek wydatków poniesionych w Polsce przeznaczyli na towary nieżywnościowe – </w:t>
      </w:r>
      <w:r w:rsidR="00CB76DF" w:rsidRPr="00FB1F95">
        <w:rPr>
          <w:spacing w:val="-4"/>
          <w:szCs w:val="19"/>
        </w:rPr>
        <w:t>5</w:t>
      </w:r>
      <w:r w:rsidR="00FB1F95" w:rsidRPr="00FB1F95">
        <w:rPr>
          <w:spacing w:val="-4"/>
          <w:szCs w:val="19"/>
        </w:rPr>
        <w:t>4</w:t>
      </w:r>
      <w:r w:rsidR="00EC6B32" w:rsidRPr="00FB1F95">
        <w:rPr>
          <w:spacing w:val="-4"/>
          <w:szCs w:val="19"/>
        </w:rPr>
        <w:t>,9</w:t>
      </w:r>
      <w:r w:rsidRPr="00FB1F95">
        <w:rPr>
          <w:spacing w:val="-4"/>
          <w:szCs w:val="19"/>
        </w:rPr>
        <w:t>%. Znaczny udział</w:t>
      </w:r>
      <w:r w:rsidRPr="00FB1F95">
        <w:rPr>
          <w:szCs w:val="19"/>
        </w:rPr>
        <w:t xml:space="preserve"> w</w:t>
      </w:r>
      <w:r w:rsidR="007060BB" w:rsidRPr="00FB1F95">
        <w:rPr>
          <w:szCs w:val="19"/>
        </w:rPr>
        <w:t> </w:t>
      </w:r>
      <w:r w:rsidRPr="00FB1F95">
        <w:rPr>
          <w:szCs w:val="19"/>
        </w:rPr>
        <w:t xml:space="preserve">strukturze wydatków nierezydentów miały </w:t>
      </w:r>
      <w:r w:rsidR="00CB76DF" w:rsidRPr="00FB1F95">
        <w:rPr>
          <w:szCs w:val="19"/>
        </w:rPr>
        <w:t>pozostałe wydatki (usługi) – 16,</w:t>
      </w:r>
      <w:r w:rsidR="00FB1F95" w:rsidRPr="00FB1F95">
        <w:rPr>
          <w:szCs w:val="19"/>
        </w:rPr>
        <w:t>3</w:t>
      </w:r>
      <w:r w:rsidR="004F368B" w:rsidRPr="00FB1F95">
        <w:rPr>
          <w:szCs w:val="19"/>
        </w:rPr>
        <w:t xml:space="preserve">% oraz </w:t>
      </w:r>
      <w:r w:rsidR="00972AE2" w:rsidRPr="00FB1F95">
        <w:rPr>
          <w:szCs w:val="19"/>
        </w:rPr>
        <w:t xml:space="preserve">wydatki na </w:t>
      </w:r>
      <w:r w:rsidR="00A93A99" w:rsidRPr="00FB1F95">
        <w:rPr>
          <w:szCs w:val="19"/>
        </w:rPr>
        <w:t>żywność i napoje bezalkoholowe – 13,</w:t>
      </w:r>
      <w:r w:rsidR="00FB1F95" w:rsidRPr="00FB1F95">
        <w:rPr>
          <w:szCs w:val="19"/>
        </w:rPr>
        <w:t>4</w:t>
      </w:r>
      <w:r w:rsidR="00A93A99" w:rsidRPr="00143F3E">
        <w:rPr>
          <w:szCs w:val="19"/>
        </w:rPr>
        <w:t>%</w:t>
      </w:r>
      <w:r w:rsidR="004F368B" w:rsidRPr="00143F3E">
        <w:rPr>
          <w:szCs w:val="19"/>
        </w:rPr>
        <w:t>.</w:t>
      </w:r>
      <w:r w:rsidR="00A93A99" w:rsidRPr="00143F3E">
        <w:rPr>
          <w:szCs w:val="19"/>
        </w:rPr>
        <w:t xml:space="preserve"> </w:t>
      </w:r>
      <w:r w:rsidR="00D35BAA" w:rsidRPr="00143F3E">
        <w:rPr>
          <w:szCs w:val="19"/>
        </w:rPr>
        <w:t>Z kolei</w:t>
      </w:r>
      <w:r w:rsidRPr="00143F3E">
        <w:rPr>
          <w:szCs w:val="19"/>
        </w:rPr>
        <w:t xml:space="preserve"> w strukturze wydatków poniesionych za granicą przez mieszkańców Polski dominowały pozostałe wydatki (usługi) – </w:t>
      </w:r>
      <w:r w:rsidR="00FF69B7" w:rsidRPr="00143F3E">
        <w:rPr>
          <w:szCs w:val="19"/>
        </w:rPr>
        <w:t>4</w:t>
      </w:r>
      <w:r w:rsidR="00C77B3B" w:rsidRPr="00143F3E">
        <w:rPr>
          <w:szCs w:val="19"/>
        </w:rPr>
        <w:t>2,4</w:t>
      </w:r>
      <w:r w:rsidR="00CB0FAF" w:rsidRPr="00143F3E">
        <w:rPr>
          <w:szCs w:val="19"/>
        </w:rPr>
        <w:t>% i</w:t>
      </w:r>
      <w:r w:rsidRPr="00143F3E">
        <w:rPr>
          <w:szCs w:val="19"/>
        </w:rPr>
        <w:t xml:space="preserve"> towary nieżywnościowe</w:t>
      </w:r>
      <w:r w:rsidR="00CB0FAF" w:rsidRPr="00143F3E">
        <w:rPr>
          <w:szCs w:val="19"/>
        </w:rPr>
        <w:t xml:space="preserve"> – </w:t>
      </w:r>
      <w:r w:rsidR="00FF69B7" w:rsidRPr="00143F3E">
        <w:rPr>
          <w:szCs w:val="19"/>
        </w:rPr>
        <w:t>39,</w:t>
      </w:r>
      <w:r w:rsidR="00143F3E" w:rsidRPr="00143F3E">
        <w:rPr>
          <w:szCs w:val="19"/>
        </w:rPr>
        <w:t>9</w:t>
      </w:r>
      <w:r w:rsidRPr="00143F3E">
        <w:rPr>
          <w:szCs w:val="19"/>
        </w:rPr>
        <w:t xml:space="preserve">%, a na żywność i napoje bezalkoholowe Polacy przeznaczyli </w:t>
      </w:r>
      <w:r w:rsidR="00FF69B7" w:rsidRPr="00143F3E">
        <w:rPr>
          <w:szCs w:val="19"/>
        </w:rPr>
        <w:t>13,</w:t>
      </w:r>
      <w:r w:rsidR="00143F3E" w:rsidRPr="00143F3E">
        <w:rPr>
          <w:szCs w:val="19"/>
        </w:rPr>
        <w:t>7</w:t>
      </w:r>
      <w:r w:rsidRPr="00143F3E">
        <w:rPr>
          <w:szCs w:val="19"/>
        </w:rPr>
        <w:t>% swoich wydatków.</w:t>
      </w:r>
    </w:p>
    <w:p w14:paraId="70176119" w14:textId="725759FC" w:rsidR="004C7802" w:rsidRPr="00114202" w:rsidRDefault="004C7802" w:rsidP="00EA0CAA">
      <w:pPr>
        <w:spacing w:before="360" w:line="240" w:lineRule="auto"/>
        <w:ind w:left="783" w:hanging="794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B974D2" w:rsidRPr="00114202">
        <w:rPr>
          <w:b/>
          <w:szCs w:val="19"/>
        </w:rPr>
        <w:t>2</w:t>
      </w:r>
      <w:r w:rsidR="00BD6753" w:rsidRPr="00114202">
        <w:rPr>
          <w:b/>
          <w:szCs w:val="19"/>
        </w:rPr>
        <w:t> </w:t>
      </w:r>
      <w:r w:rsidRPr="00114202">
        <w:rPr>
          <w:b/>
          <w:szCs w:val="19"/>
        </w:rPr>
        <w:t>kwartale 202</w:t>
      </w:r>
      <w:r w:rsidR="001B36F2" w:rsidRPr="00114202">
        <w:rPr>
          <w:b/>
          <w:szCs w:val="19"/>
        </w:rPr>
        <w:t>2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2 kwartale 2022 roku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9E35D2" w:rsidRPr="009E35D2" w14:paraId="2DC703A6" w14:textId="77777777" w:rsidTr="00FB341E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F16770" w:rsidRPr="00124A79" w:rsidRDefault="00F16770" w:rsidP="001E0023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124A79" w:rsidRDefault="00F16770" w:rsidP="001E0023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cudzoziemcy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77777777" w:rsidR="00F16770" w:rsidRPr="0096740B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96740B">
              <w:rPr>
                <w:szCs w:val="19"/>
              </w:rPr>
              <w:t>Polacy</w:t>
            </w:r>
          </w:p>
        </w:tc>
      </w:tr>
      <w:tr w:rsidR="009E35D2" w:rsidRPr="009E35D2" w14:paraId="02DDDF49" w14:textId="77777777" w:rsidTr="00FB341E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6E8F49C7" w:rsidR="00F16770" w:rsidRPr="00124A79" w:rsidRDefault="00B974D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124A79" w:rsidRDefault="00F16770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6BF8E0CA" w:rsidR="00F16770" w:rsidRPr="00124A79" w:rsidRDefault="00B974D2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kw. 2021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96740B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46E863E2" w:rsidR="00F16770" w:rsidRPr="00AE3CBD" w:rsidRDefault="00B974D2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 w:rsidRPr="00AE3CBD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AE3CBD" w:rsidRDefault="00F16770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224A29AA" w:rsidR="00F16770" w:rsidRPr="00AE3CBD" w:rsidRDefault="00B974D2" w:rsidP="009B5EBB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 w:rsidRPr="00AE3CBD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2021 =100 </w:t>
            </w:r>
          </w:p>
        </w:tc>
      </w:tr>
      <w:tr w:rsidR="00687DC1" w:rsidRPr="00687DC1" w14:paraId="43CECA29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0E88A0CC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42,72</w:t>
            </w:r>
          </w:p>
        </w:tc>
        <w:tc>
          <w:tcPr>
            <w:tcW w:w="502" w:type="pct"/>
            <w:vAlign w:val="center"/>
          </w:tcPr>
          <w:p w14:paraId="4902569D" w14:textId="36626879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167</w:t>
            </w:r>
            <w:r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,</w:t>
            </w: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4</w:t>
            </w:r>
          </w:p>
        </w:tc>
        <w:tc>
          <w:tcPr>
            <w:tcW w:w="501" w:type="pct"/>
            <w:vAlign w:val="center"/>
          </w:tcPr>
          <w:p w14:paraId="79C19821" w14:textId="4D7B7A6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29,09</w:t>
            </w:r>
          </w:p>
        </w:tc>
        <w:tc>
          <w:tcPr>
            <w:tcW w:w="502" w:type="pct"/>
            <w:vAlign w:val="center"/>
          </w:tcPr>
          <w:p w14:paraId="12F614B0" w14:textId="3E80F242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156,7</w:t>
            </w:r>
          </w:p>
        </w:tc>
        <w:tc>
          <w:tcPr>
            <w:tcW w:w="501" w:type="pct"/>
            <w:vAlign w:val="center"/>
          </w:tcPr>
          <w:p w14:paraId="05847098" w14:textId="3D736E08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10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025,2</w:t>
            </w:r>
          </w:p>
        </w:tc>
        <w:tc>
          <w:tcPr>
            <w:tcW w:w="502" w:type="pct"/>
            <w:vAlign w:val="center"/>
          </w:tcPr>
          <w:p w14:paraId="44E023BA" w14:textId="1F6B5AB5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189,2</w:t>
            </w:r>
          </w:p>
        </w:tc>
        <w:tc>
          <w:tcPr>
            <w:tcW w:w="501" w:type="pct"/>
            <w:vAlign w:val="center"/>
          </w:tcPr>
          <w:p w14:paraId="65C76C5C" w14:textId="3941528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5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510,5</w:t>
            </w:r>
          </w:p>
        </w:tc>
        <w:tc>
          <w:tcPr>
            <w:tcW w:w="500" w:type="pct"/>
            <w:vAlign w:val="center"/>
          </w:tcPr>
          <w:p w14:paraId="2E9504CD" w14:textId="5180255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182,7</w:t>
            </w:r>
          </w:p>
        </w:tc>
      </w:tr>
      <w:tr w:rsidR="00687DC1" w:rsidRPr="00687DC1" w14:paraId="40974DE7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14978D35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38,71</w:t>
            </w:r>
          </w:p>
        </w:tc>
        <w:tc>
          <w:tcPr>
            <w:tcW w:w="502" w:type="pct"/>
            <w:vAlign w:val="center"/>
          </w:tcPr>
          <w:p w14:paraId="3F246E59" w14:textId="2A349285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158,4</w:t>
            </w:r>
          </w:p>
        </w:tc>
        <w:tc>
          <w:tcPr>
            <w:tcW w:w="501" w:type="pct"/>
            <w:vAlign w:val="center"/>
          </w:tcPr>
          <w:p w14:paraId="73AA2A70" w14:textId="1FF28867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23,07</w:t>
            </w:r>
          </w:p>
        </w:tc>
        <w:tc>
          <w:tcPr>
            <w:tcW w:w="502" w:type="pct"/>
            <w:vAlign w:val="center"/>
          </w:tcPr>
          <w:p w14:paraId="622B1048" w14:textId="1B84C91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136,3</w:t>
            </w:r>
          </w:p>
        </w:tc>
        <w:tc>
          <w:tcPr>
            <w:tcW w:w="501" w:type="pct"/>
            <w:vAlign w:val="center"/>
          </w:tcPr>
          <w:p w14:paraId="291C9544" w14:textId="1050EBE5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8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255,7</w:t>
            </w:r>
          </w:p>
        </w:tc>
        <w:tc>
          <w:tcPr>
            <w:tcW w:w="502" w:type="pct"/>
            <w:vAlign w:val="center"/>
          </w:tcPr>
          <w:p w14:paraId="489715E3" w14:textId="18ACC80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168,7</w:t>
            </w:r>
          </w:p>
        </w:tc>
        <w:tc>
          <w:tcPr>
            <w:tcW w:w="501" w:type="pct"/>
            <w:vAlign w:val="center"/>
          </w:tcPr>
          <w:p w14:paraId="672F8A8B" w14:textId="1A07DE3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3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125,7</w:t>
            </w:r>
          </w:p>
        </w:tc>
        <w:tc>
          <w:tcPr>
            <w:tcW w:w="500" w:type="pct"/>
            <w:vAlign w:val="center"/>
          </w:tcPr>
          <w:p w14:paraId="25E2D19C" w14:textId="208FEA3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131,1</w:t>
            </w:r>
          </w:p>
        </w:tc>
      </w:tr>
      <w:tr w:rsidR="00687DC1" w:rsidRPr="00687DC1" w14:paraId="774751C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43AFEACB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4,84</w:t>
            </w:r>
          </w:p>
        </w:tc>
        <w:tc>
          <w:tcPr>
            <w:tcW w:w="502" w:type="pct"/>
            <w:vAlign w:val="center"/>
          </w:tcPr>
          <w:p w14:paraId="1E2A7472" w14:textId="402795BD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197,9</w:t>
            </w:r>
          </w:p>
        </w:tc>
        <w:tc>
          <w:tcPr>
            <w:tcW w:w="501" w:type="pct"/>
            <w:vAlign w:val="center"/>
          </w:tcPr>
          <w:p w14:paraId="5DC1F5A8" w14:textId="3CB46FAA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0,17</w:t>
            </w:r>
          </w:p>
        </w:tc>
        <w:tc>
          <w:tcPr>
            <w:tcW w:w="502" w:type="pct"/>
            <w:vAlign w:val="center"/>
          </w:tcPr>
          <w:p w14:paraId="74FA095E" w14:textId="0DD07EF8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136,3</w:t>
            </w:r>
          </w:p>
        </w:tc>
        <w:tc>
          <w:tcPr>
            <w:tcW w:w="501" w:type="pct"/>
            <w:vAlign w:val="center"/>
          </w:tcPr>
          <w:p w14:paraId="37464519" w14:textId="0B767282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710,1</w:t>
            </w:r>
          </w:p>
        </w:tc>
        <w:tc>
          <w:tcPr>
            <w:tcW w:w="502" w:type="pct"/>
            <w:vAlign w:val="center"/>
          </w:tcPr>
          <w:p w14:paraId="1DD5A3EE" w14:textId="55CA2DC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226,8</w:t>
            </w:r>
          </w:p>
        </w:tc>
        <w:tc>
          <w:tcPr>
            <w:tcW w:w="501" w:type="pct"/>
            <w:vAlign w:val="center"/>
          </w:tcPr>
          <w:p w14:paraId="27FE9EC1" w14:textId="7C7DBFB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21,8</w:t>
            </w:r>
          </w:p>
        </w:tc>
        <w:tc>
          <w:tcPr>
            <w:tcW w:w="500" w:type="pct"/>
            <w:vAlign w:val="center"/>
          </w:tcPr>
          <w:p w14:paraId="6E1D1BEA" w14:textId="75FB4D42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122,3</w:t>
            </w:r>
          </w:p>
        </w:tc>
      </w:tr>
      <w:tr w:rsidR="00687DC1" w:rsidRPr="00687DC1" w14:paraId="24B9BC25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04BEBBE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0,06</w:t>
            </w:r>
          </w:p>
        </w:tc>
        <w:tc>
          <w:tcPr>
            <w:tcW w:w="502" w:type="pct"/>
            <w:vAlign w:val="center"/>
          </w:tcPr>
          <w:p w14:paraId="0A0B730D" w14:textId="07FDDE71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133,0</w:t>
            </w:r>
          </w:p>
        </w:tc>
        <w:tc>
          <w:tcPr>
            <w:tcW w:w="501" w:type="pct"/>
            <w:vAlign w:val="center"/>
          </w:tcPr>
          <w:p w14:paraId="74497D3B" w14:textId="790032C2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0,01</w:t>
            </w:r>
          </w:p>
        </w:tc>
        <w:tc>
          <w:tcPr>
            <w:tcW w:w="502" w:type="pct"/>
            <w:vAlign w:val="center"/>
          </w:tcPr>
          <w:p w14:paraId="42563386" w14:textId="64FD97B6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111,8</w:t>
            </w:r>
          </w:p>
        </w:tc>
        <w:tc>
          <w:tcPr>
            <w:tcW w:w="501" w:type="pct"/>
            <w:vAlign w:val="center"/>
          </w:tcPr>
          <w:p w14:paraId="00037586" w14:textId="258ED6B7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12,3</w:t>
            </w:r>
          </w:p>
        </w:tc>
        <w:tc>
          <w:tcPr>
            <w:tcW w:w="502" w:type="pct"/>
            <w:vAlign w:val="center"/>
          </w:tcPr>
          <w:p w14:paraId="1FC040FE" w14:textId="0D7F1842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116,8</w:t>
            </w:r>
          </w:p>
        </w:tc>
        <w:tc>
          <w:tcPr>
            <w:tcW w:w="501" w:type="pct"/>
            <w:vAlign w:val="center"/>
          </w:tcPr>
          <w:p w14:paraId="2D8A034D" w14:textId="313D2F7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2,8</w:t>
            </w:r>
          </w:p>
        </w:tc>
        <w:tc>
          <w:tcPr>
            <w:tcW w:w="500" w:type="pct"/>
            <w:vAlign w:val="center"/>
          </w:tcPr>
          <w:p w14:paraId="22AD7D06" w14:textId="7234A42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100,8</w:t>
            </w:r>
          </w:p>
        </w:tc>
      </w:tr>
      <w:tr w:rsidR="00687DC1" w:rsidRPr="00687DC1" w14:paraId="21D6C98F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73732E4C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0,75</w:t>
            </w:r>
          </w:p>
        </w:tc>
        <w:tc>
          <w:tcPr>
            <w:tcW w:w="502" w:type="pct"/>
            <w:vAlign w:val="center"/>
          </w:tcPr>
          <w:p w14:paraId="3A6260A2" w14:textId="7A961E80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156,5</w:t>
            </w:r>
          </w:p>
        </w:tc>
        <w:tc>
          <w:tcPr>
            <w:tcW w:w="501" w:type="pct"/>
            <w:vAlign w:val="center"/>
          </w:tcPr>
          <w:p w14:paraId="6B21FC7E" w14:textId="5F815EA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0,05</w:t>
            </w:r>
          </w:p>
        </w:tc>
        <w:tc>
          <w:tcPr>
            <w:tcW w:w="502" w:type="pct"/>
            <w:vAlign w:val="center"/>
          </w:tcPr>
          <w:p w14:paraId="11E05F38" w14:textId="77D475DC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124,0</w:t>
            </w:r>
          </w:p>
        </w:tc>
        <w:tc>
          <w:tcPr>
            <w:tcW w:w="501" w:type="pct"/>
            <w:vAlign w:val="center"/>
          </w:tcPr>
          <w:p w14:paraId="67B19B1E" w14:textId="23F3D328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224,4</w:t>
            </w:r>
          </w:p>
        </w:tc>
        <w:tc>
          <w:tcPr>
            <w:tcW w:w="502" w:type="pct"/>
            <w:vAlign w:val="center"/>
          </w:tcPr>
          <w:p w14:paraId="2398BB72" w14:textId="654707A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159,6</w:t>
            </w:r>
          </w:p>
        </w:tc>
        <w:tc>
          <w:tcPr>
            <w:tcW w:w="501" w:type="pct"/>
            <w:vAlign w:val="center"/>
          </w:tcPr>
          <w:p w14:paraId="355BCD52" w14:textId="7F3E7D1C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5,7</w:t>
            </w:r>
          </w:p>
        </w:tc>
        <w:tc>
          <w:tcPr>
            <w:tcW w:w="500" w:type="pct"/>
            <w:vAlign w:val="center"/>
          </w:tcPr>
          <w:p w14:paraId="1DE09284" w14:textId="4D8FEDF4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114,7</w:t>
            </w:r>
          </w:p>
        </w:tc>
      </w:tr>
      <w:tr w:rsidR="00687DC1" w:rsidRPr="00687DC1" w14:paraId="42F69DF8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47FF3902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 </w:t>
            </w:r>
          </w:p>
        </w:tc>
        <w:tc>
          <w:tcPr>
            <w:tcW w:w="501" w:type="pct"/>
            <w:vAlign w:val="center"/>
          </w:tcPr>
          <w:p w14:paraId="253AD533" w14:textId="1C0973F1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4,02</w:t>
            </w:r>
          </w:p>
        </w:tc>
        <w:tc>
          <w:tcPr>
            <w:tcW w:w="502" w:type="pct"/>
            <w:vAlign w:val="center"/>
          </w:tcPr>
          <w:p w14:paraId="5D11C657" w14:textId="5109FA47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209,9</w:t>
            </w:r>
          </w:p>
        </w:tc>
        <w:tc>
          <w:tcPr>
            <w:tcW w:w="501" w:type="pct"/>
            <w:vAlign w:val="center"/>
          </w:tcPr>
          <w:p w14:paraId="0DF2D605" w14:textId="42DEC672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0,11</w:t>
            </w:r>
          </w:p>
        </w:tc>
        <w:tc>
          <w:tcPr>
            <w:tcW w:w="502" w:type="pct"/>
            <w:vAlign w:val="center"/>
          </w:tcPr>
          <w:p w14:paraId="38092C33" w14:textId="43DAD7BA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145,1</w:t>
            </w:r>
          </w:p>
        </w:tc>
        <w:tc>
          <w:tcPr>
            <w:tcW w:w="501" w:type="pct"/>
            <w:vAlign w:val="center"/>
          </w:tcPr>
          <w:p w14:paraId="52F164B6" w14:textId="5A138F2F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473,4</w:t>
            </w:r>
          </w:p>
        </w:tc>
        <w:tc>
          <w:tcPr>
            <w:tcW w:w="502" w:type="pct"/>
            <w:vAlign w:val="center"/>
          </w:tcPr>
          <w:p w14:paraId="11B17F33" w14:textId="7C09EA0C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244,4</w:t>
            </w:r>
          </w:p>
        </w:tc>
        <w:tc>
          <w:tcPr>
            <w:tcW w:w="501" w:type="pct"/>
            <w:vAlign w:val="center"/>
          </w:tcPr>
          <w:p w14:paraId="61697C46" w14:textId="47DDE92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13,3</w:t>
            </w:r>
          </w:p>
        </w:tc>
        <w:tc>
          <w:tcPr>
            <w:tcW w:w="500" w:type="pct"/>
            <w:vAlign w:val="center"/>
          </w:tcPr>
          <w:p w14:paraId="26D184D7" w14:textId="4D38F25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132,1</w:t>
            </w:r>
          </w:p>
        </w:tc>
      </w:tr>
      <w:tr w:rsidR="00687DC1" w:rsidRPr="00687DC1" w14:paraId="23F83C60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717FB4EF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33,88</w:t>
            </w:r>
          </w:p>
        </w:tc>
        <w:tc>
          <w:tcPr>
            <w:tcW w:w="502" w:type="pct"/>
            <w:vAlign w:val="center"/>
          </w:tcPr>
          <w:p w14:paraId="23457E66" w14:textId="0A38D26B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154,0</w:t>
            </w:r>
          </w:p>
        </w:tc>
        <w:tc>
          <w:tcPr>
            <w:tcW w:w="501" w:type="pct"/>
            <w:vAlign w:val="center"/>
          </w:tcPr>
          <w:p w14:paraId="3C0EE66C" w14:textId="756EC5BD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22,89</w:t>
            </w:r>
          </w:p>
        </w:tc>
        <w:tc>
          <w:tcPr>
            <w:tcW w:w="502" w:type="pct"/>
            <w:vAlign w:val="center"/>
          </w:tcPr>
          <w:p w14:paraId="22AA8F22" w14:textId="0E85B74F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136,3</w:t>
            </w:r>
          </w:p>
        </w:tc>
        <w:tc>
          <w:tcPr>
            <w:tcW w:w="501" w:type="pct"/>
            <w:vAlign w:val="center"/>
          </w:tcPr>
          <w:p w14:paraId="0441D349" w14:textId="3B68F37D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6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545,6</w:t>
            </w:r>
          </w:p>
        </w:tc>
        <w:tc>
          <w:tcPr>
            <w:tcW w:w="502" w:type="pct"/>
            <w:vAlign w:val="center"/>
          </w:tcPr>
          <w:p w14:paraId="6C535961" w14:textId="5DFF2474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158,2</w:t>
            </w:r>
          </w:p>
        </w:tc>
        <w:tc>
          <w:tcPr>
            <w:tcW w:w="501" w:type="pct"/>
            <w:vAlign w:val="center"/>
          </w:tcPr>
          <w:p w14:paraId="5498D17A" w14:textId="3AE476F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3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103,9</w:t>
            </w:r>
          </w:p>
        </w:tc>
        <w:tc>
          <w:tcPr>
            <w:tcW w:w="500" w:type="pct"/>
            <w:vAlign w:val="center"/>
          </w:tcPr>
          <w:p w14:paraId="05A91D40" w14:textId="5C311CE9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131,2</w:t>
            </w:r>
          </w:p>
        </w:tc>
      </w:tr>
      <w:tr w:rsidR="00687DC1" w:rsidRPr="00687DC1" w14:paraId="0E2F2B13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26A6E4D1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1,48</w:t>
            </w:r>
          </w:p>
        </w:tc>
        <w:tc>
          <w:tcPr>
            <w:tcW w:w="502" w:type="pct"/>
            <w:vAlign w:val="center"/>
          </w:tcPr>
          <w:p w14:paraId="1F2E7AFC" w14:textId="5F66C169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137,9</w:t>
            </w:r>
          </w:p>
        </w:tc>
        <w:tc>
          <w:tcPr>
            <w:tcW w:w="501" w:type="pct"/>
            <w:vAlign w:val="center"/>
          </w:tcPr>
          <w:p w14:paraId="5530DD7A" w14:textId="54864DCF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0,70</w:t>
            </w:r>
          </w:p>
        </w:tc>
        <w:tc>
          <w:tcPr>
            <w:tcW w:w="502" w:type="pct"/>
            <w:vAlign w:val="center"/>
          </w:tcPr>
          <w:p w14:paraId="4EAD798C" w14:textId="371874F1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140,3</w:t>
            </w:r>
          </w:p>
        </w:tc>
        <w:tc>
          <w:tcPr>
            <w:tcW w:w="501" w:type="pct"/>
            <w:vAlign w:val="center"/>
          </w:tcPr>
          <w:p w14:paraId="701CBCBC" w14:textId="7A5B3065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366,9</w:t>
            </w:r>
          </w:p>
        </w:tc>
        <w:tc>
          <w:tcPr>
            <w:tcW w:w="502" w:type="pct"/>
            <w:vAlign w:val="center"/>
          </w:tcPr>
          <w:p w14:paraId="19816013" w14:textId="52882EE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148,9</w:t>
            </w:r>
          </w:p>
        </w:tc>
        <w:tc>
          <w:tcPr>
            <w:tcW w:w="501" w:type="pct"/>
            <w:vAlign w:val="center"/>
          </w:tcPr>
          <w:p w14:paraId="134F8269" w14:textId="50F95961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91,6</w:t>
            </w:r>
          </w:p>
        </w:tc>
        <w:tc>
          <w:tcPr>
            <w:tcW w:w="500" w:type="pct"/>
            <w:vAlign w:val="center"/>
          </w:tcPr>
          <w:p w14:paraId="6C4AB0E3" w14:textId="1B1A333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141,0</w:t>
            </w:r>
          </w:p>
        </w:tc>
      </w:tr>
      <w:tr w:rsidR="00687DC1" w:rsidRPr="00687DC1" w14:paraId="7741D0F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1A807431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3,91</w:t>
            </w:r>
          </w:p>
        </w:tc>
        <w:tc>
          <w:tcPr>
            <w:tcW w:w="502" w:type="pct"/>
            <w:vAlign w:val="center"/>
          </w:tcPr>
          <w:p w14:paraId="617AEE7B" w14:textId="01DA7D2C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154,8</w:t>
            </w:r>
          </w:p>
        </w:tc>
        <w:tc>
          <w:tcPr>
            <w:tcW w:w="501" w:type="pct"/>
            <w:vAlign w:val="center"/>
          </w:tcPr>
          <w:p w14:paraId="441BDC92" w14:textId="05955018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3,94</w:t>
            </w:r>
          </w:p>
        </w:tc>
        <w:tc>
          <w:tcPr>
            <w:tcW w:w="502" w:type="pct"/>
            <w:vAlign w:val="center"/>
          </w:tcPr>
          <w:p w14:paraId="7BE9987D" w14:textId="26B58713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138,1</w:t>
            </w:r>
          </w:p>
        </w:tc>
        <w:tc>
          <w:tcPr>
            <w:tcW w:w="501" w:type="pct"/>
            <w:vAlign w:val="center"/>
          </w:tcPr>
          <w:p w14:paraId="4B8BF03E" w14:textId="09179CC0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675,0</w:t>
            </w:r>
          </w:p>
        </w:tc>
        <w:tc>
          <w:tcPr>
            <w:tcW w:w="502" w:type="pct"/>
            <w:vAlign w:val="center"/>
          </w:tcPr>
          <w:p w14:paraId="528C45AD" w14:textId="1587629E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158,8</w:t>
            </w:r>
          </w:p>
        </w:tc>
        <w:tc>
          <w:tcPr>
            <w:tcW w:w="501" w:type="pct"/>
            <w:vAlign w:val="center"/>
          </w:tcPr>
          <w:p w14:paraId="6A59DECD" w14:textId="18FC68B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409,4</w:t>
            </w:r>
          </w:p>
        </w:tc>
        <w:tc>
          <w:tcPr>
            <w:tcW w:w="500" w:type="pct"/>
            <w:vAlign w:val="center"/>
          </w:tcPr>
          <w:p w14:paraId="14C56054" w14:textId="5139437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144,5</w:t>
            </w:r>
          </w:p>
        </w:tc>
      </w:tr>
      <w:tr w:rsidR="00687DC1" w:rsidRPr="00687DC1" w14:paraId="08F13E4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114202" w:rsidRPr="00124A79" w:rsidRDefault="00114202" w:rsidP="00114202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3514C83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7,61</w:t>
            </w:r>
          </w:p>
        </w:tc>
        <w:tc>
          <w:tcPr>
            <w:tcW w:w="502" w:type="pct"/>
            <w:vAlign w:val="center"/>
          </w:tcPr>
          <w:p w14:paraId="31DD9372" w14:textId="69DC4B1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172,5</w:t>
            </w:r>
          </w:p>
        </w:tc>
        <w:tc>
          <w:tcPr>
            <w:tcW w:w="501" w:type="pct"/>
            <w:vAlign w:val="center"/>
          </w:tcPr>
          <w:p w14:paraId="1C6E53DC" w14:textId="31C3A383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6,91</w:t>
            </w:r>
          </w:p>
        </w:tc>
        <w:tc>
          <w:tcPr>
            <w:tcW w:w="502" w:type="pct"/>
            <w:vAlign w:val="center"/>
          </w:tcPr>
          <w:p w14:paraId="4F93D16C" w14:textId="09A366C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150,5</w:t>
            </w:r>
          </w:p>
        </w:tc>
        <w:tc>
          <w:tcPr>
            <w:tcW w:w="501" w:type="pct"/>
            <w:vAlign w:val="center"/>
          </w:tcPr>
          <w:p w14:paraId="74D60668" w14:textId="4451CE16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118,2</w:t>
            </w:r>
          </w:p>
        </w:tc>
        <w:tc>
          <w:tcPr>
            <w:tcW w:w="502" w:type="pct"/>
            <w:vAlign w:val="center"/>
          </w:tcPr>
          <w:p w14:paraId="51C0AC61" w14:textId="2F51F57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175,5</w:t>
            </w:r>
          </w:p>
        </w:tc>
        <w:tc>
          <w:tcPr>
            <w:tcW w:w="501" w:type="pct"/>
            <w:vAlign w:val="center"/>
          </w:tcPr>
          <w:p w14:paraId="67A1F4F4" w14:textId="2034767B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749,0</w:t>
            </w:r>
          </w:p>
        </w:tc>
        <w:tc>
          <w:tcPr>
            <w:tcW w:w="500" w:type="pct"/>
            <w:vAlign w:val="center"/>
          </w:tcPr>
          <w:p w14:paraId="4B3F2E2D" w14:textId="3B7CB64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147,0</w:t>
            </w:r>
          </w:p>
        </w:tc>
      </w:tr>
      <w:tr w:rsidR="00687DC1" w:rsidRPr="00687DC1" w14:paraId="34B1CF37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114202" w:rsidRPr="00124A79" w:rsidRDefault="00114202" w:rsidP="00114202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2378B5FF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20,87</w:t>
            </w:r>
          </w:p>
        </w:tc>
        <w:tc>
          <w:tcPr>
            <w:tcW w:w="502" w:type="pct"/>
            <w:vAlign w:val="center"/>
          </w:tcPr>
          <w:p w14:paraId="1273C628" w14:textId="160DE373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149,3</w:t>
            </w:r>
          </w:p>
        </w:tc>
        <w:tc>
          <w:tcPr>
            <w:tcW w:w="501" w:type="pct"/>
            <w:vAlign w:val="center"/>
          </w:tcPr>
          <w:p w14:paraId="7E859C1B" w14:textId="1A51CD84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11,35</w:t>
            </w:r>
          </w:p>
        </w:tc>
        <w:tc>
          <w:tcPr>
            <w:tcW w:w="502" w:type="pct"/>
            <w:vAlign w:val="center"/>
          </w:tcPr>
          <w:p w14:paraId="66C2C51F" w14:textId="399209F3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128,1</w:t>
            </w:r>
          </w:p>
        </w:tc>
        <w:tc>
          <w:tcPr>
            <w:tcW w:w="501" w:type="pct"/>
            <w:vAlign w:val="center"/>
          </w:tcPr>
          <w:p w14:paraId="59112647" w14:textId="115C0D5E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4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385,5</w:t>
            </w:r>
          </w:p>
        </w:tc>
        <w:tc>
          <w:tcPr>
            <w:tcW w:w="502" w:type="pct"/>
            <w:vAlign w:val="center"/>
          </w:tcPr>
          <w:p w14:paraId="01F660D7" w14:textId="792F624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155,0</w:t>
            </w:r>
          </w:p>
        </w:tc>
        <w:tc>
          <w:tcPr>
            <w:tcW w:w="501" w:type="pct"/>
            <w:vAlign w:val="center"/>
          </w:tcPr>
          <w:p w14:paraId="63EDD2EC" w14:textId="69B3AD4D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853,8</w:t>
            </w:r>
          </w:p>
        </w:tc>
        <w:tc>
          <w:tcPr>
            <w:tcW w:w="500" w:type="pct"/>
            <w:vAlign w:val="center"/>
          </w:tcPr>
          <w:p w14:paraId="35C19821" w14:textId="7DA76880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122,9</w:t>
            </w:r>
          </w:p>
        </w:tc>
      </w:tr>
      <w:tr w:rsidR="00687DC1" w:rsidRPr="00687DC1" w14:paraId="41469363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76D9AFE2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0,22</w:t>
            </w:r>
          </w:p>
        </w:tc>
        <w:tc>
          <w:tcPr>
            <w:tcW w:w="502" w:type="pct"/>
            <w:vAlign w:val="center"/>
          </w:tcPr>
          <w:p w14:paraId="0432DA6B" w14:textId="19F30549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117,1</w:t>
            </w:r>
          </w:p>
        </w:tc>
        <w:tc>
          <w:tcPr>
            <w:tcW w:w="501" w:type="pct"/>
            <w:vAlign w:val="center"/>
          </w:tcPr>
          <w:p w14:paraId="2DF1E07D" w14:textId="093BB01D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0,24</w:t>
            </w:r>
          </w:p>
        </w:tc>
        <w:tc>
          <w:tcPr>
            <w:tcW w:w="502" w:type="pct"/>
            <w:vAlign w:val="center"/>
          </w:tcPr>
          <w:p w14:paraId="333DD5EE" w14:textId="547281B4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122,0</w:t>
            </w:r>
          </w:p>
        </w:tc>
        <w:tc>
          <w:tcPr>
            <w:tcW w:w="501" w:type="pct"/>
            <w:vAlign w:val="center"/>
          </w:tcPr>
          <w:p w14:paraId="6644DFFA" w14:textId="2E08DC31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112,8</w:t>
            </w:r>
          </w:p>
        </w:tc>
        <w:tc>
          <w:tcPr>
            <w:tcW w:w="502" w:type="pct"/>
            <w:vAlign w:val="center"/>
          </w:tcPr>
          <w:p w14:paraId="7B5175D3" w14:textId="3F73442E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130,1</w:t>
            </w:r>
          </w:p>
        </w:tc>
        <w:tc>
          <w:tcPr>
            <w:tcW w:w="501" w:type="pct"/>
            <w:vAlign w:val="center"/>
          </w:tcPr>
          <w:p w14:paraId="7F221117" w14:textId="07EAA4E7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100,3</w:t>
            </w:r>
          </w:p>
        </w:tc>
        <w:tc>
          <w:tcPr>
            <w:tcW w:w="500" w:type="pct"/>
            <w:vAlign w:val="center"/>
          </w:tcPr>
          <w:p w14:paraId="58F69FDB" w14:textId="1155F236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117,2</w:t>
            </w:r>
          </w:p>
        </w:tc>
      </w:tr>
      <w:tr w:rsidR="00687DC1" w:rsidRPr="00687DC1" w14:paraId="337655EE" w14:textId="77777777" w:rsidTr="00FB341E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114202" w:rsidRPr="00124A79" w:rsidRDefault="00114202" w:rsidP="00114202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06D79E9B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3,78</w:t>
            </w:r>
          </w:p>
        </w:tc>
        <w:tc>
          <w:tcPr>
            <w:tcW w:w="502" w:type="pct"/>
            <w:vAlign w:val="center"/>
          </w:tcPr>
          <w:p w14:paraId="6E000978" w14:textId="7EFBD872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Calibri"/>
                <w:color w:val="000000" w:themeColor="text1"/>
                <w:szCs w:val="19"/>
                <w:lang w:eastAsia="pl-PL"/>
              </w:rPr>
              <w:t>422,1</w:t>
            </w:r>
          </w:p>
        </w:tc>
        <w:tc>
          <w:tcPr>
            <w:tcW w:w="501" w:type="pct"/>
            <w:vAlign w:val="center"/>
          </w:tcPr>
          <w:p w14:paraId="12783D34" w14:textId="16A349FC" w:rsidR="00114202" w:rsidRPr="00B974D2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pacing w:val="-4"/>
                <w:szCs w:val="19"/>
              </w:rPr>
            </w:pPr>
            <w:r w:rsidRPr="00B974D2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5,78</w:t>
            </w:r>
          </w:p>
        </w:tc>
        <w:tc>
          <w:tcPr>
            <w:tcW w:w="502" w:type="pct"/>
            <w:vAlign w:val="center"/>
          </w:tcPr>
          <w:p w14:paraId="29D0AA11" w14:textId="76BBE7D8" w:rsidR="00114202" w:rsidRPr="00124A79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color w:val="000000" w:themeColor="text1"/>
                <w:szCs w:val="19"/>
              </w:rPr>
            </w:pPr>
            <w:r w:rsidRPr="00124A79">
              <w:rPr>
                <w:rFonts w:eastAsia="Times New Roman" w:cs="Arial"/>
                <w:color w:val="000000" w:themeColor="text1"/>
                <w:szCs w:val="19"/>
                <w:lang w:eastAsia="pl-PL"/>
              </w:rPr>
              <w:t>402,4</w:t>
            </w:r>
          </w:p>
        </w:tc>
        <w:tc>
          <w:tcPr>
            <w:tcW w:w="501" w:type="pct"/>
            <w:vAlign w:val="center"/>
          </w:tcPr>
          <w:p w14:paraId="45190E2A" w14:textId="13798DCB" w:rsidR="00114202" w:rsidRPr="00687DC1" w:rsidRDefault="00114202" w:rsidP="000353C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1</w:t>
            </w:r>
            <w:r w:rsidR="000353CD" w:rsidRPr="00687DC1">
              <w:rPr>
                <w:rFonts w:eastAsia="Times New Roman" w:cs="Arial"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szCs w:val="19"/>
                <w:lang w:eastAsia="pl-PL"/>
              </w:rPr>
              <w:t>656,8</w:t>
            </w:r>
          </w:p>
        </w:tc>
        <w:tc>
          <w:tcPr>
            <w:tcW w:w="502" w:type="pct"/>
            <w:vAlign w:val="center"/>
          </w:tcPr>
          <w:p w14:paraId="6D413FBD" w14:textId="3404D9D9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szCs w:val="19"/>
                <w:lang w:eastAsia="pl-PL"/>
              </w:rPr>
              <w:t>518,7</w:t>
            </w:r>
          </w:p>
        </w:tc>
        <w:tc>
          <w:tcPr>
            <w:tcW w:w="501" w:type="pct"/>
            <w:vAlign w:val="center"/>
          </w:tcPr>
          <w:p w14:paraId="7B3737BB" w14:textId="2D0C5431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</w:t>
            </w:r>
            <w:r w:rsidR="000353CD" w:rsidRPr="00687DC1">
              <w:rPr>
                <w:rFonts w:eastAsia="Times New Roman" w:cs="Arial"/>
                <w:bCs/>
                <w:szCs w:val="19"/>
                <w:lang w:eastAsia="pl-PL"/>
              </w:rPr>
              <w:t xml:space="preserve"> </w:t>
            </w: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284,5</w:t>
            </w:r>
          </w:p>
        </w:tc>
        <w:tc>
          <w:tcPr>
            <w:tcW w:w="500" w:type="pct"/>
            <w:vAlign w:val="center"/>
          </w:tcPr>
          <w:p w14:paraId="10620DBA" w14:textId="2838309F" w:rsidR="00114202" w:rsidRPr="00687DC1" w:rsidRDefault="00114202" w:rsidP="00114202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687DC1">
              <w:rPr>
                <w:rFonts w:eastAsia="Times New Roman" w:cs="Arial"/>
                <w:bCs/>
                <w:szCs w:val="19"/>
                <w:lang w:eastAsia="pl-PL"/>
              </w:rPr>
              <w:t>417,6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3D82F28F" w:rsidR="006D6263" w:rsidRPr="00687DC1" w:rsidRDefault="006D6263" w:rsidP="007755F8">
      <w:pPr>
        <w:spacing w:before="200" w:line="288" w:lineRule="auto"/>
        <w:rPr>
          <w:szCs w:val="19"/>
        </w:rPr>
      </w:pPr>
      <w:r w:rsidRPr="00687DC1">
        <w:rPr>
          <w:szCs w:val="19"/>
        </w:rPr>
        <w:t>Zróżnicowanie wydatków, w tym także pod względem struktury asortymentowej, występowało wśród przekraczając</w:t>
      </w:r>
      <w:r w:rsidR="00CE7FE5" w:rsidRPr="00687DC1">
        <w:rPr>
          <w:szCs w:val="19"/>
        </w:rPr>
        <w:t>ych poszczególne odcinki granic</w:t>
      </w:r>
      <w:r w:rsidRPr="00687DC1">
        <w:rPr>
          <w:szCs w:val="19"/>
        </w:rPr>
        <w:t xml:space="preserve"> cudzoziemców </w:t>
      </w:r>
      <w:r w:rsidR="00751355" w:rsidRPr="00687DC1">
        <w:rPr>
          <w:szCs w:val="19"/>
        </w:rPr>
        <w:t>oraz</w:t>
      </w:r>
      <w:r w:rsidRPr="00687DC1">
        <w:rPr>
          <w:szCs w:val="19"/>
        </w:rPr>
        <w:t xml:space="preserve"> Polaków. Związane jest to m.in. ze sposobem podróżowania, celem podróży, długością pobytu czy też opłacalnością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dokonywania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zakupów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za</w:t>
      </w:r>
      <w:r w:rsidR="00687DC1">
        <w:rPr>
          <w:szCs w:val="19"/>
        </w:rPr>
        <w:t xml:space="preserve"> </w:t>
      </w:r>
      <w:r w:rsidRPr="00687DC1">
        <w:rPr>
          <w:szCs w:val="19"/>
        </w:rPr>
        <w:t>granicą.</w:t>
      </w:r>
    </w:p>
    <w:p w14:paraId="105A0A6A" w14:textId="2A981399" w:rsidR="008F56E0" w:rsidRPr="00BD0901" w:rsidRDefault="00C864B3" w:rsidP="008A714D">
      <w:pPr>
        <w:spacing w:line="288" w:lineRule="auto"/>
        <w:rPr>
          <w:spacing w:val="-5"/>
          <w:szCs w:val="19"/>
        </w:rPr>
      </w:pPr>
      <w:r w:rsidRPr="00BD0901">
        <w:rPr>
          <w:spacing w:val="-5"/>
        </w:rPr>
        <w:t xml:space="preserve">W </w:t>
      </w:r>
      <w:r w:rsidR="00E74244" w:rsidRPr="00BD0901">
        <w:rPr>
          <w:spacing w:val="-5"/>
        </w:rPr>
        <w:t>2</w:t>
      </w:r>
      <w:r w:rsidR="008F56E0" w:rsidRPr="00BD0901">
        <w:rPr>
          <w:spacing w:val="-5"/>
        </w:rPr>
        <w:t xml:space="preserve"> kwartale 202</w:t>
      </w:r>
      <w:r w:rsidR="00C638E5" w:rsidRPr="00BD0901">
        <w:rPr>
          <w:spacing w:val="-5"/>
        </w:rPr>
        <w:t>2</w:t>
      </w:r>
      <w:r w:rsidR="00BD0901">
        <w:rPr>
          <w:spacing w:val="-5"/>
        </w:rPr>
        <w:t xml:space="preserve"> </w:t>
      </w:r>
      <w:r w:rsidR="008F56E0" w:rsidRPr="00BD0901">
        <w:rPr>
          <w:spacing w:val="-5"/>
        </w:rPr>
        <w:t xml:space="preserve">r. </w:t>
      </w:r>
      <w:r w:rsidR="00CF6E76" w:rsidRPr="00BD0901">
        <w:rPr>
          <w:spacing w:val="-5"/>
        </w:rPr>
        <w:t>w</w:t>
      </w:r>
      <w:r w:rsidR="00BD0901">
        <w:rPr>
          <w:spacing w:val="-5"/>
        </w:rPr>
        <w:t xml:space="preserve"> </w:t>
      </w:r>
      <w:r w:rsidR="00CF6E76" w:rsidRPr="00BD0901">
        <w:rPr>
          <w:spacing w:val="-5"/>
        </w:rPr>
        <w:t xml:space="preserve">ramach małego ruchu granicznego (MRG) </w:t>
      </w:r>
      <w:r w:rsidR="008F56E0" w:rsidRPr="00BD0901">
        <w:rPr>
          <w:spacing w:val="-5"/>
        </w:rPr>
        <w:t xml:space="preserve">odnotowano </w:t>
      </w:r>
      <w:r w:rsidR="00F76275" w:rsidRPr="00BD0901">
        <w:rPr>
          <w:spacing w:val="-5"/>
        </w:rPr>
        <w:t>1</w:t>
      </w:r>
      <w:r w:rsidR="00BD0901" w:rsidRPr="00BD0901">
        <w:rPr>
          <w:spacing w:val="-5"/>
        </w:rPr>
        <w:t>11,9</w:t>
      </w:r>
      <w:r w:rsidR="00095922" w:rsidRPr="00BD0901">
        <w:rPr>
          <w:spacing w:val="-5"/>
        </w:rPr>
        <w:t xml:space="preserve"> tys.</w:t>
      </w:r>
      <w:r w:rsidR="00613882" w:rsidRPr="00BD0901">
        <w:rPr>
          <w:spacing w:val="-5"/>
        </w:rPr>
        <w:t xml:space="preserve"> przekrocze</w:t>
      </w:r>
      <w:r w:rsidR="00095922" w:rsidRPr="00BD0901">
        <w:rPr>
          <w:spacing w:val="-5"/>
        </w:rPr>
        <w:t>ń</w:t>
      </w:r>
      <w:r w:rsidR="00613882" w:rsidRPr="00BD0901">
        <w:rPr>
          <w:spacing w:val="-5"/>
        </w:rPr>
        <w:t xml:space="preserve"> przez cudzoziemców</w:t>
      </w:r>
      <w:r w:rsidR="008F56E0" w:rsidRPr="00BD0901">
        <w:rPr>
          <w:spacing w:val="-5"/>
        </w:rPr>
        <w:t xml:space="preserve"> </w:t>
      </w:r>
      <w:r w:rsidR="00BC267D" w:rsidRPr="00BD0901">
        <w:rPr>
          <w:spacing w:val="-5"/>
        </w:rPr>
        <w:t xml:space="preserve">granicy </w:t>
      </w:r>
      <w:r w:rsidR="00742D4B" w:rsidRPr="00BD0901">
        <w:rPr>
          <w:spacing w:val="-5"/>
        </w:rPr>
        <w:t xml:space="preserve">Polski </w:t>
      </w:r>
      <w:r w:rsidR="00BC267D" w:rsidRPr="00BD0901">
        <w:rPr>
          <w:spacing w:val="-5"/>
        </w:rPr>
        <w:t>z</w:t>
      </w:r>
      <w:r w:rsidR="00BD0901">
        <w:rPr>
          <w:spacing w:val="-5"/>
        </w:rPr>
        <w:t xml:space="preserve"> </w:t>
      </w:r>
      <w:r w:rsidR="00BC267D" w:rsidRPr="00BD0901">
        <w:rPr>
          <w:spacing w:val="-5"/>
        </w:rPr>
        <w:t>Ukrainą</w:t>
      </w:r>
      <w:r w:rsidR="00910FCF" w:rsidRPr="00BD0901">
        <w:rPr>
          <w:spacing w:val="-5"/>
        </w:rPr>
        <w:t>.</w:t>
      </w:r>
      <w:r w:rsidR="008F56E0" w:rsidRPr="00BD0901">
        <w:rPr>
          <w:spacing w:val="-5"/>
        </w:rPr>
        <w:t xml:space="preserve"> </w:t>
      </w:r>
      <w:r w:rsidR="00910FCF" w:rsidRPr="00BD0901">
        <w:rPr>
          <w:spacing w:val="-5"/>
        </w:rPr>
        <w:t>W analogicznym okresie poprzedniego roku odnotowano</w:t>
      </w:r>
      <w:r w:rsidR="00613882" w:rsidRPr="00BD0901">
        <w:rPr>
          <w:spacing w:val="-5"/>
        </w:rPr>
        <w:t xml:space="preserve"> </w:t>
      </w:r>
      <w:r w:rsidR="00BD0901" w:rsidRPr="00BD0901">
        <w:rPr>
          <w:spacing w:val="-5"/>
        </w:rPr>
        <w:t>2</w:t>
      </w:r>
      <w:r w:rsidR="008F56E0" w:rsidRPr="00BD0901">
        <w:rPr>
          <w:spacing w:val="-5"/>
        </w:rPr>
        <w:t xml:space="preserve"> przekrocze</w:t>
      </w:r>
      <w:r w:rsidR="00A91DA4" w:rsidRPr="00BD0901">
        <w:rPr>
          <w:spacing w:val="-5"/>
        </w:rPr>
        <w:t>ni</w:t>
      </w:r>
      <w:r w:rsidR="00BD0901" w:rsidRPr="00BD0901">
        <w:rPr>
          <w:spacing w:val="-5"/>
        </w:rPr>
        <w:t>a</w:t>
      </w:r>
      <w:r w:rsidR="00910FCF" w:rsidRPr="00BD0901">
        <w:rPr>
          <w:spacing w:val="-5"/>
        </w:rPr>
        <w:t>, a</w:t>
      </w:r>
      <w:r w:rsidR="003C14B4" w:rsidRPr="00BD0901">
        <w:rPr>
          <w:spacing w:val="-5"/>
        </w:rPr>
        <w:t xml:space="preserve"> </w:t>
      </w:r>
      <w:r w:rsidR="00910FCF" w:rsidRPr="00BD0901">
        <w:rPr>
          <w:spacing w:val="-5"/>
        </w:rPr>
        <w:t xml:space="preserve">w </w:t>
      </w:r>
      <w:r w:rsidR="00BD0901">
        <w:rPr>
          <w:spacing w:val="-5"/>
        </w:rPr>
        <w:t>1</w:t>
      </w:r>
      <w:r w:rsidR="00910FCF" w:rsidRPr="00BD0901">
        <w:rPr>
          <w:spacing w:val="-5"/>
        </w:rPr>
        <w:t xml:space="preserve"> kwartale 202</w:t>
      </w:r>
      <w:r w:rsidR="00BD0901" w:rsidRPr="00BD0901">
        <w:rPr>
          <w:spacing w:val="-5"/>
        </w:rPr>
        <w:t>2</w:t>
      </w:r>
      <w:r w:rsidR="00910FCF" w:rsidRPr="00BD0901">
        <w:rPr>
          <w:spacing w:val="-5"/>
        </w:rPr>
        <w:t xml:space="preserve"> r. </w:t>
      </w:r>
      <w:r w:rsidR="00912C7C" w:rsidRPr="00BD0901">
        <w:rPr>
          <w:spacing w:val="-5"/>
        </w:rPr>
        <w:t xml:space="preserve">– </w:t>
      </w:r>
      <w:r w:rsidR="00A91DA4" w:rsidRPr="00BD0901">
        <w:rPr>
          <w:spacing w:val="-5"/>
        </w:rPr>
        <w:t>1</w:t>
      </w:r>
      <w:r w:rsidR="00BD0901" w:rsidRPr="00BD0901">
        <w:rPr>
          <w:spacing w:val="-5"/>
        </w:rPr>
        <w:t>07,2</w:t>
      </w:r>
      <w:r w:rsidR="00A91DA4" w:rsidRPr="00BD0901">
        <w:rPr>
          <w:spacing w:val="-5"/>
        </w:rPr>
        <w:t xml:space="preserve"> </w:t>
      </w:r>
      <w:r w:rsidR="00910FCF" w:rsidRPr="00BD0901">
        <w:rPr>
          <w:spacing w:val="-5"/>
        </w:rPr>
        <w:t>tys.</w:t>
      </w:r>
      <w:r w:rsidRPr="00BD0901">
        <w:rPr>
          <w:spacing w:val="-5"/>
        </w:rPr>
        <w:t xml:space="preserve"> </w:t>
      </w:r>
      <w:r w:rsidR="00AE2B67" w:rsidRPr="00BD0901">
        <w:rPr>
          <w:spacing w:val="-5"/>
        </w:rPr>
        <w:t>Wartość wydatków</w:t>
      </w:r>
      <w:r w:rsidR="003C14B4" w:rsidRPr="00BD0901">
        <w:rPr>
          <w:spacing w:val="-5"/>
        </w:rPr>
        <w:t xml:space="preserve"> </w:t>
      </w:r>
      <w:r w:rsidR="00AE2B67" w:rsidRPr="00BD0901">
        <w:rPr>
          <w:spacing w:val="-5"/>
        </w:rPr>
        <w:t>poniesionych</w:t>
      </w:r>
      <w:r w:rsidR="003C14B4" w:rsidRPr="00BD0901">
        <w:rPr>
          <w:spacing w:val="-5"/>
        </w:rPr>
        <w:t xml:space="preserve"> przez cudzoziemców </w:t>
      </w:r>
      <w:r w:rsidR="00910FCF" w:rsidRPr="00BD0901">
        <w:rPr>
          <w:spacing w:val="-5"/>
        </w:rPr>
        <w:t xml:space="preserve">w </w:t>
      </w:r>
      <w:r w:rsidR="00BD0901" w:rsidRPr="00BD0901">
        <w:rPr>
          <w:spacing w:val="-5"/>
        </w:rPr>
        <w:t>2</w:t>
      </w:r>
      <w:r w:rsidR="00910FCF" w:rsidRPr="00BD0901">
        <w:rPr>
          <w:spacing w:val="-5"/>
        </w:rPr>
        <w:t xml:space="preserve"> kwartale 202</w:t>
      </w:r>
      <w:r w:rsidR="0046689A" w:rsidRPr="00BD0901">
        <w:rPr>
          <w:spacing w:val="-5"/>
        </w:rPr>
        <w:t>2</w:t>
      </w:r>
      <w:r w:rsidR="00910FCF" w:rsidRPr="00BD0901">
        <w:rPr>
          <w:spacing w:val="-5"/>
        </w:rPr>
        <w:t xml:space="preserve"> r., </w:t>
      </w:r>
      <w:r w:rsidR="003C14B4" w:rsidRPr="00BD0901">
        <w:rPr>
          <w:spacing w:val="-5"/>
        </w:rPr>
        <w:t>przekraczających granicę w ramach MRG</w:t>
      </w:r>
      <w:r w:rsidR="00910FCF" w:rsidRPr="00BD0901">
        <w:rPr>
          <w:spacing w:val="-5"/>
        </w:rPr>
        <w:t>,</w:t>
      </w:r>
      <w:r w:rsidR="003C14B4" w:rsidRPr="00BD0901">
        <w:rPr>
          <w:spacing w:val="-5"/>
        </w:rPr>
        <w:t xml:space="preserve"> wyniosł</w:t>
      </w:r>
      <w:r w:rsidR="00AE2B67" w:rsidRPr="00BD0901">
        <w:rPr>
          <w:spacing w:val="-5"/>
        </w:rPr>
        <w:t>a</w:t>
      </w:r>
      <w:r w:rsidR="003C14B4" w:rsidRPr="00BD0901">
        <w:rPr>
          <w:spacing w:val="-5"/>
        </w:rPr>
        <w:t xml:space="preserve"> </w:t>
      </w:r>
      <w:r w:rsidR="00BD0901" w:rsidRPr="00BD0901">
        <w:rPr>
          <w:spacing w:val="-5"/>
        </w:rPr>
        <w:t>42,6</w:t>
      </w:r>
      <w:r w:rsidR="003C14B4" w:rsidRPr="00BD0901">
        <w:rPr>
          <w:spacing w:val="-5"/>
        </w:rPr>
        <w:t xml:space="preserve"> mln zł.</w:t>
      </w:r>
    </w:p>
    <w:p w14:paraId="5D1FF927" w14:textId="11B917E9" w:rsidR="00517FFA" w:rsidRPr="007D21D0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7D21D0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7D21D0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2001631E" w:rsidR="00517FFA" w:rsidRPr="00687DC1" w:rsidRDefault="00BA75AD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BA75AD">
        <w:rPr>
          <w:noProof/>
        </w:rPr>
        <w:drawing>
          <wp:inline distT="0" distB="0" distL="0" distR="0" wp14:anchorId="21A8821C" wp14:editId="28C77932">
            <wp:extent cx="4741114" cy="2052000"/>
            <wp:effectExtent l="0" t="0" r="2540" b="5715"/>
            <wp:docPr id="20" name="Obraz 20" descr="Wykres 3. Wartości wydatków i wielkość ruchu granicznego cudzoziemców w ramach małego ruchu granicznego na granicy polsko-ukraińskiej w poszczególnych kwartałach lat od 2010 roku do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11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6B1E0F9" w:rsidR="00DD6214" w:rsidRPr="00510671" w:rsidRDefault="002B0A96" w:rsidP="00EA0CAA">
      <w:pPr>
        <w:spacing w:before="360" w:line="240" w:lineRule="auto"/>
        <w:rPr>
          <w:b/>
        </w:rPr>
      </w:pPr>
      <w:r w:rsidRPr="009E35D2">
        <w:rPr>
          <w:b/>
          <w:color w:val="FF0000"/>
        </w:rPr>
        <w:br w:type="column"/>
      </w:r>
      <w:r w:rsidR="00DD6214" w:rsidRPr="00D51F0F">
        <w:rPr>
          <w:b/>
          <w:color w:val="001D77"/>
        </w:rPr>
        <w:lastRenderedPageBreak/>
        <w:t>Delimitacja obszaru oddziaływania granicy</w:t>
      </w:r>
      <w:r w:rsidR="00766D64" w:rsidRPr="00D51F0F">
        <w:rPr>
          <w:b/>
          <w:color w:val="001D77"/>
        </w:rPr>
        <w:t xml:space="preserve"> lądowej</w:t>
      </w:r>
    </w:p>
    <w:p w14:paraId="1D5BE8B9" w14:textId="1F69E6DD" w:rsidR="008A697D" w:rsidRPr="00510671" w:rsidRDefault="00323A92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510671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510671">
        <w:rPr>
          <w:rFonts w:ascii="Fira Sans" w:hAnsi="Fira Sans"/>
          <w:spacing w:val="-2"/>
          <w:sz w:val="19"/>
          <w:szCs w:val="19"/>
        </w:rPr>
        <w:t xml:space="preserve">w </w:t>
      </w:r>
      <w:r w:rsidR="00654372" w:rsidRPr="00510671">
        <w:rPr>
          <w:rFonts w:ascii="Fira Sans" w:hAnsi="Fira Sans"/>
          <w:spacing w:val="-2"/>
          <w:sz w:val="19"/>
          <w:szCs w:val="19"/>
        </w:rPr>
        <w:t>2</w:t>
      </w:r>
      <w:r w:rsidR="00EE51F0" w:rsidRPr="00510671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DB0763" w:rsidRPr="00510671">
        <w:rPr>
          <w:rFonts w:ascii="Fira Sans" w:hAnsi="Fira Sans"/>
          <w:spacing w:val="-2"/>
          <w:sz w:val="19"/>
          <w:szCs w:val="19"/>
        </w:rPr>
        <w:t>2</w:t>
      </w:r>
      <w:r w:rsidR="008A697D" w:rsidRPr="00510671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510671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510671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510671">
        <w:rPr>
          <w:rFonts w:ascii="Fira Sans" w:hAnsi="Fira Sans"/>
          <w:spacing w:val="-2"/>
          <w:sz w:val="19"/>
          <w:szCs w:val="19"/>
        </w:rPr>
        <w:t xml:space="preserve"> </w:t>
      </w:r>
      <w:r w:rsidR="00654372" w:rsidRPr="00510671">
        <w:rPr>
          <w:rFonts w:ascii="Fira Sans" w:hAnsi="Fira Sans"/>
          <w:spacing w:val="-2"/>
          <w:sz w:val="19"/>
          <w:szCs w:val="19"/>
        </w:rPr>
        <w:t>71</w:t>
      </w:r>
      <w:r w:rsidR="008036CC" w:rsidRPr="00510671">
        <w:rPr>
          <w:rFonts w:ascii="Fira Sans" w:hAnsi="Fira Sans"/>
          <w:spacing w:val="-2"/>
          <w:sz w:val="19"/>
          <w:szCs w:val="19"/>
        </w:rPr>
        <w:t>,</w:t>
      </w:r>
      <w:r w:rsidR="00DB0763" w:rsidRPr="00510671">
        <w:rPr>
          <w:rFonts w:ascii="Fira Sans" w:hAnsi="Fira Sans"/>
          <w:spacing w:val="-2"/>
          <w:sz w:val="19"/>
          <w:szCs w:val="19"/>
        </w:rPr>
        <w:t>2</w:t>
      </w:r>
      <w:r w:rsidR="008A697D" w:rsidRPr="0051067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510671">
        <w:rPr>
          <w:rFonts w:ascii="Fira Sans" w:hAnsi="Fira Sans"/>
          <w:spacing w:val="-2"/>
          <w:sz w:val="19"/>
          <w:szCs w:val="19"/>
        </w:rPr>
        <w:t>7</w:t>
      </w:r>
      <w:r w:rsidR="00DB0763" w:rsidRPr="00510671">
        <w:rPr>
          <w:rFonts w:ascii="Fira Sans" w:hAnsi="Fira Sans"/>
          <w:spacing w:val="-2"/>
          <w:sz w:val="19"/>
          <w:szCs w:val="19"/>
        </w:rPr>
        <w:t>3,</w:t>
      </w:r>
      <w:r w:rsidR="00654372" w:rsidRPr="00510671">
        <w:rPr>
          <w:rFonts w:ascii="Fira Sans" w:hAnsi="Fira Sans"/>
          <w:spacing w:val="-2"/>
          <w:sz w:val="19"/>
          <w:szCs w:val="19"/>
        </w:rPr>
        <w:t>0</w:t>
      </w:r>
      <w:r w:rsidR="008A697D" w:rsidRPr="00510671">
        <w:rPr>
          <w:rFonts w:ascii="Fira Sans" w:hAnsi="Fira Sans"/>
          <w:spacing w:val="-2"/>
          <w:sz w:val="19"/>
          <w:szCs w:val="19"/>
        </w:rPr>
        <w:t xml:space="preserve">% Polaków, </w:t>
      </w:r>
      <w:r w:rsidR="005A2CD9">
        <w:rPr>
          <w:rFonts w:ascii="Fira Sans" w:hAnsi="Fira Sans"/>
          <w:spacing w:val="-2"/>
          <w:sz w:val="19"/>
          <w:szCs w:val="19"/>
        </w:rPr>
        <w:t>w tym</w:t>
      </w:r>
      <w:r w:rsidR="00CF70C1" w:rsidRPr="00510671">
        <w:rPr>
          <w:rFonts w:ascii="Fira Sans" w:hAnsi="Fira Sans"/>
          <w:spacing w:val="-2"/>
          <w:sz w:val="19"/>
          <w:szCs w:val="19"/>
        </w:rPr>
        <w:t xml:space="preserve"> </w:t>
      </w:r>
      <w:r w:rsidR="00654372" w:rsidRPr="00510671">
        <w:rPr>
          <w:rFonts w:ascii="Fira Sans" w:hAnsi="Fira Sans"/>
          <w:spacing w:val="-2"/>
          <w:sz w:val="19"/>
          <w:szCs w:val="19"/>
        </w:rPr>
        <w:t>53,7</w:t>
      </w:r>
      <w:r w:rsidR="008A697D" w:rsidRPr="00510671">
        <w:rPr>
          <w:rFonts w:ascii="Fira Sans" w:hAnsi="Fira Sans"/>
          <w:spacing w:val="-2"/>
          <w:sz w:val="19"/>
          <w:szCs w:val="19"/>
        </w:rPr>
        <w:t>% cudzoziemców i</w:t>
      </w:r>
      <w:r w:rsidR="005A2CD9">
        <w:rPr>
          <w:rFonts w:ascii="Fira Sans" w:hAnsi="Fira Sans"/>
          <w:spacing w:val="-2"/>
          <w:sz w:val="19"/>
          <w:szCs w:val="19"/>
        </w:rPr>
        <w:t> </w:t>
      </w:r>
      <w:r w:rsidR="00510671" w:rsidRPr="00510671">
        <w:rPr>
          <w:rFonts w:ascii="Fira Sans" w:hAnsi="Fira Sans"/>
          <w:spacing w:val="-2"/>
          <w:sz w:val="19"/>
          <w:szCs w:val="19"/>
        </w:rPr>
        <w:t>59,5</w:t>
      </w:r>
      <w:r w:rsidR="008A697D" w:rsidRPr="00510671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3E740F12" w:rsidR="008A697D" w:rsidRPr="00510671" w:rsidRDefault="0065792B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6D435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D435A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6D435A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6D435A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6D435A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6D435A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6D435A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ziemców w </w:t>
      </w:r>
      <w:r w:rsidR="006D435A" w:rsidRPr="006D435A">
        <w:rPr>
          <w:rFonts w:eastAsia="Times New Roman" w:cs="Arial"/>
          <w:b/>
          <w:szCs w:val="19"/>
          <w:lang w:eastAsia="pl-PL"/>
        </w:rPr>
        <w:t>2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6D435A">
        <w:rPr>
          <w:rFonts w:eastAsia="Times New Roman" w:cs="Arial"/>
          <w:b/>
          <w:szCs w:val="19"/>
          <w:lang w:eastAsia="pl-PL"/>
        </w:rPr>
        <w:t>2</w:t>
      </w:r>
      <w:r w:rsidR="003719B9" w:rsidRPr="006D435A">
        <w:rPr>
          <w:rFonts w:eastAsia="Times New Roman" w:cs="Arial"/>
          <w:b/>
          <w:szCs w:val="19"/>
          <w:lang w:eastAsia="pl-PL"/>
        </w:rPr>
        <w:t>2</w:t>
      </w:r>
      <w:r w:rsidR="00AD491B" w:rsidRPr="006D435A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2666E600" w:rsidR="003B197A" w:rsidRPr="00510671" w:rsidRDefault="00E05651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E05651">
        <w:rPr>
          <w:noProof/>
        </w:rPr>
        <w:drawing>
          <wp:inline distT="0" distB="0" distL="0" distR="0" wp14:anchorId="6A5234E0" wp14:editId="0AAA2E34">
            <wp:extent cx="4514850" cy="2838450"/>
            <wp:effectExtent l="0" t="0" r="0" b="0"/>
            <wp:docPr id="6" name="Obraz 6" descr="Mapa 2. Struktura odległości od granicy miejsca zamieszkania i miejsca dokonywania zakupów przez cudzoziemców w 2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38BFBADA" w:rsidR="008A697D" w:rsidRPr="00510671" w:rsidRDefault="008A697D" w:rsidP="00863646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510671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510671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654372" w:rsidRPr="00510671">
        <w:rPr>
          <w:rFonts w:eastAsia="Times New Roman" w:cs="Times New Roman"/>
          <w:szCs w:val="19"/>
          <w:lang w:eastAsia="pl-PL"/>
        </w:rPr>
        <w:t>52,4</w:t>
      </w:r>
      <w:r w:rsidRPr="00510671">
        <w:rPr>
          <w:rFonts w:eastAsia="Times New Roman" w:cs="Times New Roman"/>
          <w:szCs w:val="19"/>
          <w:lang w:eastAsia="pl-PL"/>
        </w:rPr>
        <w:t xml:space="preserve">% cudzoziemców oraz </w:t>
      </w:r>
      <w:r w:rsidR="00510671" w:rsidRPr="00510671">
        <w:rPr>
          <w:rFonts w:eastAsia="Times New Roman" w:cs="Times New Roman"/>
          <w:szCs w:val="19"/>
          <w:lang w:eastAsia="pl-PL"/>
        </w:rPr>
        <w:t>67,7</w:t>
      </w:r>
      <w:r w:rsidRPr="00510671">
        <w:rPr>
          <w:rFonts w:eastAsia="Times New Roman" w:cs="Times New Roman"/>
          <w:szCs w:val="19"/>
          <w:lang w:eastAsia="pl-PL"/>
        </w:rPr>
        <w:t>%</w:t>
      </w:r>
      <w:r w:rsidR="00CA2117" w:rsidRPr="00510671">
        <w:rPr>
          <w:rFonts w:eastAsia="Times New Roman" w:cs="Times New Roman"/>
          <w:szCs w:val="19"/>
          <w:lang w:eastAsia="pl-PL"/>
        </w:rPr>
        <w:br/>
      </w:r>
      <w:r w:rsidRPr="00510671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510671">
        <w:rPr>
          <w:rFonts w:eastAsia="Times New Roman" w:cs="Times New Roman"/>
          <w:szCs w:val="19"/>
          <w:lang w:eastAsia="pl-PL"/>
        </w:rPr>
        <w:t>o</w:t>
      </w:r>
      <w:r w:rsidRPr="00510671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510671">
          <w:rPr>
            <w:rFonts w:eastAsia="Times New Roman" w:cs="Times New Roman"/>
            <w:szCs w:val="19"/>
            <w:lang w:eastAsia="pl-PL"/>
          </w:rPr>
          <w:t>50 km</w:t>
        </w:r>
      </w:smartTag>
      <w:r w:rsidRPr="00510671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510671">
        <w:rPr>
          <w:rFonts w:eastAsia="Times New Roman" w:cs="Times New Roman"/>
          <w:szCs w:val="19"/>
          <w:lang w:eastAsia="pl-PL"/>
        </w:rPr>
        <w:t>znej granicy UE</w:t>
      </w:r>
      <w:r w:rsidR="00555D50" w:rsidRPr="00510671">
        <w:rPr>
          <w:rFonts w:eastAsia="Times New Roman" w:cs="Times New Roman"/>
          <w:szCs w:val="19"/>
          <w:lang w:eastAsia="pl-PL"/>
        </w:rPr>
        <w:t xml:space="preserve"> odpowiednio </w:t>
      </w:r>
      <w:r w:rsidR="008036CC" w:rsidRPr="00510671">
        <w:rPr>
          <w:rFonts w:eastAsia="Times New Roman" w:cs="Times New Roman"/>
          <w:szCs w:val="19"/>
          <w:lang w:eastAsia="pl-PL"/>
        </w:rPr>
        <w:t>7</w:t>
      </w:r>
      <w:r w:rsidR="00654372" w:rsidRPr="00510671">
        <w:rPr>
          <w:rFonts w:eastAsia="Times New Roman" w:cs="Times New Roman"/>
          <w:szCs w:val="19"/>
          <w:lang w:eastAsia="pl-PL"/>
        </w:rPr>
        <w:t>4,0</w:t>
      </w:r>
      <w:r w:rsidRPr="00510671">
        <w:rPr>
          <w:rFonts w:eastAsia="Times New Roman" w:cs="Times New Roman"/>
          <w:szCs w:val="19"/>
          <w:lang w:eastAsia="pl-PL"/>
        </w:rPr>
        <w:t xml:space="preserve">% i </w:t>
      </w:r>
      <w:r w:rsidR="00C54B64" w:rsidRPr="00510671">
        <w:rPr>
          <w:rFonts w:eastAsia="Times New Roman" w:cs="Times New Roman"/>
          <w:szCs w:val="19"/>
          <w:lang w:eastAsia="pl-PL"/>
        </w:rPr>
        <w:t>7</w:t>
      </w:r>
      <w:r w:rsidR="00DB0763" w:rsidRPr="00510671">
        <w:rPr>
          <w:rFonts w:eastAsia="Times New Roman" w:cs="Times New Roman"/>
          <w:szCs w:val="19"/>
          <w:lang w:eastAsia="pl-PL"/>
        </w:rPr>
        <w:t>3,1</w:t>
      </w:r>
      <w:r w:rsidRPr="00510671">
        <w:rPr>
          <w:rFonts w:eastAsia="Times New Roman" w:cs="Times New Roman"/>
          <w:szCs w:val="19"/>
          <w:lang w:eastAsia="pl-PL"/>
        </w:rPr>
        <w:t>%.</w:t>
      </w:r>
    </w:p>
    <w:p w14:paraId="50E3B222" w14:textId="54A1DC9F" w:rsidR="008A697D" w:rsidRPr="00510671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370FC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370FC0">
        <w:rPr>
          <w:rFonts w:eastAsia="Times New Roman" w:cs="Arial"/>
          <w:b/>
          <w:szCs w:val="19"/>
          <w:lang w:eastAsia="pl-PL"/>
        </w:rPr>
        <w:t>Mapa </w:t>
      </w:r>
      <w:r w:rsidR="00D357A3" w:rsidRPr="00370FC0">
        <w:rPr>
          <w:rFonts w:eastAsia="Times New Roman" w:cs="Arial"/>
          <w:b/>
          <w:szCs w:val="19"/>
          <w:lang w:eastAsia="pl-PL"/>
        </w:rPr>
        <w:t>3</w:t>
      </w:r>
      <w:r w:rsidR="008A697D" w:rsidRPr="00370FC0">
        <w:rPr>
          <w:rFonts w:eastAsia="Times New Roman" w:cs="Arial"/>
          <w:b/>
          <w:szCs w:val="19"/>
          <w:lang w:eastAsia="pl-PL"/>
        </w:rPr>
        <w:t>. </w:t>
      </w:r>
      <w:r w:rsidR="00AD491B" w:rsidRPr="00370FC0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370FC0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370FC0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370FC0">
        <w:rPr>
          <w:rFonts w:eastAsia="Times New Roman" w:cs="Arial"/>
          <w:b/>
          <w:szCs w:val="19"/>
          <w:lang w:eastAsia="pl-PL"/>
        </w:rPr>
        <w:br/>
      </w:r>
      <w:r w:rsidR="002F77F7" w:rsidRPr="00370FC0">
        <w:rPr>
          <w:rFonts w:eastAsia="Times New Roman" w:cs="Arial"/>
          <w:b/>
          <w:szCs w:val="19"/>
          <w:lang w:eastAsia="pl-PL"/>
        </w:rPr>
        <w:t xml:space="preserve">Polaków w </w:t>
      </w:r>
      <w:r w:rsidR="00370FC0" w:rsidRPr="00370FC0">
        <w:rPr>
          <w:rFonts w:eastAsia="Times New Roman" w:cs="Arial"/>
          <w:b/>
          <w:szCs w:val="19"/>
          <w:lang w:eastAsia="pl-PL"/>
        </w:rPr>
        <w:t>2</w:t>
      </w:r>
      <w:r w:rsidR="00AD491B" w:rsidRPr="00370FC0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370FC0">
        <w:rPr>
          <w:rFonts w:eastAsia="Times New Roman" w:cs="Arial"/>
          <w:b/>
          <w:szCs w:val="19"/>
          <w:lang w:eastAsia="pl-PL"/>
        </w:rPr>
        <w:t>2</w:t>
      </w:r>
      <w:r w:rsidR="003719B9" w:rsidRPr="00370FC0">
        <w:rPr>
          <w:rFonts w:eastAsia="Times New Roman" w:cs="Arial"/>
          <w:b/>
          <w:szCs w:val="19"/>
          <w:lang w:eastAsia="pl-PL"/>
        </w:rPr>
        <w:t>2</w:t>
      </w:r>
      <w:r w:rsidR="00AD491B" w:rsidRPr="00370FC0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57F9C11E" w:rsidR="008A697D" w:rsidRPr="00510671" w:rsidRDefault="002537D7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2537D7">
        <w:rPr>
          <w:noProof/>
        </w:rPr>
        <w:drawing>
          <wp:inline distT="0" distB="0" distL="0" distR="0" wp14:anchorId="2880F3EF" wp14:editId="6C6F2DC2">
            <wp:extent cx="4594154" cy="2898000"/>
            <wp:effectExtent l="0" t="0" r="0" b="0"/>
            <wp:docPr id="16" name="Obraz 16" descr="Mapa 3. Struktura odległości od granicy miejsca zamieszkania i miejsca dokonywania zakupów przez Polaków w 2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54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262441F7" w:rsidR="00084CAF" w:rsidRPr="00DC5038" w:rsidRDefault="00947DDB" w:rsidP="00863646">
      <w:pPr>
        <w:spacing w:before="240" w:after="0" w:line="288" w:lineRule="auto"/>
        <w:rPr>
          <w:rFonts w:eastAsia="Times New Roman" w:cs="Arial"/>
          <w:b/>
          <w:szCs w:val="19"/>
          <w:lang w:eastAsia="pl-PL"/>
        </w:rPr>
        <w:sectPr w:rsidR="00084CAF" w:rsidRPr="00DC5038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C5038">
        <w:rPr>
          <w:rFonts w:eastAsia="Times New Roman" w:cs="Times New Roman"/>
          <w:szCs w:val="19"/>
          <w:lang w:eastAsia="pl-PL"/>
        </w:rPr>
        <w:t>Większość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 cudzoziemców dokonywał</w:t>
      </w:r>
      <w:r w:rsidR="00960356">
        <w:rPr>
          <w:rFonts w:eastAsia="Times New Roman" w:cs="Times New Roman"/>
          <w:szCs w:val="19"/>
          <w:lang w:eastAsia="pl-PL"/>
        </w:rPr>
        <w:t>a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 zakupów w pasie do 50 km od granicy, w przypadku zewnętrznej granicy UE na terenie Polski </w:t>
      </w:r>
      <w:r w:rsidR="00FC749D" w:rsidRPr="00DC5038">
        <w:rPr>
          <w:rFonts w:eastAsia="Times New Roman" w:cs="Times New Roman"/>
          <w:szCs w:val="19"/>
          <w:lang w:eastAsia="pl-PL"/>
        </w:rPr>
        <w:t xml:space="preserve">– </w:t>
      </w:r>
      <w:r w:rsidR="00DC5038" w:rsidRPr="00DC5038">
        <w:rPr>
          <w:rFonts w:eastAsia="Times New Roman" w:cs="Times New Roman"/>
          <w:szCs w:val="19"/>
          <w:lang w:eastAsia="pl-PL"/>
        </w:rPr>
        <w:t>62</w:t>
      </w:r>
      <w:r w:rsidR="0003329F" w:rsidRPr="00DC5038">
        <w:rPr>
          <w:rFonts w:eastAsia="Times New Roman" w:cs="Times New Roman"/>
          <w:szCs w:val="19"/>
          <w:lang w:eastAsia="pl-PL"/>
        </w:rPr>
        <w:t>,0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FD27E3" w:rsidRPr="00DC5038">
        <w:rPr>
          <w:rFonts w:eastAsia="Times New Roman" w:cs="Times New Roman"/>
          <w:szCs w:val="19"/>
          <w:lang w:eastAsia="pl-PL"/>
        </w:rPr>
        <w:t>8</w:t>
      </w:r>
      <w:r w:rsidR="001E0BF4" w:rsidRPr="00DC5038">
        <w:rPr>
          <w:rFonts w:eastAsia="Times New Roman" w:cs="Times New Roman"/>
          <w:szCs w:val="19"/>
          <w:lang w:eastAsia="pl-PL"/>
        </w:rPr>
        <w:t>4,</w:t>
      </w:r>
      <w:r w:rsidR="00DC5038" w:rsidRPr="00DC5038">
        <w:rPr>
          <w:rFonts w:eastAsia="Times New Roman" w:cs="Times New Roman"/>
          <w:szCs w:val="19"/>
          <w:lang w:eastAsia="pl-PL"/>
        </w:rPr>
        <w:t>2</w:t>
      </w:r>
      <w:r w:rsidR="00F436E5" w:rsidRPr="00DC5038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DC5038">
        <w:rPr>
          <w:rFonts w:eastAsia="Times New Roman" w:cs="Times New Roman"/>
          <w:szCs w:val="19"/>
          <w:lang w:eastAsia="pl-PL"/>
        </w:rPr>
        <w:t> </w:t>
      </w:r>
      <w:r w:rsidR="00F436E5" w:rsidRPr="00DC5038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9C05F4" w:rsidRPr="00DC5038">
        <w:rPr>
          <w:rFonts w:eastAsia="Times New Roman" w:cs="Times New Roman"/>
          <w:szCs w:val="19"/>
          <w:lang w:eastAsia="pl-PL"/>
        </w:rPr>
        <w:t>7</w:t>
      </w:r>
      <w:r w:rsidR="00DC5038" w:rsidRPr="00DC5038">
        <w:rPr>
          <w:rFonts w:eastAsia="Times New Roman" w:cs="Times New Roman"/>
          <w:szCs w:val="19"/>
          <w:lang w:eastAsia="pl-PL"/>
        </w:rPr>
        <w:t>9,7</w:t>
      </w:r>
      <w:r w:rsidR="00F436E5" w:rsidRPr="00DC5038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DC5038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DC5038">
        <w:rPr>
          <w:rFonts w:eastAsia="Times New Roman" w:cs="Times New Roman"/>
          <w:szCs w:val="19"/>
          <w:lang w:eastAsia="pl-PL"/>
        </w:rPr>
        <w:t xml:space="preserve"> </w:t>
      </w:r>
      <w:r w:rsidR="002845E3" w:rsidRPr="00DC5038">
        <w:rPr>
          <w:rFonts w:eastAsia="Times New Roman" w:cs="Times New Roman"/>
          <w:szCs w:val="19"/>
          <w:lang w:eastAsia="pl-PL"/>
        </w:rPr>
        <w:t>6</w:t>
      </w:r>
      <w:r w:rsidR="009C05F4" w:rsidRPr="00DC5038">
        <w:rPr>
          <w:rFonts w:eastAsia="Times New Roman" w:cs="Times New Roman"/>
          <w:szCs w:val="19"/>
          <w:lang w:eastAsia="pl-PL"/>
        </w:rPr>
        <w:t>6,</w:t>
      </w:r>
      <w:r w:rsidR="00DC5038" w:rsidRPr="00DC5038">
        <w:rPr>
          <w:rFonts w:eastAsia="Times New Roman" w:cs="Times New Roman"/>
          <w:szCs w:val="19"/>
          <w:lang w:eastAsia="pl-PL"/>
        </w:rPr>
        <w:t>2</w:t>
      </w:r>
      <w:r w:rsidR="00F436E5" w:rsidRPr="00DC5038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E40BDF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color w:val="000000" w:themeColor="text1"/>
          <w:spacing w:val="-2"/>
          <w:sz w:val="19"/>
          <w:szCs w:val="19"/>
        </w:rPr>
      </w:pPr>
      <w:r w:rsidRPr="00E40BDF">
        <w:rPr>
          <w:rFonts w:ascii="Fira Sans" w:hAnsi="Fira Sans"/>
          <w:color w:val="000000" w:themeColor="text1"/>
          <w:sz w:val="19"/>
          <w:szCs w:val="19"/>
        </w:rPr>
        <w:t>Prezentowaną informację opracowano na podstawie wyników badań „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Podróże nierezydentów do Polski. Ruch pojazdów i osób na granicy Polski z krajami Unii Europejskiej”</w:t>
      </w:r>
      <w:r w:rsidRPr="00E40BDF">
        <w:rPr>
          <w:rFonts w:ascii="Fira Sans" w:hAnsi="Fira Sans"/>
          <w:color w:val="000000" w:themeColor="text1"/>
          <w:sz w:val="19"/>
          <w:szCs w:val="19"/>
        </w:rPr>
        <w:t xml:space="preserve"> oraz „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Uczestnictwo mieszkańców Polski (rezydentów) w podróżach”</w:t>
      </w:r>
      <w:r w:rsidRPr="00E40BDF">
        <w:rPr>
          <w:rFonts w:ascii="Fira Sans" w:hAnsi="Fira Sans"/>
          <w:color w:val="000000" w:themeColor="text1"/>
          <w:sz w:val="19"/>
          <w:szCs w:val="19"/>
        </w:rPr>
        <w:t xml:space="preserve"> ujętych w </w:t>
      </w:r>
      <w:r w:rsidR="007A272F" w:rsidRPr="00E40BDF">
        <w:rPr>
          <w:rFonts w:ascii="Fira Sans" w:hAnsi="Fira Sans"/>
          <w:color w:val="000000" w:themeColor="text1"/>
          <w:sz w:val="19"/>
          <w:szCs w:val="19"/>
        </w:rPr>
        <w:t>P</w:t>
      </w:r>
      <w:r w:rsidRPr="00E40BDF">
        <w:rPr>
          <w:rFonts w:ascii="Fira Sans" w:hAnsi="Fira Sans"/>
          <w:color w:val="000000" w:themeColor="text1"/>
          <w:sz w:val="19"/>
          <w:szCs w:val="19"/>
        </w:rPr>
        <w:t xml:space="preserve">rogramie badań statystycznych statystyki publicznej. 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E40BDF">
        <w:rPr>
          <w:rFonts w:ascii="Fira Sans" w:hAnsi="Fira Sans"/>
          <w:bCs/>
          <w:color w:val="000000" w:themeColor="text1"/>
          <w:sz w:val="19"/>
          <w:szCs w:val="19"/>
        </w:rPr>
        <w:t xml:space="preserve"> Sportu i Turystyki</w:t>
      </w:r>
      <w:r w:rsidRPr="00E40BDF">
        <w:rPr>
          <w:rFonts w:ascii="Fira Sans" w:hAnsi="Fira Sans"/>
          <w:bCs/>
          <w:color w:val="000000" w:themeColor="text1"/>
          <w:sz w:val="19"/>
          <w:szCs w:val="19"/>
        </w:rPr>
        <w:t>. Badania prowadzone od 2014 r. s</w:t>
      </w:r>
      <w:r w:rsidRPr="00E40BDF">
        <w:rPr>
          <w:rFonts w:ascii="Fira Sans" w:hAnsi="Fira Sans"/>
          <w:color w:val="000000" w:themeColor="text1"/>
          <w:sz w:val="19"/>
          <w:szCs w:val="19"/>
        </w:rPr>
        <w:t>ą wynikiem integracji czterech badań</w:t>
      </w:r>
      <w:r w:rsidR="008B2E0C" w:rsidRPr="00E40BDF">
        <w:rPr>
          <w:rFonts w:ascii="Fira Sans" w:hAnsi="Fira Sans"/>
          <w:color w:val="000000" w:themeColor="text1"/>
          <w:sz w:val="19"/>
          <w:szCs w:val="19"/>
        </w:rPr>
        <w:t>,</w:t>
      </w:r>
      <w:r w:rsidR="002211CE" w:rsidRPr="00E40BDF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2211CE"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>w </w:t>
      </w:r>
      <w:r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>Europejskiej na terenie Polski”</w:t>
      </w:r>
      <w:r w:rsidRPr="00E40BDF">
        <w:rPr>
          <w:rFonts w:ascii="Fira Sans" w:hAnsi="Fira Sans"/>
          <w:color w:val="000000" w:themeColor="text1"/>
          <w:spacing w:val="-2"/>
          <w:sz w:val="19"/>
          <w:szCs w:val="19"/>
        </w:rPr>
        <w:t>.</w:t>
      </w:r>
    </w:p>
    <w:p w14:paraId="584ACEE2" w14:textId="493776AF" w:rsidR="00323A92" w:rsidRPr="00E40BDF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color w:val="000000" w:themeColor="text1"/>
          <w:spacing w:val="-4"/>
          <w:szCs w:val="19"/>
          <w:lang w:eastAsia="pl-PL"/>
        </w:rPr>
      </w:pP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503864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od połowy</w:t>
      </w:r>
      <w:r w:rsidR="00B4306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</w:t>
      </w:r>
      <w:r w:rsidR="0048757F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2</w:t>
      </w:r>
      <w:r w:rsidR="009F551E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kwarta</w:t>
      </w:r>
      <w:r w:rsidR="00503864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łu</w:t>
      </w:r>
      <w:r w:rsidR="009F551E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202</w:t>
      </w:r>
      <w:r w:rsidR="00F012DB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2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r. było realizowane w terenie przez ankieterów statystycznych. </w:t>
      </w:r>
      <w:r w:rsidRPr="00503864">
        <w:rPr>
          <w:rFonts w:eastAsia="Times New Roman" w:cs="Times New Roman"/>
          <w:spacing w:val="-4"/>
          <w:szCs w:val="19"/>
          <w:lang w:eastAsia="pl-PL"/>
        </w:rPr>
        <w:t xml:space="preserve">Wyniki badania opracowano </w:t>
      </w:r>
      <w:r w:rsidR="00503864" w:rsidRPr="0050386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50386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50386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50386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503864">
        <w:rPr>
          <w:rFonts w:eastAsia="Times New Roman" w:cs="Times New Roman"/>
          <w:spacing w:val="-4"/>
          <w:szCs w:val="19"/>
          <w:lang w:eastAsia="pl-PL"/>
        </w:rPr>
        <w:t>.</w:t>
      </w:r>
      <w:r w:rsidRPr="00503864">
        <w:rPr>
          <w:rFonts w:eastAsia="Times New Roman" w:cs="Times New Roman"/>
          <w:spacing w:val="-4"/>
          <w:szCs w:val="19"/>
          <w:lang w:eastAsia="pl-PL"/>
        </w:rPr>
        <w:t xml:space="preserve"> Badanie pod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róży cudzoziemców (nierezydentów) obejmuje wyjeżdżających z Polski przez wewnętrzną i zewnętrzną granicę UE na terenie Polski. Badaniu nie podlegają osoby przeby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wające w Polsce powyżej 1 roku, 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z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wyjątkiem osób podróżujących </w:t>
      </w:r>
      <w:r w:rsidR="008B2E0C" w:rsidRPr="00E40BDF">
        <w:rPr>
          <w:color w:val="000000" w:themeColor="text1"/>
        </w:rPr>
        <w:t>w</w:t>
      </w:r>
      <w:r w:rsidR="00B379A9">
        <w:rPr>
          <w:color w:val="000000" w:themeColor="text1"/>
        </w:rPr>
        <w:t xml:space="preserve"> </w:t>
      </w:r>
      <w:r w:rsidRPr="00E40BDF">
        <w:rPr>
          <w:color w:val="000000" w:themeColor="text1"/>
        </w:rPr>
        <w:t>ce</w:t>
      </w:r>
      <w:r w:rsidR="008B2E0C" w:rsidRPr="00E40BDF">
        <w:rPr>
          <w:color w:val="000000" w:themeColor="text1"/>
        </w:rPr>
        <w:t>lach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edukacyjnych i zdrowotnych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. Dane dotyczące wydatków poniesionych przez</w:t>
      </w:r>
      <w:r w:rsidR="008B2E0C"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cudzoziemców (nierezydentów) w</w:t>
      </w:r>
      <w:r w:rsidR="00B379A9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 xml:space="preserve"> 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i do Polski) objęte są osoby i</w:t>
      </w:r>
      <w:r w:rsidR="004F5C42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 </w:t>
      </w:r>
      <w:r w:rsidRPr="00E40BDF">
        <w:rPr>
          <w:rFonts w:eastAsia="Times New Roman" w:cs="Times New Roman"/>
          <w:color w:val="000000" w:themeColor="text1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75A9822C" w:rsidR="002C16A1" w:rsidRPr="00E40BDF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color w:val="000000" w:themeColor="text1"/>
          <w:szCs w:val="19"/>
          <w:lang w:eastAsia="pl-PL"/>
        </w:rPr>
      </w:pPr>
      <w:r w:rsidRPr="00E40BDF">
        <w:rPr>
          <w:color w:val="000000" w:themeColor="text1"/>
          <w:szCs w:val="19"/>
        </w:rPr>
        <w:t>Badanie u</w:t>
      </w:r>
      <w:r w:rsidRPr="00E40BDF">
        <w:rPr>
          <w:bCs/>
          <w:color w:val="000000" w:themeColor="text1"/>
          <w:szCs w:val="19"/>
        </w:rPr>
        <w:t>czestnictwa Polaków (rezydentów) w podróżach prowadzone jest w</w:t>
      </w:r>
      <w:r w:rsidR="00C14F2B">
        <w:rPr>
          <w:bCs/>
          <w:color w:val="000000" w:themeColor="text1"/>
          <w:szCs w:val="19"/>
        </w:rPr>
        <w:t xml:space="preserve"> </w:t>
      </w:r>
      <w:r w:rsidRPr="00E40BDF">
        <w:rPr>
          <w:bCs/>
          <w:color w:val="000000" w:themeColor="text1"/>
          <w:szCs w:val="19"/>
        </w:rPr>
        <w:t>gospodarstwach domowych, w cyklu kwartalnym</w:t>
      </w:r>
      <w:r w:rsidRPr="00E40BDF">
        <w:rPr>
          <w:color w:val="000000" w:themeColor="text1"/>
          <w:szCs w:val="19"/>
        </w:rPr>
        <w:t xml:space="preserve"> (w miesiącu następnym po kwartale) przy wykorzystaniu metody telefonicznej. Badaniu nie podlegają osoby przebywa</w:t>
      </w:r>
      <w:r w:rsidR="008B2E0C" w:rsidRPr="00E40BDF">
        <w:rPr>
          <w:color w:val="000000" w:themeColor="text1"/>
          <w:szCs w:val="19"/>
        </w:rPr>
        <w:t>jące za granicą powyżej 1</w:t>
      </w:r>
      <w:r w:rsidR="00C14F2B">
        <w:rPr>
          <w:color w:val="000000" w:themeColor="text1"/>
          <w:szCs w:val="19"/>
        </w:rPr>
        <w:t xml:space="preserve"> </w:t>
      </w:r>
      <w:r w:rsidR="008B2E0C" w:rsidRPr="00E40BDF">
        <w:rPr>
          <w:color w:val="000000" w:themeColor="text1"/>
          <w:szCs w:val="19"/>
        </w:rPr>
        <w:t>roku</w:t>
      </w:r>
      <w:r w:rsidR="006D1220" w:rsidRPr="00E40BDF">
        <w:rPr>
          <w:color w:val="000000" w:themeColor="text1"/>
          <w:szCs w:val="19"/>
        </w:rPr>
        <w:t>,</w:t>
      </w:r>
      <w:r w:rsidR="008B2E0C" w:rsidRPr="00E40BDF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z</w:t>
      </w:r>
      <w:r w:rsidR="00C14F2B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wyjątkiem osób podróżujących w ce</w:t>
      </w:r>
      <w:r w:rsidR="008B2E0C" w:rsidRPr="00E40BDF">
        <w:rPr>
          <w:color w:val="000000" w:themeColor="text1"/>
          <w:szCs w:val="19"/>
        </w:rPr>
        <w:t>lach edukacyjnych i zdrowotnych</w:t>
      </w:r>
      <w:r w:rsidRPr="00E40BDF">
        <w:rPr>
          <w:color w:val="000000" w:themeColor="text1"/>
          <w:szCs w:val="19"/>
        </w:rPr>
        <w:t xml:space="preserve">. </w:t>
      </w:r>
      <w:r w:rsidRPr="00E40BDF">
        <w:rPr>
          <w:bCs/>
          <w:color w:val="000000" w:themeColor="text1"/>
          <w:szCs w:val="19"/>
        </w:rPr>
        <w:t xml:space="preserve">Prezentowane dane dotyczące wydatków rezydentów poniesionych za granicą obejmują </w:t>
      </w:r>
      <w:r w:rsidRPr="00E40BDF">
        <w:rPr>
          <w:color w:val="000000" w:themeColor="text1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E40BDF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E40BDF">
        <w:rPr>
          <w:color w:val="000000" w:themeColor="text1"/>
          <w:szCs w:val="19"/>
        </w:rPr>
        <w:t>.</w:t>
      </w:r>
      <w:r w:rsidRPr="00E40BDF">
        <w:rPr>
          <w:color w:val="000000" w:themeColor="text1"/>
          <w:szCs w:val="19"/>
        </w:rPr>
        <w:t xml:space="preserve"> </w:t>
      </w:r>
      <w:r w:rsidR="005C17E6" w:rsidRPr="00E40BDF">
        <w:rPr>
          <w:color w:val="000000" w:themeColor="text1"/>
          <w:szCs w:val="19"/>
        </w:rPr>
        <w:t>O</w:t>
      </w:r>
      <w:r w:rsidRPr="00E40BDF">
        <w:rPr>
          <w:color w:val="000000" w:themeColor="text1"/>
          <w:szCs w:val="19"/>
        </w:rPr>
        <w:t xml:space="preserve">soba przekraczająca granicę kilkakrotnie liczona jest tyle razy, ile razy </w:t>
      </w:r>
      <w:r w:rsidR="005C17E6" w:rsidRPr="00E40BDF">
        <w:rPr>
          <w:color w:val="000000" w:themeColor="text1"/>
          <w:szCs w:val="19"/>
        </w:rPr>
        <w:t xml:space="preserve">przekracza tę </w:t>
      </w:r>
      <w:r w:rsidRPr="00E40BDF">
        <w:rPr>
          <w:color w:val="000000" w:themeColor="text1"/>
          <w:szCs w:val="19"/>
        </w:rPr>
        <w:t>granicę. Obejmują wszystkie przejścia graniczne (drogowe, kolejowe i rzeczne).</w:t>
      </w:r>
    </w:p>
    <w:p w14:paraId="6DF87CB8" w14:textId="255718A7" w:rsidR="00210F9B" w:rsidRPr="00E40BDF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 xml:space="preserve">Umowa </w:t>
      </w:r>
      <w:r w:rsidR="00210F9B" w:rsidRPr="00E40BDF">
        <w:rPr>
          <w:color w:val="000000" w:themeColor="text1"/>
          <w:szCs w:val="19"/>
        </w:rPr>
        <w:t xml:space="preserve">między </w:t>
      </w:r>
      <w:r w:rsidRPr="00E40BDF">
        <w:rPr>
          <w:color w:val="000000" w:themeColor="text1"/>
          <w:szCs w:val="19"/>
        </w:rPr>
        <w:t xml:space="preserve">Rządem Rzeczypospolitej Polskiej a </w:t>
      </w:r>
      <w:r w:rsidR="00D728CD" w:rsidRPr="00E40BDF">
        <w:rPr>
          <w:color w:val="000000" w:themeColor="text1"/>
          <w:szCs w:val="19"/>
        </w:rPr>
        <w:t>G</w:t>
      </w:r>
      <w:r w:rsidRPr="00E40BDF">
        <w:rPr>
          <w:color w:val="000000" w:themeColor="text1"/>
          <w:szCs w:val="19"/>
        </w:rPr>
        <w:t>abinetem Ministrów Ukrainy o zasadach małego ruchu granicznego weszła w życie 1 lipca 2009 r</w:t>
      </w:r>
      <w:r w:rsidR="00FC4746" w:rsidRPr="00E40BDF">
        <w:rPr>
          <w:color w:val="000000" w:themeColor="text1"/>
          <w:szCs w:val="19"/>
        </w:rPr>
        <w:t>.</w:t>
      </w:r>
    </w:p>
    <w:p w14:paraId="7D5A1804" w14:textId="0FE9DEFC" w:rsidR="00F8562E" w:rsidRPr="00E40BDF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 xml:space="preserve">Umowa między Rządem Rzeczypospolitej Polskiej a Federacją Rosyjską o zasadach małego ruchu granicznego </w:t>
      </w:r>
      <w:r w:rsidR="0046063E" w:rsidRPr="00E40BDF">
        <w:rPr>
          <w:color w:val="000000" w:themeColor="text1"/>
          <w:szCs w:val="19"/>
        </w:rPr>
        <w:t>weszła w życie 27 lipca 2012 r.</w:t>
      </w:r>
      <w:r w:rsidRPr="00E40BDF">
        <w:rPr>
          <w:color w:val="000000" w:themeColor="text1"/>
          <w:szCs w:val="19"/>
        </w:rPr>
        <w:t xml:space="preserve"> </w:t>
      </w:r>
      <w:r w:rsidR="0046063E" w:rsidRPr="00E40BDF">
        <w:rPr>
          <w:color w:val="000000" w:themeColor="text1"/>
          <w:szCs w:val="19"/>
        </w:rPr>
        <w:t>O</w:t>
      </w:r>
      <w:r w:rsidRPr="00E40BDF">
        <w:rPr>
          <w:color w:val="000000" w:themeColor="text1"/>
          <w:szCs w:val="19"/>
        </w:rPr>
        <w:t xml:space="preserve">d 4 lipca 2016 r. pozostaje </w:t>
      </w:r>
      <w:r w:rsidR="00F8562E" w:rsidRPr="00E40BDF">
        <w:rPr>
          <w:color w:val="000000" w:themeColor="text1"/>
          <w:szCs w:val="19"/>
        </w:rPr>
        <w:t xml:space="preserve">ona </w:t>
      </w:r>
      <w:r w:rsidRPr="00E40BDF">
        <w:rPr>
          <w:color w:val="000000" w:themeColor="text1"/>
          <w:szCs w:val="19"/>
        </w:rPr>
        <w:t>zawieszona</w:t>
      </w:r>
      <w:r w:rsidR="00F8562E" w:rsidRPr="00E40BDF">
        <w:rPr>
          <w:color w:val="000000" w:themeColor="text1"/>
          <w:szCs w:val="19"/>
        </w:rPr>
        <w:t>.</w:t>
      </w:r>
    </w:p>
    <w:p w14:paraId="27B16A81" w14:textId="3953CD26" w:rsidR="001E7F03" w:rsidRPr="00E40BDF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W związku z rozprzestrzenianiem się choroby zakaźnej wywołanej wirusem SARS-CoV-2, na podstawie Rozporządzenia Ministra Spraw Wewnętrznych i Administracji z dnia 13 marca 2020 r.</w:t>
      </w:r>
      <w:r w:rsidR="00137BDA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(Dz.</w:t>
      </w:r>
      <w:r w:rsidR="000C30DF" w:rsidRPr="00E40BDF">
        <w:rPr>
          <w:color w:val="000000" w:themeColor="text1"/>
          <w:szCs w:val="19"/>
        </w:rPr>
        <w:t xml:space="preserve"> </w:t>
      </w:r>
      <w:r w:rsidRPr="00E40BDF">
        <w:rPr>
          <w:color w:val="000000" w:themeColor="text1"/>
          <w:szCs w:val="19"/>
        </w:rPr>
        <w:t>U.</w:t>
      </w:r>
      <w:r w:rsidR="00727709" w:rsidRPr="00E40BDF">
        <w:rPr>
          <w:color w:val="000000" w:themeColor="text1"/>
          <w:szCs w:val="19"/>
        </w:rPr>
        <w:t xml:space="preserve"> </w:t>
      </w:r>
      <w:r w:rsidR="00DD2DB6" w:rsidRPr="00E40BDF">
        <w:rPr>
          <w:color w:val="000000" w:themeColor="text1"/>
          <w:szCs w:val="19"/>
        </w:rPr>
        <w:t>z 2020 r., poz. 435</w:t>
      </w:r>
      <w:r w:rsidR="00EF33AB" w:rsidRPr="00E40BDF">
        <w:rPr>
          <w:color w:val="000000" w:themeColor="text1"/>
          <w:szCs w:val="19"/>
        </w:rPr>
        <w:t xml:space="preserve"> </w:t>
      </w:r>
      <w:r w:rsidR="006705B9" w:rsidRPr="00E40BDF">
        <w:rPr>
          <w:color w:val="000000" w:themeColor="text1"/>
          <w:szCs w:val="19"/>
        </w:rPr>
        <w:t xml:space="preserve">z </w:t>
      </w:r>
      <w:proofErr w:type="spellStart"/>
      <w:r w:rsidR="006705B9" w:rsidRPr="00E40BDF">
        <w:rPr>
          <w:color w:val="000000" w:themeColor="text1"/>
          <w:szCs w:val="19"/>
        </w:rPr>
        <w:t>późn</w:t>
      </w:r>
      <w:proofErr w:type="spellEnd"/>
      <w:r w:rsidR="006705B9" w:rsidRPr="00E40BDF">
        <w:rPr>
          <w:color w:val="000000" w:themeColor="text1"/>
          <w:szCs w:val="19"/>
        </w:rPr>
        <w:t>. zm.</w:t>
      </w:r>
      <w:r w:rsidR="00DD2DB6" w:rsidRPr="00E40BDF">
        <w:rPr>
          <w:color w:val="000000" w:themeColor="text1"/>
          <w:szCs w:val="19"/>
        </w:rPr>
        <w:t>)</w:t>
      </w:r>
      <w:r w:rsidR="006705B9" w:rsidRPr="00E40BDF">
        <w:rPr>
          <w:color w:val="000000" w:themeColor="text1"/>
          <w:szCs w:val="19"/>
        </w:rPr>
        <w:t>,</w:t>
      </w:r>
      <w:r w:rsidRPr="00E40BDF">
        <w:rPr>
          <w:color w:val="000000" w:themeColor="text1"/>
          <w:szCs w:val="19"/>
        </w:rPr>
        <w:t xml:space="preserve"> od 15 marca 2020 r. został czasowo zawieszony lub ograniczony ruch graniczny na określonych przejściach granicznych</w:t>
      </w:r>
      <w:r w:rsidR="005D6F56" w:rsidRPr="00E40BDF">
        <w:rPr>
          <w:color w:val="000000" w:themeColor="text1"/>
          <w:szCs w:val="19"/>
        </w:rPr>
        <w:t>.</w:t>
      </w:r>
    </w:p>
    <w:p w14:paraId="15D4274E" w14:textId="36B03F52" w:rsidR="006C0931" w:rsidRPr="00E40BDF" w:rsidRDefault="006C0931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color w:val="000000" w:themeColor="text1"/>
          <w:spacing w:val="-2"/>
          <w:sz w:val="19"/>
          <w:szCs w:val="19"/>
        </w:rPr>
      </w:pPr>
      <w:r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24 lutego 2022 r. Federacja Rosyjska zbrojnie zaatakowała Ukrainę, co </w:t>
      </w:r>
      <w:r w:rsidR="00FE0CA7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w 1 półroczu 2022 r. </w:t>
      </w:r>
      <w:r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spowodowało masowy napływ </w:t>
      </w:r>
      <w:r w:rsidR="00FB0D84"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 xml:space="preserve">przez przejścia graniczne (drogowe i kolejowe) </w:t>
      </w:r>
      <w:r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>ukraińskich uchodźców do Polski</w:t>
      </w:r>
      <w:r w:rsidR="00FB0D84" w:rsidRPr="00E40BDF">
        <w:rPr>
          <w:rFonts w:ascii="Fira Sans" w:hAnsi="Fira Sans" w:cs="Arial"/>
          <w:color w:val="000000" w:themeColor="text1"/>
          <w:sz w:val="19"/>
          <w:szCs w:val="19"/>
          <w:shd w:val="clear" w:color="auto" w:fill="FDFDFD"/>
        </w:rPr>
        <w:t>.</w:t>
      </w:r>
    </w:p>
    <w:p w14:paraId="5BF1C19E" w14:textId="2E630129" w:rsidR="00FB0D84" w:rsidRPr="00137BDA" w:rsidRDefault="008102CC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37BDA">
        <w:rPr>
          <w:rFonts w:ascii="Fira Sans" w:hAnsi="Fira Sans" w:cs="Arial"/>
          <w:sz w:val="19"/>
          <w:szCs w:val="19"/>
          <w:shd w:val="clear" w:color="auto" w:fill="FDFDFD"/>
        </w:rPr>
        <w:t>Z dniem</w:t>
      </w:r>
      <w:r w:rsidR="007F43FE" w:rsidRPr="00137BDA">
        <w:rPr>
          <w:rFonts w:ascii="Fira Sans" w:hAnsi="Fira Sans" w:cs="Arial"/>
          <w:sz w:val="19"/>
          <w:szCs w:val="19"/>
          <w:shd w:val="clear" w:color="auto" w:fill="FDFDFD"/>
        </w:rPr>
        <w:t xml:space="preserve"> 2 marca 2022 r. weszło w życie Rozporządzenie Ministra Spraw </w:t>
      </w:r>
      <w:r w:rsidR="007F43FE" w:rsidRPr="00137BDA">
        <w:rPr>
          <w:rFonts w:ascii="Fira Sans" w:hAnsi="Fira Sans"/>
          <w:sz w:val="19"/>
          <w:szCs w:val="19"/>
        </w:rPr>
        <w:t>Wewnętrznych i Administracji z dnia 28 lutego 2022 r. (Dz. U. z 2022 r., poz. 488) w sprawie wprowadzenia czasowego zakazu przebywania na określonym obszarze w strefie nadgranicznej przyległej do granicy państwowej z Republiką Białorusi</w:t>
      </w:r>
      <w:r w:rsidR="00F444E8" w:rsidRPr="00137BDA">
        <w:rPr>
          <w:rFonts w:ascii="Fira Sans" w:hAnsi="Fira Sans"/>
          <w:sz w:val="19"/>
          <w:szCs w:val="19"/>
        </w:rPr>
        <w:t xml:space="preserve">, które </w:t>
      </w:r>
      <w:r w:rsidR="00137BDA" w:rsidRPr="00137BDA">
        <w:rPr>
          <w:rFonts w:ascii="Fira Sans" w:hAnsi="Fira Sans"/>
          <w:sz w:val="19"/>
          <w:szCs w:val="19"/>
        </w:rPr>
        <w:t>obowiązywało</w:t>
      </w:r>
      <w:r w:rsidR="007F43FE" w:rsidRPr="00137BDA">
        <w:rPr>
          <w:rFonts w:ascii="Fira Sans" w:hAnsi="Fira Sans"/>
          <w:sz w:val="19"/>
          <w:szCs w:val="19"/>
        </w:rPr>
        <w:t xml:space="preserve"> do dnia 30 czerwca 2022 r.</w:t>
      </w:r>
    </w:p>
    <w:p w14:paraId="0B606784" w14:textId="3F2D191B" w:rsidR="008A697D" w:rsidRPr="00E40BDF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E40BDF">
        <w:rPr>
          <w:color w:val="000000" w:themeColor="text1"/>
          <w:szCs w:val="19"/>
        </w:rPr>
        <w:t>nych bezwzględnych wyrażonych z </w:t>
      </w:r>
      <w:r w:rsidRPr="00E40BDF">
        <w:rPr>
          <w:color w:val="000000" w:themeColor="text1"/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E40BDF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>Prezentowane dane mają charakter wstępny</w:t>
      </w:r>
      <w:r w:rsidR="00024706" w:rsidRPr="00E40BDF">
        <w:rPr>
          <w:color w:val="000000" w:themeColor="text1"/>
          <w:szCs w:val="19"/>
        </w:rPr>
        <w:t>.</w:t>
      </w:r>
    </w:p>
    <w:p w14:paraId="2C5E87C8" w14:textId="77777777" w:rsidR="00402BB7" w:rsidRPr="00E40BDF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color w:val="000000" w:themeColor="text1"/>
          <w:szCs w:val="19"/>
        </w:rPr>
      </w:pPr>
    </w:p>
    <w:p w14:paraId="3BAFD4FA" w14:textId="22E079B0" w:rsidR="00567426" w:rsidRPr="00E40BDF" w:rsidRDefault="009904F1" w:rsidP="00E7615E">
      <w:pPr>
        <w:pStyle w:val="Akapitzlist"/>
        <w:spacing w:before="0" w:after="240" w:line="288" w:lineRule="auto"/>
        <w:ind w:left="0" w:right="-12"/>
        <w:rPr>
          <w:color w:val="000000" w:themeColor="text1"/>
          <w:szCs w:val="19"/>
        </w:rPr>
      </w:pPr>
      <w:r w:rsidRPr="00E40BDF">
        <w:rPr>
          <w:color w:val="000000" w:themeColor="text1"/>
          <w:szCs w:val="19"/>
        </w:rPr>
        <w:t xml:space="preserve">W przypadku cytowania danych Głównego Urzędu Statystycznego prosimy o zamieszczenie informacji: „Źródło danych GUS”, a </w:t>
      </w:r>
      <w:r w:rsidR="006D1220" w:rsidRPr="00E40BDF">
        <w:rPr>
          <w:color w:val="000000" w:themeColor="text1"/>
          <w:szCs w:val="19"/>
        </w:rPr>
        <w:t xml:space="preserve">w </w:t>
      </w:r>
      <w:r w:rsidRPr="00E40BDF">
        <w:rPr>
          <w:color w:val="000000" w:themeColor="text1"/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67747D6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stat</w:t>
            </w:r>
            <w:proofErr w:type="spellEnd"/>
            <w:r w:rsidRPr="00E40BDF">
              <w:rPr>
                <w:color w:val="000000" w:themeColor="text1"/>
                <w:sz w:val="20"/>
              </w:rPr>
              <w:t>.</w:t>
            </w:r>
            <w:r w:rsidR="00164A44" w:rsidRPr="00E40BDF">
              <w:rPr>
                <w:color w:val="000000" w:themeColor="text1"/>
                <w:sz w:val="20"/>
              </w:rPr>
              <w:t xml:space="preserve"> </w:t>
            </w:r>
            <w:r w:rsidRPr="00E40BDF">
              <w:rPr>
                <w:color w:val="000000" w:themeColor="text1"/>
                <w:sz w:val="20"/>
              </w:rPr>
              <w:t>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3B87D481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2020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9252DAE" w:rsidR="00E73C06" w:rsidRPr="008709A4" w:rsidRDefault="00210CD7" w:rsidP="00F81736">
            <w:pPr>
              <w:rPr>
                <w:rFonts w:cs="Times New Roman"/>
              </w:rPr>
            </w:pPr>
            <w:hyperlink r:id="rId31" w:tooltip="Link do publikacji pt. Turystyka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8709A4" w:rsidRPr="00210CD7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210CD7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E40BDF" w:rsidRDefault="00210CD7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D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2699DFF8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8.09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2378B0AD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E778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E778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8.09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6eE7dh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2378B0AD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E778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E778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6.75pt;visibility:visible;mso-wrap-style:square" o:bullet="t">
        <v:imagedata r:id="rId1" o:title=""/>
      </v:shape>
    </w:pict>
  </w:numPicBullet>
  <w:numPicBullet w:numPicBulletId="1">
    <w:pict>
      <v:shape id="_x0000_i1027" type="#_x0000_t75" style="width:126.7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44C9"/>
    <w:rsid w:val="00035157"/>
    <w:rsid w:val="000353CD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C6DB4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4A79"/>
    <w:rsid w:val="00130296"/>
    <w:rsid w:val="00130A7B"/>
    <w:rsid w:val="00130ABA"/>
    <w:rsid w:val="0013370B"/>
    <w:rsid w:val="00136635"/>
    <w:rsid w:val="00136F86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7815"/>
    <w:rsid w:val="00197DF7"/>
    <w:rsid w:val="001A247F"/>
    <w:rsid w:val="001A2630"/>
    <w:rsid w:val="001A2AC4"/>
    <w:rsid w:val="001A71E2"/>
    <w:rsid w:val="001A72AF"/>
    <w:rsid w:val="001A7774"/>
    <w:rsid w:val="001B26AF"/>
    <w:rsid w:val="001B34DD"/>
    <w:rsid w:val="001B36F2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EE3"/>
    <w:rsid w:val="001D4D3F"/>
    <w:rsid w:val="001D54F2"/>
    <w:rsid w:val="001D7556"/>
    <w:rsid w:val="001D7F5A"/>
    <w:rsid w:val="001E0023"/>
    <w:rsid w:val="001E0AAD"/>
    <w:rsid w:val="001E0BF4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2C4D"/>
    <w:rsid w:val="002269E3"/>
    <w:rsid w:val="00226CA2"/>
    <w:rsid w:val="00227833"/>
    <w:rsid w:val="00227BF1"/>
    <w:rsid w:val="00230652"/>
    <w:rsid w:val="00230AF9"/>
    <w:rsid w:val="002338AB"/>
    <w:rsid w:val="00233F81"/>
    <w:rsid w:val="002362BE"/>
    <w:rsid w:val="00236F5A"/>
    <w:rsid w:val="00237405"/>
    <w:rsid w:val="002402A1"/>
    <w:rsid w:val="00242C61"/>
    <w:rsid w:val="002441F9"/>
    <w:rsid w:val="002459ED"/>
    <w:rsid w:val="00245BE0"/>
    <w:rsid w:val="002511A9"/>
    <w:rsid w:val="00251C07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986"/>
    <w:rsid w:val="00290E4F"/>
    <w:rsid w:val="002926DF"/>
    <w:rsid w:val="00294B1F"/>
    <w:rsid w:val="00294C11"/>
    <w:rsid w:val="002959FA"/>
    <w:rsid w:val="00296697"/>
    <w:rsid w:val="00296733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4458"/>
    <w:rsid w:val="0031720D"/>
    <w:rsid w:val="003173AB"/>
    <w:rsid w:val="00320F99"/>
    <w:rsid w:val="00321359"/>
    <w:rsid w:val="00321D86"/>
    <w:rsid w:val="00321F11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CC3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634"/>
    <w:rsid w:val="003E1EA3"/>
    <w:rsid w:val="003E2993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176BA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621B"/>
    <w:rsid w:val="00496EDB"/>
    <w:rsid w:val="00497903"/>
    <w:rsid w:val="004A0721"/>
    <w:rsid w:val="004A24CA"/>
    <w:rsid w:val="004A4ACE"/>
    <w:rsid w:val="004A6C17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5BE3"/>
    <w:rsid w:val="0059696A"/>
    <w:rsid w:val="005A252E"/>
    <w:rsid w:val="005A2CD9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27D64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87DC1"/>
    <w:rsid w:val="0069055D"/>
    <w:rsid w:val="00691676"/>
    <w:rsid w:val="00692B1B"/>
    <w:rsid w:val="00693F30"/>
    <w:rsid w:val="00694AF0"/>
    <w:rsid w:val="00694B41"/>
    <w:rsid w:val="00695B71"/>
    <w:rsid w:val="00696CFC"/>
    <w:rsid w:val="006A1143"/>
    <w:rsid w:val="006A1772"/>
    <w:rsid w:val="006A4048"/>
    <w:rsid w:val="006A4686"/>
    <w:rsid w:val="006A6673"/>
    <w:rsid w:val="006B07C9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13C1"/>
    <w:rsid w:val="006E19E9"/>
    <w:rsid w:val="006E3CAF"/>
    <w:rsid w:val="006E49AD"/>
    <w:rsid w:val="006E7780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4C79"/>
    <w:rsid w:val="007B698F"/>
    <w:rsid w:val="007B6DCA"/>
    <w:rsid w:val="007B75FA"/>
    <w:rsid w:val="007B7880"/>
    <w:rsid w:val="007C0D9C"/>
    <w:rsid w:val="007C1344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55B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BF3"/>
    <w:rsid w:val="00847F0F"/>
    <w:rsid w:val="00851DBC"/>
    <w:rsid w:val="00852448"/>
    <w:rsid w:val="0085270F"/>
    <w:rsid w:val="008567CA"/>
    <w:rsid w:val="008569E3"/>
    <w:rsid w:val="00860EE0"/>
    <w:rsid w:val="00861897"/>
    <w:rsid w:val="008622AF"/>
    <w:rsid w:val="00863646"/>
    <w:rsid w:val="00863D81"/>
    <w:rsid w:val="008666B7"/>
    <w:rsid w:val="00866759"/>
    <w:rsid w:val="00866F66"/>
    <w:rsid w:val="00867B3C"/>
    <w:rsid w:val="008709A4"/>
    <w:rsid w:val="008725CA"/>
    <w:rsid w:val="008749AC"/>
    <w:rsid w:val="00876182"/>
    <w:rsid w:val="008771CE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ADA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2E67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425D"/>
    <w:rsid w:val="00985246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5EBB"/>
    <w:rsid w:val="009B6C55"/>
    <w:rsid w:val="009B783E"/>
    <w:rsid w:val="009B7D22"/>
    <w:rsid w:val="009C05F4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59D"/>
    <w:rsid w:val="00A7268F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4540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08"/>
    <w:rsid w:val="00AE2D4B"/>
    <w:rsid w:val="00AE3CBD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1A8E"/>
    <w:rsid w:val="00B31E5A"/>
    <w:rsid w:val="00B35C6C"/>
    <w:rsid w:val="00B379A9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2BA1"/>
    <w:rsid w:val="00BA2D57"/>
    <w:rsid w:val="00BA2F4E"/>
    <w:rsid w:val="00BA62E8"/>
    <w:rsid w:val="00BA69E4"/>
    <w:rsid w:val="00BA75AD"/>
    <w:rsid w:val="00BB31A5"/>
    <w:rsid w:val="00BB376A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4E33"/>
    <w:rsid w:val="00BD585A"/>
    <w:rsid w:val="00BD5F5C"/>
    <w:rsid w:val="00BD6753"/>
    <w:rsid w:val="00BD6ED6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31D7"/>
    <w:rsid w:val="00C54779"/>
    <w:rsid w:val="00C54B64"/>
    <w:rsid w:val="00C54C3B"/>
    <w:rsid w:val="00C561C1"/>
    <w:rsid w:val="00C578FE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756A"/>
    <w:rsid w:val="00C70BBA"/>
    <w:rsid w:val="00C7158E"/>
    <w:rsid w:val="00C7250B"/>
    <w:rsid w:val="00C73359"/>
    <w:rsid w:val="00C7346B"/>
    <w:rsid w:val="00C74CED"/>
    <w:rsid w:val="00C779A4"/>
    <w:rsid w:val="00C77B3B"/>
    <w:rsid w:val="00C77C0E"/>
    <w:rsid w:val="00C80885"/>
    <w:rsid w:val="00C81C9B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1E84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19F2"/>
    <w:rsid w:val="00D51F0F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07"/>
    <w:rsid w:val="00D65884"/>
    <w:rsid w:val="00D675B1"/>
    <w:rsid w:val="00D70EF7"/>
    <w:rsid w:val="00D710D6"/>
    <w:rsid w:val="00D728CD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B14"/>
    <w:rsid w:val="00EE1609"/>
    <w:rsid w:val="00EE1612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7172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79B0"/>
    <w:rsid w:val="00F5024A"/>
    <w:rsid w:val="00F50C7B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D84"/>
    <w:rsid w:val="00FB19F1"/>
    <w:rsid w:val="00FB1F95"/>
    <w:rsid w:val="00FB341E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0CA7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1-roku,1,19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B018AF-1513-4205-986F-83AF5BD3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6</Pages>
  <Words>1914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2022-03-24T07:34:00Z</cp:lastPrinted>
  <dcterms:created xsi:type="dcterms:W3CDTF">2022-02-18T07:55:00Z</dcterms:created>
  <dcterms:modified xsi:type="dcterms:W3CDTF">2022-09-22T06:49:00Z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