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847839" w:rsidRPr="00847839" w:rsidRDefault="00847839" w:rsidP="00847839">
      <w:pPr>
        <w:suppressAutoHyphens/>
        <w:spacing w:after="60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847839">
        <w:rPr>
          <w:rFonts w:ascii="Fira Sans Extra Condensed SemiB" w:hAnsi="Fira Sans Extra Condensed SemiB"/>
          <w:noProof/>
          <w:color w:val="001D77"/>
          <w:spacing w:val="-2"/>
          <w:sz w:val="40"/>
          <w:szCs w:val="26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04EF8872" wp14:editId="3A661CAA">
                <wp:simplePos x="0" y="0"/>
                <wp:positionH relativeFrom="margin">
                  <wp:posOffset>6350</wp:posOffset>
                </wp:positionH>
                <wp:positionV relativeFrom="paragraph">
                  <wp:posOffset>751840</wp:posOffset>
                </wp:positionV>
                <wp:extent cx="2032000" cy="1250950"/>
                <wp:effectExtent l="0" t="0" r="6350" b="6350"/>
                <wp:wrapSquare wrapText="bothSides"/>
                <wp:docPr id="2" name="Pole tekstowe 2" descr="Spadek o 9,2% liczby wolnych miejsc pracy w stosunku do końca poprzedniego kwartału br." title="Lead graficzn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2000" cy="12509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7839" w:rsidRPr="007D605C" w:rsidRDefault="00847839" w:rsidP="00847839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t>⇩</w:t>
                            </w:r>
                            <w:r w:rsidRPr="007B3ED5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9,2</w:t>
                            </w:r>
                            <w:r w:rsidRPr="00055ED9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847839" w:rsidRPr="007D605C" w:rsidRDefault="00847839" w:rsidP="00847839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Spadek</w:t>
                            </w:r>
                            <w:r w:rsidRPr="003028BF">
                              <w:t xml:space="preserve"> liczby wolnych miejsc pracy w stosunku do końca </w:t>
                            </w:r>
                            <w:r>
                              <w:t>poprzedniego</w:t>
                            </w:r>
                            <w:r w:rsidRPr="003028BF">
                              <w:t xml:space="preserve"> kwartału </w:t>
                            </w:r>
                            <w:r>
                              <w:t>br.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oundrect w14:anchorId="04EF8872" id="Pole tekstowe 2" o:spid="_x0000_s1026" alt="Tytuł: Lead graficzny — opis: Spadek o 9,2% liczby wolnych miejsc pracy w stosunku do końca poprzedniego kwartału br." style="position:absolute;margin-left:.5pt;margin-top:59.2pt;width:160pt;height:98.5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" fillcolor="#001d77" stroked="f">
                <v:stroke joinstyle="miter"/>
                <v:textbox>
                  <w:txbxContent>
                    <w:p w:rsidR="00847839" w:rsidRPr="007D605C" w:rsidRDefault="00847839" w:rsidP="00847839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  <w:sz w:val="72"/>
                          <w:szCs w:val="72"/>
                        </w:rPr>
                        <w:t>⇩</w:t>
                      </w:r>
                      <w:r w:rsidRPr="007B3ED5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9,2</w:t>
                      </w:r>
                      <w:r w:rsidRPr="00055ED9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:rsidR="00847839" w:rsidRPr="007D605C" w:rsidRDefault="00847839" w:rsidP="00847839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Spadek</w:t>
                      </w:r>
                      <w:r w:rsidRPr="003028BF">
                        <w:t xml:space="preserve"> liczby wolnych miejsc pracy w stosunku do końca </w:t>
                      </w:r>
                      <w:r>
                        <w:t>poprzedniego</w:t>
                      </w:r>
                      <w:r w:rsidRPr="003028BF">
                        <w:t xml:space="preserve"> kwartału </w:t>
                      </w:r>
                      <w:r>
                        <w:t>br.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847839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Popyt na pracę w trzecim kwartale 2022 r.</w:t>
      </w:r>
    </w:p>
    <w:p w:rsidR="00847839" w:rsidRDefault="00B63FF1" w:rsidP="00B63FF1">
      <w:pPr>
        <w:rPr>
          <w:b/>
          <w:noProof/>
          <w:spacing w:val="-2"/>
          <w:szCs w:val="19"/>
          <w:lang w:eastAsia="pl-PL"/>
        </w:rPr>
      </w:pPr>
      <w:r w:rsidRPr="00B63FF1">
        <w:rPr>
          <w:b/>
          <w:noProof/>
          <w:spacing w:val="-2"/>
          <w:szCs w:val="19"/>
          <w:lang w:eastAsia="pl-PL"/>
        </w:rPr>
        <w:t xml:space="preserve">Na koniec trzeciego kwartału 2022 r. w Polsce odnotowano 135,5 tys. wolnych miejsc pracy. Było to </w:t>
      </w:r>
      <w:r>
        <w:rPr>
          <w:b/>
          <w:noProof/>
          <w:spacing w:val="-2"/>
          <w:szCs w:val="19"/>
          <w:lang w:eastAsia="pl-PL"/>
        </w:rPr>
        <w:br/>
      </w:r>
      <w:r w:rsidRPr="00B63FF1">
        <w:rPr>
          <w:b/>
          <w:noProof/>
          <w:spacing w:val="-2"/>
          <w:szCs w:val="19"/>
          <w:lang w:eastAsia="pl-PL"/>
        </w:rPr>
        <w:t xml:space="preserve">o 11,7% mniej niż w analogicznym okresie poprzedniego roku. W skali roku zmniejszyła się liczba nowo utworzonych miejsc pracy (o 9,1%), a zwiększyła się liczba zlikwidowanych miejsc pracy (o 24,0%). </w:t>
      </w:r>
      <w:r>
        <w:rPr>
          <w:b/>
          <w:noProof/>
          <w:spacing w:val="-2"/>
          <w:szCs w:val="19"/>
          <w:lang w:eastAsia="pl-PL"/>
        </w:rPr>
        <w:br/>
      </w:r>
      <w:r w:rsidRPr="00B63FF1">
        <w:rPr>
          <w:b/>
          <w:noProof/>
          <w:spacing w:val="-2"/>
          <w:szCs w:val="19"/>
          <w:lang w:eastAsia="pl-PL"/>
        </w:rPr>
        <w:t>W trzecim kwartale 2022 r. na jedno zlikwidowane miejsce pracy przypadało 1,7 nowo utworzonych miejsc.</w:t>
      </w:r>
    </w:p>
    <w:p w:rsidR="00B63FF1" w:rsidRPr="00847839" w:rsidRDefault="00B63FF1" w:rsidP="00B63FF1">
      <w:pPr>
        <w:rPr>
          <w:szCs w:val="19"/>
        </w:rPr>
      </w:pPr>
    </w:p>
    <w:p w:rsidR="00B63FF1" w:rsidRDefault="00B63FF1" w:rsidP="00B63FF1">
      <w:pPr>
        <w:pStyle w:val="LID"/>
        <w:rPr>
          <w:b w:val="0"/>
          <w:color w:val="000000"/>
        </w:rPr>
      </w:pPr>
      <w:r w:rsidRPr="00A927D9">
        <w:rPr>
          <w:b w:val="0"/>
          <w:color w:val="000000"/>
        </w:rPr>
        <w:t>Badanie popytu na pracę realizowane jest metodą reprezentacyjną z częstotliwością kwartalną na formularzu Z</w:t>
      </w:r>
      <w:r>
        <w:rPr>
          <w:b w:val="0"/>
          <w:color w:val="000000"/>
        </w:rPr>
        <w:t>-</w:t>
      </w:r>
      <w:r w:rsidRPr="00A927D9">
        <w:rPr>
          <w:b w:val="0"/>
          <w:color w:val="000000"/>
        </w:rPr>
        <w:t xml:space="preserve">05. Obejmuje ono podmioty gospodarki narodowej zatrudniające </w:t>
      </w:r>
      <w:r w:rsidRPr="00A927D9">
        <w:rPr>
          <w:b w:val="0"/>
          <w:color w:val="000000"/>
        </w:rPr>
        <w:br/>
        <w:t xml:space="preserve">przynajmniej jedną osobę. Na koniec </w:t>
      </w:r>
      <w:r>
        <w:rPr>
          <w:b w:val="0"/>
          <w:color w:val="000000"/>
        </w:rPr>
        <w:t>trzeciego</w:t>
      </w:r>
      <w:r w:rsidRPr="00A927D9">
        <w:rPr>
          <w:b w:val="0"/>
          <w:color w:val="000000"/>
        </w:rPr>
        <w:t xml:space="preserve"> kwartału 2022 r. </w:t>
      </w:r>
      <w:r>
        <w:rPr>
          <w:b w:val="0"/>
          <w:color w:val="000000"/>
        </w:rPr>
        <w:t xml:space="preserve">wśród badanych </w:t>
      </w:r>
      <w:r w:rsidRPr="00A927D9">
        <w:rPr>
          <w:b w:val="0"/>
          <w:color w:val="000000"/>
        </w:rPr>
        <w:t xml:space="preserve">zdecydowaną większość </w:t>
      </w:r>
      <w:r>
        <w:rPr>
          <w:b w:val="0"/>
          <w:color w:val="000000"/>
        </w:rPr>
        <w:t>tworzyły</w:t>
      </w:r>
      <w:r w:rsidRPr="00A927D9">
        <w:rPr>
          <w:b w:val="0"/>
          <w:color w:val="000000"/>
        </w:rPr>
        <w:t xml:space="preserve"> podmioty sektora prywatnego, natomiast pod względem wielkości </w:t>
      </w:r>
      <w:r>
        <w:rPr>
          <w:b w:val="0"/>
          <w:color w:val="000000"/>
        </w:rPr>
        <w:t>przeważały</w:t>
      </w:r>
      <w:r w:rsidRPr="00A927D9">
        <w:rPr>
          <w:b w:val="0"/>
          <w:color w:val="000000"/>
        </w:rPr>
        <w:t xml:space="preserve"> podmioty o liczbie pracujących </w:t>
      </w:r>
      <w:r w:rsidRPr="00A927D9">
        <w:rPr>
          <w:b w:val="0"/>
        </w:rPr>
        <w:t xml:space="preserve">do 9 osób (odpowiednio </w:t>
      </w:r>
      <w:r w:rsidRPr="00A927D9">
        <w:rPr>
          <w:b w:val="0"/>
          <w:color w:val="000000"/>
        </w:rPr>
        <w:t>91,</w:t>
      </w:r>
      <w:r>
        <w:rPr>
          <w:b w:val="0"/>
          <w:color w:val="000000"/>
        </w:rPr>
        <w:t>0</w:t>
      </w:r>
      <w:r w:rsidRPr="00A927D9">
        <w:rPr>
          <w:b w:val="0"/>
          <w:color w:val="000000"/>
        </w:rPr>
        <w:t xml:space="preserve">% i </w:t>
      </w:r>
      <w:r>
        <w:rPr>
          <w:b w:val="0"/>
          <w:color w:val="000000"/>
        </w:rPr>
        <w:t>68,5</w:t>
      </w:r>
      <w:r w:rsidRPr="00A927D9">
        <w:rPr>
          <w:b w:val="0"/>
          <w:color w:val="000000"/>
        </w:rPr>
        <w:t>% ogółu</w:t>
      </w:r>
      <w:r>
        <w:rPr>
          <w:b w:val="0"/>
          <w:color w:val="000000"/>
        </w:rPr>
        <w:t>).</w:t>
      </w:r>
    </w:p>
    <w:p w:rsidR="00942149" w:rsidRDefault="00B63FF1" w:rsidP="00942149">
      <w:r>
        <w:rPr>
          <w:b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45D376E5" wp14:editId="398D1973">
                <wp:simplePos x="0" y="0"/>
                <wp:positionH relativeFrom="column">
                  <wp:posOffset>5258435</wp:posOffset>
                </wp:positionH>
                <wp:positionV relativeFrom="paragraph">
                  <wp:posOffset>9525</wp:posOffset>
                </wp:positionV>
                <wp:extent cx="1791970" cy="1749425"/>
                <wp:effectExtent l="0" t="0" r="0" b="3175"/>
                <wp:wrapNone/>
                <wp:docPr id="16" name="Pole tekstowe 16" descr="Na koniec trzeciego kwartału 2022 r. ponad połowę podmio-tów gospodarki narodowej dysponujących wolnymi miejscami stanowiły podmioty w których pracowało do 9 osób; dysponowały one ¼ ogólnej liczby wolnych miejsc pracy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1749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464A" w:rsidRPr="009858F1" w:rsidRDefault="002B464A" w:rsidP="002B464A">
                            <w:pPr>
                              <w:pStyle w:val="tekstzboku"/>
                            </w:pPr>
                            <w:r>
                              <w:t>Na</w:t>
                            </w:r>
                            <w:r w:rsidRPr="007B3ED5">
                              <w:t xml:space="preserve"> ko</w:t>
                            </w:r>
                            <w:r>
                              <w:t>niec</w:t>
                            </w:r>
                            <w:r w:rsidRPr="007B3ED5">
                              <w:t xml:space="preserve"> </w:t>
                            </w:r>
                            <w:r>
                              <w:t>trzeciego</w:t>
                            </w:r>
                            <w:r w:rsidRPr="007B3ED5">
                              <w:t xml:space="preserve"> kwartału </w:t>
                            </w:r>
                            <w:r>
                              <w:t xml:space="preserve">2022 r. ponad połowę podmiotów gospodarki narodowej dysponujących wolnymi miejscami stanowiły podmioty </w:t>
                            </w:r>
                            <w:r>
                              <w:br/>
                              <w:t xml:space="preserve">w których pracowało do </w:t>
                            </w:r>
                            <w:r>
                              <w:br/>
                              <w:t>9 osób; dysponowały one ¼ ogólnej liczby wolnych miejsc pracy</w:t>
                            </w:r>
                          </w:p>
                          <w:p w:rsidR="00B63FF1" w:rsidRPr="009858F1" w:rsidRDefault="00B63FF1" w:rsidP="00B63FF1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45D376E5" id="_x0000_t202" coordsize="21600,21600" o:spt="202" path="m,l,21600r21600,l21600,xe">
                <v:stroke joinstyle="miter"/>
                <v:path gradientshapeok="t" o:connecttype="rect"/>
              </v:shapetype>
              <v:shape id="Pole tekstowe 16" o:spid="_x0000_s1027" type="#_x0000_t202" alt="Na koniec trzeciego kwartału 2022 r. ponad połowę podmio-tów gospodarki narodowej dysponujących wolnymi miejscami stanowiły podmioty w których pracowało do 9 osób; dysponowały one ¼ ogólnej liczby wolnych miejsc pracy&#10;&#10;" style="position:absolute;margin-left:414.05pt;margin-top:.75pt;width:141.1pt;height:137.7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" filled="f" stroked="f">
                <v:textbox>
                  <w:txbxContent>
                    <w:p w:rsidR="002B464A" w:rsidRPr="009858F1" w:rsidRDefault="002B464A" w:rsidP="002B464A">
                      <w:pPr>
                        <w:pStyle w:val="tekstzboku"/>
                      </w:pPr>
                      <w:r>
                        <w:t>Na</w:t>
                      </w:r>
                      <w:r w:rsidRPr="007B3ED5">
                        <w:t xml:space="preserve"> ko</w:t>
                      </w:r>
                      <w:r>
                        <w:t>niec</w:t>
                      </w:r>
                      <w:r w:rsidRPr="007B3ED5">
                        <w:t xml:space="preserve"> </w:t>
                      </w:r>
                      <w:r>
                        <w:t>trzeciego</w:t>
                      </w:r>
                      <w:r w:rsidRPr="007B3ED5">
                        <w:t xml:space="preserve"> kwartału </w:t>
                      </w:r>
                      <w:r>
                        <w:t xml:space="preserve">2022 r. ponad połowę podmiotów gospodarki narodowej dysponujących wolnymi miejscami stanowiły podmioty </w:t>
                      </w:r>
                      <w:r>
                        <w:br/>
                      </w:r>
                      <w:r>
                        <w:t xml:space="preserve">w których pracowało do </w:t>
                      </w:r>
                      <w:r>
                        <w:br/>
                      </w:r>
                      <w:r>
                        <w:t xml:space="preserve">9 osób; dysponowały one </w:t>
                      </w:r>
                      <w:r>
                        <w:t xml:space="preserve">¼ </w:t>
                      </w:r>
                      <w:r>
                        <w:t>ogólnej liczby wolnych miejsc pracy</w:t>
                      </w:r>
                    </w:p>
                    <w:p w:rsidR="00B63FF1" w:rsidRPr="009858F1" w:rsidRDefault="00B63FF1" w:rsidP="00B63FF1">
                      <w:pPr>
                        <w:pStyle w:val="tekstzboku"/>
                      </w:pPr>
                    </w:p>
                  </w:txbxContent>
                </v:textbox>
              </v:shape>
            </w:pict>
          </mc:Fallback>
        </mc:AlternateContent>
      </w:r>
      <w:r w:rsidR="00942149" w:rsidRPr="00A927D9">
        <w:rPr>
          <w:color w:val="000000"/>
        </w:rPr>
        <w:t xml:space="preserve">W </w:t>
      </w:r>
      <w:r w:rsidR="00942149">
        <w:rPr>
          <w:color w:val="000000"/>
        </w:rPr>
        <w:t>trzecim</w:t>
      </w:r>
      <w:r w:rsidR="00942149" w:rsidRPr="00A927D9">
        <w:rPr>
          <w:color w:val="000000"/>
        </w:rPr>
        <w:t xml:space="preserve"> kwartale br. wolnymi miejscami pracy dysponowało </w:t>
      </w:r>
      <w:r w:rsidR="00942149">
        <w:rPr>
          <w:color w:val="000000"/>
        </w:rPr>
        <w:t>5,9</w:t>
      </w:r>
      <w:r w:rsidR="00942149" w:rsidRPr="00A927D9">
        <w:rPr>
          <w:color w:val="000000"/>
        </w:rPr>
        <w:t>% spośród 6</w:t>
      </w:r>
      <w:r w:rsidR="00942149">
        <w:rPr>
          <w:color w:val="000000"/>
        </w:rPr>
        <w:t>41,7</w:t>
      </w:r>
      <w:r w:rsidR="00942149" w:rsidRPr="00A927D9">
        <w:rPr>
          <w:color w:val="000000"/>
        </w:rPr>
        <w:t xml:space="preserve"> tys. podmiotów gospodarki narodowej, tj. </w:t>
      </w:r>
      <w:r w:rsidR="00942149">
        <w:rPr>
          <w:color w:val="000000"/>
        </w:rPr>
        <w:t>o 0,9 p. proc.</w:t>
      </w:r>
      <w:r w:rsidR="00942149" w:rsidRPr="00A927D9">
        <w:rPr>
          <w:color w:val="000000"/>
        </w:rPr>
        <w:t xml:space="preserve"> </w:t>
      </w:r>
      <w:r w:rsidR="00942149">
        <w:rPr>
          <w:color w:val="000000"/>
        </w:rPr>
        <w:t xml:space="preserve">mniej </w:t>
      </w:r>
      <w:r w:rsidR="00942149" w:rsidRPr="00A927D9">
        <w:rPr>
          <w:color w:val="000000"/>
        </w:rPr>
        <w:t xml:space="preserve">niż w analogicznym okresie 2021 r. Wśród podmiotów </w:t>
      </w:r>
      <w:r w:rsidR="00942149" w:rsidRPr="00A77071">
        <w:t xml:space="preserve">dysponujących wolnymi miejscami pracy </w:t>
      </w:r>
      <w:r w:rsidR="00942149">
        <w:t>81,6</w:t>
      </w:r>
      <w:r w:rsidR="00942149" w:rsidRPr="00A77071">
        <w:t>% stanowiły podmioty należące do sektora prywatnego. Ponad połowa podmiotów dysponujących wolnymi miejscami pracy (</w:t>
      </w:r>
      <w:r w:rsidR="00942149">
        <w:t>51,5</w:t>
      </w:r>
      <w:r w:rsidR="00942149" w:rsidRPr="00A77071">
        <w:t xml:space="preserve">%) liczyła do 9 osób pracujących. </w:t>
      </w:r>
    </w:p>
    <w:p w:rsidR="00942149" w:rsidRPr="00A77071" w:rsidRDefault="00942149" w:rsidP="00942149"/>
    <w:p w:rsidR="00847839" w:rsidRPr="00847839" w:rsidRDefault="00847839" w:rsidP="00942149">
      <w:pPr>
        <w:pStyle w:val="LID"/>
        <w:rPr>
          <w:b w:val="0"/>
        </w:rPr>
      </w:pPr>
      <w:r w:rsidRPr="00847839">
        <w:t>Tablica 1.</w:t>
      </w:r>
      <w:r w:rsidRPr="00847839">
        <w:rPr>
          <w:shd w:val="clear" w:color="auto" w:fill="FFFFFF"/>
        </w:rPr>
        <w:t xml:space="preserve"> Podstawowe </w:t>
      </w:r>
      <w:r w:rsidRPr="00847839">
        <w:t xml:space="preserve">wyniki badania popytu na pracę </w:t>
      </w:r>
    </w:p>
    <w:tbl>
      <w:tblPr>
        <w:tblStyle w:val="Firasans1"/>
        <w:tblpPr w:leftFromText="141" w:rightFromText="141" w:vertAnchor="text" w:horzAnchor="margin" w:tblpY="-11"/>
        <w:tblW w:w="0" w:type="auto"/>
        <w:tblBorders>
          <w:top w:val="single" w:sz="4" w:space="0" w:color="001D77"/>
          <w:bottom w:val="none" w:sz="0" w:space="0" w:color="auto"/>
        </w:tblBorders>
        <w:tblLayout w:type="fixed"/>
        <w:tblLook w:val="04A0" w:firstRow="1" w:lastRow="0" w:firstColumn="1" w:lastColumn="0" w:noHBand="0" w:noVBand="1"/>
        <w:tblCaption w:val="Tablica 1. Podstawowe wyniki badania popytu na pracę "/>
        <w:tblDescription w:val="Przekrój czasowy od 2 kwartału 2021 roku do 3 kwartału 2022 roku."/>
      </w:tblPr>
      <w:tblGrid>
        <w:gridCol w:w="1701"/>
        <w:gridCol w:w="1060"/>
        <w:gridCol w:w="1060"/>
        <w:gridCol w:w="1060"/>
        <w:gridCol w:w="1060"/>
        <w:gridCol w:w="1060"/>
        <w:gridCol w:w="1061"/>
      </w:tblGrid>
      <w:tr w:rsidR="00847839" w:rsidRPr="00847839" w:rsidTr="00852C4D">
        <w:trPr>
          <w:trHeight w:val="277"/>
        </w:trPr>
        <w:tc>
          <w:tcPr>
            <w:tcW w:w="1701" w:type="dxa"/>
            <w:vMerge w:val="restart"/>
            <w:vAlign w:val="center"/>
          </w:tcPr>
          <w:p w:rsidR="00847839" w:rsidRPr="00847839" w:rsidRDefault="00847839" w:rsidP="00847839">
            <w:pPr>
              <w:spacing w:before="20" w:after="20"/>
              <w:jc w:val="center"/>
              <w:rPr>
                <w:rFonts w:eastAsia="Times New Roman"/>
                <w:szCs w:val="19"/>
              </w:rPr>
            </w:pPr>
            <w:r w:rsidRPr="00847839">
              <w:rPr>
                <w:rFonts w:eastAsia="Times New Roman"/>
                <w:szCs w:val="19"/>
              </w:rPr>
              <w:t>KWARTAŁY</w:t>
            </w:r>
          </w:p>
          <w:p w:rsidR="00847839" w:rsidRPr="00847839" w:rsidRDefault="00847839" w:rsidP="00847839">
            <w:pPr>
              <w:spacing w:before="20" w:after="20" w:line="220" w:lineRule="exact"/>
              <w:ind w:left="57"/>
              <w:rPr>
                <w:rFonts w:eastAsia="Times New Roman"/>
                <w:szCs w:val="19"/>
              </w:rPr>
            </w:pPr>
            <w:r w:rsidRPr="00847839">
              <w:rPr>
                <w:rFonts w:eastAsia="Times New Roman"/>
                <w:szCs w:val="19"/>
              </w:rPr>
              <w:t xml:space="preserve">A – analogiczny </w:t>
            </w:r>
            <w:r w:rsidRPr="00847839">
              <w:rPr>
                <w:rFonts w:eastAsia="Times New Roman"/>
                <w:szCs w:val="19"/>
              </w:rPr>
              <w:br/>
              <w:t xml:space="preserve">kwartał roku poprzedniego </w:t>
            </w:r>
            <w:r w:rsidRPr="00847839">
              <w:rPr>
                <w:rFonts w:eastAsia="Times New Roman"/>
                <w:szCs w:val="19"/>
              </w:rPr>
              <w:br/>
              <w:t>= 100</w:t>
            </w:r>
          </w:p>
          <w:p w:rsidR="00847839" w:rsidRPr="00847839" w:rsidRDefault="00847839" w:rsidP="00847839">
            <w:pPr>
              <w:spacing w:before="20" w:after="20" w:line="220" w:lineRule="exact"/>
              <w:ind w:left="57"/>
              <w:rPr>
                <w:rFonts w:eastAsia="Times New Roman"/>
                <w:szCs w:val="19"/>
              </w:rPr>
            </w:pPr>
            <w:r w:rsidRPr="00847839">
              <w:rPr>
                <w:rFonts w:eastAsia="Times New Roman"/>
                <w:szCs w:val="19"/>
              </w:rPr>
              <w:t xml:space="preserve">B – poprzedni </w:t>
            </w:r>
            <w:r w:rsidRPr="00847839">
              <w:rPr>
                <w:rFonts w:eastAsia="Times New Roman"/>
                <w:szCs w:val="19"/>
              </w:rPr>
              <w:br/>
              <w:t>kwartał = 100</w:t>
            </w:r>
          </w:p>
        </w:tc>
        <w:tc>
          <w:tcPr>
            <w:tcW w:w="4240" w:type="dxa"/>
            <w:gridSpan w:val="4"/>
          </w:tcPr>
          <w:p w:rsidR="00847839" w:rsidRPr="00847839" w:rsidRDefault="00847839" w:rsidP="00847839">
            <w:pPr>
              <w:spacing w:before="20" w:after="20"/>
              <w:jc w:val="center"/>
              <w:rPr>
                <w:rFonts w:eastAsia="Times New Roman"/>
                <w:szCs w:val="19"/>
              </w:rPr>
            </w:pPr>
            <w:r w:rsidRPr="00847839">
              <w:rPr>
                <w:rFonts w:eastAsia="Times New Roman"/>
                <w:szCs w:val="19"/>
              </w:rPr>
              <w:t>Miejsca pracy</w:t>
            </w:r>
          </w:p>
        </w:tc>
        <w:tc>
          <w:tcPr>
            <w:tcW w:w="1060" w:type="dxa"/>
            <w:vMerge w:val="restart"/>
            <w:vAlign w:val="center"/>
          </w:tcPr>
          <w:p w:rsidR="00847839" w:rsidRPr="00847839" w:rsidRDefault="00847839" w:rsidP="00847839">
            <w:pPr>
              <w:spacing w:before="20" w:after="20" w:line="220" w:lineRule="exact"/>
              <w:ind w:left="-57" w:right="-57"/>
              <w:jc w:val="center"/>
              <w:rPr>
                <w:rFonts w:eastAsia="Times New Roman" w:cs="Calibri"/>
                <w:color w:val="000000"/>
                <w:szCs w:val="19"/>
              </w:rPr>
            </w:pPr>
            <w:r w:rsidRPr="00847839">
              <w:rPr>
                <w:rFonts w:eastAsia="Times New Roman" w:cs="Calibri"/>
                <w:color w:val="000000"/>
                <w:szCs w:val="19"/>
              </w:rPr>
              <w:t xml:space="preserve">Nowo </w:t>
            </w:r>
            <w:r w:rsidRPr="00847839">
              <w:rPr>
                <w:rFonts w:eastAsia="Times New Roman" w:cs="Calibri"/>
                <w:color w:val="000000"/>
                <w:szCs w:val="19"/>
              </w:rPr>
              <w:br/>
              <w:t>utworzone miejsca pracy</w:t>
            </w:r>
          </w:p>
        </w:tc>
        <w:tc>
          <w:tcPr>
            <w:tcW w:w="1061" w:type="dxa"/>
            <w:vMerge w:val="restart"/>
            <w:vAlign w:val="center"/>
          </w:tcPr>
          <w:p w:rsidR="00847839" w:rsidRPr="00847839" w:rsidRDefault="00847839" w:rsidP="00847839">
            <w:pPr>
              <w:spacing w:before="20" w:after="20"/>
              <w:jc w:val="center"/>
              <w:rPr>
                <w:rFonts w:eastAsia="Times New Roman" w:cs="Calibri"/>
                <w:color w:val="000000"/>
                <w:szCs w:val="19"/>
              </w:rPr>
            </w:pPr>
            <w:r w:rsidRPr="00847839">
              <w:rPr>
                <w:rFonts w:eastAsia="Times New Roman" w:cs="Calibri"/>
                <w:color w:val="000000"/>
                <w:szCs w:val="19"/>
              </w:rPr>
              <w:t xml:space="preserve">Zlikwidowane </w:t>
            </w:r>
            <w:r w:rsidRPr="00847839">
              <w:rPr>
                <w:rFonts w:eastAsia="Times New Roman" w:cs="Calibri"/>
                <w:color w:val="000000"/>
                <w:szCs w:val="19"/>
              </w:rPr>
              <w:br/>
              <w:t>miejsca pracy</w:t>
            </w:r>
          </w:p>
        </w:tc>
      </w:tr>
      <w:tr w:rsidR="00847839" w:rsidRPr="00847839" w:rsidTr="00852C4D">
        <w:trPr>
          <w:trHeight w:val="277"/>
        </w:trPr>
        <w:tc>
          <w:tcPr>
            <w:tcW w:w="1701" w:type="dxa"/>
            <w:vMerge/>
            <w:vAlign w:val="center"/>
          </w:tcPr>
          <w:p w:rsidR="00847839" w:rsidRPr="00847839" w:rsidRDefault="00847839" w:rsidP="00847839">
            <w:pPr>
              <w:spacing w:before="20" w:after="20" w:line="220" w:lineRule="exact"/>
              <w:ind w:left="57"/>
              <w:rPr>
                <w:rFonts w:eastAsia="Times New Roman"/>
                <w:szCs w:val="19"/>
              </w:rPr>
            </w:pPr>
          </w:p>
        </w:tc>
        <w:tc>
          <w:tcPr>
            <w:tcW w:w="1060" w:type="dxa"/>
            <w:vMerge w:val="restart"/>
            <w:vAlign w:val="center"/>
          </w:tcPr>
          <w:p w:rsidR="00847839" w:rsidRPr="00847839" w:rsidRDefault="00847839" w:rsidP="00847839">
            <w:pPr>
              <w:spacing w:before="20" w:after="20"/>
              <w:jc w:val="center"/>
              <w:rPr>
                <w:rFonts w:eastAsia="Times New Roman"/>
                <w:szCs w:val="19"/>
              </w:rPr>
            </w:pPr>
            <w:r w:rsidRPr="00847839">
              <w:rPr>
                <w:rFonts w:eastAsia="Times New Roman"/>
                <w:szCs w:val="19"/>
              </w:rPr>
              <w:t>ogółem</w:t>
            </w:r>
          </w:p>
        </w:tc>
        <w:tc>
          <w:tcPr>
            <w:tcW w:w="1060" w:type="dxa"/>
            <w:vMerge w:val="restart"/>
            <w:vAlign w:val="center"/>
          </w:tcPr>
          <w:p w:rsidR="00847839" w:rsidRPr="00847839" w:rsidRDefault="00847839" w:rsidP="00847839">
            <w:pPr>
              <w:spacing w:before="20" w:after="20"/>
              <w:jc w:val="center"/>
              <w:rPr>
                <w:rFonts w:eastAsia="Times New Roman"/>
                <w:szCs w:val="19"/>
              </w:rPr>
            </w:pPr>
            <w:r w:rsidRPr="00847839">
              <w:rPr>
                <w:rFonts w:eastAsia="Times New Roman"/>
                <w:szCs w:val="19"/>
              </w:rPr>
              <w:t>obsadzone</w:t>
            </w:r>
          </w:p>
        </w:tc>
        <w:tc>
          <w:tcPr>
            <w:tcW w:w="2120" w:type="dxa"/>
            <w:gridSpan w:val="2"/>
            <w:vAlign w:val="center"/>
          </w:tcPr>
          <w:p w:rsidR="00847839" w:rsidRPr="00847839" w:rsidRDefault="00847839" w:rsidP="00847839">
            <w:pPr>
              <w:spacing w:before="20" w:after="20"/>
              <w:jc w:val="center"/>
              <w:rPr>
                <w:rFonts w:eastAsia="Times New Roman"/>
                <w:szCs w:val="19"/>
              </w:rPr>
            </w:pPr>
            <w:r w:rsidRPr="00847839">
              <w:rPr>
                <w:rFonts w:eastAsia="Times New Roman"/>
                <w:szCs w:val="19"/>
              </w:rPr>
              <w:t xml:space="preserve">wolne </w:t>
            </w:r>
          </w:p>
        </w:tc>
        <w:tc>
          <w:tcPr>
            <w:tcW w:w="1060" w:type="dxa"/>
            <w:vMerge/>
            <w:vAlign w:val="center"/>
          </w:tcPr>
          <w:p w:rsidR="00847839" w:rsidRPr="00847839" w:rsidRDefault="00847839" w:rsidP="00847839">
            <w:pPr>
              <w:spacing w:before="20" w:after="20" w:line="220" w:lineRule="exact"/>
              <w:ind w:left="-57" w:right="-57"/>
              <w:jc w:val="center"/>
              <w:rPr>
                <w:rFonts w:eastAsia="Times New Roman"/>
                <w:szCs w:val="19"/>
              </w:rPr>
            </w:pPr>
          </w:p>
        </w:tc>
        <w:tc>
          <w:tcPr>
            <w:tcW w:w="1061" w:type="dxa"/>
            <w:vMerge/>
            <w:vAlign w:val="center"/>
          </w:tcPr>
          <w:p w:rsidR="00847839" w:rsidRPr="00847839" w:rsidRDefault="00847839" w:rsidP="00847839">
            <w:pPr>
              <w:spacing w:before="20" w:after="20"/>
              <w:jc w:val="center"/>
              <w:rPr>
                <w:rFonts w:eastAsia="Times New Roman"/>
                <w:szCs w:val="19"/>
              </w:rPr>
            </w:pPr>
          </w:p>
        </w:tc>
      </w:tr>
      <w:tr w:rsidR="00847839" w:rsidRPr="00847839" w:rsidTr="00852C4D">
        <w:trPr>
          <w:trHeight w:val="60"/>
        </w:trPr>
        <w:tc>
          <w:tcPr>
            <w:tcW w:w="1701" w:type="dxa"/>
            <w:vMerge/>
            <w:vAlign w:val="center"/>
          </w:tcPr>
          <w:p w:rsidR="00847839" w:rsidRPr="00847839" w:rsidRDefault="00847839" w:rsidP="00847839">
            <w:pPr>
              <w:spacing w:before="20" w:after="20"/>
              <w:jc w:val="center"/>
              <w:rPr>
                <w:rFonts w:eastAsia="Times New Roman"/>
                <w:szCs w:val="19"/>
              </w:rPr>
            </w:pPr>
          </w:p>
        </w:tc>
        <w:tc>
          <w:tcPr>
            <w:tcW w:w="1060" w:type="dxa"/>
            <w:vMerge/>
          </w:tcPr>
          <w:p w:rsidR="00847839" w:rsidRPr="00847839" w:rsidRDefault="00847839" w:rsidP="00847839">
            <w:pPr>
              <w:spacing w:before="20" w:after="20"/>
              <w:jc w:val="center"/>
              <w:rPr>
                <w:rFonts w:eastAsia="Times New Roman" w:cs="Calibri"/>
                <w:szCs w:val="19"/>
              </w:rPr>
            </w:pPr>
          </w:p>
        </w:tc>
        <w:tc>
          <w:tcPr>
            <w:tcW w:w="1060" w:type="dxa"/>
            <w:vMerge/>
            <w:vAlign w:val="center"/>
          </w:tcPr>
          <w:p w:rsidR="00847839" w:rsidRPr="00847839" w:rsidRDefault="00847839" w:rsidP="00847839">
            <w:pPr>
              <w:spacing w:before="20" w:after="20"/>
              <w:jc w:val="center"/>
              <w:rPr>
                <w:rFonts w:eastAsia="Times New Roman" w:cs="Calibri"/>
                <w:szCs w:val="19"/>
              </w:rPr>
            </w:pPr>
          </w:p>
        </w:tc>
        <w:tc>
          <w:tcPr>
            <w:tcW w:w="1060" w:type="dxa"/>
            <w:vAlign w:val="center"/>
          </w:tcPr>
          <w:p w:rsidR="00847839" w:rsidRPr="00847839" w:rsidRDefault="00847839" w:rsidP="00847839">
            <w:pPr>
              <w:spacing w:before="20" w:after="20"/>
              <w:jc w:val="center"/>
              <w:rPr>
                <w:rFonts w:eastAsia="Times New Roman" w:cs="Calibri"/>
                <w:szCs w:val="19"/>
              </w:rPr>
            </w:pPr>
            <w:r w:rsidRPr="00847839">
              <w:rPr>
                <w:rFonts w:eastAsia="Times New Roman" w:cs="Calibri"/>
                <w:szCs w:val="19"/>
              </w:rPr>
              <w:t>razem</w:t>
            </w:r>
          </w:p>
        </w:tc>
        <w:tc>
          <w:tcPr>
            <w:tcW w:w="1060" w:type="dxa"/>
            <w:vAlign w:val="center"/>
          </w:tcPr>
          <w:p w:rsidR="00847839" w:rsidRPr="00847839" w:rsidRDefault="00847839" w:rsidP="00847839">
            <w:pPr>
              <w:spacing w:before="20" w:after="20" w:line="220" w:lineRule="exact"/>
              <w:jc w:val="center"/>
              <w:rPr>
                <w:rFonts w:eastAsia="Times New Roman" w:cs="Calibri"/>
                <w:szCs w:val="19"/>
              </w:rPr>
            </w:pPr>
            <w:r w:rsidRPr="00847839">
              <w:rPr>
                <w:rFonts w:eastAsia="Times New Roman" w:cs="Calibri"/>
                <w:szCs w:val="19"/>
              </w:rPr>
              <w:t xml:space="preserve">w tym nowo </w:t>
            </w:r>
            <w:r w:rsidRPr="00847839">
              <w:rPr>
                <w:rFonts w:eastAsia="Times New Roman" w:cs="Calibri"/>
                <w:szCs w:val="19"/>
              </w:rPr>
              <w:br/>
              <w:t>utworzone</w:t>
            </w:r>
          </w:p>
        </w:tc>
        <w:tc>
          <w:tcPr>
            <w:tcW w:w="1060" w:type="dxa"/>
            <w:vMerge/>
            <w:vAlign w:val="center"/>
          </w:tcPr>
          <w:p w:rsidR="00847839" w:rsidRPr="00847839" w:rsidRDefault="00847839" w:rsidP="00847839">
            <w:pPr>
              <w:spacing w:before="20" w:after="20"/>
              <w:jc w:val="center"/>
              <w:rPr>
                <w:rFonts w:eastAsia="Times New Roman" w:cs="Calibri"/>
                <w:color w:val="000000"/>
                <w:szCs w:val="19"/>
              </w:rPr>
            </w:pPr>
          </w:p>
        </w:tc>
        <w:tc>
          <w:tcPr>
            <w:tcW w:w="1061" w:type="dxa"/>
            <w:vMerge/>
            <w:vAlign w:val="center"/>
          </w:tcPr>
          <w:p w:rsidR="00847839" w:rsidRPr="00847839" w:rsidRDefault="00847839" w:rsidP="00847839">
            <w:pPr>
              <w:spacing w:before="20" w:after="20"/>
              <w:jc w:val="center"/>
              <w:rPr>
                <w:rFonts w:eastAsia="Times New Roman" w:cs="Calibri"/>
                <w:color w:val="000000"/>
                <w:szCs w:val="19"/>
              </w:rPr>
            </w:pPr>
          </w:p>
        </w:tc>
      </w:tr>
      <w:tr w:rsidR="00847839" w:rsidRPr="00847839" w:rsidTr="00852C4D">
        <w:trPr>
          <w:trHeight w:val="60"/>
        </w:trPr>
        <w:tc>
          <w:tcPr>
            <w:tcW w:w="1701" w:type="dxa"/>
            <w:vMerge/>
            <w:vAlign w:val="center"/>
          </w:tcPr>
          <w:p w:rsidR="00847839" w:rsidRPr="00847839" w:rsidRDefault="00847839" w:rsidP="00847839">
            <w:pPr>
              <w:spacing w:before="20" w:after="20"/>
              <w:jc w:val="center"/>
              <w:rPr>
                <w:rFonts w:eastAsia="Times New Roman"/>
                <w:szCs w:val="19"/>
              </w:rPr>
            </w:pPr>
          </w:p>
        </w:tc>
        <w:tc>
          <w:tcPr>
            <w:tcW w:w="4240" w:type="dxa"/>
            <w:gridSpan w:val="4"/>
          </w:tcPr>
          <w:p w:rsidR="00847839" w:rsidRPr="00847839" w:rsidRDefault="00847839" w:rsidP="00847839">
            <w:pPr>
              <w:spacing w:before="20" w:after="20"/>
              <w:jc w:val="center"/>
              <w:rPr>
                <w:rFonts w:eastAsia="Times New Roman" w:cs="Calibri"/>
                <w:color w:val="000000"/>
                <w:szCs w:val="19"/>
              </w:rPr>
            </w:pPr>
            <w:r w:rsidRPr="00847839">
              <w:rPr>
                <w:rFonts w:eastAsia="Times New Roman"/>
                <w:szCs w:val="19"/>
              </w:rPr>
              <w:t>stan na koniec kwartału</w:t>
            </w:r>
          </w:p>
        </w:tc>
        <w:tc>
          <w:tcPr>
            <w:tcW w:w="2121" w:type="dxa"/>
            <w:gridSpan w:val="2"/>
            <w:vAlign w:val="center"/>
          </w:tcPr>
          <w:p w:rsidR="00847839" w:rsidRPr="00847839" w:rsidRDefault="00847839" w:rsidP="00847839">
            <w:pPr>
              <w:spacing w:before="20" w:after="20"/>
              <w:jc w:val="center"/>
              <w:rPr>
                <w:rFonts w:eastAsia="Times New Roman" w:cs="Calibri"/>
                <w:color w:val="000000"/>
                <w:szCs w:val="19"/>
              </w:rPr>
            </w:pPr>
            <w:r w:rsidRPr="00847839">
              <w:rPr>
                <w:rFonts w:eastAsia="Times New Roman" w:cs="Calibri"/>
                <w:color w:val="000000"/>
                <w:szCs w:val="19"/>
              </w:rPr>
              <w:t>w ciągu kwartału</w:t>
            </w:r>
          </w:p>
        </w:tc>
      </w:tr>
      <w:tr w:rsidR="00847839" w:rsidRPr="00847839" w:rsidTr="00852C4D">
        <w:trPr>
          <w:trHeight w:val="50"/>
        </w:trPr>
        <w:tc>
          <w:tcPr>
            <w:tcW w:w="1701" w:type="dxa"/>
            <w:vMerge/>
            <w:vAlign w:val="center"/>
          </w:tcPr>
          <w:p w:rsidR="00847839" w:rsidRPr="00847839" w:rsidRDefault="00847839" w:rsidP="00847839">
            <w:pPr>
              <w:spacing w:before="20" w:after="20"/>
              <w:jc w:val="center"/>
              <w:rPr>
                <w:rFonts w:eastAsia="Times New Roman"/>
                <w:szCs w:val="19"/>
              </w:rPr>
            </w:pPr>
          </w:p>
        </w:tc>
        <w:tc>
          <w:tcPr>
            <w:tcW w:w="6361" w:type="dxa"/>
            <w:gridSpan w:val="6"/>
          </w:tcPr>
          <w:p w:rsidR="00847839" w:rsidRPr="00847839" w:rsidRDefault="00847839" w:rsidP="00847839">
            <w:pPr>
              <w:spacing w:before="20" w:after="20"/>
              <w:jc w:val="center"/>
              <w:rPr>
                <w:rFonts w:eastAsia="Times New Roman" w:cs="Calibri"/>
                <w:color w:val="000000"/>
                <w:szCs w:val="19"/>
              </w:rPr>
            </w:pPr>
            <w:r w:rsidRPr="00847839">
              <w:rPr>
                <w:rFonts w:eastAsia="Times New Roman" w:cs="Calibri"/>
                <w:color w:val="000000"/>
                <w:szCs w:val="19"/>
              </w:rPr>
              <w:t>w tysiącach</w:t>
            </w:r>
          </w:p>
        </w:tc>
      </w:tr>
      <w:tr w:rsidR="00847839" w:rsidRPr="00847839" w:rsidTr="00852C4D">
        <w:tc>
          <w:tcPr>
            <w:tcW w:w="8062" w:type="dxa"/>
            <w:gridSpan w:val="7"/>
            <w:vAlign w:val="center"/>
          </w:tcPr>
          <w:p w:rsidR="00847839" w:rsidRPr="00847839" w:rsidRDefault="00847839" w:rsidP="00847839">
            <w:pPr>
              <w:spacing w:before="20" w:after="20"/>
              <w:jc w:val="center"/>
              <w:rPr>
                <w:rFonts w:eastAsia="Times New Roman"/>
                <w:szCs w:val="19"/>
              </w:rPr>
            </w:pPr>
            <w:r w:rsidRPr="00847839">
              <w:rPr>
                <w:rFonts w:eastAsia="Times New Roman"/>
                <w:szCs w:val="19"/>
              </w:rPr>
              <w:t>2021</w:t>
            </w:r>
          </w:p>
        </w:tc>
      </w:tr>
      <w:tr w:rsidR="00847839" w:rsidRPr="00847839" w:rsidTr="00852C4D">
        <w:tc>
          <w:tcPr>
            <w:tcW w:w="1701" w:type="dxa"/>
          </w:tcPr>
          <w:p w:rsidR="00847839" w:rsidRPr="00847839" w:rsidRDefault="00847839" w:rsidP="00847839">
            <w:pPr>
              <w:spacing w:before="20" w:after="20"/>
              <w:rPr>
                <w:rFonts w:eastAsia="Times New Roman"/>
                <w:szCs w:val="19"/>
              </w:rPr>
            </w:pPr>
            <w:r w:rsidRPr="00847839">
              <w:rPr>
                <w:rFonts w:eastAsia="Times New Roman"/>
                <w:szCs w:val="19"/>
              </w:rPr>
              <w:t>2 kwartał</w:t>
            </w:r>
          </w:p>
        </w:tc>
        <w:tc>
          <w:tcPr>
            <w:tcW w:w="1060" w:type="dxa"/>
          </w:tcPr>
          <w:p w:rsidR="00847839" w:rsidRPr="00847839" w:rsidRDefault="00847839" w:rsidP="00847839">
            <w:pPr>
              <w:spacing w:before="20" w:after="20"/>
              <w:jc w:val="right"/>
              <w:rPr>
                <w:rFonts w:eastAsia="Times New Roman" w:cs="Calibri"/>
                <w:color w:val="000000"/>
                <w:szCs w:val="19"/>
              </w:rPr>
            </w:pPr>
            <w:r w:rsidRPr="00847839">
              <w:t>12332,6</w:t>
            </w:r>
          </w:p>
        </w:tc>
        <w:tc>
          <w:tcPr>
            <w:tcW w:w="1060" w:type="dxa"/>
          </w:tcPr>
          <w:p w:rsidR="00847839" w:rsidRPr="00847839" w:rsidRDefault="00847839" w:rsidP="00847839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847839">
              <w:rPr>
                <w:rFonts w:eastAsia="Times New Roman" w:cs="Calibri"/>
                <w:color w:val="000000"/>
                <w:szCs w:val="19"/>
              </w:rPr>
              <w:t>12189,8</w:t>
            </w:r>
          </w:p>
        </w:tc>
        <w:tc>
          <w:tcPr>
            <w:tcW w:w="1060" w:type="dxa"/>
          </w:tcPr>
          <w:p w:rsidR="00847839" w:rsidRPr="00847839" w:rsidRDefault="00847839" w:rsidP="00847839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847839">
              <w:rPr>
                <w:rFonts w:eastAsia="Times New Roman" w:cs="Calibri"/>
                <w:color w:val="000000"/>
                <w:szCs w:val="19"/>
              </w:rPr>
              <w:t>142,8</w:t>
            </w:r>
          </w:p>
        </w:tc>
        <w:tc>
          <w:tcPr>
            <w:tcW w:w="1060" w:type="dxa"/>
          </w:tcPr>
          <w:p w:rsidR="00847839" w:rsidRPr="00847839" w:rsidRDefault="00847839" w:rsidP="00847839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847839">
              <w:rPr>
                <w:rFonts w:eastAsia="Times New Roman" w:cs="Calibri"/>
                <w:color w:val="000000"/>
                <w:szCs w:val="19"/>
              </w:rPr>
              <w:t>35,0</w:t>
            </w:r>
          </w:p>
        </w:tc>
        <w:tc>
          <w:tcPr>
            <w:tcW w:w="1060" w:type="dxa"/>
          </w:tcPr>
          <w:p w:rsidR="00847839" w:rsidRPr="00847839" w:rsidRDefault="00847839" w:rsidP="00847839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847839">
              <w:rPr>
                <w:rFonts w:eastAsia="Times New Roman" w:cs="Calibri"/>
                <w:color w:val="000000"/>
                <w:szCs w:val="19"/>
              </w:rPr>
              <w:t>145,8</w:t>
            </w:r>
          </w:p>
        </w:tc>
        <w:tc>
          <w:tcPr>
            <w:tcW w:w="1061" w:type="dxa"/>
          </w:tcPr>
          <w:p w:rsidR="00847839" w:rsidRPr="00847839" w:rsidRDefault="00847839" w:rsidP="00847839">
            <w:pPr>
              <w:spacing w:before="20" w:after="20"/>
              <w:jc w:val="right"/>
              <w:rPr>
                <w:rFonts w:eastAsia="Times New Roman" w:cs="Calibri"/>
                <w:color w:val="000000"/>
                <w:szCs w:val="19"/>
              </w:rPr>
            </w:pPr>
            <w:r w:rsidRPr="00847839">
              <w:rPr>
                <w:rFonts w:eastAsia="Times New Roman" w:cs="Calibri"/>
                <w:color w:val="000000"/>
                <w:szCs w:val="19"/>
              </w:rPr>
              <w:t>58,5</w:t>
            </w:r>
          </w:p>
        </w:tc>
      </w:tr>
      <w:tr w:rsidR="00847839" w:rsidRPr="00847839" w:rsidTr="00852C4D">
        <w:tc>
          <w:tcPr>
            <w:tcW w:w="1701" w:type="dxa"/>
          </w:tcPr>
          <w:p w:rsidR="00847839" w:rsidRPr="00847839" w:rsidRDefault="00847839" w:rsidP="00847839">
            <w:pPr>
              <w:spacing w:before="20" w:after="20"/>
              <w:rPr>
                <w:rFonts w:eastAsia="Times New Roman"/>
                <w:szCs w:val="19"/>
              </w:rPr>
            </w:pPr>
            <w:r w:rsidRPr="00847839">
              <w:rPr>
                <w:rFonts w:eastAsia="Times New Roman"/>
                <w:szCs w:val="19"/>
              </w:rPr>
              <w:t>3 kwartał</w:t>
            </w:r>
          </w:p>
        </w:tc>
        <w:tc>
          <w:tcPr>
            <w:tcW w:w="1060" w:type="dxa"/>
          </w:tcPr>
          <w:p w:rsidR="00847839" w:rsidRPr="00847839" w:rsidRDefault="00847839" w:rsidP="00847839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847839">
              <w:t>12325,9</w:t>
            </w:r>
          </w:p>
        </w:tc>
        <w:tc>
          <w:tcPr>
            <w:tcW w:w="1060" w:type="dxa"/>
          </w:tcPr>
          <w:p w:rsidR="00847839" w:rsidRPr="00847839" w:rsidRDefault="00847839" w:rsidP="00847839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847839">
              <w:rPr>
                <w:rFonts w:eastAsia="Times New Roman"/>
                <w:szCs w:val="19"/>
              </w:rPr>
              <w:t>12172,4</w:t>
            </w:r>
          </w:p>
        </w:tc>
        <w:tc>
          <w:tcPr>
            <w:tcW w:w="1060" w:type="dxa"/>
          </w:tcPr>
          <w:p w:rsidR="00847839" w:rsidRPr="00847839" w:rsidRDefault="00847839" w:rsidP="00847839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847839">
              <w:rPr>
                <w:rFonts w:eastAsia="Times New Roman"/>
                <w:szCs w:val="19"/>
              </w:rPr>
              <w:t>153,5</w:t>
            </w:r>
          </w:p>
        </w:tc>
        <w:tc>
          <w:tcPr>
            <w:tcW w:w="1060" w:type="dxa"/>
          </w:tcPr>
          <w:p w:rsidR="00847839" w:rsidRPr="00847839" w:rsidRDefault="00847839" w:rsidP="00847839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847839">
              <w:rPr>
                <w:rFonts w:eastAsia="Times New Roman"/>
                <w:szCs w:val="19"/>
              </w:rPr>
              <w:t>35,7</w:t>
            </w:r>
          </w:p>
        </w:tc>
        <w:tc>
          <w:tcPr>
            <w:tcW w:w="1060" w:type="dxa"/>
          </w:tcPr>
          <w:p w:rsidR="00847839" w:rsidRPr="00847839" w:rsidRDefault="00847839" w:rsidP="00847839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847839">
              <w:rPr>
                <w:rFonts w:eastAsia="Times New Roman"/>
                <w:szCs w:val="19"/>
              </w:rPr>
              <w:t>132,6</w:t>
            </w:r>
          </w:p>
        </w:tc>
        <w:tc>
          <w:tcPr>
            <w:tcW w:w="1061" w:type="dxa"/>
          </w:tcPr>
          <w:p w:rsidR="00847839" w:rsidRPr="00847839" w:rsidRDefault="00847839" w:rsidP="00847839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847839">
              <w:rPr>
                <w:rFonts w:eastAsia="Times New Roman"/>
                <w:szCs w:val="19"/>
              </w:rPr>
              <w:t>57,8</w:t>
            </w:r>
          </w:p>
        </w:tc>
      </w:tr>
      <w:tr w:rsidR="00847839" w:rsidRPr="00847839" w:rsidTr="00852C4D">
        <w:tc>
          <w:tcPr>
            <w:tcW w:w="1701" w:type="dxa"/>
          </w:tcPr>
          <w:p w:rsidR="00847839" w:rsidRPr="00847839" w:rsidRDefault="00847839" w:rsidP="00847839">
            <w:pPr>
              <w:spacing w:before="20" w:after="20"/>
              <w:rPr>
                <w:rFonts w:eastAsia="Times New Roman"/>
                <w:szCs w:val="19"/>
              </w:rPr>
            </w:pPr>
            <w:r w:rsidRPr="00847839">
              <w:rPr>
                <w:rFonts w:eastAsia="Times New Roman"/>
                <w:szCs w:val="19"/>
              </w:rPr>
              <w:t>4 kwartał</w:t>
            </w:r>
          </w:p>
        </w:tc>
        <w:tc>
          <w:tcPr>
            <w:tcW w:w="1060" w:type="dxa"/>
          </w:tcPr>
          <w:p w:rsidR="00847839" w:rsidRPr="00847839" w:rsidRDefault="00847839" w:rsidP="00847839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847839">
              <w:t>12286,8</w:t>
            </w:r>
          </w:p>
        </w:tc>
        <w:tc>
          <w:tcPr>
            <w:tcW w:w="1060" w:type="dxa"/>
            <w:vAlign w:val="bottom"/>
          </w:tcPr>
          <w:p w:rsidR="00847839" w:rsidRPr="00847839" w:rsidRDefault="00847839" w:rsidP="00847839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847839">
              <w:rPr>
                <w:rFonts w:cs="Calibri"/>
                <w:color w:val="000000"/>
                <w:szCs w:val="19"/>
              </w:rPr>
              <w:t>12149,4</w:t>
            </w:r>
          </w:p>
        </w:tc>
        <w:tc>
          <w:tcPr>
            <w:tcW w:w="1060" w:type="dxa"/>
            <w:vAlign w:val="bottom"/>
          </w:tcPr>
          <w:p w:rsidR="00847839" w:rsidRPr="00847839" w:rsidRDefault="00847839" w:rsidP="00847839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847839">
              <w:rPr>
                <w:rFonts w:cs="Calibri"/>
                <w:color w:val="000000"/>
                <w:szCs w:val="19"/>
              </w:rPr>
              <w:t>137,4</w:t>
            </w:r>
          </w:p>
        </w:tc>
        <w:tc>
          <w:tcPr>
            <w:tcW w:w="1060" w:type="dxa"/>
            <w:vAlign w:val="bottom"/>
          </w:tcPr>
          <w:p w:rsidR="00847839" w:rsidRPr="00847839" w:rsidRDefault="00847839" w:rsidP="00847839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847839">
              <w:rPr>
                <w:rFonts w:cs="Calibri"/>
                <w:color w:val="000000"/>
                <w:szCs w:val="19"/>
              </w:rPr>
              <w:t>32,3</w:t>
            </w:r>
          </w:p>
        </w:tc>
        <w:tc>
          <w:tcPr>
            <w:tcW w:w="1060" w:type="dxa"/>
            <w:vAlign w:val="bottom"/>
          </w:tcPr>
          <w:p w:rsidR="00847839" w:rsidRPr="00847839" w:rsidRDefault="00847839" w:rsidP="00847839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847839">
              <w:rPr>
                <w:rFonts w:cs="Calibri"/>
                <w:color w:val="000000"/>
                <w:szCs w:val="19"/>
              </w:rPr>
              <w:t>112,5</w:t>
            </w:r>
          </w:p>
        </w:tc>
        <w:tc>
          <w:tcPr>
            <w:tcW w:w="1061" w:type="dxa"/>
            <w:vAlign w:val="bottom"/>
          </w:tcPr>
          <w:p w:rsidR="00847839" w:rsidRPr="00847839" w:rsidRDefault="00847839" w:rsidP="00847839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847839">
              <w:rPr>
                <w:rFonts w:cs="Calibri"/>
                <w:color w:val="000000"/>
                <w:szCs w:val="19"/>
              </w:rPr>
              <w:t>64,9</w:t>
            </w:r>
          </w:p>
        </w:tc>
      </w:tr>
      <w:tr w:rsidR="00847839" w:rsidRPr="00847839" w:rsidTr="00852C4D">
        <w:tc>
          <w:tcPr>
            <w:tcW w:w="8062" w:type="dxa"/>
            <w:gridSpan w:val="7"/>
            <w:vAlign w:val="center"/>
          </w:tcPr>
          <w:p w:rsidR="00847839" w:rsidRPr="00847839" w:rsidRDefault="00847839" w:rsidP="00847839">
            <w:pPr>
              <w:spacing w:before="20" w:after="20"/>
              <w:jc w:val="center"/>
              <w:rPr>
                <w:rFonts w:cs="Calibri"/>
                <w:color w:val="000000"/>
                <w:szCs w:val="19"/>
              </w:rPr>
            </w:pPr>
            <w:r w:rsidRPr="00847839">
              <w:rPr>
                <w:rFonts w:cs="Calibri"/>
                <w:color w:val="000000"/>
                <w:szCs w:val="19"/>
              </w:rPr>
              <w:t>2022</w:t>
            </w:r>
          </w:p>
        </w:tc>
      </w:tr>
      <w:tr w:rsidR="00847839" w:rsidRPr="00847839" w:rsidTr="00852C4D">
        <w:tc>
          <w:tcPr>
            <w:tcW w:w="1701" w:type="dxa"/>
          </w:tcPr>
          <w:p w:rsidR="00847839" w:rsidRPr="00847839" w:rsidRDefault="00847839" w:rsidP="00847839">
            <w:pPr>
              <w:spacing w:before="20" w:after="20"/>
              <w:rPr>
                <w:rFonts w:eastAsia="Times New Roman"/>
                <w:szCs w:val="19"/>
              </w:rPr>
            </w:pPr>
            <w:r w:rsidRPr="00847839">
              <w:rPr>
                <w:rFonts w:eastAsia="Times New Roman"/>
                <w:szCs w:val="19"/>
              </w:rPr>
              <w:t>1 kwartał</w:t>
            </w:r>
          </w:p>
        </w:tc>
        <w:tc>
          <w:tcPr>
            <w:tcW w:w="1060" w:type="dxa"/>
            <w:vAlign w:val="bottom"/>
          </w:tcPr>
          <w:p w:rsidR="00847839" w:rsidRPr="00847839" w:rsidRDefault="00847839" w:rsidP="00847839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847839">
              <w:rPr>
                <w:rFonts w:eastAsia="Times New Roman"/>
                <w:szCs w:val="19"/>
              </w:rPr>
              <w:t>12684,6</w:t>
            </w:r>
          </w:p>
        </w:tc>
        <w:tc>
          <w:tcPr>
            <w:tcW w:w="1060" w:type="dxa"/>
            <w:vAlign w:val="bottom"/>
          </w:tcPr>
          <w:p w:rsidR="00847839" w:rsidRPr="00847839" w:rsidRDefault="00847839" w:rsidP="00847839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847839">
              <w:rPr>
                <w:rFonts w:eastAsia="Times New Roman"/>
                <w:szCs w:val="19"/>
              </w:rPr>
              <w:t>12525,9</w:t>
            </w:r>
          </w:p>
        </w:tc>
        <w:tc>
          <w:tcPr>
            <w:tcW w:w="1060" w:type="dxa"/>
            <w:vAlign w:val="bottom"/>
          </w:tcPr>
          <w:p w:rsidR="00847839" w:rsidRPr="00847839" w:rsidRDefault="00847839" w:rsidP="00847839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847839">
              <w:rPr>
                <w:rFonts w:eastAsia="Times New Roman"/>
                <w:szCs w:val="19"/>
              </w:rPr>
              <w:t>158,7</w:t>
            </w:r>
          </w:p>
        </w:tc>
        <w:tc>
          <w:tcPr>
            <w:tcW w:w="1060" w:type="dxa"/>
            <w:vAlign w:val="bottom"/>
          </w:tcPr>
          <w:p w:rsidR="00847839" w:rsidRPr="00847839" w:rsidRDefault="00847839" w:rsidP="00847839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847839">
              <w:rPr>
                <w:rFonts w:eastAsia="Times New Roman"/>
                <w:szCs w:val="19"/>
              </w:rPr>
              <w:t>30,9</w:t>
            </w:r>
          </w:p>
        </w:tc>
        <w:tc>
          <w:tcPr>
            <w:tcW w:w="1060" w:type="dxa"/>
            <w:vAlign w:val="bottom"/>
          </w:tcPr>
          <w:p w:rsidR="00847839" w:rsidRPr="00847839" w:rsidRDefault="00847839" w:rsidP="00847839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847839">
              <w:rPr>
                <w:rFonts w:eastAsia="Times New Roman"/>
                <w:szCs w:val="19"/>
              </w:rPr>
              <w:t>189,7</w:t>
            </w:r>
          </w:p>
        </w:tc>
        <w:tc>
          <w:tcPr>
            <w:tcW w:w="1061" w:type="dxa"/>
            <w:vAlign w:val="bottom"/>
          </w:tcPr>
          <w:p w:rsidR="00847839" w:rsidRPr="00847839" w:rsidRDefault="00847839" w:rsidP="00847839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847839">
              <w:rPr>
                <w:rFonts w:eastAsia="Times New Roman"/>
                <w:szCs w:val="19"/>
              </w:rPr>
              <w:t>81,9</w:t>
            </w:r>
          </w:p>
        </w:tc>
      </w:tr>
      <w:tr w:rsidR="00847839" w:rsidRPr="00847839" w:rsidTr="00852C4D">
        <w:tc>
          <w:tcPr>
            <w:tcW w:w="1701" w:type="dxa"/>
          </w:tcPr>
          <w:p w:rsidR="00847839" w:rsidRPr="00847839" w:rsidRDefault="00847839" w:rsidP="00847839">
            <w:pPr>
              <w:spacing w:before="20" w:after="20"/>
              <w:rPr>
                <w:rFonts w:eastAsia="Times New Roman"/>
                <w:szCs w:val="19"/>
              </w:rPr>
            </w:pPr>
            <w:r w:rsidRPr="00847839">
              <w:rPr>
                <w:rFonts w:eastAsia="Times New Roman"/>
                <w:szCs w:val="19"/>
              </w:rPr>
              <w:t>2 kwartał</w:t>
            </w:r>
          </w:p>
        </w:tc>
        <w:tc>
          <w:tcPr>
            <w:tcW w:w="1060" w:type="dxa"/>
            <w:vAlign w:val="bottom"/>
          </w:tcPr>
          <w:p w:rsidR="00847839" w:rsidRPr="00847839" w:rsidRDefault="00847839" w:rsidP="00847839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847839">
              <w:rPr>
                <w:rFonts w:eastAsia="Times New Roman"/>
                <w:szCs w:val="19"/>
              </w:rPr>
              <w:t>12659,3</w:t>
            </w:r>
          </w:p>
        </w:tc>
        <w:tc>
          <w:tcPr>
            <w:tcW w:w="1060" w:type="dxa"/>
            <w:vAlign w:val="bottom"/>
          </w:tcPr>
          <w:p w:rsidR="00847839" w:rsidRPr="00847839" w:rsidRDefault="00847839" w:rsidP="00847839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847839">
              <w:rPr>
                <w:rFonts w:eastAsia="Times New Roman"/>
                <w:szCs w:val="19"/>
              </w:rPr>
              <w:t>12510,0</w:t>
            </w:r>
          </w:p>
        </w:tc>
        <w:tc>
          <w:tcPr>
            <w:tcW w:w="1060" w:type="dxa"/>
            <w:vAlign w:val="bottom"/>
          </w:tcPr>
          <w:p w:rsidR="00847839" w:rsidRPr="00847839" w:rsidRDefault="00847839" w:rsidP="00847839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847839">
              <w:rPr>
                <w:rFonts w:eastAsia="Times New Roman"/>
                <w:szCs w:val="19"/>
              </w:rPr>
              <w:t>149,3</w:t>
            </w:r>
          </w:p>
        </w:tc>
        <w:tc>
          <w:tcPr>
            <w:tcW w:w="1060" w:type="dxa"/>
            <w:vAlign w:val="bottom"/>
          </w:tcPr>
          <w:p w:rsidR="00847839" w:rsidRPr="00847839" w:rsidRDefault="00847839" w:rsidP="00847839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847839">
              <w:rPr>
                <w:rFonts w:eastAsia="Times New Roman"/>
                <w:szCs w:val="19"/>
              </w:rPr>
              <w:t>28,5</w:t>
            </w:r>
          </w:p>
        </w:tc>
        <w:tc>
          <w:tcPr>
            <w:tcW w:w="1060" w:type="dxa"/>
            <w:vAlign w:val="bottom"/>
          </w:tcPr>
          <w:p w:rsidR="00847839" w:rsidRPr="00847839" w:rsidRDefault="00847839" w:rsidP="00847839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847839">
              <w:rPr>
                <w:rFonts w:eastAsia="Times New Roman"/>
                <w:szCs w:val="19"/>
              </w:rPr>
              <w:t>136,0</w:t>
            </w:r>
          </w:p>
        </w:tc>
        <w:tc>
          <w:tcPr>
            <w:tcW w:w="1061" w:type="dxa"/>
            <w:vAlign w:val="bottom"/>
          </w:tcPr>
          <w:p w:rsidR="00847839" w:rsidRPr="00847839" w:rsidRDefault="00847839" w:rsidP="00847839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847839">
              <w:rPr>
                <w:rFonts w:eastAsia="Times New Roman"/>
                <w:szCs w:val="19"/>
              </w:rPr>
              <w:t>65,9</w:t>
            </w:r>
          </w:p>
        </w:tc>
      </w:tr>
      <w:tr w:rsidR="00847839" w:rsidRPr="00847839" w:rsidTr="00852C4D">
        <w:tc>
          <w:tcPr>
            <w:tcW w:w="1701" w:type="dxa"/>
          </w:tcPr>
          <w:p w:rsidR="00847839" w:rsidRPr="00847839" w:rsidRDefault="00847839" w:rsidP="00847839">
            <w:pPr>
              <w:spacing w:before="20" w:after="20"/>
              <w:rPr>
                <w:rFonts w:eastAsia="Times New Roman"/>
                <w:b/>
                <w:szCs w:val="19"/>
              </w:rPr>
            </w:pPr>
            <w:r w:rsidRPr="00847839">
              <w:rPr>
                <w:rFonts w:eastAsia="Times New Roman"/>
                <w:b/>
                <w:szCs w:val="19"/>
              </w:rPr>
              <w:t>3 kwartał</w:t>
            </w:r>
          </w:p>
        </w:tc>
        <w:tc>
          <w:tcPr>
            <w:tcW w:w="1060" w:type="dxa"/>
            <w:vAlign w:val="bottom"/>
          </w:tcPr>
          <w:p w:rsidR="00847839" w:rsidRPr="00847839" w:rsidRDefault="00847839" w:rsidP="00847839">
            <w:pPr>
              <w:spacing w:before="20" w:after="20"/>
              <w:jc w:val="right"/>
              <w:rPr>
                <w:rFonts w:eastAsia="Times New Roman"/>
                <w:b/>
                <w:szCs w:val="19"/>
              </w:rPr>
            </w:pPr>
            <w:r w:rsidRPr="00847839">
              <w:rPr>
                <w:rFonts w:eastAsia="Times New Roman"/>
                <w:b/>
                <w:szCs w:val="19"/>
              </w:rPr>
              <w:t>12647,7</w:t>
            </w:r>
          </w:p>
        </w:tc>
        <w:tc>
          <w:tcPr>
            <w:tcW w:w="1060" w:type="dxa"/>
            <w:vAlign w:val="bottom"/>
          </w:tcPr>
          <w:p w:rsidR="00847839" w:rsidRPr="00847839" w:rsidRDefault="00847839" w:rsidP="00847839">
            <w:pPr>
              <w:spacing w:before="20" w:after="20"/>
              <w:jc w:val="right"/>
              <w:rPr>
                <w:rFonts w:eastAsia="Times New Roman"/>
                <w:b/>
                <w:szCs w:val="19"/>
              </w:rPr>
            </w:pPr>
            <w:r w:rsidRPr="00847839">
              <w:rPr>
                <w:rFonts w:eastAsia="Times New Roman"/>
                <w:b/>
                <w:szCs w:val="19"/>
              </w:rPr>
              <w:t>12512,2</w:t>
            </w:r>
          </w:p>
        </w:tc>
        <w:tc>
          <w:tcPr>
            <w:tcW w:w="1060" w:type="dxa"/>
            <w:vAlign w:val="bottom"/>
          </w:tcPr>
          <w:p w:rsidR="00847839" w:rsidRPr="00847839" w:rsidRDefault="00847839" w:rsidP="00847839">
            <w:pPr>
              <w:spacing w:before="20" w:after="20"/>
              <w:jc w:val="right"/>
              <w:rPr>
                <w:rFonts w:eastAsia="Times New Roman"/>
                <w:b/>
                <w:szCs w:val="19"/>
              </w:rPr>
            </w:pPr>
            <w:r w:rsidRPr="00847839">
              <w:rPr>
                <w:rFonts w:eastAsia="Times New Roman"/>
                <w:b/>
                <w:szCs w:val="19"/>
              </w:rPr>
              <w:t>135,5</w:t>
            </w:r>
          </w:p>
        </w:tc>
        <w:tc>
          <w:tcPr>
            <w:tcW w:w="1060" w:type="dxa"/>
            <w:vAlign w:val="bottom"/>
          </w:tcPr>
          <w:p w:rsidR="00847839" w:rsidRPr="00847839" w:rsidRDefault="00847839" w:rsidP="00847839">
            <w:pPr>
              <w:spacing w:before="20" w:after="20"/>
              <w:jc w:val="right"/>
              <w:rPr>
                <w:rFonts w:eastAsia="Times New Roman"/>
                <w:b/>
                <w:szCs w:val="19"/>
              </w:rPr>
            </w:pPr>
            <w:r w:rsidRPr="00847839">
              <w:rPr>
                <w:rFonts w:eastAsia="Times New Roman"/>
                <w:b/>
                <w:szCs w:val="19"/>
              </w:rPr>
              <w:t>25,6</w:t>
            </w:r>
          </w:p>
        </w:tc>
        <w:tc>
          <w:tcPr>
            <w:tcW w:w="1060" w:type="dxa"/>
            <w:vAlign w:val="bottom"/>
          </w:tcPr>
          <w:p w:rsidR="00847839" w:rsidRPr="00847839" w:rsidRDefault="00847839" w:rsidP="00847839">
            <w:pPr>
              <w:spacing w:before="20" w:after="20"/>
              <w:jc w:val="right"/>
              <w:rPr>
                <w:rFonts w:eastAsia="Times New Roman"/>
                <w:b/>
                <w:szCs w:val="19"/>
              </w:rPr>
            </w:pPr>
            <w:r w:rsidRPr="00847839">
              <w:rPr>
                <w:rFonts w:eastAsia="Times New Roman"/>
                <w:b/>
                <w:szCs w:val="19"/>
              </w:rPr>
              <w:t>120,6</w:t>
            </w:r>
          </w:p>
        </w:tc>
        <w:tc>
          <w:tcPr>
            <w:tcW w:w="1061" w:type="dxa"/>
            <w:vAlign w:val="bottom"/>
          </w:tcPr>
          <w:p w:rsidR="00847839" w:rsidRPr="00847839" w:rsidRDefault="00847839" w:rsidP="00847839">
            <w:pPr>
              <w:spacing w:before="20" w:after="20"/>
              <w:jc w:val="right"/>
              <w:rPr>
                <w:rFonts w:eastAsia="Times New Roman"/>
                <w:b/>
                <w:szCs w:val="19"/>
              </w:rPr>
            </w:pPr>
            <w:r w:rsidRPr="00847839">
              <w:rPr>
                <w:rFonts w:eastAsia="Times New Roman"/>
                <w:b/>
                <w:szCs w:val="19"/>
              </w:rPr>
              <w:t>71,7</w:t>
            </w:r>
          </w:p>
        </w:tc>
      </w:tr>
      <w:tr w:rsidR="00847839" w:rsidRPr="00847839" w:rsidTr="00852C4D">
        <w:tc>
          <w:tcPr>
            <w:tcW w:w="1701" w:type="dxa"/>
          </w:tcPr>
          <w:p w:rsidR="00847839" w:rsidRPr="00847839" w:rsidRDefault="00847839" w:rsidP="00847839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847839">
              <w:rPr>
                <w:rFonts w:eastAsia="Times New Roman"/>
                <w:szCs w:val="19"/>
              </w:rPr>
              <w:t>A</w:t>
            </w:r>
          </w:p>
        </w:tc>
        <w:tc>
          <w:tcPr>
            <w:tcW w:w="1060" w:type="dxa"/>
            <w:vAlign w:val="bottom"/>
          </w:tcPr>
          <w:p w:rsidR="00847839" w:rsidRPr="00847839" w:rsidRDefault="00847839" w:rsidP="00847839">
            <w:pPr>
              <w:spacing w:before="20" w:after="20"/>
              <w:jc w:val="right"/>
              <w:rPr>
                <w:rFonts w:cs="Calibri"/>
                <w:color w:val="000000"/>
                <w:szCs w:val="19"/>
              </w:rPr>
            </w:pPr>
            <w:r w:rsidRPr="00847839">
              <w:rPr>
                <w:rFonts w:cs="Calibri"/>
                <w:color w:val="000000"/>
                <w:szCs w:val="19"/>
              </w:rPr>
              <w:t>102,6</w:t>
            </w:r>
          </w:p>
        </w:tc>
        <w:tc>
          <w:tcPr>
            <w:tcW w:w="1060" w:type="dxa"/>
            <w:vAlign w:val="bottom"/>
          </w:tcPr>
          <w:p w:rsidR="00847839" w:rsidRPr="00847839" w:rsidRDefault="00847839" w:rsidP="00847839">
            <w:pPr>
              <w:spacing w:before="20" w:after="20"/>
              <w:jc w:val="right"/>
              <w:rPr>
                <w:rFonts w:cs="Calibri"/>
                <w:color w:val="000000"/>
                <w:szCs w:val="19"/>
              </w:rPr>
            </w:pPr>
            <w:r w:rsidRPr="00847839">
              <w:rPr>
                <w:rFonts w:cs="Calibri"/>
                <w:color w:val="000000"/>
                <w:szCs w:val="19"/>
              </w:rPr>
              <w:t>102,8</w:t>
            </w:r>
          </w:p>
        </w:tc>
        <w:tc>
          <w:tcPr>
            <w:tcW w:w="1060" w:type="dxa"/>
            <w:vAlign w:val="bottom"/>
          </w:tcPr>
          <w:p w:rsidR="00847839" w:rsidRPr="00847839" w:rsidRDefault="00847839" w:rsidP="00847839">
            <w:pPr>
              <w:spacing w:before="20" w:after="20"/>
              <w:jc w:val="right"/>
              <w:rPr>
                <w:rFonts w:cs="Calibri"/>
                <w:color w:val="000000"/>
                <w:szCs w:val="19"/>
              </w:rPr>
            </w:pPr>
            <w:r w:rsidRPr="00847839">
              <w:rPr>
                <w:rFonts w:cs="Calibri"/>
                <w:color w:val="000000"/>
                <w:szCs w:val="19"/>
              </w:rPr>
              <w:t>88,3</w:t>
            </w:r>
          </w:p>
        </w:tc>
        <w:tc>
          <w:tcPr>
            <w:tcW w:w="1060" w:type="dxa"/>
            <w:vAlign w:val="bottom"/>
          </w:tcPr>
          <w:p w:rsidR="00847839" w:rsidRPr="00847839" w:rsidRDefault="00847839" w:rsidP="00847839">
            <w:pPr>
              <w:spacing w:before="20" w:after="20"/>
              <w:jc w:val="right"/>
              <w:rPr>
                <w:rFonts w:cs="Calibri"/>
                <w:color w:val="000000"/>
                <w:szCs w:val="19"/>
              </w:rPr>
            </w:pPr>
            <w:r w:rsidRPr="00847839">
              <w:rPr>
                <w:rFonts w:cs="Calibri"/>
                <w:color w:val="000000"/>
                <w:szCs w:val="19"/>
              </w:rPr>
              <w:t>71,7</w:t>
            </w:r>
          </w:p>
        </w:tc>
        <w:tc>
          <w:tcPr>
            <w:tcW w:w="1060" w:type="dxa"/>
            <w:vAlign w:val="bottom"/>
          </w:tcPr>
          <w:p w:rsidR="00847839" w:rsidRPr="00847839" w:rsidRDefault="00847839" w:rsidP="00847839">
            <w:pPr>
              <w:spacing w:before="20" w:after="20"/>
              <w:jc w:val="right"/>
              <w:rPr>
                <w:rFonts w:cs="Calibri"/>
                <w:color w:val="000000"/>
                <w:szCs w:val="19"/>
              </w:rPr>
            </w:pPr>
            <w:r w:rsidRPr="00847839">
              <w:rPr>
                <w:rFonts w:cs="Calibri"/>
                <w:color w:val="000000"/>
                <w:szCs w:val="19"/>
              </w:rPr>
              <w:t>91,0</w:t>
            </w:r>
          </w:p>
        </w:tc>
        <w:tc>
          <w:tcPr>
            <w:tcW w:w="1061" w:type="dxa"/>
            <w:vAlign w:val="bottom"/>
          </w:tcPr>
          <w:p w:rsidR="00847839" w:rsidRPr="00847839" w:rsidRDefault="00847839" w:rsidP="00847839">
            <w:pPr>
              <w:spacing w:before="20" w:after="20"/>
              <w:jc w:val="right"/>
              <w:rPr>
                <w:rFonts w:cs="Calibri"/>
                <w:color w:val="000000"/>
                <w:szCs w:val="19"/>
              </w:rPr>
            </w:pPr>
            <w:r w:rsidRPr="00847839">
              <w:rPr>
                <w:rFonts w:cs="Calibri"/>
                <w:color w:val="000000"/>
                <w:szCs w:val="19"/>
              </w:rPr>
              <w:t>124,0</w:t>
            </w:r>
          </w:p>
        </w:tc>
      </w:tr>
      <w:tr w:rsidR="00847839" w:rsidRPr="00847839" w:rsidTr="00852C4D">
        <w:tc>
          <w:tcPr>
            <w:tcW w:w="1701" w:type="dxa"/>
          </w:tcPr>
          <w:p w:rsidR="00847839" w:rsidRPr="00847839" w:rsidRDefault="00847839" w:rsidP="00847839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847839">
              <w:rPr>
                <w:rFonts w:eastAsia="Times New Roman"/>
                <w:szCs w:val="19"/>
              </w:rPr>
              <w:t>B</w:t>
            </w:r>
          </w:p>
        </w:tc>
        <w:tc>
          <w:tcPr>
            <w:tcW w:w="1060" w:type="dxa"/>
            <w:vAlign w:val="bottom"/>
          </w:tcPr>
          <w:p w:rsidR="00847839" w:rsidRPr="00847839" w:rsidRDefault="00847839" w:rsidP="00847839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847839">
              <w:rPr>
                <w:rFonts w:eastAsia="Times New Roman"/>
                <w:szCs w:val="19"/>
              </w:rPr>
              <w:t>99,9</w:t>
            </w:r>
          </w:p>
        </w:tc>
        <w:tc>
          <w:tcPr>
            <w:tcW w:w="1060" w:type="dxa"/>
            <w:vAlign w:val="bottom"/>
          </w:tcPr>
          <w:p w:rsidR="00847839" w:rsidRPr="00847839" w:rsidRDefault="00847839" w:rsidP="00847839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847839">
              <w:rPr>
                <w:rFonts w:eastAsia="Times New Roman"/>
                <w:szCs w:val="19"/>
              </w:rPr>
              <w:t>100,0</w:t>
            </w:r>
          </w:p>
        </w:tc>
        <w:tc>
          <w:tcPr>
            <w:tcW w:w="1060" w:type="dxa"/>
            <w:vAlign w:val="bottom"/>
          </w:tcPr>
          <w:p w:rsidR="00847839" w:rsidRPr="00847839" w:rsidRDefault="00847839" w:rsidP="00847839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847839">
              <w:rPr>
                <w:rFonts w:eastAsia="Times New Roman"/>
                <w:szCs w:val="19"/>
              </w:rPr>
              <w:t>90,8</w:t>
            </w:r>
          </w:p>
        </w:tc>
        <w:tc>
          <w:tcPr>
            <w:tcW w:w="1060" w:type="dxa"/>
            <w:vAlign w:val="bottom"/>
          </w:tcPr>
          <w:p w:rsidR="00847839" w:rsidRPr="00847839" w:rsidRDefault="00847839" w:rsidP="00847839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847839">
              <w:rPr>
                <w:rFonts w:eastAsia="Times New Roman"/>
                <w:szCs w:val="19"/>
              </w:rPr>
              <w:t>89,8</w:t>
            </w:r>
          </w:p>
        </w:tc>
        <w:tc>
          <w:tcPr>
            <w:tcW w:w="1060" w:type="dxa"/>
            <w:vAlign w:val="bottom"/>
          </w:tcPr>
          <w:p w:rsidR="00847839" w:rsidRPr="00847839" w:rsidRDefault="00847839" w:rsidP="00847839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847839">
              <w:rPr>
                <w:rFonts w:eastAsia="Times New Roman"/>
                <w:szCs w:val="19"/>
              </w:rPr>
              <w:t>88,7</w:t>
            </w:r>
          </w:p>
        </w:tc>
        <w:tc>
          <w:tcPr>
            <w:tcW w:w="1061" w:type="dxa"/>
            <w:vAlign w:val="bottom"/>
          </w:tcPr>
          <w:p w:rsidR="00847839" w:rsidRPr="00847839" w:rsidRDefault="00847839" w:rsidP="00847839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847839">
              <w:rPr>
                <w:rFonts w:eastAsia="Times New Roman"/>
                <w:szCs w:val="19"/>
              </w:rPr>
              <w:t>108,8</w:t>
            </w:r>
          </w:p>
        </w:tc>
      </w:tr>
    </w:tbl>
    <w:p w:rsidR="00847839" w:rsidRPr="00847839" w:rsidRDefault="00847839" w:rsidP="00847839">
      <w:pPr>
        <w:rPr>
          <w:b/>
          <w:szCs w:val="19"/>
        </w:rPr>
      </w:pPr>
    </w:p>
    <w:p w:rsidR="00847839" w:rsidRPr="00847839" w:rsidRDefault="00847839" w:rsidP="00847839">
      <w:pPr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  <w:r w:rsidRPr="00847839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Obsadzone i wolne miejsca pracy na koniec trzeciego kwartału 2022 r.</w:t>
      </w:r>
    </w:p>
    <w:p w:rsidR="00942149" w:rsidRPr="00942149" w:rsidRDefault="00942149" w:rsidP="00942149">
      <w:pPr>
        <w:rPr>
          <w:noProof/>
          <w:color w:val="000000"/>
          <w:szCs w:val="19"/>
          <w:lang w:eastAsia="pl-PL"/>
        </w:rPr>
      </w:pPr>
      <w:r w:rsidRPr="00942149">
        <w:rPr>
          <w:noProof/>
          <w:color w:val="000000"/>
          <w:szCs w:val="19"/>
          <w:lang w:eastAsia="pl-PL"/>
        </w:rPr>
        <w:t>Zrealizowany popyt na pracę określany jest liczbą</w:t>
      </w:r>
      <w:r w:rsidRPr="00942149">
        <w:rPr>
          <w:b/>
          <w:noProof/>
          <w:color w:val="000000"/>
          <w:szCs w:val="19"/>
          <w:lang w:eastAsia="pl-PL"/>
        </w:rPr>
        <w:t xml:space="preserve"> obsadzonych miejsc pracy</w:t>
      </w:r>
      <w:r w:rsidRPr="00942149">
        <w:rPr>
          <w:noProof/>
          <w:color w:val="000000"/>
          <w:szCs w:val="19"/>
          <w:lang w:eastAsia="pl-PL"/>
        </w:rPr>
        <w:t>. W trzecim kwartale 2022 r. było to 12512,2 tys. miejsc, co oznac</w:t>
      </w:r>
      <w:r w:rsidR="00321799">
        <w:rPr>
          <w:noProof/>
          <w:color w:val="000000"/>
          <w:szCs w:val="19"/>
          <w:lang w:eastAsia="pl-PL"/>
        </w:rPr>
        <w:t xml:space="preserve">za wzrost w skali roku o 2,8%. </w:t>
      </w:r>
    </w:p>
    <w:p w:rsidR="00942149" w:rsidRPr="00942149" w:rsidRDefault="00942149" w:rsidP="00942149">
      <w:pPr>
        <w:rPr>
          <w:noProof/>
          <w:szCs w:val="19"/>
          <w:lang w:eastAsia="pl-PL"/>
        </w:rPr>
      </w:pPr>
      <w:r w:rsidRPr="00942149">
        <w:rPr>
          <w:noProof/>
          <w:color w:val="000000"/>
          <w:szCs w:val="19"/>
          <w:lang w:eastAsia="pl-PL"/>
        </w:rPr>
        <w:lastRenderedPageBreak/>
        <w:t xml:space="preserve">Większość obsadzonych miejsc pracy, bo </w:t>
      </w:r>
      <w:r w:rsidRPr="00942149">
        <w:rPr>
          <w:noProof/>
          <w:szCs w:val="19"/>
          <w:lang w:eastAsia="pl-PL"/>
        </w:rPr>
        <w:t>59,6%, znajdowała się w podmiotach gospodarki narodowej skupiających 50 i więcej osób pracujących</w:t>
      </w:r>
      <w:r w:rsidRPr="00942149">
        <w:rPr>
          <w:noProof/>
          <w:color w:val="000000"/>
          <w:szCs w:val="19"/>
          <w:lang w:eastAsia="pl-PL"/>
        </w:rPr>
        <w:t xml:space="preserve">. Spośród </w:t>
      </w:r>
      <w:r w:rsidRPr="00942149">
        <w:rPr>
          <w:noProof/>
          <w:szCs w:val="19"/>
          <w:lang w:eastAsia="pl-PL"/>
        </w:rPr>
        <w:t>ogólnej liczby obsadzonych miejsc pracy 74,3% znajdowało się w podmiotach należących do sektora prywatnego.</w:t>
      </w:r>
    </w:p>
    <w:p w:rsidR="00942149" w:rsidRPr="00942149" w:rsidRDefault="00942149" w:rsidP="00942149">
      <w:r w:rsidRPr="00942149">
        <w:rPr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45CD15B4" wp14:editId="67C66996">
                <wp:simplePos x="0" y="0"/>
                <wp:positionH relativeFrom="column">
                  <wp:posOffset>5217102</wp:posOffset>
                </wp:positionH>
                <wp:positionV relativeFrom="paragraph">
                  <wp:posOffset>319059</wp:posOffset>
                </wp:positionV>
                <wp:extent cx="1791970" cy="1748790"/>
                <wp:effectExtent l="0" t="0" r="0" b="0"/>
                <wp:wrapNone/>
                <wp:docPr id="26" name="Text Box 23" descr="W porównaniu z analogicznym okresem ubiegłego roku liczba obsadzonych miejsc pracy w końcu trzeciego kwartału br. była nieco wyższa, natomiast liczba wolnych miejsc pracy zmniejszyła się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1748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464A" w:rsidRPr="009858F1" w:rsidRDefault="002B464A" w:rsidP="002B464A">
                            <w:pPr>
                              <w:pStyle w:val="tekstzboku"/>
                            </w:pPr>
                            <w:r w:rsidRPr="00A01527">
                              <w:t xml:space="preserve">W porównaniu z analogicznym okresem ubiegłego roku liczba obsadzonych miejsc pracy w końcu </w:t>
                            </w:r>
                            <w:r>
                              <w:t>trzeciego</w:t>
                            </w:r>
                            <w:r w:rsidRPr="00A01527">
                              <w:t xml:space="preserve"> kwartału br. była nieco wyższa, natomiast liczba wolnych miejsc pracy z</w:t>
                            </w:r>
                            <w:r>
                              <w:t xml:space="preserve">mniejszyła się </w:t>
                            </w:r>
                          </w:p>
                          <w:p w:rsidR="00942149" w:rsidRPr="009858F1" w:rsidRDefault="00942149" w:rsidP="00942149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45CD15B4" id="Text Box 23" o:spid="_x0000_s1028" type="#_x0000_t202" alt="W porównaniu z analogicznym okresem ubiegłego roku liczba obsadzonych miejsc pracy w końcu trzeciego kwartału br. była nieco wyższa, natomiast liczba wolnych miejsc pracy zmniejszyła się " style="position:absolute;margin-left:410.8pt;margin-top:25.1pt;width:141.1pt;height:137.7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" filled="f" stroked="f">
                <v:textbox>
                  <w:txbxContent>
                    <w:p w:rsidR="002B464A" w:rsidRPr="009858F1" w:rsidRDefault="002B464A" w:rsidP="002B464A">
                      <w:pPr>
                        <w:pStyle w:val="tekstzboku"/>
                      </w:pPr>
                      <w:r w:rsidRPr="00A01527">
                        <w:t xml:space="preserve">W porównaniu z analogicznym okresem ubiegłego roku liczba obsadzonych miejsc pracy w końcu </w:t>
                      </w:r>
                      <w:r>
                        <w:t>trzeciego</w:t>
                      </w:r>
                      <w:r w:rsidRPr="00A01527">
                        <w:t xml:space="preserve"> kwartału br. była nieco wyższa, natomiast liczba wolnych miejsc pracy z</w:t>
                      </w:r>
                      <w:r>
                        <w:t xml:space="preserve">mniejszyła się </w:t>
                      </w:r>
                    </w:p>
                    <w:p w:rsidR="00942149" w:rsidRPr="009858F1" w:rsidRDefault="00942149" w:rsidP="00942149">
                      <w:pPr>
                        <w:pStyle w:val="tekstzboku"/>
                      </w:pPr>
                    </w:p>
                  </w:txbxContent>
                </v:textbox>
              </v:shape>
            </w:pict>
          </mc:Fallback>
        </mc:AlternateContent>
      </w:r>
      <w:r w:rsidRPr="00942149">
        <w:t xml:space="preserve">Analiza zmian liczby </w:t>
      </w:r>
      <w:r w:rsidRPr="00942149">
        <w:rPr>
          <w:b/>
        </w:rPr>
        <w:t>wolnych miejsc pracy</w:t>
      </w:r>
      <w:r w:rsidRPr="00942149">
        <w:t xml:space="preserve"> wskazuje, że w ostatnim dniu trzeciego kwartału 2022 r. było ich o 9,2% mniej niż na koniec poprzedniego kwartału, podczas gdy</w:t>
      </w:r>
      <w:r w:rsidR="00321799">
        <w:t xml:space="preserve"> na koniec trzeciego </w:t>
      </w:r>
      <w:r w:rsidRPr="00942149">
        <w:t>kwartału 2021 roku odnotowano wzrost o 7,5%.</w:t>
      </w:r>
    </w:p>
    <w:p w:rsidR="00942149" w:rsidRPr="00942149" w:rsidRDefault="00942149" w:rsidP="00942149">
      <w:pPr>
        <w:rPr>
          <w:rFonts w:eastAsia="Times New Roman"/>
          <w:szCs w:val="19"/>
          <w:lang w:eastAsia="pl-PL"/>
        </w:rPr>
      </w:pPr>
      <w:r w:rsidRPr="00942149">
        <w:rPr>
          <w:rFonts w:eastAsia="Times New Roman"/>
          <w:szCs w:val="19"/>
          <w:lang w:eastAsia="pl-PL"/>
        </w:rPr>
        <w:t xml:space="preserve">Większość, bo 80,6% nieobsadzonych miejsc pracy znajdowało się w podmiotach należących do sektora prywatnego. </w:t>
      </w:r>
      <w:r w:rsidRPr="00942149">
        <w:t xml:space="preserve">Ponad połową wolnych miejsc pracy (56,8 %) dysponowały podmioty skupiające 50 i więcej osób pracujących. </w:t>
      </w:r>
      <w:r w:rsidRPr="00942149">
        <w:rPr>
          <w:rFonts w:eastAsia="Times New Roman"/>
          <w:szCs w:val="19"/>
          <w:lang w:eastAsia="pl-PL"/>
        </w:rPr>
        <w:t xml:space="preserve">Pracowników poszukiwano m.in. za pośrednictwem urzędów pracy, do których zgłoszonych zostało 12,7% ogólnej liczby wolnych miejsc pracy. </w:t>
      </w:r>
    </w:p>
    <w:p w:rsidR="00847839" w:rsidRPr="00847839" w:rsidRDefault="00847839" w:rsidP="00847839">
      <w:pPr>
        <w:spacing w:before="360" w:after="0"/>
        <w:ind w:left="851" w:hanging="851"/>
        <w:rPr>
          <w:b/>
          <w:noProof/>
          <w:spacing w:val="-2"/>
          <w:szCs w:val="19"/>
          <w:lang w:eastAsia="pl-PL"/>
        </w:rPr>
      </w:pPr>
      <w:r w:rsidRPr="00847839">
        <w:rPr>
          <w:b/>
          <w:noProof/>
          <w:spacing w:val="-2"/>
          <w:szCs w:val="19"/>
          <w:lang w:eastAsia="pl-PL"/>
        </w:rPr>
        <w:t>Wykres 1. Struktura podmiotów gospodarki narodowej oraz miejsc pracy według wielkości podmiotów w trzecim kwartale 2022 r.</w:t>
      </w:r>
    </w:p>
    <w:p w:rsidR="00847839" w:rsidRPr="00847839" w:rsidRDefault="00847839" w:rsidP="00847839">
      <w:pPr>
        <w:spacing w:before="0"/>
        <w:ind w:left="851"/>
        <w:rPr>
          <w:noProof/>
          <w:szCs w:val="19"/>
          <w:lang w:eastAsia="pl-PL"/>
        </w:rPr>
      </w:pPr>
      <w:r w:rsidRPr="00847839">
        <w:rPr>
          <w:rFonts w:eastAsia="Times New Roman"/>
          <w:noProof/>
          <w:szCs w:val="19"/>
          <w:lang w:eastAsia="pl-PL"/>
        </w:rPr>
        <w:drawing>
          <wp:anchor distT="0" distB="0" distL="114300" distR="114300" simplePos="0" relativeHeight="251780096" behindDoc="0" locked="0" layoutInCell="1" allowOverlap="1" wp14:anchorId="0B9A6AE1" wp14:editId="0EB4EF94">
            <wp:simplePos x="0" y="0"/>
            <wp:positionH relativeFrom="margin">
              <wp:align>right</wp:align>
            </wp:positionH>
            <wp:positionV relativeFrom="paragraph">
              <wp:posOffset>182880</wp:posOffset>
            </wp:positionV>
            <wp:extent cx="5116195" cy="2740025"/>
            <wp:effectExtent l="0" t="0" r="8255" b="3175"/>
            <wp:wrapTopAndBottom/>
            <wp:docPr id="18" name="Obraz 18" title="Wykres 1. Struktura podmiotów gospodarki narodowej oraz miejsc pracy według wielkości podmiotów w trzecim kwartale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vmfbdg01\WOU_SHARE\PUBLIKACJE\PUBLIKACJE_2022\Informacje_sygnalne\POPYT\3kw_2022\wykres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6769" cy="2740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7839">
        <w:rPr>
          <w:noProof/>
          <w:szCs w:val="19"/>
          <w:lang w:eastAsia="pl-PL"/>
        </w:rPr>
        <w:t>Stan na koniec kwartału</w:t>
      </w:r>
    </w:p>
    <w:p w:rsidR="00847839" w:rsidRPr="00847839" w:rsidRDefault="00847839" w:rsidP="00847839">
      <w:pPr>
        <w:rPr>
          <w:rFonts w:eastAsia="Times New Roman"/>
          <w:szCs w:val="19"/>
          <w:lang w:eastAsia="pl-PL"/>
        </w:rPr>
      </w:pPr>
    </w:p>
    <w:p w:rsidR="00942149" w:rsidRPr="00942149" w:rsidRDefault="00942149" w:rsidP="00942149">
      <w:pPr>
        <w:spacing w:before="0" w:after="0" w:line="240" w:lineRule="auto"/>
        <w:rPr>
          <w:rFonts w:eastAsia="Times New Roman" w:cs="Times New Roman"/>
          <w:szCs w:val="19"/>
          <w:lang w:eastAsia="pl-PL"/>
        </w:rPr>
      </w:pPr>
      <w:r w:rsidRPr="00942149">
        <w:rPr>
          <w:rFonts w:eastAsia="Times New Roman" w:cs="Times New Roman"/>
          <w:szCs w:val="19"/>
          <w:lang w:eastAsia="pl-PL"/>
        </w:rPr>
        <w:t>Na koniec trzeciego kwartału najwięcej wolnych miejsc pracy było w podmiotach prowadzących działalność w zakresie Przetwórstwa przemysłowego – 27,9 tys. Znaczną liczbą wolnych miejsc pracy dysponowała sekcja Handel; naprawa pojazdów samochodowych</w:t>
      </w:r>
      <w:r w:rsidRPr="00942149">
        <w:rPr>
          <w:rFonts w:eastAsia="Times New Roman" w:cs="Times New Roman"/>
          <w:szCs w:val="19"/>
          <w:vertAlign w:val="superscript"/>
          <w:lang w:eastAsia="pl-PL"/>
        </w:rPr>
        <w:t>∆</w:t>
      </w:r>
      <w:r w:rsidRPr="00942149">
        <w:rPr>
          <w:rFonts w:eastAsia="Times New Roman" w:cs="Times New Roman"/>
          <w:szCs w:val="19"/>
          <w:lang w:eastAsia="pl-PL"/>
        </w:rPr>
        <w:t xml:space="preserve"> – 21,1 tys. oraz Budownictwo – 15,4 tys. wolnych miejsc pracy. </w:t>
      </w:r>
    </w:p>
    <w:p w:rsidR="00942149" w:rsidRPr="00942149" w:rsidRDefault="00942149" w:rsidP="00942149">
      <w:pPr>
        <w:spacing w:before="0" w:after="0" w:line="240" w:lineRule="auto"/>
        <w:rPr>
          <w:rFonts w:eastAsia="Times New Roman" w:cs="Times New Roman"/>
          <w:szCs w:val="19"/>
          <w:lang w:eastAsia="pl-PL"/>
        </w:rPr>
      </w:pPr>
    </w:p>
    <w:p w:rsidR="00942149" w:rsidRPr="00942149" w:rsidRDefault="00942149" w:rsidP="00942149">
      <w:pPr>
        <w:spacing w:before="0" w:after="0" w:line="240" w:lineRule="auto"/>
        <w:rPr>
          <w:rFonts w:eastAsia="Times New Roman" w:cs="Times New Roman"/>
          <w:szCs w:val="19"/>
          <w:lang w:eastAsia="pl-PL"/>
        </w:rPr>
      </w:pPr>
      <w:r w:rsidRPr="00942149">
        <w:rPr>
          <w:rFonts w:eastAsia="Times New Roman" w:cs="Times New Roman"/>
          <w:szCs w:val="19"/>
          <w:lang w:eastAsia="pl-PL"/>
        </w:rPr>
        <w:t>Największe wzrosty liczby wolnych miejsc pracy w stosunku do analogicznego okresu roku ubiegłego nastąpiły w sekcjach Edukacja o 40,2% do 7,0 tys. miejsc pracy, Wytwarzanie i zaopatrywanie w energię elektryczną o 29,1% do 0,7 tys. Największy roczny spadek liczby wolnych miejsc pracy nastąpił w sekcjach: Rolnictwo, leśnictwo, łowiectwo i rybactwo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Pr="00942149">
        <w:rPr>
          <w:rFonts w:eastAsia="Times New Roman" w:cs="Times New Roman"/>
          <w:szCs w:val="19"/>
          <w:lang w:eastAsia="pl-PL"/>
        </w:rPr>
        <w:t>–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Pr="00942149">
        <w:rPr>
          <w:rFonts w:eastAsia="Times New Roman" w:cs="Times New Roman"/>
          <w:szCs w:val="19"/>
          <w:lang w:eastAsia="pl-PL"/>
        </w:rPr>
        <w:t>o 41,1% do 0,4 tys., Zakwaterowanie i gastronomia</w:t>
      </w:r>
      <w:r w:rsidRPr="00942149">
        <w:rPr>
          <w:rFonts w:eastAsia="Times New Roman" w:cs="Times New Roman"/>
          <w:szCs w:val="19"/>
          <w:vertAlign w:val="superscript"/>
          <w:lang w:eastAsia="pl-PL"/>
        </w:rPr>
        <w:t>∆</w:t>
      </w:r>
      <w:r w:rsidRPr="00942149">
        <w:rPr>
          <w:rFonts w:eastAsia="Times New Roman" w:cs="Times New Roman"/>
          <w:szCs w:val="19"/>
          <w:lang w:eastAsia="pl-PL"/>
        </w:rPr>
        <w:t xml:space="preserve"> - o 39,7% do 3,7 tys. oraz Budownictwo – o 31,5% do 15,4 tys. miejsc pracy. </w:t>
      </w:r>
    </w:p>
    <w:p w:rsidR="00942149" w:rsidRPr="00942149" w:rsidRDefault="00942149" w:rsidP="00942149">
      <w:pPr>
        <w:rPr>
          <w:szCs w:val="19"/>
        </w:rPr>
      </w:pPr>
      <w:r w:rsidRPr="00942149">
        <w:rPr>
          <w:rFonts w:eastAsia="Times New Roman" w:cs="Times New Roman"/>
          <w:szCs w:val="19"/>
          <w:lang w:eastAsia="pl-PL"/>
        </w:rPr>
        <w:t>Rozpatrując wolne miejsca pracy według wielkich grup zawodów można zauważyć, że podmioty dysponujące takimi miejscami pracy najczęściej poszukiwały Specjalistów,</w:t>
      </w:r>
      <w:r w:rsidRPr="00942149">
        <w:rPr>
          <w:szCs w:val="19"/>
        </w:rPr>
        <w:t xml:space="preserve"> dla których w trzecim kwartale przygotowano 38,1 tys. miejsc. Nieco mniej ofert było skierowanych do Robotników przemysłowych i rzemieślników – 29,2 tys. </w:t>
      </w:r>
    </w:p>
    <w:p w:rsidR="00B63FF1" w:rsidRDefault="00B63FF1" w:rsidP="00847839">
      <w:pPr>
        <w:spacing w:before="0" w:after="0"/>
        <w:ind w:left="851" w:hanging="851"/>
        <w:rPr>
          <w:b/>
          <w:noProof/>
          <w:spacing w:val="-2"/>
          <w:szCs w:val="19"/>
          <w:lang w:eastAsia="pl-PL"/>
        </w:rPr>
      </w:pPr>
    </w:p>
    <w:p w:rsidR="00B63FF1" w:rsidRDefault="00B63FF1" w:rsidP="00847839">
      <w:pPr>
        <w:spacing w:before="0" w:after="0"/>
        <w:ind w:left="851" w:hanging="851"/>
        <w:rPr>
          <w:b/>
          <w:noProof/>
          <w:spacing w:val="-2"/>
          <w:szCs w:val="19"/>
          <w:lang w:eastAsia="pl-PL"/>
        </w:rPr>
      </w:pPr>
    </w:p>
    <w:p w:rsidR="00B63FF1" w:rsidRDefault="00B63FF1" w:rsidP="00847839">
      <w:pPr>
        <w:spacing w:before="0" w:after="0"/>
        <w:ind w:left="851" w:hanging="851"/>
        <w:rPr>
          <w:b/>
          <w:noProof/>
          <w:spacing w:val="-2"/>
          <w:szCs w:val="19"/>
          <w:lang w:eastAsia="pl-PL"/>
        </w:rPr>
      </w:pPr>
    </w:p>
    <w:p w:rsidR="00B63FF1" w:rsidRDefault="00B63FF1" w:rsidP="00847839">
      <w:pPr>
        <w:spacing w:before="0" w:after="0"/>
        <w:ind w:left="851" w:hanging="851"/>
        <w:rPr>
          <w:b/>
          <w:noProof/>
          <w:spacing w:val="-2"/>
          <w:szCs w:val="19"/>
          <w:lang w:eastAsia="pl-PL"/>
        </w:rPr>
      </w:pPr>
    </w:p>
    <w:p w:rsidR="00B63FF1" w:rsidRDefault="00B63FF1" w:rsidP="00847839">
      <w:pPr>
        <w:spacing w:before="0" w:after="0"/>
        <w:ind w:left="851" w:hanging="851"/>
        <w:rPr>
          <w:b/>
          <w:noProof/>
          <w:spacing w:val="-2"/>
          <w:szCs w:val="19"/>
          <w:lang w:eastAsia="pl-PL"/>
        </w:rPr>
      </w:pPr>
    </w:p>
    <w:p w:rsidR="00B63FF1" w:rsidRDefault="00B63FF1" w:rsidP="00847839">
      <w:pPr>
        <w:spacing w:before="0" w:after="0"/>
        <w:ind w:left="851" w:hanging="851"/>
        <w:rPr>
          <w:b/>
          <w:noProof/>
          <w:spacing w:val="-2"/>
          <w:szCs w:val="19"/>
          <w:lang w:eastAsia="pl-PL"/>
        </w:rPr>
      </w:pPr>
    </w:p>
    <w:p w:rsidR="00B63FF1" w:rsidRDefault="00B63FF1" w:rsidP="00847839">
      <w:pPr>
        <w:spacing w:before="0" w:after="0"/>
        <w:ind w:left="851" w:hanging="851"/>
        <w:rPr>
          <w:b/>
          <w:noProof/>
          <w:spacing w:val="-2"/>
          <w:szCs w:val="19"/>
          <w:lang w:eastAsia="pl-PL"/>
        </w:rPr>
      </w:pPr>
    </w:p>
    <w:p w:rsidR="00B63FF1" w:rsidRDefault="00B63FF1" w:rsidP="00847839">
      <w:pPr>
        <w:spacing w:before="0" w:after="0"/>
        <w:ind w:left="851" w:hanging="851"/>
        <w:rPr>
          <w:b/>
          <w:noProof/>
          <w:spacing w:val="-2"/>
          <w:szCs w:val="19"/>
          <w:lang w:eastAsia="pl-PL"/>
        </w:rPr>
      </w:pPr>
    </w:p>
    <w:p w:rsidR="00B63FF1" w:rsidRDefault="00B63FF1" w:rsidP="00847839">
      <w:pPr>
        <w:spacing w:before="0" w:after="0"/>
        <w:ind w:left="851" w:hanging="851"/>
        <w:rPr>
          <w:b/>
          <w:noProof/>
          <w:spacing w:val="-2"/>
          <w:szCs w:val="19"/>
          <w:lang w:eastAsia="pl-PL"/>
        </w:rPr>
      </w:pPr>
    </w:p>
    <w:p w:rsidR="00B63FF1" w:rsidRDefault="00B63FF1" w:rsidP="00847839">
      <w:pPr>
        <w:spacing w:before="0" w:after="0"/>
        <w:ind w:left="851" w:hanging="851"/>
        <w:rPr>
          <w:b/>
          <w:noProof/>
          <w:spacing w:val="-2"/>
          <w:szCs w:val="19"/>
          <w:lang w:eastAsia="pl-PL"/>
        </w:rPr>
      </w:pPr>
    </w:p>
    <w:p w:rsidR="00B63FF1" w:rsidRDefault="00B63FF1" w:rsidP="00847839">
      <w:pPr>
        <w:spacing w:before="0" w:after="0"/>
        <w:ind w:left="851" w:hanging="851"/>
        <w:rPr>
          <w:b/>
          <w:noProof/>
          <w:spacing w:val="-2"/>
          <w:szCs w:val="19"/>
          <w:lang w:eastAsia="pl-PL"/>
        </w:rPr>
      </w:pPr>
    </w:p>
    <w:p w:rsidR="00B63FF1" w:rsidRDefault="00B63FF1" w:rsidP="00847839">
      <w:pPr>
        <w:spacing w:before="0" w:after="0"/>
        <w:ind w:left="851" w:hanging="851"/>
        <w:rPr>
          <w:b/>
          <w:noProof/>
          <w:spacing w:val="-2"/>
          <w:szCs w:val="19"/>
          <w:lang w:eastAsia="pl-PL"/>
        </w:rPr>
      </w:pPr>
    </w:p>
    <w:p w:rsidR="00847839" w:rsidRPr="00847839" w:rsidRDefault="00321799" w:rsidP="00321799">
      <w:pPr>
        <w:spacing w:before="0" w:after="0"/>
        <w:ind w:left="851" w:hanging="851"/>
        <w:rPr>
          <w:b/>
          <w:noProof/>
          <w:color w:val="000000"/>
          <w:spacing w:val="-2"/>
          <w:szCs w:val="19"/>
          <w:lang w:eastAsia="pl-PL"/>
        </w:rPr>
      </w:pPr>
      <w:r w:rsidRPr="00847839">
        <w:rPr>
          <w:noProof/>
          <w:szCs w:val="19"/>
          <w:lang w:eastAsia="pl-PL"/>
        </w:rPr>
        <w:lastRenderedPageBreak/>
        <w:drawing>
          <wp:anchor distT="0" distB="0" distL="114300" distR="114300" simplePos="0" relativeHeight="251777024" behindDoc="0" locked="0" layoutInCell="1" allowOverlap="1" wp14:anchorId="0F8CFD17" wp14:editId="0EB2E778">
            <wp:simplePos x="0" y="0"/>
            <wp:positionH relativeFrom="margin">
              <wp:align>left</wp:align>
            </wp:positionH>
            <wp:positionV relativeFrom="paragraph">
              <wp:posOffset>306647</wp:posOffset>
            </wp:positionV>
            <wp:extent cx="5120640" cy="2575560"/>
            <wp:effectExtent l="0" t="0" r="3810" b="0"/>
            <wp:wrapSquare wrapText="bothSides"/>
            <wp:docPr id="6" name="Obraz 6" title="Wykres 2. Miejsca pracy według wybranych wielkich grup zawodów  w trzecim kwartale 2022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wykres_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2575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47839" w:rsidRPr="00847839">
        <w:rPr>
          <w:b/>
          <w:noProof/>
          <w:spacing w:val="-2"/>
          <w:szCs w:val="19"/>
          <w:lang w:eastAsia="pl-PL"/>
        </w:rPr>
        <w:t xml:space="preserve">Wykres 2. </w:t>
      </w:r>
      <w:r w:rsidR="00847839" w:rsidRPr="00847839">
        <w:rPr>
          <w:b/>
          <w:noProof/>
          <w:color w:val="000000"/>
          <w:spacing w:val="-2"/>
          <w:szCs w:val="19"/>
          <w:lang w:eastAsia="pl-PL"/>
        </w:rPr>
        <w:t>Miejsca pracy według wybranych wielkich grup zawodów</w:t>
      </w:r>
      <w:r w:rsidR="00847839" w:rsidRPr="00847839">
        <w:rPr>
          <w:b/>
          <w:noProof/>
          <w:color w:val="000000"/>
          <w:spacing w:val="-2"/>
          <w:szCs w:val="19"/>
          <w:vertAlign w:val="superscript"/>
          <w:lang w:eastAsia="pl-PL"/>
        </w:rPr>
        <w:footnoteReference w:id="1"/>
      </w:r>
      <w:r>
        <w:rPr>
          <w:b/>
          <w:noProof/>
          <w:color w:val="000000"/>
          <w:spacing w:val="-2"/>
          <w:szCs w:val="19"/>
          <w:lang w:eastAsia="pl-PL"/>
        </w:rPr>
        <w:t xml:space="preserve"> w trzecim kwartale 2022 r.</w:t>
      </w:r>
      <w:r>
        <w:rPr>
          <w:b/>
          <w:noProof/>
          <w:color w:val="000000"/>
          <w:spacing w:val="-2"/>
          <w:szCs w:val="19"/>
          <w:lang w:eastAsia="pl-PL"/>
        </w:rPr>
        <w:br/>
      </w:r>
      <w:r>
        <w:rPr>
          <w:szCs w:val="19"/>
        </w:rPr>
        <w:t>Stan na koniec kwartału</w:t>
      </w:r>
    </w:p>
    <w:p w:rsidR="00847839" w:rsidRDefault="00847839" w:rsidP="00847839">
      <w:pPr>
        <w:rPr>
          <w:szCs w:val="19"/>
        </w:rPr>
      </w:pPr>
    </w:p>
    <w:p w:rsidR="00942149" w:rsidRPr="00942149" w:rsidRDefault="00942149" w:rsidP="00942149">
      <w:pPr>
        <w:rPr>
          <w:szCs w:val="19"/>
        </w:rPr>
      </w:pPr>
      <w:r w:rsidRPr="00942149">
        <w:rPr>
          <w:szCs w:val="19"/>
        </w:rPr>
        <w:t xml:space="preserve">Analizując liczbę wolnych miejsc pracy można stwierdzić, że dla Specjalistów najwięcej takich miejsc pracy (spośród ogółu wolnych miejsc pracy w tej grupie zawodów) istniało w sekcjach: Informacja i komunikacja 23,3%; Edukacja – 15,0% oraz Działalność profesjonalna, naukowa </w:t>
      </w:r>
      <w:r w:rsidR="00321799">
        <w:rPr>
          <w:szCs w:val="19"/>
        </w:rPr>
        <w:br/>
      </w:r>
      <w:r w:rsidRPr="00942149">
        <w:rPr>
          <w:szCs w:val="19"/>
        </w:rPr>
        <w:t xml:space="preserve">i techniczna – 14,1%. Spośród ogółu wolnych miejsc pracy dla Robotników przemysłowych </w:t>
      </w:r>
      <w:r w:rsidR="00321799">
        <w:rPr>
          <w:szCs w:val="19"/>
        </w:rPr>
        <w:br/>
      </w:r>
      <w:r w:rsidRPr="00942149">
        <w:rPr>
          <w:szCs w:val="19"/>
        </w:rPr>
        <w:t>i rzemieślników najwięcej wolnych miejsc pracy oferowały podmioty prowadzące działalność w zakresie sekcji Przetwórstwo przemysłowe – 46,2% i Budownictwo– 38,5%.</w:t>
      </w:r>
    </w:p>
    <w:p w:rsidR="00847839" w:rsidRPr="00847839" w:rsidRDefault="00847839" w:rsidP="00847839">
      <w:pPr>
        <w:rPr>
          <w:szCs w:val="19"/>
        </w:rPr>
      </w:pPr>
    </w:p>
    <w:p w:rsidR="00847839" w:rsidRPr="00847839" w:rsidRDefault="00847839" w:rsidP="00847839">
      <w:pPr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  <w:r w:rsidRPr="00847839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Wskaźnik wolnych miejsc pracy</w:t>
      </w:r>
    </w:p>
    <w:p w:rsidR="00942149" w:rsidRPr="00942149" w:rsidRDefault="00942149" w:rsidP="00942149">
      <w:pPr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  <w:r w:rsidRPr="00942149">
        <w:rPr>
          <w:rFonts w:cs="FiraSans-Regular"/>
          <w:szCs w:val="19"/>
        </w:rPr>
        <w:t>Miarą niezaspokojonego popytu na pracę jest wskaźnik wolnych miejsc pracy,</w:t>
      </w:r>
      <w:r w:rsidRPr="00942149">
        <w:rPr>
          <w:shd w:val="clear" w:color="auto" w:fill="FFFFFF"/>
        </w:rPr>
        <w:t xml:space="preserve"> </w:t>
      </w:r>
      <w:r w:rsidRPr="00942149">
        <w:rPr>
          <w:rFonts w:cs="FiraSans-Regular"/>
          <w:szCs w:val="19"/>
        </w:rPr>
        <w:t>który pokazuje, jaką część wszystkich (wolnych i obsadzonych) miejsc pracy stanowią te wolne (nieobsadzone).</w:t>
      </w:r>
    </w:p>
    <w:p w:rsidR="00942149" w:rsidRPr="00942149" w:rsidRDefault="00942149" w:rsidP="00942149">
      <w:pPr>
        <w:rPr>
          <w:rFonts w:eastAsia="Times New Roman"/>
          <w:spacing w:val="-3"/>
          <w:szCs w:val="19"/>
          <w:lang w:eastAsia="pl-PL"/>
        </w:rPr>
      </w:pPr>
      <w:r w:rsidRPr="00942149">
        <w:rPr>
          <w:rFonts w:eastAsia="Times New Roman"/>
          <w:szCs w:val="19"/>
          <w:lang w:eastAsia="pl-PL"/>
        </w:rPr>
        <w:t>Na koniec trzeciego kwartału 2022 r. wskaźnik ten wyniósł 1,07%. Był on niższy od</w:t>
      </w:r>
      <w:r w:rsidRPr="00942149">
        <w:rPr>
          <w:rFonts w:eastAsia="Times New Roman"/>
          <w:spacing w:val="-3"/>
          <w:szCs w:val="19"/>
          <w:lang w:eastAsia="pl-PL"/>
        </w:rPr>
        <w:t xml:space="preserve"> wskaźnika </w:t>
      </w:r>
      <w:r>
        <w:rPr>
          <w:rFonts w:eastAsia="Times New Roman"/>
          <w:spacing w:val="-3"/>
          <w:szCs w:val="19"/>
          <w:lang w:eastAsia="pl-PL"/>
        </w:rPr>
        <w:br/>
      </w:r>
      <w:r w:rsidRPr="00942149">
        <w:rPr>
          <w:rFonts w:eastAsia="Times New Roman"/>
          <w:spacing w:val="-3"/>
          <w:szCs w:val="19"/>
          <w:lang w:eastAsia="pl-PL"/>
        </w:rPr>
        <w:t xml:space="preserve">z końca trzeciego kwartału 2021 r., a także od wskaźnika z końca drugiego kwartału br., odpowiednio o 0,18 p. proc i 0,11 p. proc. </w:t>
      </w:r>
    </w:p>
    <w:p w:rsidR="00847839" w:rsidRPr="00847839" w:rsidRDefault="00847839" w:rsidP="00847839">
      <w:pPr>
        <w:spacing w:before="240" w:after="0"/>
        <w:ind w:left="851" w:hanging="851"/>
        <w:rPr>
          <w:b/>
          <w:noProof/>
          <w:color w:val="000000"/>
          <w:szCs w:val="19"/>
          <w:lang w:eastAsia="pl-PL"/>
        </w:rPr>
      </w:pPr>
      <w:r w:rsidRPr="00847839">
        <w:rPr>
          <w:b/>
          <w:noProof/>
          <w:spacing w:val="-2"/>
          <w:szCs w:val="19"/>
          <w:lang w:eastAsia="pl-PL"/>
        </w:rPr>
        <w:t xml:space="preserve">Wykres 3. </w:t>
      </w:r>
      <w:r w:rsidRPr="00847839">
        <w:rPr>
          <w:b/>
          <w:noProof/>
          <w:color w:val="000000"/>
          <w:szCs w:val="19"/>
          <w:lang w:eastAsia="pl-PL"/>
        </w:rPr>
        <w:t xml:space="preserve">Wskaźnik wolnych miejsc pracy </w:t>
      </w:r>
    </w:p>
    <w:p w:rsidR="00847839" w:rsidRPr="00847839" w:rsidRDefault="00847839" w:rsidP="00847839">
      <w:pPr>
        <w:spacing w:before="0"/>
        <w:ind w:left="851"/>
        <w:rPr>
          <w:noProof/>
          <w:szCs w:val="19"/>
          <w:lang w:eastAsia="pl-PL"/>
        </w:rPr>
      </w:pPr>
      <w:r w:rsidRPr="00847839">
        <w:rPr>
          <w:noProof/>
          <w:szCs w:val="19"/>
          <w:lang w:eastAsia="pl-PL"/>
        </w:rPr>
        <w:drawing>
          <wp:anchor distT="0" distB="0" distL="114300" distR="114300" simplePos="0" relativeHeight="251779072" behindDoc="0" locked="0" layoutInCell="1" allowOverlap="1" wp14:anchorId="64CA55A3" wp14:editId="5DC114A4">
            <wp:simplePos x="0" y="0"/>
            <wp:positionH relativeFrom="margin">
              <wp:posOffset>227965</wp:posOffset>
            </wp:positionH>
            <wp:positionV relativeFrom="paragraph">
              <wp:posOffset>160020</wp:posOffset>
            </wp:positionV>
            <wp:extent cx="4660265" cy="2591435"/>
            <wp:effectExtent l="0" t="0" r="6985" b="0"/>
            <wp:wrapTopAndBottom/>
            <wp:docPr id="17" name="Obraz 17" descr="Wykres 3. Wskaźnik wolnych miejsc pracy &#10;Stan na koniec kwartału&#10;Przedział czasowy od 1 kwartału 2015 r. do 3 kwartału 2022 r." title="Wykres 3. Wskaźnik wolnych miejsc pracy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265" cy="2591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7839">
        <w:rPr>
          <w:noProof/>
          <w:szCs w:val="19"/>
          <w:lang w:eastAsia="pl-PL"/>
        </w:rPr>
        <w:t>Stan na koniec kwartału</w:t>
      </w:r>
    </w:p>
    <w:p w:rsidR="00942149" w:rsidRPr="00942149" w:rsidRDefault="00942149" w:rsidP="00942149">
      <w:pPr>
        <w:rPr>
          <w:rFonts w:eastAsia="Times New Roman"/>
          <w:szCs w:val="19"/>
          <w:lang w:eastAsia="pl-PL"/>
        </w:rPr>
      </w:pPr>
      <w:r w:rsidRPr="00942149">
        <w:rPr>
          <w:rFonts w:eastAsia="Times New Roman"/>
          <w:szCs w:val="19"/>
          <w:lang w:eastAsia="pl-PL"/>
        </w:rPr>
        <w:lastRenderedPageBreak/>
        <w:t xml:space="preserve">Rozpatrując wskaźnik wolnych miejsc pracy na koniec trzeciego kwartału 2022 r. w </w:t>
      </w:r>
      <w:r w:rsidRPr="00942149">
        <w:rPr>
          <w:rFonts w:eastAsia="Times New Roman"/>
          <w:b/>
          <w:szCs w:val="19"/>
          <w:lang w:eastAsia="pl-PL"/>
        </w:rPr>
        <w:t xml:space="preserve">przekroju regionów </w:t>
      </w:r>
      <w:r w:rsidRPr="00942149">
        <w:rPr>
          <w:rFonts w:eastAsia="Times New Roman"/>
          <w:szCs w:val="19"/>
          <w:lang w:eastAsia="pl-PL"/>
        </w:rPr>
        <w:t>można zauważyć, że najwyższą wartość osiągnął on w regionie zachodniopomorskim (1,72%). Wysokie wartości wskaźnika wystąpiły również w regionach dolnośląskim (1,44%) oraz warszawskim stołecznym (1,32%). Najniższą wartość wskaźnika wolnych miejsc pracy odnotowano w regionie podkarpackim (0,54%).</w:t>
      </w:r>
    </w:p>
    <w:p w:rsidR="00847839" w:rsidRPr="00847839" w:rsidRDefault="00526762" w:rsidP="00847839">
      <w:pPr>
        <w:spacing w:before="360"/>
        <w:ind w:left="680" w:hanging="680"/>
        <w:rPr>
          <w:szCs w:val="19"/>
        </w:rPr>
      </w:pPr>
      <w:r w:rsidRPr="00847839">
        <w:rPr>
          <w:rFonts w:ascii="Fira Sans SemiBold" w:hAnsi="Fira Sans SemiBold"/>
          <w:noProof/>
          <w:color w:val="001D77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6E34E224" wp14:editId="49B119D0">
                <wp:simplePos x="0" y="0"/>
                <wp:positionH relativeFrom="rightMargin">
                  <wp:posOffset>132715</wp:posOffset>
                </wp:positionH>
                <wp:positionV relativeFrom="paragraph">
                  <wp:posOffset>935990</wp:posOffset>
                </wp:positionV>
                <wp:extent cx="1762125" cy="1282700"/>
                <wp:effectExtent l="0" t="0" r="0" b="0"/>
                <wp:wrapNone/>
                <wp:docPr id="24" name="Text Box 23" descr="Najwyższą wartość wskaźnika wolnych miejsc pracy odnotowano w wielkiej grupie zawodów Robotnicy przemysłowi i rzemieślnicy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282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464A" w:rsidRPr="00312E3C" w:rsidRDefault="002B464A" w:rsidP="002B464A">
                            <w:pPr>
                              <w:spacing w:before="0"/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Najwyższą wartość wskaźnika wolnych miejsc pracy odnotowano w wielkiej grupie zawodów </w:t>
                            </w:r>
                            <w:r w:rsidRPr="00AB51BA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Robotnicy przemysłowi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AB51BA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i rzemieślnic</w:t>
                            </w:r>
                            <w:r w:rsidRPr="00DF3541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y</w:t>
                            </w:r>
                          </w:p>
                          <w:p w:rsidR="00847839" w:rsidRPr="00312E3C" w:rsidRDefault="00847839" w:rsidP="00847839">
                            <w:pPr>
                              <w:spacing w:before="0"/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6E34E224" id="_x0000_s1029" type="#_x0000_t202" alt="Najwyższą wartość wskaźnika wolnych miejsc pracy odnotowano w wielkiej grupie zawodów Robotnicy przemysłowi i rzemieślnicy&#10;&#10;" style="position:absolute;left:0;text-align:left;margin-left:10.45pt;margin-top:73.7pt;width:138.75pt;height:101pt;z-index:25177292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" filled="f" stroked="f">
                <v:textbox>
                  <w:txbxContent>
                    <w:p w:rsidR="002B464A" w:rsidRPr="00312E3C" w:rsidRDefault="002B464A" w:rsidP="002B464A">
                      <w:pPr>
                        <w:spacing w:before="0"/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Najwyższą wartość wskaźnika wolnych miejsc pracy odnotowano w wielkiej grupie zawodów </w:t>
                      </w:r>
                      <w:r w:rsidRPr="00AB51BA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Robotnicy przemysłowi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AB51BA">
                        <w:rPr>
                          <w:bCs/>
                          <w:color w:val="001D77"/>
                          <w:sz w:val="18"/>
                          <w:szCs w:val="18"/>
                        </w:rPr>
                        <w:t>i rzemieślnic</w:t>
                      </w:r>
                      <w:r w:rsidRPr="00DF3541">
                        <w:rPr>
                          <w:bCs/>
                          <w:color w:val="001D77"/>
                          <w:sz w:val="18"/>
                          <w:szCs w:val="18"/>
                        </w:rPr>
                        <w:t>y</w:t>
                      </w:r>
                    </w:p>
                    <w:p w:rsidR="00847839" w:rsidRPr="00312E3C" w:rsidRDefault="00847839" w:rsidP="00847839">
                      <w:pPr>
                        <w:spacing w:before="0"/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47839" w:rsidRPr="00847839">
        <w:rPr>
          <w:noProof/>
          <w:szCs w:val="19"/>
          <w:lang w:eastAsia="pl-PL"/>
        </w:rPr>
        <w:drawing>
          <wp:anchor distT="0" distB="0" distL="114300" distR="114300" simplePos="0" relativeHeight="251773952" behindDoc="0" locked="0" layoutInCell="1" allowOverlap="1" wp14:anchorId="6F8AA9B4" wp14:editId="552D3A2A">
            <wp:simplePos x="0" y="0"/>
            <wp:positionH relativeFrom="margin">
              <wp:posOffset>95250</wp:posOffset>
            </wp:positionH>
            <wp:positionV relativeFrom="paragraph">
              <wp:posOffset>525145</wp:posOffset>
            </wp:positionV>
            <wp:extent cx="4926330" cy="2874010"/>
            <wp:effectExtent l="0" t="0" r="7620" b="2540"/>
            <wp:wrapSquare wrapText="bothSides"/>
            <wp:docPr id="20" name="Obraz 20" descr="Mapa 1. Wskaźnik wolnych miejsc pracy według regionów (NUTS 2) w trzecim kwartale 2022 r.&#10;Stan na koniec kwartału&#10;Wskaźnik wolnych miejsc pracy oraz zmiana w stosunku do trzeciego kwartału 2021 r. w p. proc." title="Mapa 1. Wskaźnik wolnych miejsc pracy według regionów (NUTS 2) w trzecim kwar-tale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mapa_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6330" cy="2874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847839" w:rsidRPr="00847839">
        <w:rPr>
          <w:rFonts w:ascii="Fira Sans SemiBold" w:hAnsi="Fira Sans SemiBold"/>
          <w:b/>
          <w:noProof/>
          <w:color w:val="FF0000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58A00775" wp14:editId="0E4AEC72">
                <wp:simplePos x="0" y="0"/>
                <wp:positionH relativeFrom="column">
                  <wp:posOffset>5262880</wp:posOffset>
                </wp:positionH>
                <wp:positionV relativeFrom="paragraph">
                  <wp:posOffset>443230</wp:posOffset>
                </wp:positionV>
                <wp:extent cx="1660525" cy="1016635"/>
                <wp:effectExtent l="0" t="0" r="0" b="0"/>
                <wp:wrapNone/>
                <wp:docPr id="5" name="Text Box 23" descr="Najwyższy wskaźnik wolnych miejsc pracy na koniec drugiego kwartału br. odnotowano w regionie zachod-niopomorski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0525" cy="1016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7839" w:rsidRPr="00312E3C" w:rsidRDefault="00847839" w:rsidP="00847839">
                            <w:pPr>
                              <w:spacing w:before="0"/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58A00775" id="_x0000_s1031" type="#_x0000_t202" alt="Najwyższy wskaźnik wolnych miejsc pracy na koniec drugiego kwartału br. odnotowano w regionie zachod-niopomorskim" style="position:absolute;left:0;text-align:left;margin-left:414.4pt;margin-top:34.9pt;width:130.75pt;height:80.0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" filled="f" stroked="f">
                <v:textbox>
                  <w:txbxContent>
                    <w:p w:rsidR="00847839" w:rsidRPr="00312E3C" w:rsidRDefault="00847839" w:rsidP="00847839">
                      <w:pPr>
                        <w:spacing w:before="0"/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47839" w:rsidRPr="00847839">
        <w:rPr>
          <w:b/>
          <w:szCs w:val="19"/>
          <w:lang w:eastAsia="pl-PL"/>
        </w:rPr>
        <w:t>Mapa 1. Wskaźnik wolnych miejsc pracy według regionów (NUTS 2) w trzecim kwartale 2022 r.</w:t>
      </w:r>
      <w:r w:rsidR="00847839" w:rsidRPr="00847839">
        <w:rPr>
          <w:b/>
          <w:szCs w:val="19"/>
          <w:lang w:eastAsia="pl-PL"/>
        </w:rPr>
        <w:br/>
      </w:r>
      <w:r w:rsidR="00847839" w:rsidRPr="00847839">
        <w:rPr>
          <w:szCs w:val="19"/>
        </w:rPr>
        <w:t>Stan na koniec kwartału</w:t>
      </w:r>
    </w:p>
    <w:p w:rsidR="00942149" w:rsidRDefault="00942149" w:rsidP="00942149">
      <w:pPr>
        <w:rPr>
          <w:bCs/>
          <w:szCs w:val="19"/>
        </w:rPr>
      </w:pPr>
    </w:p>
    <w:p w:rsidR="00942149" w:rsidRPr="00942149" w:rsidRDefault="00942149" w:rsidP="00942149">
      <w:pPr>
        <w:rPr>
          <w:bCs/>
        </w:rPr>
      </w:pPr>
      <w:r w:rsidRPr="00942149">
        <w:rPr>
          <w:bCs/>
          <w:szCs w:val="19"/>
        </w:rPr>
        <w:t>Według innego podziału - ze względu na rodzaj prowadzonej działalności najwyższą wartość wskaźnika wolnych miejsc pracy na</w:t>
      </w:r>
      <w:r w:rsidRPr="00942149">
        <w:rPr>
          <w:szCs w:val="19"/>
        </w:rPr>
        <w:t xml:space="preserve"> koniec trzeciego kwartału br. </w:t>
      </w:r>
      <w:r w:rsidRPr="00942149">
        <w:rPr>
          <w:bCs/>
          <w:szCs w:val="19"/>
        </w:rPr>
        <w:t xml:space="preserve">odnotowano w sekcji Informacja i komunikacja </w:t>
      </w:r>
      <w:r>
        <w:rPr>
          <w:bCs/>
          <w:szCs w:val="19"/>
        </w:rPr>
        <w:t>–</w:t>
      </w:r>
      <w:r w:rsidRPr="00942149">
        <w:rPr>
          <w:bCs/>
          <w:szCs w:val="19"/>
        </w:rPr>
        <w:t xml:space="preserve"> 3,34%. Wskaźnik ten był o 0,55 p. proc mniejszy niż w końcu analogicznego kwartału ubiegłego roku. Sekcje, w których wartości wskaźnika również były wysokie to: Budownictwo 1,97% (gdzie omawiany wskaźnik był o 0,82 p. proc. mniejszy w porównaniu </w:t>
      </w:r>
      <w:r>
        <w:rPr>
          <w:bCs/>
          <w:szCs w:val="19"/>
        </w:rPr>
        <w:br/>
      </w:r>
      <w:r w:rsidRPr="00942149">
        <w:rPr>
          <w:bCs/>
          <w:szCs w:val="19"/>
        </w:rPr>
        <w:t xml:space="preserve">z sytuacją sprzed roku) oraz Działalność profesjonalna, naukowa i techniczna 1,58%. W sekcji najliczniejszej pod względem ogółu miejsc pracy czyli w Przetwórstwie przemysłowym wskaźnik wyniósł 0,97% i była to wartość o 0,25 p. proc. niższa niż przed rokiem. </w:t>
      </w:r>
    </w:p>
    <w:p w:rsidR="00847839" w:rsidRPr="00847839" w:rsidRDefault="00847839" w:rsidP="00847839">
      <w:pPr>
        <w:keepNext/>
        <w:spacing w:before="480" w:line="240" w:lineRule="auto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  <w:r w:rsidRPr="00847839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 xml:space="preserve">Nowo </w:t>
      </w:r>
      <w:r w:rsidRPr="00847839">
        <w:rPr>
          <w:rFonts w:ascii="Fira Sans SemiBold" w:eastAsia="Fira Sans Light" w:hAnsi="Fira Sans SemiBold" w:cs="Times New Roman"/>
          <w:color w:val="001D77"/>
          <w:szCs w:val="24"/>
          <w:lang w:eastAsia="pl-PL"/>
        </w:rPr>
        <w:t>utworzone i zlikwidowane miejsca</w:t>
      </w:r>
      <w:r w:rsidRPr="00847839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 xml:space="preserve"> pracy w trzecim kwartale 2022 r.</w:t>
      </w:r>
    </w:p>
    <w:p w:rsidR="00942149" w:rsidRPr="00942149" w:rsidRDefault="00942149" w:rsidP="00942149">
      <w:pPr>
        <w:rPr>
          <w:szCs w:val="19"/>
        </w:rPr>
      </w:pPr>
      <w:r w:rsidRPr="00942149">
        <w:rPr>
          <w:szCs w:val="19"/>
        </w:rPr>
        <w:t xml:space="preserve">Badanie popytu na pracę daje również możliwość przeanalizowania sytuacji na rynku pracy pod kątem </w:t>
      </w:r>
      <w:r w:rsidRPr="00942149">
        <w:rPr>
          <w:b/>
          <w:szCs w:val="19"/>
        </w:rPr>
        <w:t xml:space="preserve">nowo utworzonych </w:t>
      </w:r>
      <w:r w:rsidRPr="00942149">
        <w:rPr>
          <w:szCs w:val="19"/>
        </w:rPr>
        <w:t xml:space="preserve">i </w:t>
      </w:r>
      <w:r w:rsidRPr="00942149">
        <w:rPr>
          <w:b/>
          <w:szCs w:val="19"/>
        </w:rPr>
        <w:t>zlikwidowanych miejsc pracy</w:t>
      </w:r>
      <w:r w:rsidRPr="00942149">
        <w:rPr>
          <w:szCs w:val="19"/>
        </w:rPr>
        <w:t xml:space="preserve">. W ciągu trzeciego kwartału 2022 r. w Polsce utworzono 120,6 tys. nowych miejsc pracy, a zlikwidowano 71,7 tys. miejsc. </w:t>
      </w:r>
    </w:p>
    <w:p w:rsidR="00942149" w:rsidRPr="00942149" w:rsidRDefault="00942149" w:rsidP="00942149">
      <w:pPr>
        <w:rPr>
          <w:szCs w:val="19"/>
        </w:rPr>
      </w:pPr>
      <w:r w:rsidRPr="00942149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3F7F7DBC" wp14:editId="19077090">
                <wp:simplePos x="0" y="0"/>
                <wp:positionH relativeFrom="page">
                  <wp:posOffset>5674360</wp:posOffset>
                </wp:positionH>
                <wp:positionV relativeFrom="paragraph">
                  <wp:posOffset>354965</wp:posOffset>
                </wp:positionV>
                <wp:extent cx="1762125" cy="1351280"/>
                <wp:effectExtent l="0" t="0" r="0" b="0"/>
                <wp:wrapNone/>
                <wp:docPr id="35" name="Text Box 23" descr="W trzecim kwartale 2022 r. w stosunku do poprzedniego kwartału br. utworzono mniej miejsc pracy o 11,3% i o 8,8% więcej zlikwidowano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351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464A" w:rsidRDefault="002B464A" w:rsidP="002B464A">
                            <w:pPr>
                              <w:spacing w:before="0"/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W</w:t>
                            </w:r>
                            <w:r w:rsidRPr="00312E3C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trzecim</w:t>
                            </w:r>
                            <w:r w:rsidRPr="00312E3C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kwarta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le 2022</w:t>
                            </w:r>
                            <w:r w:rsidRPr="00312E3C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r.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br/>
                              <w:t>w stosunku do poprzedniego kwartału br. utworzono mniej miejsc pracy o 11,3% i o 8,8% więcej zlikwidowano</w:t>
                            </w:r>
                          </w:p>
                          <w:p w:rsidR="00942149" w:rsidRPr="00312E3C" w:rsidRDefault="00942149" w:rsidP="00942149">
                            <w:pPr>
                              <w:spacing w:before="0"/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3F7F7DBC" id="_x0000_s1031" type="#_x0000_t202" alt="W trzecim kwartale 2022 r. w stosunku do poprzedniego kwartału br. utworzono mniej miejsc pracy o 11,3% i o 8,8% więcej zlikwidowano&#10;" style="position:absolute;margin-left:446.8pt;margin-top:27.95pt;width:138.75pt;height:106.4pt;z-index:251793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" filled="f" stroked="f">
                <v:textbox>
                  <w:txbxContent>
                    <w:p w:rsidR="002B464A" w:rsidRDefault="002B464A" w:rsidP="002B464A">
                      <w:pPr>
                        <w:spacing w:before="0"/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  <w:bookmarkStart w:id="1" w:name="_GoBack"/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W</w:t>
                      </w:r>
                      <w:r w:rsidRPr="00312E3C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trzecim</w:t>
                      </w:r>
                      <w:r w:rsidRPr="00312E3C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kwarta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le 2022</w:t>
                      </w:r>
                      <w:r w:rsidRPr="00312E3C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r.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br/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w stosunku do poprzedniego kwartału br. utworzono mniej miejsc pracy o 11,3% i o 8,8% więcej zlikwidowano</w:t>
                      </w:r>
                    </w:p>
                    <w:bookmarkEnd w:id="1"/>
                    <w:p w:rsidR="00942149" w:rsidRPr="00312E3C" w:rsidRDefault="00942149" w:rsidP="00942149">
                      <w:pPr>
                        <w:spacing w:before="0"/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942149">
        <w:rPr>
          <w:szCs w:val="19"/>
        </w:rPr>
        <w:t xml:space="preserve">W porównaniu z analogicznym okresem poprzedniego roku nastąpił spadek liczby nowo utworzonych miejsc pracy o 9,1% oraz wzrost liczby miejsc zlikwidowanych o 24,0%. </w:t>
      </w:r>
    </w:p>
    <w:p w:rsidR="00942149" w:rsidRPr="00942149" w:rsidRDefault="00942149" w:rsidP="00942149">
      <w:pPr>
        <w:rPr>
          <w:szCs w:val="19"/>
        </w:rPr>
      </w:pPr>
      <w:r w:rsidRPr="00942149">
        <w:rPr>
          <w:szCs w:val="19"/>
          <w:shd w:val="clear" w:color="auto" w:fill="FFFFFF"/>
        </w:rPr>
        <w:t>W trzecim kwartale 2022 r. na jedno zlikwidowane miejsce pracy przypadło 1,7 nowo utworzone miejsce pracy (przed rokiem 2,3 miejsca).</w:t>
      </w:r>
    </w:p>
    <w:p w:rsidR="00942149" w:rsidRPr="00942149" w:rsidRDefault="00942149" w:rsidP="00942149">
      <w:pPr>
        <w:spacing w:before="0" w:after="160" w:line="259" w:lineRule="auto"/>
        <w:rPr>
          <w:rFonts w:eastAsia="Times New Roman"/>
          <w:szCs w:val="19"/>
          <w:lang w:eastAsia="pl-PL"/>
        </w:rPr>
      </w:pPr>
      <w:r w:rsidRPr="00942149">
        <w:rPr>
          <w:szCs w:val="19"/>
        </w:rPr>
        <w:t>W</w:t>
      </w:r>
      <w:r w:rsidRPr="00942149">
        <w:rPr>
          <w:szCs w:val="19"/>
          <w:shd w:val="clear" w:color="auto" w:fill="FFFFFF"/>
        </w:rPr>
        <w:t xml:space="preserve"> analizowanym okresie widoczne były również różnice w strukturze miejsc pracy w </w:t>
      </w:r>
      <w:r w:rsidRPr="00942149">
        <w:rPr>
          <w:b/>
          <w:szCs w:val="19"/>
          <w:shd w:val="clear" w:color="auto" w:fill="FFFFFF"/>
        </w:rPr>
        <w:t>układzie sekcji PKD</w:t>
      </w:r>
      <w:r w:rsidRPr="00942149">
        <w:rPr>
          <w:szCs w:val="19"/>
          <w:shd w:val="clear" w:color="auto" w:fill="FFFFFF"/>
        </w:rPr>
        <w:t xml:space="preserve"> – najwięcej nowych miejsc pracy utworzono w podmiotach gospodarki narodowej należących do sekcji Handel; naprawa pojazdów samochodowych</w:t>
      </w:r>
      <w:r w:rsidRPr="00942149">
        <w:rPr>
          <w:szCs w:val="19"/>
          <w:shd w:val="clear" w:color="auto" w:fill="FFFFFF"/>
          <w:vertAlign w:val="superscript"/>
        </w:rPr>
        <w:t xml:space="preserve">∆ </w:t>
      </w:r>
      <w:r w:rsidRPr="00942149">
        <w:rPr>
          <w:szCs w:val="19"/>
          <w:shd w:val="clear" w:color="auto" w:fill="FFFFFF"/>
        </w:rPr>
        <w:t xml:space="preserve">(22,4 tys. miejsc pracy, </w:t>
      </w:r>
      <w:r w:rsidRPr="00942149">
        <w:rPr>
          <w:szCs w:val="19"/>
          <w:shd w:val="clear" w:color="auto" w:fill="FFFFFF"/>
        </w:rPr>
        <w:br/>
        <w:t>i było to więcej o 2,2% niż w trzecim kwartale 2021 r.). W tym samym okresie w sekcji tej zlikwidowano 16,5 tys. miejsc pracy, tj. więcej w skali roku o 39,8%. Na jedno zlikwidowane miejsce pracy w tej sekcji przypadało 1,4 miejsc nowo utworzonych (wobec 1,9 miejsc w trzecim kwartale 2021 r.).</w:t>
      </w:r>
    </w:p>
    <w:p w:rsidR="00942149" w:rsidRPr="00942149" w:rsidRDefault="00942149" w:rsidP="00942149">
      <w:pPr>
        <w:rPr>
          <w:szCs w:val="19"/>
          <w:shd w:val="clear" w:color="auto" w:fill="FFFFFF"/>
        </w:rPr>
      </w:pPr>
      <w:r w:rsidRPr="00942149">
        <w:rPr>
          <w:szCs w:val="19"/>
          <w:shd w:val="clear" w:color="auto" w:fill="FFFFFF"/>
        </w:rPr>
        <w:t xml:space="preserve">Znaczny udział w strukturze miejsc pracy miała również sekcja Przetwórstwo przemysłowe. Nowo utworzone miejsca pracy w trzecim kwartale 2022 r. stanowiły 15,2% ogólnej ich liczby, zaś zlikwidowane miejsca pracy </w:t>
      </w:r>
      <w:r w:rsidRPr="00942149">
        <w:rPr>
          <w:szCs w:val="19"/>
        </w:rPr>
        <w:t>—</w:t>
      </w:r>
      <w:r w:rsidRPr="00942149">
        <w:rPr>
          <w:szCs w:val="19"/>
          <w:shd w:val="clear" w:color="auto" w:fill="FFFFFF"/>
        </w:rPr>
        <w:t xml:space="preserve"> 16,4% ich liczby ogółem (odpowiednio 18,3 tys. i 11,7 tys. miejsc pracy). Na jedno zlikwidowane miejsce pracy przypadało 1,6 nowo utworzonych miejsc pracy. </w:t>
      </w:r>
    </w:p>
    <w:p w:rsidR="00942149" w:rsidRPr="00942149" w:rsidRDefault="00942149" w:rsidP="00942149">
      <w:pPr>
        <w:rPr>
          <w:szCs w:val="19"/>
          <w:shd w:val="clear" w:color="auto" w:fill="FFFFFF"/>
        </w:rPr>
      </w:pPr>
      <w:r w:rsidRPr="00942149">
        <w:rPr>
          <w:szCs w:val="19"/>
          <w:shd w:val="clear" w:color="auto" w:fill="FFFFFF"/>
        </w:rPr>
        <w:lastRenderedPageBreak/>
        <w:t>W trzecim kwartale 2022 r. najwięcej nowo utworzonych miejsc pracy na jedno miejsce zlikwidowane przypadało w sekcji Wytwarzanie i zaopatrywanie w energię elektryczną, gaz, parę wodną i gorącą wodę</w:t>
      </w:r>
      <w:r w:rsidRPr="00942149">
        <w:rPr>
          <w:szCs w:val="19"/>
          <w:shd w:val="clear" w:color="auto" w:fill="FFFFFF"/>
          <w:vertAlign w:val="superscript"/>
        </w:rPr>
        <w:t>∆</w:t>
      </w:r>
      <w:r w:rsidRPr="00942149">
        <w:rPr>
          <w:szCs w:val="19"/>
          <w:shd w:val="clear" w:color="auto" w:fill="FFFFFF"/>
        </w:rPr>
        <w:t xml:space="preserve"> (3,6 miejsca).</w:t>
      </w:r>
    </w:p>
    <w:p w:rsidR="00847839" w:rsidRPr="00847839" w:rsidRDefault="00847839" w:rsidP="00847839">
      <w:pPr>
        <w:spacing w:before="360" w:after="0"/>
        <w:ind w:left="879" w:hanging="879"/>
        <w:rPr>
          <w:b/>
          <w:szCs w:val="19"/>
        </w:rPr>
      </w:pPr>
      <w:r w:rsidRPr="00847839">
        <w:rPr>
          <w:b/>
          <w:noProof/>
          <w:szCs w:val="19"/>
          <w:lang w:eastAsia="pl-PL"/>
        </w:rPr>
        <w:drawing>
          <wp:anchor distT="0" distB="0" distL="114300" distR="114300" simplePos="0" relativeHeight="251776000" behindDoc="0" locked="0" layoutInCell="1" allowOverlap="1" wp14:anchorId="5251A1F3" wp14:editId="5B44529D">
            <wp:simplePos x="0" y="0"/>
            <wp:positionH relativeFrom="margin">
              <wp:posOffset>-15240</wp:posOffset>
            </wp:positionH>
            <wp:positionV relativeFrom="paragraph">
              <wp:posOffset>543560</wp:posOffset>
            </wp:positionV>
            <wp:extent cx="5083175" cy="3858260"/>
            <wp:effectExtent l="0" t="0" r="3175" b="8890"/>
            <wp:wrapSquare wrapText="bothSides"/>
            <wp:docPr id="13" name="Obraz 13" descr="Wykres 4. Nowo utworzone i zlikwidowane miejsca pracy według wybranych sekcji PKD w trzecim kwartale 2022 r. &#10;Nowo utworzone i zlikwidowane miejsca pracy oraz nowo utworzone miejsca pracy do zlikwiedowanych miejsc pracy" title="Wykres 4. Nowo utworzone i zlikwidowane miejsca pracy według wybranych sekcji PKD w trzecim kwartale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wykres_6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3175" cy="3858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47839">
        <w:rPr>
          <w:b/>
          <w:szCs w:val="19"/>
        </w:rPr>
        <w:t xml:space="preserve">Wykres 4. Nowo utworzone i zlikwidowane miejsca pracy według wybranych sekcji PKD </w:t>
      </w:r>
      <w:r w:rsidRPr="00847839">
        <w:rPr>
          <w:b/>
          <w:szCs w:val="19"/>
        </w:rPr>
        <w:br/>
        <w:t xml:space="preserve">w trzecim kwartale 2022 r. </w:t>
      </w:r>
    </w:p>
    <w:p w:rsidR="00847839" w:rsidRPr="00847839" w:rsidRDefault="00847839" w:rsidP="00847839">
      <w:pPr>
        <w:spacing w:before="360" w:after="0"/>
        <w:ind w:left="879" w:hanging="879"/>
        <w:rPr>
          <w:b/>
          <w:szCs w:val="19"/>
        </w:rPr>
      </w:pPr>
    </w:p>
    <w:p w:rsidR="00CF6C9E" w:rsidRDefault="00CF6C9E" w:rsidP="00967CCD">
      <w:pPr>
        <w:rPr>
          <w:szCs w:val="19"/>
        </w:rPr>
      </w:pPr>
    </w:p>
    <w:p w:rsidR="00102DFA" w:rsidRDefault="00102DFA" w:rsidP="00967CCD">
      <w:pPr>
        <w:rPr>
          <w:szCs w:val="19"/>
        </w:rPr>
      </w:pPr>
    </w:p>
    <w:p w:rsidR="00102DFA" w:rsidRDefault="00102DFA" w:rsidP="00967CCD">
      <w:pPr>
        <w:rPr>
          <w:szCs w:val="19"/>
        </w:rPr>
      </w:pPr>
    </w:p>
    <w:p w:rsidR="00102DFA" w:rsidRDefault="00102DFA" w:rsidP="00967CCD">
      <w:pPr>
        <w:rPr>
          <w:szCs w:val="19"/>
        </w:rPr>
      </w:pPr>
    </w:p>
    <w:p w:rsidR="00102DFA" w:rsidRDefault="00102DFA" w:rsidP="00967CCD">
      <w:pPr>
        <w:rPr>
          <w:szCs w:val="19"/>
        </w:rPr>
      </w:pPr>
    </w:p>
    <w:p w:rsidR="00102DFA" w:rsidRDefault="00102DFA" w:rsidP="00967CCD">
      <w:pPr>
        <w:rPr>
          <w:szCs w:val="19"/>
        </w:rPr>
      </w:pPr>
    </w:p>
    <w:p w:rsidR="00967CCD" w:rsidRDefault="00967CCD" w:rsidP="00603F90">
      <w:pPr>
        <w:rPr>
          <w:szCs w:val="19"/>
        </w:rPr>
      </w:pPr>
    </w:p>
    <w:p w:rsidR="00603F90" w:rsidRPr="00327EE6" w:rsidRDefault="009D7B50" w:rsidP="00852C4D">
      <w:pPr>
        <w:rPr>
          <w:color w:val="000000"/>
        </w:rPr>
      </w:pPr>
      <w:r>
        <w:rPr>
          <w:szCs w:val="19"/>
        </w:rPr>
        <w:t>W</w:t>
      </w:r>
      <w:r w:rsidR="00603F90">
        <w:rPr>
          <w:szCs w:val="19"/>
        </w:rPr>
        <w:t xml:space="preserve"> opracowaniu zastosowano skrócone nazwy sekcji PKD, oznaczając </w:t>
      </w:r>
      <w:r w:rsidR="00603F90" w:rsidRPr="00040ECA">
        <w:rPr>
          <w:szCs w:val="19"/>
        </w:rPr>
        <w:t xml:space="preserve">skróty </w:t>
      </w:r>
      <w:r w:rsidR="00603F90">
        <w:rPr>
          <w:szCs w:val="19"/>
        </w:rPr>
        <w:t xml:space="preserve">znakiem „∆”. </w:t>
      </w:r>
      <w:r w:rsidR="00603F90">
        <w:rPr>
          <w:szCs w:val="19"/>
        </w:rPr>
        <w:br/>
        <w:t xml:space="preserve">Pełne nazwy dostępne są na stronie GUS pod adresem: </w:t>
      </w:r>
      <w:hyperlink r:id="rId15" w:tooltip="Paełne nazwy sekcji PKD oznaczone skrótem ∆" w:history="1">
        <w:r w:rsidR="00603F90" w:rsidRPr="00327EE6">
          <w:rPr>
            <w:rStyle w:val="Hipercze"/>
            <w:color w:val="001D77"/>
            <w:szCs w:val="19"/>
          </w:rPr>
          <w:t>http://stat.gov.pl/Klasyfikacje/</w:t>
        </w:r>
      </w:hyperlink>
      <w:r w:rsidR="00AC76CF">
        <w:rPr>
          <w:rStyle w:val="Hipercze"/>
          <w:color w:val="001D77"/>
          <w:szCs w:val="19"/>
        </w:rPr>
        <w:t>.</w:t>
      </w:r>
    </w:p>
    <w:p w:rsidR="00603F90" w:rsidRPr="00D64CDC" w:rsidRDefault="00603F90" w:rsidP="00852C4D">
      <w:pPr>
        <w:rPr>
          <w:lang w:eastAsia="pl-PL"/>
        </w:rPr>
      </w:pPr>
      <w:r w:rsidRPr="00D64CDC">
        <w:rPr>
          <w:lang w:eastAsia="pl-PL"/>
        </w:rPr>
        <w:t>Liczby względne (wskaźniki, odsetki) obliczono na podstawie danych bezwzględnych</w:t>
      </w:r>
      <w:r w:rsidRPr="00D64CDC">
        <w:t xml:space="preserve"> </w:t>
      </w:r>
      <w:r w:rsidRPr="00D64CDC">
        <w:rPr>
          <w:lang w:eastAsia="pl-PL"/>
        </w:rPr>
        <w:t>wyrażonych z większą dokładnością niż podano w opracowaniu.</w:t>
      </w:r>
    </w:p>
    <w:p w:rsidR="00603F90" w:rsidRDefault="00603F90" w:rsidP="00603F90">
      <w:pPr>
        <w:jc w:val="both"/>
        <w:rPr>
          <w:lang w:eastAsia="pl-PL"/>
        </w:rPr>
      </w:pPr>
    </w:p>
    <w:p w:rsidR="00603F90" w:rsidRDefault="00603F90" w:rsidP="00603F90">
      <w:pPr>
        <w:jc w:val="both"/>
        <w:rPr>
          <w:lang w:eastAsia="pl-PL"/>
        </w:rPr>
      </w:pPr>
    </w:p>
    <w:p w:rsidR="00DA331D" w:rsidRPr="00603F90" w:rsidRDefault="00603F90" w:rsidP="00603F90">
      <w:pPr>
        <w:rPr>
          <w:sz w:val="16"/>
        </w:rPr>
      </w:pPr>
      <w:r>
        <w:t xml:space="preserve">W przypadku cytowania danych Głównego Urzędu Statystycznego prosimy o zamieszczenie informacji: „Źródło danych GUS”, a </w:t>
      </w:r>
      <w:r w:rsidR="00E711B3">
        <w:t xml:space="preserve">w </w:t>
      </w:r>
      <w:r>
        <w:t>przypadku publikowania obliczeń dokonanych na danych opublikowanych przez GUS prosimy o zamieszczenie informacji: „Opracowanie własne na podstawie danych GUS”.</w:t>
      </w:r>
    </w:p>
    <w:p w:rsidR="00694AF0" w:rsidRPr="00603F90" w:rsidRDefault="00694AF0" w:rsidP="00E76D26">
      <w:pPr>
        <w:rPr>
          <w:sz w:val="18"/>
        </w:rPr>
      </w:pPr>
    </w:p>
    <w:p w:rsidR="00DA331D" w:rsidRPr="00603F90" w:rsidRDefault="00DA331D" w:rsidP="00DA331D">
      <w:pPr>
        <w:spacing w:before="360"/>
        <w:rPr>
          <w:sz w:val="18"/>
        </w:rPr>
        <w:sectPr w:rsidR="00DA331D" w:rsidRPr="00603F90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Tr="00BA2BA7">
        <w:trPr>
          <w:trHeight w:val="1626"/>
        </w:trPr>
        <w:tc>
          <w:tcPr>
            <w:tcW w:w="4926" w:type="dxa"/>
          </w:tcPr>
          <w:p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="00DE2400" w:rsidRPr="008925F0" w:rsidRDefault="00EC537A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EC537A">
              <w:rPr>
                <w:rFonts w:cs="Arial"/>
                <w:b/>
                <w:sz w:val="20"/>
              </w:rPr>
              <w:t>Urząd Statystyczny w Bydgoszczy</w:t>
            </w:r>
          </w:p>
          <w:p w:rsidR="00DE2400" w:rsidRPr="00DE2400" w:rsidRDefault="00EC537A" w:rsidP="00A775AB">
            <w:pPr>
              <w:spacing w:before="0" w:after="0" w:line="276" w:lineRule="auto"/>
              <w:rPr>
                <w:b/>
                <w:lang w:val="fi-FI"/>
              </w:rPr>
            </w:pPr>
            <w:r w:rsidRPr="00EC537A">
              <w:rPr>
                <w:b/>
                <w:lang w:val="fi-FI"/>
              </w:rPr>
              <w:t>Dyrektor dr Wiesława Gierańczyk</w:t>
            </w:r>
          </w:p>
          <w:p w:rsidR="00DE2400" w:rsidRPr="00AB24E4" w:rsidRDefault="00DE2400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EC537A" w:rsidRPr="00EC537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52 366 93 90</w:t>
            </w:r>
          </w:p>
        </w:tc>
        <w:tc>
          <w:tcPr>
            <w:tcW w:w="4927" w:type="dxa"/>
          </w:tcPr>
          <w:p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:rsidR="00DE2400" w:rsidRPr="004A1D19" w:rsidRDefault="00DE2400" w:rsidP="00A775AB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:rsidR="00DE2400" w:rsidRPr="004A1D19" w:rsidRDefault="00DE2400" w:rsidP="00A775AB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:rsidR="00DE2400" w:rsidRDefault="00DE2400" w:rsidP="00A775AB">
            <w:pPr>
              <w:rPr>
                <w:sz w:val="18"/>
              </w:rPr>
            </w:pPr>
          </w:p>
        </w:tc>
      </w:tr>
      <w:tr w:rsidR="003E76F6" w:rsidTr="00BA2BA7">
        <w:trPr>
          <w:trHeight w:val="418"/>
        </w:trPr>
        <w:tc>
          <w:tcPr>
            <w:tcW w:w="4926" w:type="dxa"/>
            <w:vMerge w:val="restart"/>
          </w:tcPr>
          <w:p w:rsidR="003E76F6" w:rsidRPr="00C91687" w:rsidRDefault="003E76F6" w:rsidP="003E76F6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3E76F6" w:rsidRPr="00C91687" w:rsidRDefault="003E76F6" w:rsidP="003E76F6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:rsidR="003E76F6" w:rsidRPr="00F05FC7" w:rsidRDefault="003E76F6" w:rsidP="003E76F6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20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="003E76F6" w:rsidRDefault="003E76F6" w:rsidP="006533D1">
            <w:pPr>
              <w:ind w:firstLine="680"/>
              <w:rPr>
                <w:sz w:val="18"/>
              </w:rPr>
            </w:pPr>
            <w:r w:rsidRPr="006533D1">
              <w:rPr>
                <w:strike/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47E865E3" wp14:editId="3999824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</w:p>
        </w:tc>
      </w:tr>
      <w:tr w:rsidR="003E76F6" w:rsidTr="00BA2BA7">
        <w:trPr>
          <w:trHeight w:val="418"/>
        </w:trPr>
        <w:tc>
          <w:tcPr>
            <w:tcW w:w="4926" w:type="dxa"/>
            <w:vMerge/>
          </w:tcPr>
          <w:p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51276283" wp14:editId="6EFB266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:rsidTr="00BA2BA7">
        <w:trPr>
          <w:trHeight w:val="476"/>
        </w:trPr>
        <w:tc>
          <w:tcPr>
            <w:tcW w:w="4926" w:type="dxa"/>
            <w:vMerge/>
          </w:tcPr>
          <w:p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33FE7147" wp14:editId="434C7B7F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:rsidTr="00BA2BA7">
        <w:trPr>
          <w:trHeight w:val="476"/>
        </w:trPr>
        <w:tc>
          <w:tcPr>
            <w:tcW w:w="4926" w:type="dxa"/>
          </w:tcPr>
          <w:p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3E76F6" w:rsidRPr="003D5F42" w:rsidRDefault="003E76F6" w:rsidP="003E76F6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682A94A5" wp14:editId="4495722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5" name="Obraz 1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3E76F6" w:rsidTr="00BA2BA7">
        <w:trPr>
          <w:trHeight w:val="476"/>
        </w:trPr>
        <w:tc>
          <w:tcPr>
            <w:tcW w:w="4926" w:type="dxa"/>
          </w:tcPr>
          <w:p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3E76F6" w:rsidRPr="003D5F42" w:rsidRDefault="003E76F6" w:rsidP="003E76F6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344937CE" wp14:editId="77EEBA6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3E76F6" w:rsidTr="00BA2BA7">
        <w:trPr>
          <w:trHeight w:val="953"/>
        </w:trPr>
        <w:tc>
          <w:tcPr>
            <w:tcW w:w="4926" w:type="dxa"/>
          </w:tcPr>
          <w:p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3E76F6" w:rsidRPr="003D5F42" w:rsidRDefault="003E76F6" w:rsidP="003E76F6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1C7279E2" wp14:editId="6EBA92D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3028BF" w:rsidTr="00BA2BA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291908" w:rsidRPr="00876479" w:rsidRDefault="00291908" w:rsidP="00291908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="00291908" w:rsidRPr="002457CC" w:rsidRDefault="00291908" w:rsidP="00291908">
            <w:pPr>
              <w:pStyle w:val="tekstzboku"/>
              <w:rPr>
                <w:rStyle w:val="Hipercze"/>
                <w:color w:val="001D77"/>
              </w:rPr>
            </w:pPr>
            <w:r w:rsidRPr="002457CC">
              <w:rPr>
                <w:u w:val="single"/>
              </w:rPr>
              <w:fldChar w:fldCharType="begin"/>
            </w:r>
            <w:r w:rsidR="00883C42">
              <w:rPr>
                <w:u w:val="single"/>
              </w:rPr>
              <w:instrText>HYPERLINK "https://stat.gov.pl/obszary-tematyczne/rynek-pracy/popyt-na-prace/popyt-na-prace-w-2021-roku,1,17.html" \o " Link do publikacji Popyt na pracę w 2021 r. Publikacja roczna"</w:instrText>
            </w:r>
            <w:r w:rsidRPr="002457CC">
              <w:rPr>
                <w:u w:val="single"/>
              </w:rPr>
              <w:fldChar w:fldCharType="separate"/>
            </w:r>
            <w:r w:rsidRPr="002457CC">
              <w:rPr>
                <w:rStyle w:val="Hipercze"/>
                <w:color w:val="001D77"/>
              </w:rPr>
              <w:t>Popyt na pracę w 202</w:t>
            </w:r>
            <w:r w:rsidR="00883C42">
              <w:rPr>
                <w:rStyle w:val="Hipercze"/>
                <w:color w:val="001D77"/>
              </w:rPr>
              <w:t>1</w:t>
            </w:r>
            <w:r w:rsidRPr="002457CC">
              <w:rPr>
                <w:rStyle w:val="Hipercze"/>
                <w:color w:val="001D77"/>
              </w:rPr>
              <w:t xml:space="preserve"> r. – publikacja roczna</w:t>
            </w:r>
          </w:p>
          <w:p w:rsidR="00291908" w:rsidRPr="002457CC" w:rsidRDefault="00291908" w:rsidP="00291908">
            <w:pPr>
              <w:pStyle w:val="tekstzboku"/>
              <w:rPr>
                <w:rStyle w:val="Hipercze"/>
                <w:color w:val="001D77"/>
              </w:rPr>
            </w:pPr>
            <w:r w:rsidRPr="002457CC">
              <w:rPr>
                <w:u w:val="single"/>
              </w:rPr>
              <w:fldChar w:fldCharType="end"/>
            </w:r>
            <w:r w:rsidRPr="002457CC">
              <w:rPr>
                <w:rStyle w:val="Hipercze"/>
                <w:color w:val="001D77"/>
              </w:rPr>
              <w:fldChar w:fldCharType="begin"/>
            </w:r>
            <w:r w:rsidR="00526762">
              <w:rPr>
                <w:rStyle w:val="Hipercze"/>
                <w:color w:val="001D77"/>
              </w:rPr>
              <w:instrText>HYPERLINK "https://stat.gov.pl/obszary-tematyczne/rynek-pracy/popyt-na-prace/popyt-na-prace-w-2-kwartale-2022-roku,2,46.html" \o "Link do opracowania Popyt na pracę w drugim kwartale 2022 r. Opracowanie sygnalne"</w:instrText>
            </w:r>
            <w:r w:rsidRPr="002457CC">
              <w:rPr>
                <w:rStyle w:val="Hipercze"/>
                <w:color w:val="001D77"/>
              </w:rPr>
              <w:fldChar w:fldCharType="separate"/>
            </w:r>
            <w:r w:rsidRPr="002457CC">
              <w:rPr>
                <w:rStyle w:val="Hipercze"/>
                <w:color w:val="001D77"/>
              </w:rPr>
              <w:t xml:space="preserve">Popyt na pracę w </w:t>
            </w:r>
            <w:r w:rsidR="00526762">
              <w:rPr>
                <w:rStyle w:val="Hipercze"/>
                <w:color w:val="001D77"/>
              </w:rPr>
              <w:t>drugim</w:t>
            </w:r>
            <w:r w:rsidRPr="002457CC">
              <w:rPr>
                <w:rStyle w:val="Hipercze"/>
                <w:color w:val="001D77"/>
              </w:rPr>
              <w:t xml:space="preserve"> kwartale </w:t>
            </w:r>
            <w:r>
              <w:rPr>
                <w:rStyle w:val="Hipercze"/>
                <w:color w:val="001D77"/>
              </w:rPr>
              <w:t>202</w:t>
            </w:r>
            <w:r w:rsidR="00883C42">
              <w:rPr>
                <w:rStyle w:val="Hipercze"/>
                <w:color w:val="001D77"/>
              </w:rPr>
              <w:t>2</w:t>
            </w:r>
            <w:r w:rsidRPr="002457CC">
              <w:rPr>
                <w:rStyle w:val="Hipercze"/>
                <w:color w:val="001D77"/>
              </w:rPr>
              <w:t xml:space="preserve"> r.</w:t>
            </w:r>
            <w:r w:rsidR="00883C42">
              <w:rPr>
                <w:rStyle w:val="Hipercze"/>
                <w:color w:val="001D77"/>
              </w:rPr>
              <w:t xml:space="preserve"> — opracowanie sygnalne</w:t>
            </w:r>
          </w:p>
          <w:p w:rsidR="00291908" w:rsidRPr="002457CC" w:rsidRDefault="00291908" w:rsidP="00291908">
            <w:pPr>
              <w:pStyle w:val="tekstzboku"/>
              <w:rPr>
                <w:rStyle w:val="Hipercze"/>
                <w:color w:val="001D77"/>
                <w:spacing w:val="-2"/>
              </w:rPr>
            </w:pPr>
            <w:r w:rsidRPr="002457CC">
              <w:rPr>
                <w:rStyle w:val="Hipercze"/>
                <w:color w:val="001D77"/>
              </w:rPr>
              <w:fldChar w:fldCharType="end"/>
            </w:r>
            <w:r w:rsidRPr="002457CC">
              <w:rPr>
                <w:rStyle w:val="Hipercze"/>
                <w:color w:val="001D77"/>
                <w:spacing w:val="-2"/>
              </w:rPr>
              <w:fldChar w:fldCharType="begin"/>
            </w:r>
            <w:r w:rsidR="00526762">
              <w:rPr>
                <w:rStyle w:val="Hipercze"/>
                <w:color w:val="001D77"/>
                <w:spacing w:val="-2"/>
              </w:rPr>
              <w:instrText>HYPERLINK "https://stat.gov.pl/obszary-tematyczne/rynek-pracy/popyt-na-prace/wplyw-epidemii-covid-19-na-wybrane-elementy-rynku-pracy-w-polsce-w-drugim-kwartale-2022-r-,4,10.html" \o "Link do opracowania Wpływ epidemii COVID-19 na wybrane elementy rynku pracy w Polsce w drugim kwartale 2022 r. Opracowanie sygnalne"</w:instrText>
            </w:r>
            <w:r w:rsidRPr="002457CC">
              <w:rPr>
                <w:rStyle w:val="Hipercze"/>
                <w:color w:val="001D77"/>
                <w:spacing w:val="-2"/>
              </w:rPr>
              <w:fldChar w:fldCharType="separate"/>
            </w:r>
            <w:r w:rsidRPr="002457CC">
              <w:rPr>
                <w:rStyle w:val="Hipercze"/>
                <w:color w:val="001D77"/>
                <w:spacing w:val="-2"/>
              </w:rPr>
              <w:t xml:space="preserve">Wpływ epidemii COVID-19 na wybrane elementy rynku pracy w Polsce w </w:t>
            </w:r>
            <w:r w:rsidR="00526762">
              <w:rPr>
                <w:rStyle w:val="Hipercze"/>
                <w:color w:val="001D77"/>
                <w:spacing w:val="-2"/>
              </w:rPr>
              <w:t>drugim</w:t>
            </w:r>
            <w:r w:rsidRPr="002457CC">
              <w:rPr>
                <w:rStyle w:val="Hipercze"/>
                <w:color w:val="001D77"/>
                <w:spacing w:val="-2"/>
              </w:rPr>
              <w:t xml:space="preserve"> kwartale </w:t>
            </w:r>
            <w:r>
              <w:rPr>
                <w:rStyle w:val="Hipercze"/>
                <w:color w:val="001D77"/>
                <w:spacing w:val="-2"/>
              </w:rPr>
              <w:t>202</w:t>
            </w:r>
            <w:r w:rsidR="00883C42">
              <w:rPr>
                <w:rStyle w:val="Hipercze"/>
                <w:color w:val="001D77"/>
                <w:spacing w:val="-2"/>
              </w:rPr>
              <w:t>2</w:t>
            </w:r>
            <w:r w:rsidRPr="002457CC">
              <w:rPr>
                <w:rStyle w:val="Hipercze"/>
                <w:color w:val="001D77"/>
                <w:spacing w:val="-2"/>
              </w:rPr>
              <w:t xml:space="preserve"> r.</w:t>
            </w:r>
            <w:r w:rsidR="00883C42">
              <w:rPr>
                <w:rStyle w:val="Hipercze"/>
                <w:color w:val="001D77"/>
                <w:spacing w:val="-2"/>
              </w:rPr>
              <w:t xml:space="preserve"> – opracowanie sygnalne</w:t>
            </w:r>
          </w:p>
          <w:p w:rsidR="00291908" w:rsidRPr="002457CC" w:rsidRDefault="00291908" w:rsidP="00291908">
            <w:pPr>
              <w:pStyle w:val="tekstzboku"/>
              <w:rPr>
                <w:rStyle w:val="Hipercze"/>
                <w:color w:val="001D77"/>
              </w:rPr>
            </w:pPr>
            <w:r w:rsidRPr="002457CC">
              <w:rPr>
                <w:rStyle w:val="Hipercze"/>
                <w:color w:val="001D77"/>
                <w:spacing w:val="-2"/>
              </w:rPr>
              <w:fldChar w:fldCharType="end"/>
            </w:r>
            <w:hyperlink r:id="rId27" w:tooltip="Link do innych opracowań zawierających wyniki tych badań" w:history="1">
              <w:r w:rsidRPr="002457CC">
                <w:rPr>
                  <w:rStyle w:val="Hipercze"/>
                  <w:color w:val="001D77"/>
                </w:rPr>
                <w:t>Inne opracowania zawierające wyniki tych badań: stat.gov.pl → Obszary tematyczne → Rynek pracy</w:t>
              </w:r>
            </w:hyperlink>
            <w:r w:rsidRPr="002457CC">
              <w:rPr>
                <w:rStyle w:val="Hipercze"/>
                <w:color w:val="001D77"/>
              </w:rPr>
              <w:t xml:space="preserve"> </w:t>
            </w:r>
          </w:p>
          <w:p w:rsidR="00291908" w:rsidRPr="002457CC" w:rsidRDefault="00291908" w:rsidP="00291908">
            <w:pPr>
              <w:pStyle w:val="tekstzboku"/>
              <w:rPr>
                <w:rStyle w:val="Hipercze"/>
                <w:color w:val="001D77"/>
              </w:rPr>
            </w:pPr>
            <w:r w:rsidRPr="002457CC">
              <w:rPr>
                <w:rStyle w:val="Hipercze"/>
                <w:color w:val="001D77"/>
              </w:rPr>
              <w:fldChar w:fldCharType="begin"/>
            </w:r>
            <w:r w:rsidRPr="002457CC">
              <w:rPr>
                <w:rStyle w:val="Hipercze"/>
                <w:color w:val="001D77"/>
              </w:rPr>
              <w:instrText>HYPERLINK "https://stat.gov.pl/obszary-tematyczne/rynek-pracy/popyt-na-prace/zeszyt-metodologiczny-popyt-na-prace,3,1.html" \o "Link do opracowania Zeszyt metodologiczny. Popyt na pracę"</w:instrText>
            </w:r>
            <w:r w:rsidRPr="002457CC">
              <w:rPr>
                <w:rStyle w:val="Hipercze"/>
                <w:color w:val="001D77"/>
              </w:rPr>
              <w:fldChar w:fldCharType="separate"/>
            </w:r>
            <w:r w:rsidRPr="002457CC">
              <w:rPr>
                <w:rStyle w:val="Hipercze"/>
                <w:color w:val="001D77"/>
              </w:rPr>
              <w:t>Zeszyt metodologiczny. Popyt na pracę</w:t>
            </w:r>
          </w:p>
          <w:p w:rsidR="00291908" w:rsidRPr="00694D63" w:rsidRDefault="00291908" w:rsidP="0029190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2457CC">
              <w:rPr>
                <w:rStyle w:val="Hipercze"/>
                <w:color w:val="001D77"/>
              </w:rPr>
              <w:fldChar w:fldCharType="end"/>
            </w: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="00291908" w:rsidRPr="00CD6B69" w:rsidRDefault="00D31E7A" w:rsidP="00291908">
            <w:pPr>
              <w:rPr>
                <w:rStyle w:val="Hipercze"/>
                <w:rFonts w:cs="Arial"/>
                <w:color w:val="001D77"/>
                <w:sz w:val="18"/>
                <w:szCs w:val="30"/>
                <w:shd w:val="clear" w:color="auto" w:fill="F0F0F0"/>
              </w:rPr>
            </w:pPr>
            <w:hyperlink r:id="rId28" w:tooltip="Link do Dziedzinowej Bazy Wiedzy – Rynek pracy" w:history="1">
              <w:r w:rsidR="00291908" w:rsidRPr="00EC537A">
                <w:rPr>
                  <w:rStyle w:val="Hipercze"/>
                  <w:rFonts w:cs="Arial"/>
                  <w:color w:val="001D77"/>
                  <w:sz w:val="18"/>
                  <w:szCs w:val="30"/>
                </w:rPr>
                <w:t>Dziedzinowe Bazy Wiedzy – Rynek pracy</w:t>
              </w:r>
            </w:hyperlink>
          </w:p>
          <w:p w:rsidR="00291908" w:rsidRPr="00F052AA" w:rsidRDefault="00291908" w:rsidP="00291908">
            <w:pPr>
              <w:rPr>
                <w:rStyle w:val="Hipercze"/>
                <w:rFonts w:cs="Arial"/>
                <w:color w:val="001D77"/>
                <w:sz w:val="18"/>
                <w:szCs w:val="30"/>
                <w:shd w:val="clear" w:color="auto" w:fill="F0F0F0"/>
              </w:rPr>
            </w:pPr>
            <w:r w:rsidRPr="00F052AA">
              <w:rPr>
                <w:rFonts w:eastAsia="Fira Sans Light" w:cs="Arial"/>
                <w:color w:val="001D77"/>
                <w:sz w:val="18"/>
                <w:szCs w:val="30"/>
                <w:shd w:val="clear" w:color="auto" w:fill="F0F0F0"/>
              </w:rPr>
              <w:fldChar w:fldCharType="begin"/>
            </w:r>
            <w:r>
              <w:rPr>
                <w:rFonts w:cs="Arial"/>
                <w:color w:val="001D77"/>
                <w:sz w:val="18"/>
                <w:szCs w:val="30"/>
                <w:shd w:val="clear" w:color="auto" w:fill="F0F0F0"/>
              </w:rPr>
              <w:instrText>HYPERLINK "http://strateg.stat.gov.pl/" \o "Baza danych Strateg. Obszar tematyczny Rynek pracy"</w:instrText>
            </w:r>
            <w:r w:rsidRPr="00F052AA">
              <w:rPr>
                <w:rFonts w:eastAsia="Fira Sans Light" w:cs="Arial"/>
                <w:color w:val="001D77"/>
                <w:sz w:val="18"/>
                <w:szCs w:val="30"/>
                <w:shd w:val="clear" w:color="auto" w:fill="F0F0F0"/>
              </w:rPr>
              <w:fldChar w:fldCharType="separate"/>
            </w:r>
            <w:r w:rsidRPr="00EC537A">
              <w:rPr>
                <w:rStyle w:val="Hipercze"/>
                <w:rFonts w:cs="Arial"/>
                <w:color w:val="001D77"/>
                <w:sz w:val="18"/>
                <w:szCs w:val="30"/>
              </w:rPr>
              <w:t>Strateg → Obszary tematyczne → Rynek pracy</w:t>
            </w:r>
          </w:p>
          <w:p w:rsidR="00291908" w:rsidRPr="002457CC" w:rsidRDefault="00291908" w:rsidP="00291908">
            <w:pPr>
              <w:pStyle w:val="tekstzboku"/>
              <w:rPr>
                <w:rStyle w:val="Hipercze"/>
                <w:color w:val="001D77"/>
              </w:rPr>
            </w:pPr>
            <w:r w:rsidRPr="00F052AA">
              <w:rPr>
                <w:shd w:val="clear" w:color="auto" w:fill="F0F0F0"/>
              </w:rPr>
              <w:fldChar w:fldCharType="end"/>
            </w:r>
            <w:r w:rsidRPr="002457CC">
              <w:rPr>
                <w:rStyle w:val="Hipercze"/>
                <w:color w:val="001D77"/>
              </w:rPr>
              <w:fldChar w:fldCharType="begin"/>
            </w:r>
            <w:r w:rsidRPr="002457CC">
              <w:rPr>
                <w:rStyle w:val="Hipercze"/>
                <w:color w:val="001D77"/>
              </w:rPr>
              <w:instrText xml:space="preserve"> HYPERLINK "https://bdl.stat.gov.pl/BDL/dane/podgrup/temat" \o "Link do Banku Danych Lokalnych. Obszar Rynek pracy" </w:instrText>
            </w:r>
            <w:r w:rsidRPr="002457CC">
              <w:rPr>
                <w:rStyle w:val="Hipercze"/>
                <w:color w:val="001D77"/>
              </w:rPr>
              <w:fldChar w:fldCharType="separate"/>
            </w:r>
            <w:r w:rsidRPr="002457CC">
              <w:rPr>
                <w:rStyle w:val="Hipercze"/>
                <w:color w:val="001D77"/>
              </w:rPr>
              <w:t>Bank Danych Lokalnych → Rynek pracy</w:t>
            </w:r>
          </w:p>
          <w:p w:rsidR="00291908" w:rsidRPr="00DD6AA9" w:rsidRDefault="00291908" w:rsidP="00291908">
            <w:pPr>
              <w:pStyle w:val="tekstzboku"/>
              <w:rPr>
                <w:rStyle w:val="Hipercze"/>
                <w:color w:val="001D77"/>
              </w:rPr>
            </w:pPr>
            <w:r w:rsidRPr="002457CC">
              <w:rPr>
                <w:rStyle w:val="Hipercze"/>
                <w:color w:val="001D77"/>
              </w:rPr>
              <w:fldChar w:fldCharType="end"/>
            </w:r>
            <w:hyperlink r:id="rId29" w:tooltip="Link do Oficjalnych statystyk SDG. Wskaźniki dla celów globalnych" w:history="1">
              <w:r w:rsidRPr="00DD6AA9">
                <w:rPr>
                  <w:rStyle w:val="Hipercze"/>
                  <w:color w:val="001D77"/>
                </w:rPr>
                <w:t>Oficjalne statystyki SDG – wskaźniki dla celów globalnych</w:t>
              </w:r>
            </w:hyperlink>
          </w:p>
          <w:p w:rsidR="00291908" w:rsidRPr="00694D63" w:rsidRDefault="00291908" w:rsidP="0029190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="00291908" w:rsidRPr="00443E02" w:rsidRDefault="00D31E7A" w:rsidP="00291908">
            <w:pPr>
              <w:rPr>
                <w:rStyle w:val="Hipercze"/>
                <w:rFonts w:cs="Arial"/>
                <w:color w:val="001D77"/>
                <w:sz w:val="18"/>
                <w:szCs w:val="30"/>
                <w:shd w:val="clear" w:color="auto" w:fill="F0F0F0"/>
              </w:rPr>
            </w:pPr>
            <w:hyperlink r:id="rId30" w:tooltip="Link do pojęcia popyt na pracę" w:history="1">
              <w:r w:rsidR="00291908" w:rsidRPr="00EC537A">
                <w:rPr>
                  <w:rStyle w:val="Hipercze"/>
                  <w:rFonts w:cs="Arial"/>
                  <w:color w:val="001D77"/>
                  <w:sz w:val="18"/>
                  <w:szCs w:val="30"/>
                </w:rPr>
                <w:t>Popyt na pracę</w:t>
              </w:r>
            </w:hyperlink>
            <w:r w:rsidR="00291908" w:rsidRPr="00443E02">
              <w:rPr>
                <w:rStyle w:val="Hipercze"/>
                <w:rFonts w:cs="Arial"/>
                <w:color w:val="001D77"/>
                <w:sz w:val="18"/>
                <w:szCs w:val="30"/>
                <w:shd w:val="clear" w:color="auto" w:fill="F0F0F0"/>
              </w:rPr>
              <w:t xml:space="preserve"> </w:t>
            </w:r>
          </w:p>
          <w:p w:rsidR="00291908" w:rsidRPr="00D9491D" w:rsidRDefault="00D31E7A" w:rsidP="00291908">
            <w:pPr>
              <w:rPr>
                <w:rStyle w:val="Hipercze"/>
                <w:rFonts w:cs="Arial"/>
                <w:color w:val="001D77"/>
                <w:sz w:val="18"/>
                <w:szCs w:val="30"/>
                <w:shd w:val="clear" w:color="auto" w:fill="F0F0F0"/>
              </w:rPr>
            </w:pPr>
            <w:hyperlink r:id="rId31" w:tooltip="Link do pojęcia Wolne miejsca pracy" w:history="1">
              <w:r w:rsidR="00291908" w:rsidRPr="00EC537A">
                <w:rPr>
                  <w:rStyle w:val="Hipercze"/>
                  <w:rFonts w:cs="Arial"/>
                  <w:color w:val="001D77"/>
                  <w:sz w:val="18"/>
                  <w:szCs w:val="30"/>
                </w:rPr>
                <w:t>Wolne miejsca pracy</w:t>
              </w:r>
            </w:hyperlink>
          </w:p>
          <w:p w:rsidR="00291908" w:rsidRDefault="00D31E7A" w:rsidP="00291908">
            <w:pPr>
              <w:rPr>
                <w:rStyle w:val="Hipercze"/>
                <w:rFonts w:cs="Arial"/>
                <w:color w:val="001D77"/>
                <w:sz w:val="18"/>
                <w:szCs w:val="30"/>
                <w:shd w:val="clear" w:color="auto" w:fill="F0F0F0"/>
              </w:rPr>
            </w:pPr>
            <w:hyperlink r:id="rId32" w:tooltip="Link do pojęcia Nowo utworzone miejsca pracy" w:history="1">
              <w:r w:rsidR="00291908" w:rsidRPr="00EC537A">
                <w:rPr>
                  <w:rStyle w:val="Hipercze"/>
                  <w:rFonts w:cs="Arial"/>
                  <w:color w:val="001D77"/>
                  <w:sz w:val="18"/>
                  <w:szCs w:val="30"/>
                </w:rPr>
                <w:t>Nowo utworzone miejsca pracy</w:t>
              </w:r>
            </w:hyperlink>
          </w:p>
          <w:p w:rsidR="00291908" w:rsidRPr="00DD6AA9" w:rsidRDefault="00D31E7A" w:rsidP="00291908">
            <w:pPr>
              <w:pStyle w:val="tekstzboku"/>
              <w:rPr>
                <w:rStyle w:val="Hipercze"/>
                <w:color w:val="001D77"/>
              </w:rPr>
            </w:pPr>
            <w:hyperlink r:id="rId33" w:tooltip="Link do pojęcia Zlikwidowane miejsca pracy" w:history="1">
              <w:r w:rsidR="00291908" w:rsidRPr="00DD6AA9">
                <w:rPr>
                  <w:rStyle w:val="Hipercze"/>
                  <w:color w:val="001D77"/>
                </w:rPr>
                <w:t>Zlikwidowane miejsca pracy</w:t>
              </w:r>
            </w:hyperlink>
          </w:p>
          <w:p w:rsidR="00DE2400" w:rsidRPr="00876479" w:rsidRDefault="00DE2400" w:rsidP="00A775AB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:rsidR="00D261A2" w:rsidRPr="003028BF" w:rsidRDefault="00D261A2" w:rsidP="00AD0E56">
      <w:pPr>
        <w:rPr>
          <w:sz w:val="18"/>
          <w:lang w:val="en-GB"/>
        </w:rPr>
      </w:pPr>
    </w:p>
    <w:sectPr w:rsidR="00D261A2" w:rsidRPr="003028BF" w:rsidSect="003B18B6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1E7A" w:rsidRDefault="00D31E7A" w:rsidP="000662E2">
      <w:pPr>
        <w:spacing w:after="0" w:line="240" w:lineRule="auto"/>
      </w:pPr>
      <w:r>
        <w:separator/>
      </w:r>
    </w:p>
  </w:endnote>
  <w:endnote w:type="continuationSeparator" w:id="0">
    <w:p w:rsidR="00D31E7A" w:rsidRDefault="00D31E7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59C6AE91-0CB2-4EF8-873F-A109551531C3}"/>
    <w:embedBold r:id="rId2" w:fontKey="{C0D6F138-6BFC-417E-9A90-B49F7020FB24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EE571547-8E74-4530-ABFC-C5F8FCF465C2}"/>
    <w:embedBold r:id="rId4" w:fontKey="{0AE0A742-923D-4DE3-80E1-8E554152CD92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F833C7DB-9288-4865-AF80-35A3AE849656}"/>
    <w:embedBold r:id="rId6" w:fontKey="{6C7B8CC0-6BB0-429E-9EC5-A6C818D3A12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177EF80F-1D77-485E-A56B-511920CBD3F0}"/>
    <w:embedItalic r:id="rId8" w:fontKey="{D4A68C3D-4049-4465-9DBD-6C3A47293B73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0898AA42-0866-4D0C-8333-5D3BCB46C8C1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3905EC67-1C3C-4C14-BAA2-8F92FA7902B9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F5B1BDE0-38D3-4E72-A985-4294E099476F}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:rsidR="0064786F" w:rsidRDefault="0064786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5236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:rsidR="0064786F" w:rsidRDefault="0064786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5236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64786F" w:rsidRDefault="0064786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5236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1E7A" w:rsidRDefault="00D31E7A" w:rsidP="000662E2">
      <w:pPr>
        <w:spacing w:after="0" w:line="240" w:lineRule="auto"/>
      </w:pPr>
      <w:r>
        <w:separator/>
      </w:r>
    </w:p>
  </w:footnote>
  <w:footnote w:type="continuationSeparator" w:id="0">
    <w:p w:rsidR="00D31E7A" w:rsidRDefault="00D31E7A" w:rsidP="000662E2">
      <w:pPr>
        <w:spacing w:after="0" w:line="240" w:lineRule="auto"/>
      </w:pPr>
      <w:r>
        <w:continuationSeparator/>
      </w:r>
    </w:p>
  </w:footnote>
  <w:footnote w:id="1">
    <w:p w:rsidR="00847839" w:rsidRPr="00852C4D" w:rsidRDefault="00847839" w:rsidP="00852C4D">
      <w:pPr>
        <w:pStyle w:val="NormalnyWeb"/>
        <w:spacing w:before="0" w:beforeAutospacing="0" w:after="0" w:afterAutospacing="0" w:line="200" w:lineRule="exact"/>
        <w:rPr>
          <w:rFonts w:ascii="Fira Sans" w:hAnsi="Fira Sans"/>
          <w:sz w:val="16"/>
          <w:szCs w:val="16"/>
        </w:rPr>
      </w:pPr>
      <w:r w:rsidRPr="00852C4D">
        <w:rPr>
          <w:rStyle w:val="Odwoanieprzypisudolnego"/>
          <w:rFonts w:ascii="Fira Sans" w:hAnsi="Fira Sans"/>
          <w:sz w:val="16"/>
          <w:szCs w:val="16"/>
        </w:rPr>
        <w:footnoteRef/>
      </w:r>
      <w:r w:rsidRPr="00852C4D">
        <w:rPr>
          <w:rFonts w:ascii="Fira Sans" w:hAnsi="Fira Sans"/>
          <w:sz w:val="16"/>
          <w:szCs w:val="16"/>
        </w:rPr>
        <w:t xml:space="preserve"> </w:t>
      </w:r>
      <w:r w:rsidRPr="00852C4D">
        <w:rPr>
          <w:rFonts w:ascii="Fira Sans" w:hAnsi="Fira Sans"/>
          <w:spacing w:val="-2"/>
          <w:sz w:val="16"/>
          <w:szCs w:val="16"/>
        </w:rPr>
        <w:t>Klasyfikacja zawodów i specjalności (KZiS) — wprowadzona została rozporządzeniem Ministra Pracy i Polityki Społecznej z dnia 7 sierpnia 2014 r. w sprawie klasyfikacji zawodów i specjalności na potrzeby rynku pracy oraz zakresu jej stosowania (Dz. U. poz. 1145 z późn. zm.).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786F" w:rsidRDefault="0064786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58CD1FFF" wp14:editId="50515858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<w:pict>
            <v:rect w14:anchorId="52A3D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:rsidR="0064786F" w:rsidRDefault="0064786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786F" w:rsidRDefault="0064786F">
    <w:pPr>
      <w:pStyle w:val="Nagwek"/>
      <w:rPr>
        <w:noProof/>
        <w:lang w:eastAsia="pl-PL"/>
      </w:rPr>
    </w:pPr>
    <w:r w:rsidRPr="003D7A38">
      <w:rPr>
        <w:noProof/>
        <w:lang w:eastAsia="pl-PL"/>
      </w:rPr>
      <w:drawing>
        <wp:anchor distT="0" distB="0" distL="114300" distR="114300" simplePos="0" relativeHeight="251674624" behindDoc="0" locked="0" layoutInCell="1" allowOverlap="1" wp14:anchorId="5BB71896" wp14:editId="1A370C8F">
          <wp:simplePos x="0" y="0"/>
          <wp:positionH relativeFrom="column">
            <wp:posOffset>0</wp:posOffset>
          </wp:positionH>
          <wp:positionV relativeFrom="paragraph">
            <wp:posOffset>73660</wp:posOffset>
          </wp:positionV>
          <wp:extent cx="1153160" cy="716280"/>
          <wp:effectExtent l="0" t="0" r="8890" b="7620"/>
          <wp:wrapSquare wrapText="bothSides"/>
          <wp:docPr id="3" name="Obraz 33" descr="Logo Głównego Urzędu Statystycznego" title="Lo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3" descr="logog-0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16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CE98A2A" wp14:editId="36663A4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 title="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64786F" w:rsidRPr="003C6C8D" w:rsidRDefault="0064786F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 w14:anchorId="4CE98A2A" id="Schemat blokowy: opóźnienie 6" o:spid="_x0000_s1033" alt="Tytuł: nazwa serii wydawniczej — opis: 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64786F" w:rsidRPr="003C6C8D" w:rsidRDefault="0064786F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AD6D1DF" wp14:editId="6E3E193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<w:pict>
            <v:rect w14:anchorId="75C1AAE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 w:rsidRPr="00540C5C">
      <w:rPr>
        <w:noProof/>
      </w:rPr>
      <w:t xml:space="preserve"> </w:t>
    </w:r>
  </w:p>
  <w:p w:rsidR="0064786F" w:rsidRDefault="0064786F">
    <w:pPr>
      <w:pStyle w:val="Nagwek"/>
      <w:rPr>
        <w:noProof/>
        <w:lang w:eastAsia="pl-PL"/>
      </w:rPr>
    </w:pPr>
  </w:p>
  <w:p w:rsidR="0064786F" w:rsidRDefault="0064786F">
    <w:pPr>
      <w:pStyle w:val="Nagwek"/>
      <w:rPr>
        <w:noProof/>
        <w:lang w:eastAsia="pl-PL"/>
      </w:rPr>
    </w:pPr>
  </w:p>
  <w:p w:rsidR="0064786F" w:rsidRDefault="0064786F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59946A" wp14:editId="1A614373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&#10;9 grudnia 2022 rok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4786F" w:rsidRPr="00A01B40" w:rsidRDefault="00B63FF1" w:rsidP="00F049AB">
                          <w:pPr>
                            <w:pStyle w:val="Datainformacjisygnalnej"/>
                          </w:pPr>
                          <w:r>
                            <w:t>9.12</w:t>
                          </w:r>
                          <w:r w:rsidR="0064786F">
                            <w:t>.2022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w14:anchorId="5F59946A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Data publikacji informacji sygnalnej&#10;9 grudnia 2022 rok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" filled="f" stroked="f">
              <v:textbox>
                <w:txbxContent>
                  <w:p w:rsidR="0064786F" w:rsidRPr="00A01B40" w:rsidRDefault="00B63FF1" w:rsidP="00F049AB">
                    <w:pPr>
                      <w:pStyle w:val="Datainformacjisygnalnej"/>
                    </w:pPr>
                    <w:r>
                      <w:t>9.12</w:t>
                    </w:r>
                    <w:r w:rsidR="0064786F">
                      <w:t>.2022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786F" w:rsidRDefault="0064786F">
    <w:pPr>
      <w:pStyle w:val="Nagwek"/>
    </w:pPr>
  </w:p>
  <w:p w:rsidR="0064786F" w:rsidRDefault="0064786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6pt;height:125.4pt;visibility:visible;mso-wrap-style:square" o:bullet="t">
        <v:imagedata r:id="rId1" o:title=""/>
      </v:shape>
    </w:pict>
  </w:numPicBullet>
  <w:numPicBullet w:numPicBulletId="1">
    <w:pict>
      <v:shape id="_x0000_i1029" type="#_x0000_t75" style="width:123.6pt;height:125.4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2E74CFD"/>
    <w:multiLevelType w:val="hybridMultilevel"/>
    <w:tmpl w:val="F1060DFE"/>
    <w:lvl w:ilvl="0" w:tplc="102E338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127707A"/>
    <w:multiLevelType w:val="hybridMultilevel"/>
    <w:tmpl w:val="9BA0B2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519350B"/>
    <w:multiLevelType w:val="hybridMultilevel"/>
    <w:tmpl w:val="63E6FF3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35B"/>
    <w:rsid w:val="00003437"/>
    <w:rsid w:val="0000709F"/>
    <w:rsid w:val="000108B8"/>
    <w:rsid w:val="00013A64"/>
    <w:rsid w:val="0001475B"/>
    <w:rsid w:val="000152F5"/>
    <w:rsid w:val="000160D2"/>
    <w:rsid w:val="00020498"/>
    <w:rsid w:val="000307E3"/>
    <w:rsid w:val="0004582E"/>
    <w:rsid w:val="000470AA"/>
    <w:rsid w:val="000507A0"/>
    <w:rsid w:val="0005141B"/>
    <w:rsid w:val="00055ED9"/>
    <w:rsid w:val="00057CA1"/>
    <w:rsid w:val="00061560"/>
    <w:rsid w:val="000647A9"/>
    <w:rsid w:val="000662E2"/>
    <w:rsid w:val="00066883"/>
    <w:rsid w:val="0006713F"/>
    <w:rsid w:val="00071B39"/>
    <w:rsid w:val="000723FA"/>
    <w:rsid w:val="00074DD8"/>
    <w:rsid w:val="00075759"/>
    <w:rsid w:val="000806F7"/>
    <w:rsid w:val="0008189A"/>
    <w:rsid w:val="00087CEC"/>
    <w:rsid w:val="00092305"/>
    <w:rsid w:val="0009375D"/>
    <w:rsid w:val="000964F8"/>
    <w:rsid w:val="00097840"/>
    <w:rsid w:val="000A1BC1"/>
    <w:rsid w:val="000A4660"/>
    <w:rsid w:val="000B0727"/>
    <w:rsid w:val="000C135D"/>
    <w:rsid w:val="000C2A5A"/>
    <w:rsid w:val="000C70C5"/>
    <w:rsid w:val="000D1A42"/>
    <w:rsid w:val="000D1D43"/>
    <w:rsid w:val="000D225C"/>
    <w:rsid w:val="000D2A5C"/>
    <w:rsid w:val="000D39F0"/>
    <w:rsid w:val="000E0918"/>
    <w:rsid w:val="000E6EAB"/>
    <w:rsid w:val="000E79A9"/>
    <w:rsid w:val="000F6C5B"/>
    <w:rsid w:val="001011C3"/>
    <w:rsid w:val="00102DFA"/>
    <w:rsid w:val="00106DA3"/>
    <w:rsid w:val="00110214"/>
    <w:rsid w:val="00110D87"/>
    <w:rsid w:val="00112399"/>
    <w:rsid w:val="00114DB9"/>
    <w:rsid w:val="00116087"/>
    <w:rsid w:val="00117711"/>
    <w:rsid w:val="00130296"/>
    <w:rsid w:val="00133D4F"/>
    <w:rsid w:val="00134145"/>
    <w:rsid w:val="00136736"/>
    <w:rsid w:val="00136D67"/>
    <w:rsid w:val="001423B6"/>
    <w:rsid w:val="001448A7"/>
    <w:rsid w:val="00144D94"/>
    <w:rsid w:val="00146621"/>
    <w:rsid w:val="0015707D"/>
    <w:rsid w:val="001578A5"/>
    <w:rsid w:val="001617E3"/>
    <w:rsid w:val="00162325"/>
    <w:rsid w:val="00175756"/>
    <w:rsid w:val="00177E81"/>
    <w:rsid w:val="00180905"/>
    <w:rsid w:val="00185EB5"/>
    <w:rsid w:val="0019089E"/>
    <w:rsid w:val="00191FEA"/>
    <w:rsid w:val="001951DA"/>
    <w:rsid w:val="001A26D7"/>
    <w:rsid w:val="001B053D"/>
    <w:rsid w:val="001B61B9"/>
    <w:rsid w:val="001B78CE"/>
    <w:rsid w:val="001C3269"/>
    <w:rsid w:val="001D0CBA"/>
    <w:rsid w:val="001D19B6"/>
    <w:rsid w:val="001D1DB4"/>
    <w:rsid w:val="001D23F1"/>
    <w:rsid w:val="001D25F9"/>
    <w:rsid w:val="001D4086"/>
    <w:rsid w:val="001D61ED"/>
    <w:rsid w:val="001D6A7A"/>
    <w:rsid w:val="001E04AA"/>
    <w:rsid w:val="001E463A"/>
    <w:rsid w:val="001E5B2D"/>
    <w:rsid w:val="0020156C"/>
    <w:rsid w:val="00205823"/>
    <w:rsid w:val="00206F43"/>
    <w:rsid w:val="0021064A"/>
    <w:rsid w:val="00210D35"/>
    <w:rsid w:val="00216634"/>
    <w:rsid w:val="002251B5"/>
    <w:rsid w:val="00231EE5"/>
    <w:rsid w:val="0023273D"/>
    <w:rsid w:val="00241A4F"/>
    <w:rsid w:val="00242D31"/>
    <w:rsid w:val="0025481E"/>
    <w:rsid w:val="002574F9"/>
    <w:rsid w:val="00261E15"/>
    <w:rsid w:val="00262B61"/>
    <w:rsid w:val="00262CC6"/>
    <w:rsid w:val="00263E08"/>
    <w:rsid w:val="00264D23"/>
    <w:rsid w:val="00264EFE"/>
    <w:rsid w:val="00276811"/>
    <w:rsid w:val="002816F9"/>
    <w:rsid w:val="00282699"/>
    <w:rsid w:val="00284E5A"/>
    <w:rsid w:val="00285146"/>
    <w:rsid w:val="00287BF4"/>
    <w:rsid w:val="00291908"/>
    <w:rsid w:val="002926DF"/>
    <w:rsid w:val="00292CFF"/>
    <w:rsid w:val="0029390B"/>
    <w:rsid w:val="002949DA"/>
    <w:rsid w:val="00296697"/>
    <w:rsid w:val="00296AD7"/>
    <w:rsid w:val="002A2E23"/>
    <w:rsid w:val="002B0472"/>
    <w:rsid w:val="002B32E4"/>
    <w:rsid w:val="002B464A"/>
    <w:rsid w:val="002B5F13"/>
    <w:rsid w:val="002B6B12"/>
    <w:rsid w:val="002C21F0"/>
    <w:rsid w:val="002C6FE9"/>
    <w:rsid w:val="002C71A7"/>
    <w:rsid w:val="002D01DF"/>
    <w:rsid w:val="002D3404"/>
    <w:rsid w:val="002D57C6"/>
    <w:rsid w:val="002E3EB3"/>
    <w:rsid w:val="002E6140"/>
    <w:rsid w:val="002E6985"/>
    <w:rsid w:val="002E71B6"/>
    <w:rsid w:val="002F12B5"/>
    <w:rsid w:val="002F25D8"/>
    <w:rsid w:val="002F35F6"/>
    <w:rsid w:val="002F47F3"/>
    <w:rsid w:val="002F53D2"/>
    <w:rsid w:val="002F77C8"/>
    <w:rsid w:val="003028BF"/>
    <w:rsid w:val="00304F22"/>
    <w:rsid w:val="00306C7C"/>
    <w:rsid w:val="00307A7B"/>
    <w:rsid w:val="00312E3C"/>
    <w:rsid w:val="003130F9"/>
    <w:rsid w:val="00314F86"/>
    <w:rsid w:val="00317F4D"/>
    <w:rsid w:val="00321799"/>
    <w:rsid w:val="00322EDD"/>
    <w:rsid w:val="003257CD"/>
    <w:rsid w:val="003309FA"/>
    <w:rsid w:val="00332320"/>
    <w:rsid w:val="003353FF"/>
    <w:rsid w:val="00341E00"/>
    <w:rsid w:val="00342C1A"/>
    <w:rsid w:val="00347D72"/>
    <w:rsid w:val="00353F45"/>
    <w:rsid w:val="00357611"/>
    <w:rsid w:val="0036432A"/>
    <w:rsid w:val="00364AF9"/>
    <w:rsid w:val="00367237"/>
    <w:rsid w:val="0037077F"/>
    <w:rsid w:val="003707DF"/>
    <w:rsid w:val="00370F6C"/>
    <w:rsid w:val="00372411"/>
    <w:rsid w:val="00373882"/>
    <w:rsid w:val="0037633C"/>
    <w:rsid w:val="003818F9"/>
    <w:rsid w:val="003828B3"/>
    <w:rsid w:val="003843DB"/>
    <w:rsid w:val="0038701A"/>
    <w:rsid w:val="003927EC"/>
    <w:rsid w:val="00393761"/>
    <w:rsid w:val="00394E26"/>
    <w:rsid w:val="00396691"/>
    <w:rsid w:val="00397D18"/>
    <w:rsid w:val="003A1B36"/>
    <w:rsid w:val="003A411C"/>
    <w:rsid w:val="003B1454"/>
    <w:rsid w:val="003B18B6"/>
    <w:rsid w:val="003B4541"/>
    <w:rsid w:val="003B64CC"/>
    <w:rsid w:val="003C161B"/>
    <w:rsid w:val="003C59E0"/>
    <w:rsid w:val="003C6C8D"/>
    <w:rsid w:val="003D1C50"/>
    <w:rsid w:val="003D2656"/>
    <w:rsid w:val="003D4F95"/>
    <w:rsid w:val="003D5F42"/>
    <w:rsid w:val="003D60A9"/>
    <w:rsid w:val="003D6611"/>
    <w:rsid w:val="003D6DDA"/>
    <w:rsid w:val="003E260C"/>
    <w:rsid w:val="003E76F6"/>
    <w:rsid w:val="003F0CE4"/>
    <w:rsid w:val="003F4C97"/>
    <w:rsid w:val="003F666D"/>
    <w:rsid w:val="003F7FE6"/>
    <w:rsid w:val="00400193"/>
    <w:rsid w:val="00403C02"/>
    <w:rsid w:val="004042AE"/>
    <w:rsid w:val="00404DBE"/>
    <w:rsid w:val="004154DC"/>
    <w:rsid w:val="00416EAF"/>
    <w:rsid w:val="004212E7"/>
    <w:rsid w:val="00423C88"/>
    <w:rsid w:val="004242F4"/>
    <w:rsid w:val="0042446D"/>
    <w:rsid w:val="004260CF"/>
    <w:rsid w:val="00427BF8"/>
    <w:rsid w:val="00431147"/>
    <w:rsid w:val="00431C02"/>
    <w:rsid w:val="00437395"/>
    <w:rsid w:val="00441A5F"/>
    <w:rsid w:val="00445047"/>
    <w:rsid w:val="00446749"/>
    <w:rsid w:val="004509CC"/>
    <w:rsid w:val="00453EB7"/>
    <w:rsid w:val="00457427"/>
    <w:rsid w:val="00463E39"/>
    <w:rsid w:val="00463F63"/>
    <w:rsid w:val="00464832"/>
    <w:rsid w:val="004657FC"/>
    <w:rsid w:val="004733F6"/>
    <w:rsid w:val="00474E69"/>
    <w:rsid w:val="00475D99"/>
    <w:rsid w:val="00480161"/>
    <w:rsid w:val="00482C77"/>
    <w:rsid w:val="00483E9F"/>
    <w:rsid w:val="00485A2C"/>
    <w:rsid w:val="0049621B"/>
    <w:rsid w:val="004A178A"/>
    <w:rsid w:val="004A1D19"/>
    <w:rsid w:val="004A2A55"/>
    <w:rsid w:val="004B4A60"/>
    <w:rsid w:val="004B6DCA"/>
    <w:rsid w:val="004C0943"/>
    <w:rsid w:val="004C1895"/>
    <w:rsid w:val="004C6D40"/>
    <w:rsid w:val="004D01CE"/>
    <w:rsid w:val="004D6941"/>
    <w:rsid w:val="004D728B"/>
    <w:rsid w:val="004E1FBE"/>
    <w:rsid w:val="004E6AA8"/>
    <w:rsid w:val="004F0C3C"/>
    <w:rsid w:val="004F2280"/>
    <w:rsid w:val="004F23BB"/>
    <w:rsid w:val="004F284E"/>
    <w:rsid w:val="004F63FC"/>
    <w:rsid w:val="004F659B"/>
    <w:rsid w:val="00505A92"/>
    <w:rsid w:val="00511628"/>
    <w:rsid w:val="00514094"/>
    <w:rsid w:val="005203F1"/>
    <w:rsid w:val="00521BC3"/>
    <w:rsid w:val="00526762"/>
    <w:rsid w:val="00530D68"/>
    <w:rsid w:val="00531070"/>
    <w:rsid w:val="00533632"/>
    <w:rsid w:val="00533F97"/>
    <w:rsid w:val="00534013"/>
    <w:rsid w:val="005340BE"/>
    <w:rsid w:val="005408AE"/>
    <w:rsid w:val="00540C5C"/>
    <w:rsid w:val="00541E6E"/>
    <w:rsid w:val="0054251F"/>
    <w:rsid w:val="00543392"/>
    <w:rsid w:val="005520D8"/>
    <w:rsid w:val="00553EA7"/>
    <w:rsid w:val="00555CFB"/>
    <w:rsid w:val="00556CF1"/>
    <w:rsid w:val="005762A7"/>
    <w:rsid w:val="0057675B"/>
    <w:rsid w:val="00586B50"/>
    <w:rsid w:val="00587CEE"/>
    <w:rsid w:val="005916D7"/>
    <w:rsid w:val="00592777"/>
    <w:rsid w:val="00593C42"/>
    <w:rsid w:val="0059427F"/>
    <w:rsid w:val="00596A21"/>
    <w:rsid w:val="0059717E"/>
    <w:rsid w:val="005A698C"/>
    <w:rsid w:val="005B357A"/>
    <w:rsid w:val="005B3E62"/>
    <w:rsid w:val="005B40B3"/>
    <w:rsid w:val="005C0CAC"/>
    <w:rsid w:val="005C429D"/>
    <w:rsid w:val="005D062E"/>
    <w:rsid w:val="005D2B2F"/>
    <w:rsid w:val="005E04AD"/>
    <w:rsid w:val="005E0799"/>
    <w:rsid w:val="005E10F9"/>
    <w:rsid w:val="005E1200"/>
    <w:rsid w:val="005E1D3D"/>
    <w:rsid w:val="005E3435"/>
    <w:rsid w:val="005E737D"/>
    <w:rsid w:val="005F45EE"/>
    <w:rsid w:val="005F5A80"/>
    <w:rsid w:val="005F7020"/>
    <w:rsid w:val="00603F90"/>
    <w:rsid w:val="006044FF"/>
    <w:rsid w:val="006048D8"/>
    <w:rsid w:val="00604913"/>
    <w:rsid w:val="00604BF2"/>
    <w:rsid w:val="00607CC5"/>
    <w:rsid w:val="0061179B"/>
    <w:rsid w:val="006125F9"/>
    <w:rsid w:val="00620386"/>
    <w:rsid w:val="00621B42"/>
    <w:rsid w:val="00623930"/>
    <w:rsid w:val="00633014"/>
    <w:rsid w:val="0063437B"/>
    <w:rsid w:val="00634823"/>
    <w:rsid w:val="0064017E"/>
    <w:rsid w:val="00643237"/>
    <w:rsid w:val="006438E1"/>
    <w:rsid w:val="00647056"/>
    <w:rsid w:val="0064786F"/>
    <w:rsid w:val="006533D1"/>
    <w:rsid w:val="00653ABF"/>
    <w:rsid w:val="00654BB6"/>
    <w:rsid w:val="00656CC0"/>
    <w:rsid w:val="006673CA"/>
    <w:rsid w:val="0067108B"/>
    <w:rsid w:val="006731F5"/>
    <w:rsid w:val="00673C26"/>
    <w:rsid w:val="00674DE5"/>
    <w:rsid w:val="0067691E"/>
    <w:rsid w:val="00677ACA"/>
    <w:rsid w:val="006812AF"/>
    <w:rsid w:val="0068327D"/>
    <w:rsid w:val="00691517"/>
    <w:rsid w:val="00691534"/>
    <w:rsid w:val="00693880"/>
    <w:rsid w:val="00693987"/>
    <w:rsid w:val="00694AF0"/>
    <w:rsid w:val="00695022"/>
    <w:rsid w:val="00697E5E"/>
    <w:rsid w:val="006A0374"/>
    <w:rsid w:val="006A4686"/>
    <w:rsid w:val="006A46BB"/>
    <w:rsid w:val="006B0E9E"/>
    <w:rsid w:val="006B486D"/>
    <w:rsid w:val="006B5536"/>
    <w:rsid w:val="006B5AE4"/>
    <w:rsid w:val="006C70D8"/>
    <w:rsid w:val="006D1507"/>
    <w:rsid w:val="006D15C7"/>
    <w:rsid w:val="006D4054"/>
    <w:rsid w:val="006E02EC"/>
    <w:rsid w:val="006E032F"/>
    <w:rsid w:val="006E3C4F"/>
    <w:rsid w:val="006E6F41"/>
    <w:rsid w:val="006E73E6"/>
    <w:rsid w:val="00706CB6"/>
    <w:rsid w:val="00715FA9"/>
    <w:rsid w:val="007211B1"/>
    <w:rsid w:val="00724A98"/>
    <w:rsid w:val="007276FC"/>
    <w:rsid w:val="007277DA"/>
    <w:rsid w:val="00731D27"/>
    <w:rsid w:val="007320A2"/>
    <w:rsid w:val="0073501F"/>
    <w:rsid w:val="0074494E"/>
    <w:rsid w:val="00746187"/>
    <w:rsid w:val="0075239B"/>
    <w:rsid w:val="007572B7"/>
    <w:rsid w:val="0076254F"/>
    <w:rsid w:val="00766D43"/>
    <w:rsid w:val="007743CE"/>
    <w:rsid w:val="007801F5"/>
    <w:rsid w:val="00782872"/>
    <w:rsid w:val="00783B3C"/>
    <w:rsid w:val="00783CA4"/>
    <w:rsid w:val="007842FB"/>
    <w:rsid w:val="00786124"/>
    <w:rsid w:val="0079514B"/>
    <w:rsid w:val="00795252"/>
    <w:rsid w:val="007961D5"/>
    <w:rsid w:val="007A2DC1"/>
    <w:rsid w:val="007B130A"/>
    <w:rsid w:val="007B3ED5"/>
    <w:rsid w:val="007B7F5D"/>
    <w:rsid w:val="007C2C2D"/>
    <w:rsid w:val="007C5801"/>
    <w:rsid w:val="007C7BF0"/>
    <w:rsid w:val="007D0869"/>
    <w:rsid w:val="007D14C4"/>
    <w:rsid w:val="007D3319"/>
    <w:rsid w:val="007D335D"/>
    <w:rsid w:val="007D605C"/>
    <w:rsid w:val="007D70AC"/>
    <w:rsid w:val="007E3314"/>
    <w:rsid w:val="007E3514"/>
    <w:rsid w:val="007E4B03"/>
    <w:rsid w:val="007E6F11"/>
    <w:rsid w:val="007F324B"/>
    <w:rsid w:val="007F4F64"/>
    <w:rsid w:val="008009ED"/>
    <w:rsid w:val="0080553C"/>
    <w:rsid w:val="00805B46"/>
    <w:rsid w:val="00805DB4"/>
    <w:rsid w:val="00812733"/>
    <w:rsid w:val="00813EAB"/>
    <w:rsid w:val="00820298"/>
    <w:rsid w:val="00823593"/>
    <w:rsid w:val="00824FF1"/>
    <w:rsid w:val="00825DC2"/>
    <w:rsid w:val="00831B54"/>
    <w:rsid w:val="00832D2F"/>
    <w:rsid w:val="00834AD3"/>
    <w:rsid w:val="008406B4"/>
    <w:rsid w:val="00843795"/>
    <w:rsid w:val="00847839"/>
    <w:rsid w:val="00847F0F"/>
    <w:rsid w:val="00851587"/>
    <w:rsid w:val="00851B25"/>
    <w:rsid w:val="00852448"/>
    <w:rsid w:val="00852C4D"/>
    <w:rsid w:val="008541E1"/>
    <w:rsid w:val="008576C7"/>
    <w:rsid w:val="0086702F"/>
    <w:rsid w:val="00871419"/>
    <w:rsid w:val="008751AE"/>
    <w:rsid w:val="00877F6C"/>
    <w:rsid w:val="00882290"/>
    <w:rsid w:val="0088258A"/>
    <w:rsid w:val="00883C42"/>
    <w:rsid w:val="00886332"/>
    <w:rsid w:val="00886554"/>
    <w:rsid w:val="008866D9"/>
    <w:rsid w:val="008925F0"/>
    <w:rsid w:val="0089448A"/>
    <w:rsid w:val="00897877"/>
    <w:rsid w:val="008A027D"/>
    <w:rsid w:val="008A22FC"/>
    <w:rsid w:val="008A26D9"/>
    <w:rsid w:val="008A7B5B"/>
    <w:rsid w:val="008B12D2"/>
    <w:rsid w:val="008C0C29"/>
    <w:rsid w:val="008D02DA"/>
    <w:rsid w:val="008D6725"/>
    <w:rsid w:val="008D76BC"/>
    <w:rsid w:val="008D7883"/>
    <w:rsid w:val="008E0BAC"/>
    <w:rsid w:val="008E7DBA"/>
    <w:rsid w:val="008F0829"/>
    <w:rsid w:val="008F20EC"/>
    <w:rsid w:val="008F3638"/>
    <w:rsid w:val="008F4441"/>
    <w:rsid w:val="008F6B20"/>
    <w:rsid w:val="008F6F31"/>
    <w:rsid w:val="008F74DF"/>
    <w:rsid w:val="008F750A"/>
    <w:rsid w:val="00901EA5"/>
    <w:rsid w:val="00902274"/>
    <w:rsid w:val="00904EDD"/>
    <w:rsid w:val="00911590"/>
    <w:rsid w:val="009127BA"/>
    <w:rsid w:val="00920AAE"/>
    <w:rsid w:val="009227A6"/>
    <w:rsid w:val="009273CC"/>
    <w:rsid w:val="00933EC1"/>
    <w:rsid w:val="009361E8"/>
    <w:rsid w:val="00937456"/>
    <w:rsid w:val="00942149"/>
    <w:rsid w:val="009446AD"/>
    <w:rsid w:val="009455C7"/>
    <w:rsid w:val="009530DB"/>
    <w:rsid w:val="00953676"/>
    <w:rsid w:val="00953BDA"/>
    <w:rsid w:val="00956F30"/>
    <w:rsid w:val="009617E5"/>
    <w:rsid w:val="00966C9A"/>
    <w:rsid w:val="00967BE6"/>
    <w:rsid w:val="00967CCD"/>
    <w:rsid w:val="009705EE"/>
    <w:rsid w:val="0097293E"/>
    <w:rsid w:val="00973794"/>
    <w:rsid w:val="00977927"/>
    <w:rsid w:val="009806CB"/>
    <w:rsid w:val="0098135C"/>
    <w:rsid w:val="0098156A"/>
    <w:rsid w:val="009858F1"/>
    <w:rsid w:val="00991BAC"/>
    <w:rsid w:val="00997DB9"/>
    <w:rsid w:val="009A1A84"/>
    <w:rsid w:val="009A6233"/>
    <w:rsid w:val="009A6EA0"/>
    <w:rsid w:val="009B6D0C"/>
    <w:rsid w:val="009C1335"/>
    <w:rsid w:val="009C1AB2"/>
    <w:rsid w:val="009C4FA4"/>
    <w:rsid w:val="009C7251"/>
    <w:rsid w:val="009D18C9"/>
    <w:rsid w:val="009D7B50"/>
    <w:rsid w:val="009E2E91"/>
    <w:rsid w:val="00A01B40"/>
    <w:rsid w:val="00A1263F"/>
    <w:rsid w:val="00A1286C"/>
    <w:rsid w:val="00A139F5"/>
    <w:rsid w:val="00A32E16"/>
    <w:rsid w:val="00A365F4"/>
    <w:rsid w:val="00A372F4"/>
    <w:rsid w:val="00A454C1"/>
    <w:rsid w:val="00A47D80"/>
    <w:rsid w:val="00A51D02"/>
    <w:rsid w:val="00A53132"/>
    <w:rsid w:val="00A563F2"/>
    <w:rsid w:val="00A566E8"/>
    <w:rsid w:val="00A66347"/>
    <w:rsid w:val="00A73143"/>
    <w:rsid w:val="00A7403A"/>
    <w:rsid w:val="00A77071"/>
    <w:rsid w:val="00A775AB"/>
    <w:rsid w:val="00A810F9"/>
    <w:rsid w:val="00A82D31"/>
    <w:rsid w:val="00A85E7E"/>
    <w:rsid w:val="00A86ECC"/>
    <w:rsid w:val="00A86FCC"/>
    <w:rsid w:val="00A90A6D"/>
    <w:rsid w:val="00A927D9"/>
    <w:rsid w:val="00A948BE"/>
    <w:rsid w:val="00A951A3"/>
    <w:rsid w:val="00A971E5"/>
    <w:rsid w:val="00AA2D68"/>
    <w:rsid w:val="00AA710D"/>
    <w:rsid w:val="00AB51BA"/>
    <w:rsid w:val="00AB64F3"/>
    <w:rsid w:val="00AB6D25"/>
    <w:rsid w:val="00AC76CF"/>
    <w:rsid w:val="00AD0DCC"/>
    <w:rsid w:val="00AD0E56"/>
    <w:rsid w:val="00AD15DE"/>
    <w:rsid w:val="00AD56A0"/>
    <w:rsid w:val="00AD7D81"/>
    <w:rsid w:val="00AE0E68"/>
    <w:rsid w:val="00AE229B"/>
    <w:rsid w:val="00AE236D"/>
    <w:rsid w:val="00AE2D4B"/>
    <w:rsid w:val="00AE3D55"/>
    <w:rsid w:val="00AE4F99"/>
    <w:rsid w:val="00AF172A"/>
    <w:rsid w:val="00AF2750"/>
    <w:rsid w:val="00B0610D"/>
    <w:rsid w:val="00B11B69"/>
    <w:rsid w:val="00B14952"/>
    <w:rsid w:val="00B16871"/>
    <w:rsid w:val="00B20C9F"/>
    <w:rsid w:val="00B25B45"/>
    <w:rsid w:val="00B26862"/>
    <w:rsid w:val="00B31E5A"/>
    <w:rsid w:val="00B37B86"/>
    <w:rsid w:val="00B47359"/>
    <w:rsid w:val="00B63FF1"/>
    <w:rsid w:val="00B653AB"/>
    <w:rsid w:val="00B65F9E"/>
    <w:rsid w:val="00B66B19"/>
    <w:rsid w:val="00B671FF"/>
    <w:rsid w:val="00B71D40"/>
    <w:rsid w:val="00B77843"/>
    <w:rsid w:val="00B822F1"/>
    <w:rsid w:val="00B852D1"/>
    <w:rsid w:val="00B914E9"/>
    <w:rsid w:val="00B956EE"/>
    <w:rsid w:val="00B95937"/>
    <w:rsid w:val="00B97AAF"/>
    <w:rsid w:val="00BA2BA1"/>
    <w:rsid w:val="00BA2BA7"/>
    <w:rsid w:val="00BA3447"/>
    <w:rsid w:val="00BA3562"/>
    <w:rsid w:val="00BB3749"/>
    <w:rsid w:val="00BB47C0"/>
    <w:rsid w:val="00BB4F09"/>
    <w:rsid w:val="00BC0EDF"/>
    <w:rsid w:val="00BC2D48"/>
    <w:rsid w:val="00BC2FA9"/>
    <w:rsid w:val="00BC5671"/>
    <w:rsid w:val="00BC58FA"/>
    <w:rsid w:val="00BC6A76"/>
    <w:rsid w:val="00BD4C7E"/>
    <w:rsid w:val="00BD4E33"/>
    <w:rsid w:val="00BE1C5D"/>
    <w:rsid w:val="00BE7EDD"/>
    <w:rsid w:val="00BF0C61"/>
    <w:rsid w:val="00BF113A"/>
    <w:rsid w:val="00BF1540"/>
    <w:rsid w:val="00C01A9E"/>
    <w:rsid w:val="00C030DE"/>
    <w:rsid w:val="00C051A8"/>
    <w:rsid w:val="00C1277F"/>
    <w:rsid w:val="00C127D3"/>
    <w:rsid w:val="00C14A4F"/>
    <w:rsid w:val="00C15B36"/>
    <w:rsid w:val="00C22105"/>
    <w:rsid w:val="00C244B6"/>
    <w:rsid w:val="00C24ACA"/>
    <w:rsid w:val="00C27BF1"/>
    <w:rsid w:val="00C3702F"/>
    <w:rsid w:val="00C4500A"/>
    <w:rsid w:val="00C54B6C"/>
    <w:rsid w:val="00C55F89"/>
    <w:rsid w:val="00C613F9"/>
    <w:rsid w:val="00C620B5"/>
    <w:rsid w:val="00C62238"/>
    <w:rsid w:val="00C64A37"/>
    <w:rsid w:val="00C651D5"/>
    <w:rsid w:val="00C65236"/>
    <w:rsid w:val="00C65EA7"/>
    <w:rsid w:val="00C7124E"/>
    <w:rsid w:val="00C7158E"/>
    <w:rsid w:val="00C7250B"/>
    <w:rsid w:val="00C7346B"/>
    <w:rsid w:val="00C7351A"/>
    <w:rsid w:val="00C77C0E"/>
    <w:rsid w:val="00C822F0"/>
    <w:rsid w:val="00C865B1"/>
    <w:rsid w:val="00C91687"/>
    <w:rsid w:val="00C924A8"/>
    <w:rsid w:val="00C945FE"/>
    <w:rsid w:val="00C96FAA"/>
    <w:rsid w:val="00C97A04"/>
    <w:rsid w:val="00C97AC2"/>
    <w:rsid w:val="00CA107B"/>
    <w:rsid w:val="00CA1B79"/>
    <w:rsid w:val="00CA484D"/>
    <w:rsid w:val="00CA4FB6"/>
    <w:rsid w:val="00CA7532"/>
    <w:rsid w:val="00CB2F90"/>
    <w:rsid w:val="00CB6AD4"/>
    <w:rsid w:val="00CC739E"/>
    <w:rsid w:val="00CD1EBB"/>
    <w:rsid w:val="00CD28CF"/>
    <w:rsid w:val="00CD58B7"/>
    <w:rsid w:val="00CD7967"/>
    <w:rsid w:val="00CE698E"/>
    <w:rsid w:val="00CF18EE"/>
    <w:rsid w:val="00CF30BD"/>
    <w:rsid w:val="00CF4099"/>
    <w:rsid w:val="00CF6C9E"/>
    <w:rsid w:val="00CF72EA"/>
    <w:rsid w:val="00D00796"/>
    <w:rsid w:val="00D17351"/>
    <w:rsid w:val="00D24A68"/>
    <w:rsid w:val="00D25707"/>
    <w:rsid w:val="00D261A2"/>
    <w:rsid w:val="00D31751"/>
    <w:rsid w:val="00D31E7A"/>
    <w:rsid w:val="00D404BC"/>
    <w:rsid w:val="00D475CE"/>
    <w:rsid w:val="00D5391E"/>
    <w:rsid w:val="00D616D2"/>
    <w:rsid w:val="00D63B5F"/>
    <w:rsid w:val="00D6613C"/>
    <w:rsid w:val="00D70EF7"/>
    <w:rsid w:val="00D73765"/>
    <w:rsid w:val="00D77729"/>
    <w:rsid w:val="00D810B8"/>
    <w:rsid w:val="00D8397C"/>
    <w:rsid w:val="00D86D78"/>
    <w:rsid w:val="00D9326D"/>
    <w:rsid w:val="00D949FD"/>
    <w:rsid w:val="00D94EED"/>
    <w:rsid w:val="00D96026"/>
    <w:rsid w:val="00D972F6"/>
    <w:rsid w:val="00DA331D"/>
    <w:rsid w:val="00DA7C1C"/>
    <w:rsid w:val="00DB06C4"/>
    <w:rsid w:val="00DB0852"/>
    <w:rsid w:val="00DB147A"/>
    <w:rsid w:val="00DB1B7A"/>
    <w:rsid w:val="00DB3806"/>
    <w:rsid w:val="00DB706E"/>
    <w:rsid w:val="00DC2A54"/>
    <w:rsid w:val="00DC6708"/>
    <w:rsid w:val="00DD011A"/>
    <w:rsid w:val="00DD4846"/>
    <w:rsid w:val="00DE2400"/>
    <w:rsid w:val="00DE58F1"/>
    <w:rsid w:val="00DE6B58"/>
    <w:rsid w:val="00DF0654"/>
    <w:rsid w:val="00DF214E"/>
    <w:rsid w:val="00DF5E32"/>
    <w:rsid w:val="00E01436"/>
    <w:rsid w:val="00E03E79"/>
    <w:rsid w:val="00E045BD"/>
    <w:rsid w:val="00E04D6C"/>
    <w:rsid w:val="00E1135B"/>
    <w:rsid w:val="00E17B77"/>
    <w:rsid w:val="00E231AB"/>
    <w:rsid w:val="00E23337"/>
    <w:rsid w:val="00E24BB4"/>
    <w:rsid w:val="00E259EA"/>
    <w:rsid w:val="00E25D33"/>
    <w:rsid w:val="00E27412"/>
    <w:rsid w:val="00E32061"/>
    <w:rsid w:val="00E32AFF"/>
    <w:rsid w:val="00E33232"/>
    <w:rsid w:val="00E33F48"/>
    <w:rsid w:val="00E3619E"/>
    <w:rsid w:val="00E42FF9"/>
    <w:rsid w:val="00E44790"/>
    <w:rsid w:val="00E46FC3"/>
    <w:rsid w:val="00E4714C"/>
    <w:rsid w:val="00E5178D"/>
    <w:rsid w:val="00E51AEB"/>
    <w:rsid w:val="00E522A7"/>
    <w:rsid w:val="00E52F12"/>
    <w:rsid w:val="00E5349E"/>
    <w:rsid w:val="00E54452"/>
    <w:rsid w:val="00E5628C"/>
    <w:rsid w:val="00E63B0C"/>
    <w:rsid w:val="00E664C5"/>
    <w:rsid w:val="00E671A2"/>
    <w:rsid w:val="00E67BF3"/>
    <w:rsid w:val="00E711B3"/>
    <w:rsid w:val="00E7211F"/>
    <w:rsid w:val="00E76D26"/>
    <w:rsid w:val="00E76EE5"/>
    <w:rsid w:val="00E8243B"/>
    <w:rsid w:val="00E83234"/>
    <w:rsid w:val="00E93F11"/>
    <w:rsid w:val="00E95B8E"/>
    <w:rsid w:val="00E97D41"/>
    <w:rsid w:val="00E97D94"/>
    <w:rsid w:val="00EA09D0"/>
    <w:rsid w:val="00EA0F64"/>
    <w:rsid w:val="00EB1390"/>
    <w:rsid w:val="00EB2C71"/>
    <w:rsid w:val="00EB3333"/>
    <w:rsid w:val="00EB4340"/>
    <w:rsid w:val="00EB556D"/>
    <w:rsid w:val="00EB5A7D"/>
    <w:rsid w:val="00EB7309"/>
    <w:rsid w:val="00EC537A"/>
    <w:rsid w:val="00EC73B8"/>
    <w:rsid w:val="00ED09AA"/>
    <w:rsid w:val="00ED3EBA"/>
    <w:rsid w:val="00ED55C0"/>
    <w:rsid w:val="00ED682B"/>
    <w:rsid w:val="00EE41D5"/>
    <w:rsid w:val="00EF0B5B"/>
    <w:rsid w:val="00EF7059"/>
    <w:rsid w:val="00F0166F"/>
    <w:rsid w:val="00F037A4"/>
    <w:rsid w:val="00F049AB"/>
    <w:rsid w:val="00F05C64"/>
    <w:rsid w:val="00F142DB"/>
    <w:rsid w:val="00F170A3"/>
    <w:rsid w:val="00F2044E"/>
    <w:rsid w:val="00F20E6C"/>
    <w:rsid w:val="00F27C8F"/>
    <w:rsid w:val="00F32749"/>
    <w:rsid w:val="00F33074"/>
    <w:rsid w:val="00F37172"/>
    <w:rsid w:val="00F4477E"/>
    <w:rsid w:val="00F46269"/>
    <w:rsid w:val="00F55127"/>
    <w:rsid w:val="00F55339"/>
    <w:rsid w:val="00F57869"/>
    <w:rsid w:val="00F60BA8"/>
    <w:rsid w:val="00F67D8F"/>
    <w:rsid w:val="00F70174"/>
    <w:rsid w:val="00F7769D"/>
    <w:rsid w:val="00F802BE"/>
    <w:rsid w:val="00F80E93"/>
    <w:rsid w:val="00F84F5C"/>
    <w:rsid w:val="00F86024"/>
    <w:rsid w:val="00F8611A"/>
    <w:rsid w:val="00FA5128"/>
    <w:rsid w:val="00FA5C98"/>
    <w:rsid w:val="00FA7216"/>
    <w:rsid w:val="00FB42D4"/>
    <w:rsid w:val="00FB5906"/>
    <w:rsid w:val="00FB762F"/>
    <w:rsid w:val="00FC2AED"/>
    <w:rsid w:val="00FC45AC"/>
    <w:rsid w:val="00FD5EA7"/>
    <w:rsid w:val="00FE36CF"/>
    <w:rsid w:val="00FE432E"/>
    <w:rsid w:val="00FF01A5"/>
    <w:rsid w:val="00FF0246"/>
    <w:rsid w:val="00FF2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Firasans">
    <w:name w:val="Fira sans"/>
    <w:basedOn w:val="Standardowy"/>
    <w:uiPriority w:val="99"/>
    <w:rsid w:val="00EC537A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styleId="NormalnyWeb">
    <w:name w:val="Normal (Web)"/>
    <w:basedOn w:val="Normalny"/>
    <w:uiPriority w:val="99"/>
    <w:unhideWhenUsed/>
    <w:rsid w:val="00967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B130A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3B4541"/>
    <w:pPr>
      <w:spacing w:after="0" w:line="240" w:lineRule="auto"/>
    </w:pPr>
    <w:rPr>
      <w:rFonts w:ascii="Fira Sans" w:hAnsi="Fira Sans"/>
      <w:sz w:val="19"/>
    </w:rPr>
  </w:style>
  <w:style w:type="table" w:customStyle="1" w:styleId="Firasans1">
    <w:name w:val="Fira sans1"/>
    <w:basedOn w:val="Standardowy"/>
    <w:uiPriority w:val="99"/>
    <w:rsid w:val="00847839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header" Target="header2.xml"/><Relationship Id="rId26" Type="http://schemas.openxmlformats.org/officeDocument/2006/relationships/image" Target="media/image14.png"/><Relationship Id="rId21" Type="http://schemas.openxmlformats.org/officeDocument/2006/relationships/image" Target="media/image9.png"/><Relationship Id="rId34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5" Type="http://schemas.openxmlformats.org/officeDocument/2006/relationships/image" Target="media/image13.png"/><Relationship Id="rId33" Type="http://schemas.openxmlformats.org/officeDocument/2006/relationships/hyperlink" Target="https://stat.gov.pl/metainformacje/slownik-pojec/pojecia-stosowane-w-statystyce-publicznej/3555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s://sdg.gov.pl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24" Type="http://schemas.openxmlformats.org/officeDocument/2006/relationships/image" Target="media/image12.png"/><Relationship Id="rId32" Type="http://schemas.openxmlformats.org/officeDocument/2006/relationships/hyperlink" Target="http://stat.gov.pl/metainformacje/slownik-pojec/pojecia-stosowane-w-statystyce-publicznej/3013,pojecie.html" TargetMode="External"/><Relationship Id="rId37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://stat.gov.pl/Klasyfikacje/" TargetMode="External"/><Relationship Id="rId23" Type="http://schemas.openxmlformats.org/officeDocument/2006/relationships/image" Target="media/image11.png"/><Relationship Id="rId28" Type="http://schemas.openxmlformats.org/officeDocument/2006/relationships/hyperlink" Target="http://swaid.stat.gov.pl/SitePagesDBW/RynekPracy.aspx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footer" Target="footer2.xml"/><Relationship Id="rId31" Type="http://schemas.openxmlformats.org/officeDocument/2006/relationships/hyperlink" Target="http://stat.gov.pl/metainformacje/slownik-pojec/pojecia-stosowane-w-statystyce-publicznej/3012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jpeg"/><Relationship Id="rId22" Type="http://schemas.openxmlformats.org/officeDocument/2006/relationships/image" Target="media/image10.png"/><Relationship Id="rId27" Type="http://schemas.openxmlformats.org/officeDocument/2006/relationships/hyperlink" Target="http://stat.gov.pl/obszary-tematyczne/rynek-pracy/" TargetMode="External"/><Relationship Id="rId30" Type="http://schemas.openxmlformats.org/officeDocument/2006/relationships/hyperlink" Target="https://stat.gov.pl/metainformacje/slownik-pojec/pojecia-stosowane-w-statystyce-publicznej/3011,pojecie.html" TargetMode="External"/><Relationship Id="rId35" Type="http://schemas.openxmlformats.org/officeDocument/2006/relationships/footer" Target="foot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Informacja sygnalna_Popyt na prace w trzecim kwartale 2022 r.docx.docx</NazwaPliku>
    <Odbiorcy2 xmlns="AD3641B4-23D9-4536-AF9E-7D0EADDEB824" xsi:nil="true"/>
    <Osoba xmlns="AD3641B4-23D9-4536-AF9E-7D0EADDEB824">STAT\CZARNECKAK</Osob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D3641B4-23D9-4536-AF9E-7D0EADDEB824"/>
  </ds:schemaRefs>
</ds:datastoreItem>
</file>

<file path=customXml/itemProps2.xml><?xml version="1.0" encoding="utf-8"?>
<ds:datastoreItem xmlns:ds="http://schemas.openxmlformats.org/officeDocument/2006/customXml" ds:itemID="{71233850-E462-4256-8B4F-F2557E7943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9BC162-B6CD-4880-804A-765389CA9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1802</Words>
  <Characters>10814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Popyt na prace w trzecim kwartale 2022 r</dc:title>
  <dc:subject/>
  <dc:creator>GUS</dc:creator>
  <cp:keywords/>
  <dc:description/>
  <cp:lastModifiedBy>Maciejska Agnieszka</cp:lastModifiedBy>
  <cp:revision>3</cp:revision>
  <cp:lastPrinted>2022-03-07T12:19:00Z</cp:lastPrinted>
  <dcterms:created xsi:type="dcterms:W3CDTF">2022-12-06T05:58:00Z</dcterms:created>
  <dcterms:modified xsi:type="dcterms:W3CDTF">2022-12-09T07:11:00Z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