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FC2876" w:rsidRDefault="00F91A4D" w:rsidP="00F049AB">
      <w:pPr>
        <w:pStyle w:val="Tytuinfomacjisygnalnej"/>
      </w:pPr>
      <w:bookmarkStart w:id="0" w:name="_GoBack"/>
      <w:bookmarkEnd w:id="0"/>
      <w:r>
        <w:t>Wstępny</w:t>
      </w:r>
      <w:r w:rsidR="00A7687B" w:rsidRPr="00FC2876">
        <w:t xml:space="preserve"> szacunek produktu krajowego brutto </w:t>
      </w:r>
      <w:r w:rsidR="003857CB">
        <w:br/>
      </w:r>
      <w:r>
        <w:t xml:space="preserve">w </w:t>
      </w:r>
      <w:r w:rsidR="00BA3A4F">
        <w:t>2</w:t>
      </w:r>
      <w:r w:rsidR="00A7687B" w:rsidRPr="00FC2876">
        <w:t xml:space="preserve"> kw</w:t>
      </w:r>
      <w:r w:rsidR="001A164B">
        <w:t>arta</w:t>
      </w:r>
      <w:r>
        <w:t xml:space="preserve">le </w:t>
      </w:r>
      <w:r w:rsidR="00A7687B" w:rsidRPr="00FC2876">
        <w:t>202</w:t>
      </w:r>
      <w:r w:rsidR="009068B3">
        <w:t>2</w:t>
      </w:r>
      <w:r w:rsidR="00A7687B" w:rsidRPr="00FC2876">
        <w:t xml:space="preserve"> r.</w:t>
      </w:r>
      <w:r w:rsidR="00364AF9" w:rsidRPr="00FC2876">
        <w:rPr>
          <w:sz w:val="32"/>
        </w:rPr>
        <w:tab/>
      </w:r>
    </w:p>
    <w:p w:rsidR="00DE58F1" w:rsidRPr="00822F52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F648A96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4085" cy="1050290"/>
                <wp:effectExtent l="0" t="0" r="5715" b="0"/>
                <wp:wrapSquare wrapText="bothSides"/>
                <wp:docPr id="6" name="Pole tekstowe 2" descr="Opis wskaźnika:  105,5&#10;Dynamika realna PKB w 2 kwartale 2022 r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02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5A0CB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A0CB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556875">
                              <w:rPr>
                                <w:rStyle w:val="WartowskanikaZnak"/>
                              </w:rPr>
                              <w:t>10</w:t>
                            </w:r>
                            <w:r w:rsidR="007D52C5">
                              <w:rPr>
                                <w:rStyle w:val="WartowskanikaZnak"/>
                              </w:rPr>
                              <w:t>5</w:t>
                            </w:r>
                            <w:r w:rsidR="00556875">
                              <w:rPr>
                                <w:rStyle w:val="WartowskanikaZnak"/>
                              </w:rPr>
                              <w:t>,5</w:t>
                            </w:r>
                          </w:p>
                          <w:p w:rsidR="005C0CAC" w:rsidRPr="007D605C" w:rsidRDefault="00A7687B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822F52">
                              <w:t xml:space="preserve">Dynamika realna PKB </w:t>
                            </w:r>
                            <w:r w:rsidR="00822F52" w:rsidRPr="00822F52">
                              <w:t xml:space="preserve">w </w:t>
                            </w:r>
                            <w:r w:rsidR="007D52C5">
                              <w:t>2</w:t>
                            </w:r>
                            <w:r w:rsidR="00822F52" w:rsidRPr="00822F52">
                              <w:t xml:space="preserve"> kwartale 202</w:t>
                            </w:r>
                            <w:r w:rsidR="009068B3">
                              <w:t>2</w:t>
                            </w:r>
                            <w:r w:rsidR="00822F52" w:rsidRPr="00822F52"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Opis wskaźnika:  105,5&#10;Dynamika realna PKB w 2 kwartale 2022 r. &#10;&#10;" style="position:absolute;margin-left:0;margin-top:4.7pt;width:173.55pt;height:82.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" fillcolor="#001d77" stroked="f">
                <v:stroke joinstyle="miter"/>
                <v:textbox>
                  <w:txbxContent>
                    <w:p w:rsidR="005C0CAC" w:rsidRPr="005A0CB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A0CB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556875">
                        <w:rPr>
                          <w:rStyle w:val="WartowskanikaZnak"/>
                        </w:rPr>
                        <w:t>10</w:t>
                      </w:r>
                      <w:r w:rsidR="007D52C5">
                        <w:rPr>
                          <w:rStyle w:val="WartowskanikaZnak"/>
                        </w:rPr>
                        <w:t>5</w:t>
                      </w:r>
                      <w:r w:rsidR="00556875">
                        <w:rPr>
                          <w:rStyle w:val="WartowskanikaZnak"/>
                        </w:rPr>
                        <w:t>,5</w:t>
                      </w:r>
                    </w:p>
                    <w:p w:rsidR="005C0CAC" w:rsidRPr="007D605C" w:rsidRDefault="00A7687B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822F52">
                        <w:t xml:space="preserve">Dynamika realna PKB </w:t>
                      </w:r>
                      <w:r w:rsidR="00822F52" w:rsidRPr="00822F52">
                        <w:t xml:space="preserve">w </w:t>
                      </w:r>
                      <w:r w:rsidR="007D52C5">
                        <w:t>2</w:t>
                      </w:r>
                      <w:r w:rsidR="00822F52" w:rsidRPr="00822F52">
                        <w:t xml:space="preserve"> kwartale 202</w:t>
                      </w:r>
                      <w:r w:rsidR="009068B3">
                        <w:t>2</w:t>
                      </w:r>
                      <w:r w:rsidR="00822F52" w:rsidRPr="00822F52"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A7687B">
        <w:rPr>
          <w:color w:val="001D77"/>
        </w:rPr>
        <w:t xml:space="preserve"> </w:t>
      </w:r>
      <w:r w:rsidR="00A90A6D" w:rsidRPr="00A7687B">
        <w:br/>
      </w:r>
      <w:r w:rsidR="00F91A4D">
        <w:t>P</w:t>
      </w:r>
      <w:r w:rsidR="00822F52" w:rsidRPr="00822F52">
        <w:t xml:space="preserve">rodukt krajowy brutto </w:t>
      </w:r>
      <w:r w:rsidR="00822F52">
        <w:t xml:space="preserve">(PKB) niewyrównany sezonowo w </w:t>
      </w:r>
      <w:r w:rsidR="009E0384">
        <w:t>2</w:t>
      </w:r>
      <w:r w:rsidR="00371066">
        <w:t xml:space="preserve"> kwartale 202</w:t>
      </w:r>
      <w:r w:rsidR="009068B3">
        <w:t>2</w:t>
      </w:r>
      <w:r w:rsidR="00371066">
        <w:t xml:space="preserve"> r. </w:t>
      </w:r>
      <w:r w:rsidR="00F91A4D">
        <w:t xml:space="preserve">wzrósł </w:t>
      </w:r>
      <w:r w:rsidR="00822F52">
        <w:t>re</w:t>
      </w:r>
      <w:r w:rsidR="00CE2C32">
        <w:t>al</w:t>
      </w:r>
      <w:r w:rsidR="00822F52">
        <w:t>nie</w:t>
      </w:r>
      <w:r w:rsidR="009068B3">
        <w:br/>
      </w:r>
      <w:r w:rsidR="00822F52">
        <w:t xml:space="preserve"> o </w:t>
      </w:r>
      <w:r w:rsidR="009E0384">
        <w:t>5</w:t>
      </w:r>
      <w:r w:rsidR="00B97FAE">
        <w:t>,5</w:t>
      </w:r>
      <w:r w:rsidR="00822F52">
        <w:t>%</w:t>
      </w:r>
      <w:r w:rsidR="00371066">
        <w:t xml:space="preserve"> </w:t>
      </w:r>
      <w:r w:rsidR="00721E45">
        <w:t xml:space="preserve">rok do roku </w:t>
      </w:r>
      <w:r w:rsidR="00371066">
        <w:t xml:space="preserve">wobec </w:t>
      </w:r>
      <w:r w:rsidR="007D52C5">
        <w:t>wzrostu</w:t>
      </w:r>
      <w:r w:rsidR="00371066">
        <w:t xml:space="preserve"> o </w:t>
      </w:r>
      <w:r w:rsidR="007D52C5">
        <w:t>11,3</w:t>
      </w:r>
      <w:r w:rsidR="00371066">
        <w:t xml:space="preserve">% </w:t>
      </w:r>
      <w:r w:rsidR="009068B3">
        <w:br/>
      </w:r>
      <w:r w:rsidR="00371066">
        <w:t xml:space="preserve">w analogicznym </w:t>
      </w:r>
      <w:r w:rsidR="00F91A4D">
        <w:t xml:space="preserve">kwartale </w:t>
      </w:r>
      <w:r w:rsidR="00371066">
        <w:t>202</w:t>
      </w:r>
      <w:r w:rsidR="00941A1A">
        <w:t>1</w:t>
      </w:r>
      <w:r w:rsidR="00371066">
        <w:t xml:space="preserve"> r.</w:t>
      </w:r>
      <w:r w:rsidR="00DE6B58" w:rsidRPr="00822F52">
        <w:t xml:space="preserve"> </w:t>
      </w:r>
      <w:r w:rsidR="00F91A4D">
        <w:t>(w cenach stałych średniorocznych roku poprzedniego).</w:t>
      </w:r>
    </w:p>
    <w:p w:rsidR="00371066" w:rsidRDefault="00371066" w:rsidP="00E95B8E">
      <w:pPr>
        <w:pStyle w:val="Nagwek1"/>
        <w:rPr>
          <w:rFonts w:ascii="Fira Sans" w:hAnsi="Fira Sans"/>
          <w:b/>
          <w:szCs w:val="19"/>
        </w:rPr>
      </w:pPr>
    </w:p>
    <w:p w:rsidR="00371066" w:rsidRPr="00512511" w:rsidRDefault="000F4972" w:rsidP="000C7EF7">
      <w:pPr>
        <w:pStyle w:val="Nagwek1"/>
        <w:spacing w:before="480" w:line="288" w:lineRule="auto"/>
        <w:rPr>
          <w:rFonts w:ascii="Fira Sans" w:hAnsi="Fira Sans"/>
          <w:color w:val="auto"/>
          <w:szCs w:val="19"/>
        </w:rPr>
      </w:pPr>
      <w:r w:rsidRPr="00512511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42B7005">
                <wp:simplePos x="0" y="0"/>
                <wp:positionH relativeFrom="column">
                  <wp:posOffset>5248275</wp:posOffset>
                </wp:positionH>
                <wp:positionV relativeFrom="paragraph">
                  <wp:posOffset>760515</wp:posOffset>
                </wp:positionV>
                <wp:extent cx="1756410" cy="1756410"/>
                <wp:effectExtent l="0" t="0" r="0" b="0"/>
                <wp:wrapTight wrapText="bothSides">
                  <wp:wrapPolygon edited="0">
                    <wp:start x="703" y="0"/>
                    <wp:lineTo x="703" y="21319"/>
                    <wp:lineTo x="20850" y="21319"/>
                    <wp:lineTo x="20850" y="0"/>
                    <wp:lineTo x="703" y="0"/>
                  </wp:wrapPolygon>
                </wp:wrapTight>
                <wp:docPr id="2" name="Pole tekstowe 2" descr="W stosunku do opublikowanego w dniu 17.08.2022 r. szybkiego szacunku wzrost produktu krajowego brutto w cenach stałych średniorocznych roku poprzedniego, niewyrównanego sezonowo zwiększył się o 0,2 p. proc. i wyniósł 5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75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127" w:rsidRPr="001036E7" w:rsidRDefault="00183127" w:rsidP="0018312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stosunku do opublikowanego w dniu 17.08.2022 r. szybkiego szacunku </w:t>
                            </w:r>
                            <w:r w:rsidR="005B1C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produktu krajowego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brutto</w:t>
                            </w:r>
                            <w:r w:rsidR="000F49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średniorocznych</w:t>
                            </w:r>
                            <w:r w:rsidR="005B1C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poprzedniego, niewyrównanego</w:t>
                            </w:r>
                            <w:r w:rsidR="000F49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sezonowo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94A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zwiększył się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0,2 p. proc. i wyniósł </w:t>
                            </w:r>
                            <w:r w:rsidR="008538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357C04" w:rsidRDefault="00357C04" w:rsidP="00BE75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57C04" w:rsidRPr="001D7C3B" w:rsidRDefault="00357C04" w:rsidP="00BE75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BE7510" w:rsidRPr="001036E7" w:rsidRDefault="00BE7510" w:rsidP="00B66D5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D616D2" w:rsidRPr="001A7F9E" w:rsidRDefault="00D616D2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stosunku do opublikowanego w dniu 17.08.2022 r. szybkiego szacunku wzrost produktu krajowego brutto w cenach stałych średniorocznych roku poprzedniego, niewyrównanego sezonowo zwiększył się o 0,2 p. proc. i wyniósł 5,5%" style="position:absolute;margin-left:413.25pt;margin-top:59.9pt;width:138.3pt;height:138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" filled="f" stroked="f">
                <v:textbox>
                  <w:txbxContent>
                    <w:p w:rsidR="00183127" w:rsidRPr="001036E7" w:rsidRDefault="00183127" w:rsidP="0018312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stosunku do opublikowanego w dniu 17.08.2022 r. szybkiego szacunku </w:t>
                      </w:r>
                      <w:r w:rsidR="005B1C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produktu krajowego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brutto</w:t>
                      </w:r>
                      <w:r w:rsidR="000F49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średniorocznych</w:t>
                      </w:r>
                      <w:r w:rsidR="005B1C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poprzedniego, niewyrównanego</w:t>
                      </w:r>
                      <w:r w:rsidR="000F49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sezonowo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94A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zwiększył się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0,2 p. proc. i wyniósł </w:t>
                      </w:r>
                      <w:r w:rsidR="008538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357C04" w:rsidRDefault="00357C04" w:rsidP="00BE75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57C04" w:rsidRPr="001D7C3B" w:rsidRDefault="00357C04" w:rsidP="00BE75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BE7510" w:rsidRPr="001036E7" w:rsidRDefault="00BE7510" w:rsidP="00B66D5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D616D2" w:rsidRPr="001A7F9E" w:rsidRDefault="00D616D2" w:rsidP="005F45E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71066" w:rsidRPr="00512511">
        <w:rPr>
          <w:rFonts w:ascii="Fira Sans" w:hAnsi="Fira Sans"/>
          <w:color w:val="auto"/>
          <w:szCs w:val="19"/>
        </w:rPr>
        <w:t xml:space="preserve">W </w:t>
      </w:r>
      <w:r w:rsidR="007D52C5">
        <w:rPr>
          <w:rFonts w:ascii="Fira Sans" w:hAnsi="Fira Sans"/>
          <w:color w:val="auto"/>
          <w:szCs w:val="19"/>
        </w:rPr>
        <w:t>2</w:t>
      </w:r>
      <w:r w:rsidR="00371066" w:rsidRPr="00512511">
        <w:rPr>
          <w:rFonts w:ascii="Fira Sans" w:hAnsi="Fira Sans"/>
          <w:color w:val="auto"/>
          <w:szCs w:val="19"/>
        </w:rPr>
        <w:t xml:space="preserve"> kwartale 202</w:t>
      </w:r>
      <w:r w:rsidR="004379C9">
        <w:rPr>
          <w:rFonts w:ascii="Fira Sans" w:hAnsi="Fira Sans"/>
          <w:color w:val="auto"/>
          <w:szCs w:val="19"/>
        </w:rPr>
        <w:t>2</w:t>
      </w:r>
      <w:r w:rsidR="00371066" w:rsidRPr="00512511">
        <w:rPr>
          <w:rFonts w:ascii="Fira Sans" w:hAnsi="Fira Sans"/>
          <w:color w:val="auto"/>
          <w:szCs w:val="19"/>
        </w:rPr>
        <w:t xml:space="preserve"> r. PKB wyrównany sezonowo (w ce</w:t>
      </w:r>
      <w:r w:rsidR="00D138BC" w:rsidRPr="00512511">
        <w:rPr>
          <w:rFonts w:ascii="Fira Sans" w:hAnsi="Fira Sans"/>
          <w:color w:val="auto"/>
          <w:szCs w:val="19"/>
        </w:rPr>
        <w:t>n</w:t>
      </w:r>
      <w:r w:rsidR="00371066" w:rsidRPr="00512511">
        <w:rPr>
          <w:rFonts w:ascii="Fira Sans" w:hAnsi="Fira Sans"/>
          <w:color w:val="auto"/>
          <w:szCs w:val="19"/>
        </w:rPr>
        <w:t xml:space="preserve">ach stałych przy roku odniesienia 2015) </w:t>
      </w:r>
      <w:r w:rsidR="00ED2C35">
        <w:rPr>
          <w:rFonts w:ascii="Fira Sans" w:hAnsi="Fira Sans"/>
          <w:color w:val="auto"/>
          <w:szCs w:val="19"/>
        </w:rPr>
        <w:t>zmniejszył się</w:t>
      </w:r>
      <w:r w:rsidR="00371066" w:rsidRPr="00512511">
        <w:rPr>
          <w:rFonts w:ascii="Fira Sans" w:hAnsi="Fira Sans"/>
          <w:color w:val="auto"/>
          <w:szCs w:val="19"/>
        </w:rPr>
        <w:t xml:space="preserve"> realnie o </w:t>
      </w:r>
      <w:r w:rsidR="00ED2C35">
        <w:rPr>
          <w:rFonts w:ascii="Fira Sans" w:hAnsi="Fira Sans"/>
          <w:color w:val="auto"/>
          <w:szCs w:val="19"/>
        </w:rPr>
        <w:t>2,1</w:t>
      </w:r>
      <w:r w:rsidR="00371066" w:rsidRPr="00512511">
        <w:rPr>
          <w:rFonts w:ascii="Fira Sans" w:hAnsi="Fira Sans"/>
          <w:color w:val="auto"/>
          <w:szCs w:val="19"/>
        </w:rPr>
        <w:t xml:space="preserve">% w porównaniu z poprzednim kwartałem i był wyższy niż przed rokiem o </w:t>
      </w:r>
      <w:r w:rsidR="00ED2C35">
        <w:rPr>
          <w:rFonts w:ascii="Fira Sans" w:hAnsi="Fira Sans"/>
          <w:color w:val="auto"/>
          <w:szCs w:val="19"/>
        </w:rPr>
        <w:t>4,7</w:t>
      </w:r>
      <w:r w:rsidR="00371066" w:rsidRPr="00512511">
        <w:rPr>
          <w:rFonts w:ascii="Fira Sans" w:hAnsi="Fira Sans"/>
          <w:color w:val="auto"/>
          <w:szCs w:val="19"/>
        </w:rPr>
        <w:t>%.</w:t>
      </w:r>
    </w:p>
    <w:p w:rsidR="00DE6B58" w:rsidRPr="00512511" w:rsidRDefault="00BD26B1" w:rsidP="00767EE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12511">
        <w:rPr>
          <w:rFonts w:eastAsia="Times New Roman" w:cs="Times New Roman"/>
          <w:szCs w:val="19"/>
          <w:lang w:eastAsia="pl-PL"/>
        </w:rPr>
        <w:t xml:space="preserve">PKB niewyrównany sezonowo (w cenach stałych średniorocznych roku poprzedniego) wzrósł realnie o </w:t>
      </w:r>
      <w:r w:rsidR="007D52C5">
        <w:rPr>
          <w:rFonts w:eastAsia="Times New Roman" w:cs="Times New Roman"/>
          <w:szCs w:val="19"/>
          <w:lang w:eastAsia="pl-PL"/>
        </w:rPr>
        <w:t>5</w:t>
      </w:r>
      <w:r w:rsidR="00556875">
        <w:rPr>
          <w:rFonts w:eastAsia="Times New Roman" w:cs="Times New Roman"/>
          <w:szCs w:val="19"/>
          <w:lang w:eastAsia="pl-PL"/>
        </w:rPr>
        <w:t>,5</w:t>
      </w:r>
      <w:r w:rsidRPr="00512511">
        <w:rPr>
          <w:rFonts w:eastAsia="Times New Roman" w:cs="Times New Roman"/>
          <w:szCs w:val="19"/>
          <w:lang w:eastAsia="pl-PL"/>
        </w:rPr>
        <w:t xml:space="preserve">% w porównaniu z </w:t>
      </w:r>
      <w:r w:rsidR="00B26930">
        <w:rPr>
          <w:rFonts w:eastAsia="Times New Roman" w:cs="Times New Roman"/>
          <w:szCs w:val="19"/>
          <w:lang w:eastAsia="pl-PL"/>
        </w:rPr>
        <w:t>2</w:t>
      </w:r>
      <w:r w:rsidR="00F91A4D">
        <w:rPr>
          <w:rFonts w:eastAsia="Times New Roman" w:cs="Times New Roman"/>
          <w:szCs w:val="19"/>
          <w:lang w:eastAsia="pl-PL"/>
        </w:rPr>
        <w:t xml:space="preserve"> kwartałem</w:t>
      </w:r>
      <w:r w:rsidRPr="00512511">
        <w:rPr>
          <w:rFonts w:eastAsia="Times New Roman" w:cs="Times New Roman"/>
          <w:szCs w:val="19"/>
          <w:lang w:eastAsia="pl-PL"/>
        </w:rPr>
        <w:t xml:space="preserve"> roku poprzedniego. </w:t>
      </w:r>
    </w:p>
    <w:p w:rsidR="00E95B8E" w:rsidRDefault="005A0CBF" w:rsidP="00580B5E">
      <w:pPr>
        <w:spacing w:before="360" w:line="288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t>Tab</w:t>
      </w:r>
      <w:r w:rsidR="00E95B8E" w:rsidRPr="005A0CBF">
        <w:rPr>
          <w:b/>
        </w:rPr>
        <w:t xml:space="preserve">lica </w:t>
      </w:r>
      <w:r w:rsidR="00D972F6" w:rsidRPr="005A0CBF">
        <w:rPr>
          <w:b/>
        </w:rPr>
        <w:t>1</w:t>
      </w:r>
      <w:r w:rsidR="00E95B8E" w:rsidRPr="005A0CBF">
        <w:rPr>
          <w:b/>
        </w:rPr>
        <w:t>.</w:t>
      </w:r>
      <w:r w:rsidR="00D972F6" w:rsidRPr="005A0CBF">
        <w:rPr>
          <w:b/>
        </w:rPr>
        <w:t xml:space="preserve"> </w:t>
      </w:r>
      <w:r w:rsidR="007F0623" w:rsidRPr="005A0CBF">
        <w:rPr>
          <w:b/>
        </w:rPr>
        <w:t>PKB wyrównany sezonowo, ceny stałe przy roku odniesienia 2015</w:t>
      </w:r>
    </w:p>
    <w:tbl>
      <w:tblPr>
        <w:tblStyle w:val="Tabela-Siatka"/>
        <w:tblpPr w:leftFromText="141" w:rightFromText="141" w:vertAnchor="text" w:horzAnchor="margin" w:tblpY="251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1. PKB wyrównany sezonowo, ceny stałe przy roku odniesienia 2015"/>
        <w:tblDescription w:val="Tabela prezentuje wartości dynamiki PKB w kwartałach dla lat 2020-2021 oraz w 1 i 2 kwartale 2022 r. w cenach stałych przy roku odniesienia 2015, wyrównane sezonowo, przy podstawach: kwartał poprzedni=100 i analogiczny kwartał roku poprzedniego =100 oraz porównanie danych opublikowanych 17.08.2022 r. oraz 31.08.2022 r."/>
      </w:tblPr>
      <w:tblGrid>
        <w:gridCol w:w="1450"/>
        <w:gridCol w:w="664"/>
        <w:gridCol w:w="665"/>
        <w:gridCol w:w="665"/>
        <w:gridCol w:w="665"/>
        <w:gridCol w:w="665"/>
        <w:gridCol w:w="670"/>
        <w:gridCol w:w="665"/>
        <w:gridCol w:w="666"/>
        <w:gridCol w:w="663"/>
        <w:gridCol w:w="629"/>
      </w:tblGrid>
      <w:tr w:rsidR="008011CE" w:rsidRPr="00E34AA3" w:rsidTr="008011CE">
        <w:trPr>
          <w:trHeight w:hRule="exact" w:val="397"/>
        </w:trPr>
        <w:tc>
          <w:tcPr>
            <w:tcW w:w="899" w:type="pct"/>
            <w:vMerge w:val="restart"/>
            <w:tcBorders>
              <w:left w:val="nil"/>
            </w:tcBorders>
            <w:vAlign w:val="center"/>
          </w:tcPr>
          <w:p w:rsidR="008011CE" w:rsidRPr="00E34AA3" w:rsidRDefault="008011CE" w:rsidP="008E216C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648" w:type="pct"/>
            <w:gridSpan w:val="4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652" w:type="pct"/>
            <w:gridSpan w:val="4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01" w:type="pct"/>
            <w:gridSpan w:val="2"/>
            <w:tcBorders>
              <w:right w:val="nil"/>
            </w:tcBorders>
            <w:vAlign w:val="center"/>
          </w:tcPr>
          <w:p w:rsidR="008011CE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8011CE" w:rsidRPr="00E34AA3" w:rsidTr="008011CE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:rsidR="008011CE" w:rsidRPr="00E34AA3" w:rsidRDefault="008011CE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5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3" w:type="pct"/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1" w:type="pct"/>
            <w:tcBorders>
              <w:right w:val="nil"/>
            </w:tcBorders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90" w:type="pct"/>
            <w:tcBorders>
              <w:right w:val="nil"/>
            </w:tcBorders>
            <w:vAlign w:val="center"/>
          </w:tcPr>
          <w:p w:rsidR="008011CE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8011CE" w:rsidRPr="00E34AA3" w:rsidTr="003A4537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:rsidR="008011CE" w:rsidRPr="00E34AA3" w:rsidRDefault="008011CE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1" w:type="pct"/>
            <w:gridSpan w:val="10"/>
            <w:tcBorders>
              <w:right w:val="nil"/>
            </w:tcBorders>
            <w:vAlign w:val="center"/>
          </w:tcPr>
          <w:p w:rsidR="008011CE" w:rsidRPr="00E34AA3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poprzedni kwartał = 100</w:t>
            </w:r>
          </w:p>
        </w:tc>
      </w:tr>
      <w:tr w:rsidR="008011CE" w:rsidRPr="00E34AA3" w:rsidTr="008011CE">
        <w:trPr>
          <w:trHeight w:val="397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011CE" w:rsidRPr="00E34AA3" w:rsidRDefault="008011CE" w:rsidP="008011CE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17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100,4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90,9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107,3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101,4</w:t>
            </w:r>
          </w:p>
        </w:tc>
        <w:tc>
          <w:tcPr>
            <w:tcW w:w="415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102,6</w:t>
            </w:r>
          </w:p>
        </w:tc>
        <w:tc>
          <w:tcPr>
            <w:tcW w:w="413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101,8</w:t>
            </w:r>
          </w:p>
        </w:tc>
        <w:tc>
          <w:tcPr>
            <w:tcW w:w="408" w:type="pct"/>
            <w:tcBorders>
              <w:right w:val="nil"/>
            </w:tcBorders>
            <w:vAlign w:val="center"/>
          </w:tcPr>
          <w:p w:rsidR="008011CE" w:rsidRPr="00AA0F92" w:rsidRDefault="008011CE" w:rsidP="008011CE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102,5</w:t>
            </w:r>
          </w:p>
        </w:tc>
        <w:tc>
          <w:tcPr>
            <w:tcW w:w="393" w:type="pct"/>
            <w:tcBorders>
              <w:right w:val="nil"/>
            </w:tcBorders>
            <w:vAlign w:val="center"/>
          </w:tcPr>
          <w:p w:rsidR="008011CE" w:rsidRPr="00AA0F92" w:rsidRDefault="008011CE" w:rsidP="0035721D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97,7</w:t>
            </w:r>
          </w:p>
        </w:tc>
      </w:tr>
      <w:tr w:rsidR="008011CE" w:rsidRPr="00E34AA3" w:rsidTr="008011CE">
        <w:trPr>
          <w:trHeight w:val="397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011CE" w:rsidRPr="00E34AA3" w:rsidRDefault="008011CE" w:rsidP="008011CE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31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100,4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90,9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107,3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101,4</w:t>
            </w:r>
          </w:p>
        </w:tc>
        <w:tc>
          <w:tcPr>
            <w:tcW w:w="415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102,6</w:t>
            </w:r>
          </w:p>
        </w:tc>
        <w:tc>
          <w:tcPr>
            <w:tcW w:w="413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101,8</w:t>
            </w:r>
          </w:p>
        </w:tc>
        <w:tc>
          <w:tcPr>
            <w:tcW w:w="408" w:type="pct"/>
            <w:tcBorders>
              <w:right w:val="nil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102,5</w:t>
            </w:r>
          </w:p>
        </w:tc>
        <w:tc>
          <w:tcPr>
            <w:tcW w:w="393" w:type="pct"/>
            <w:tcBorders>
              <w:right w:val="nil"/>
            </w:tcBorders>
            <w:vAlign w:val="center"/>
          </w:tcPr>
          <w:p w:rsidR="008011CE" w:rsidRPr="00AA0F92" w:rsidRDefault="00CB6E4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97,9</w:t>
            </w:r>
          </w:p>
        </w:tc>
      </w:tr>
      <w:tr w:rsidR="008011CE" w:rsidRPr="00E34AA3" w:rsidTr="008011CE">
        <w:trPr>
          <w:trHeight w:val="397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011CE" w:rsidRPr="00E34AA3" w:rsidRDefault="008011CE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5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3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08" w:type="pct"/>
            <w:tcBorders>
              <w:right w:val="nil"/>
            </w:tcBorders>
            <w:vAlign w:val="center"/>
          </w:tcPr>
          <w:p w:rsidR="008011CE" w:rsidRPr="00AA0F92" w:rsidRDefault="00257268" w:rsidP="0035721D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393" w:type="pct"/>
            <w:tcBorders>
              <w:right w:val="nil"/>
            </w:tcBorders>
            <w:vAlign w:val="center"/>
          </w:tcPr>
          <w:p w:rsidR="008011CE" w:rsidRPr="00AA0F92" w:rsidRDefault="00257268" w:rsidP="0035721D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+0,2</w:t>
            </w:r>
          </w:p>
        </w:tc>
      </w:tr>
      <w:tr w:rsidR="008011CE" w:rsidRPr="00E34AA3" w:rsidTr="00835983">
        <w:trPr>
          <w:trHeight w:hRule="exact" w:val="397"/>
        </w:trPr>
        <w:tc>
          <w:tcPr>
            <w:tcW w:w="899" w:type="pct"/>
            <w:tcBorders>
              <w:left w:val="nil"/>
            </w:tcBorders>
            <w:vAlign w:val="center"/>
          </w:tcPr>
          <w:p w:rsidR="008011CE" w:rsidRPr="00E34AA3" w:rsidRDefault="008011CE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1" w:type="pct"/>
            <w:gridSpan w:val="10"/>
            <w:tcBorders>
              <w:right w:val="nil"/>
            </w:tcBorders>
            <w:vAlign w:val="center"/>
          </w:tcPr>
          <w:p w:rsidR="008011CE" w:rsidRPr="00AA0F92" w:rsidRDefault="008011CE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analogiczny kwartał roku poprzedniego = 100</w:t>
            </w:r>
          </w:p>
        </w:tc>
      </w:tr>
      <w:tr w:rsidR="008011CE" w:rsidRPr="00E34AA3" w:rsidTr="008011CE">
        <w:tc>
          <w:tcPr>
            <w:tcW w:w="899" w:type="pct"/>
            <w:tcBorders>
              <w:left w:val="nil"/>
            </w:tcBorders>
            <w:vAlign w:val="center"/>
          </w:tcPr>
          <w:p w:rsidR="008011CE" w:rsidRPr="00E34AA3" w:rsidRDefault="008011CE" w:rsidP="008011CE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17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102,6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92,5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98,4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97,9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98,9</w:t>
            </w:r>
          </w:p>
        </w:tc>
        <w:tc>
          <w:tcPr>
            <w:tcW w:w="415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111,0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106,1</w:t>
            </w:r>
          </w:p>
        </w:tc>
        <w:tc>
          <w:tcPr>
            <w:tcW w:w="413" w:type="pct"/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108,0</w:t>
            </w:r>
          </w:p>
        </w:tc>
        <w:tc>
          <w:tcPr>
            <w:tcW w:w="411" w:type="pct"/>
            <w:tcBorders>
              <w:right w:val="nil"/>
            </w:tcBorders>
            <w:vAlign w:val="center"/>
          </w:tcPr>
          <w:p w:rsidR="008011CE" w:rsidRPr="00AA0F92" w:rsidRDefault="008011CE" w:rsidP="0022492E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109,</w:t>
            </w:r>
            <w:r w:rsidR="0022492E" w:rsidRPr="00AA0F92">
              <w:rPr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right w:val="nil"/>
            </w:tcBorders>
            <w:vAlign w:val="center"/>
          </w:tcPr>
          <w:p w:rsidR="008011CE" w:rsidRPr="00AA0F92" w:rsidRDefault="0022492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104,5</w:t>
            </w:r>
          </w:p>
        </w:tc>
      </w:tr>
      <w:tr w:rsidR="008011CE" w:rsidRPr="00E34AA3" w:rsidTr="008011CE">
        <w:tc>
          <w:tcPr>
            <w:tcW w:w="899" w:type="pct"/>
            <w:tcBorders>
              <w:left w:val="nil"/>
            </w:tcBorders>
            <w:vAlign w:val="center"/>
          </w:tcPr>
          <w:p w:rsidR="008011CE" w:rsidRPr="00E34AA3" w:rsidRDefault="008011CE" w:rsidP="008011CE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31</w:t>
            </w:r>
            <w:r w:rsidRPr="00E34AA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12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102,6</w:t>
            </w:r>
          </w:p>
        </w:tc>
        <w:tc>
          <w:tcPr>
            <w:tcW w:w="412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92,5</w:t>
            </w:r>
          </w:p>
        </w:tc>
        <w:tc>
          <w:tcPr>
            <w:tcW w:w="412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98,4</w:t>
            </w:r>
          </w:p>
        </w:tc>
        <w:tc>
          <w:tcPr>
            <w:tcW w:w="412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97,9</w:t>
            </w:r>
          </w:p>
        </w:tc>
        <w:tc>
          <w:tcPr>
            <w:tcW w:w="412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98,9</w:t>
            </w:r>
          </w:p>
        </w:tc>
        <w:tc>
          <w:tcPr>
            <w:tcW w:w="415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111,0</w:t>
            </w:r>
          </w:p>
        </w:tc>
        <w:tc>
          <w:tcPr>
            <w:tcW w:w="412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106,1</w:t>
            </w:r>
          </w:p>
        </w:tc>
        <w:tc>
          <w:tcPr>
            <w:tcW w:w="413" w:type="pct"/>
            <w:tcBorders>
              <w:bottom w:val="single" w:sz="4" w:space="0" w:color="001D77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108,0</w:t>
            </w:r>
          </w:p>
        </w:tc>
        <w:tc>
          <w:tcPr>
            <w:tcW w:w="411" w:type="pct"/>
            <w:tcBorders>
              <w:bottom w:val="single" w:sz="4" w:space="0" w:color="001D77"/>
              <w:right w:val="nil"/>
            </w:tcBorders>
            <w:vAlign w:val="center"/>
          </w:tcPr>
          <w:p w:rsidR="008011CE" w:rsidRPr="00AA0F92" w:rsidRDefault="008011CE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109,2</w:t>
            </w:r>
          </w:p>
        </w:tc>
        <w:tc>
          <w:tcPr>
            <w:tcW w:w="390" w:type="pct"/>
            <w:tcBorders>
              <w:bottom w:val="single" w:sz="4" w:space="0" w:color="001D77"/>
              <w:right w:val="nil"/>
            </w:tcBorders>
            <w:vAlign w:val="center"/>
          </w:tcPr>
          <w:p w:rsidR="008011CE" w:rsidRPr="00AA0F92" w:rsidRDefault="00257268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104,7</w:t>
            </w:r>
          </w:p>
        </w:tc>
      </w:tr>
      <w:tr w:rsidR="008011CE" w:rsidRPr="00E34AA3" w:rsidTr="008011CE">
        <w:tc>
          <w:tcPr>
            <w:tcW w:w="899" w:type="pct"/>
            <w:tcBorders>
              <w:left w:val="nil"/>
              <w:bottom w:val="nil"/>
            </w:tcBorders>
          </w:tcPr>
          <w:p w:rsidR="008011CE" w:rsidRPr="00E34AA3" w:rsidRDefault="008011CE" w:rsidP="00E93F80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412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5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bottom w:val="nil"/>
              <w:right w:val="nil"/>
            </w:tcBorders>
            <w:vAlign w:val="center"/>
          </w:tcPr>
          <w:p w:rsidR="008011CE" w:rsidRPr="00AA0F92" w:rsidRDefault="008011CE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bottom w:val="nil"/>
              <w:right w:val="nil"/>
            </w:tcBorders>
            <w:vAlign w:val="center"/>
          </w:tcPr>
          <w:p w:rsidR="008011CE" w:rsidRPr="00AA0F92" w:rsidRDefault="00257268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390" w:type="pct"/>
            <w:tcBorders>
              <w:bottom w:val="nil"/>
              <w:right w:val="nil"/>
            </w:tcBorders>
            <w:vAlign w:val="center"/>
          </w:tcPr>
          <w:p w:rsidR="008011CE" w:rsidRPr="00AA0F92" w:rsidRDefault="00257268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+0,2</w:t>
            </w:r>
          </w:p>
        </w:tc>
      </w:tr>
    </w:tbl>
    <w:p w:rsidR="008E216C" w:rsidRDefault="008E216C" w:rsidP="00580B5E">
      <w:pPr>
        <w:spacing w:before="360" w:line="288" w:lineRule="auto"/>
        <w:rPr>
          <w:b/>
        </w:rPr>
      </w:pPr>
    </w:p>
    <w:p w:rsidR="008E216C" w:rsidRDefault="008E216C" w:rsidP="00580B5E">
      <w:pPr>
        <w:spacing w:before="360" w:line="288" w:lineRule="auto"/>
        <w:rPr>
          <w:b/>
        </w:rPr>
      </w:pPr>
    </w:p>
    <w:p w:rsidR="00CB232B" w:rsidRDefault="00CB232B" w:rsidP="00580B5E">
      <w:pPr>
        <w:spacing w:before="360" w:line="288" w:lineRule="auto"/>
        <w:rPr>
          <w:b/>
        </w:rPr>
      </w:pPr>
    </w:p>
    <w:p w:rsidR="00190343" w:rsidRDefault="00190343" w:rsidP="008776D3">
      <w:pPr>
        <w:spacing w:before="360" w:line="240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lastRenderedPageBreak/>
        <w:t>Tab</w:t>
      </w:r>
      <w:r w:rsidRPr="005A0CBF">
        <w:rPr>
          <w:b/>
        </w:rPr>
        <w:t xml:space="preserve">lica </w:t>
      </w:r>
      <w:r>
        <w:rPr>
          <w:b/>
        </w:rPr>
        <w:t>2</w:t>
      </w:r>
      <w:r w:rsidRPr="005A0CBF">
        <w:rPr>
          <w:b/>
        </w:rPr>
        <w:t xml:space="preserve">. PKB </w:t>
      </w:r>
      <w:r>
        <w:rPr>
          <w:b/>
        </w:rPr>
        <w:t>nie</w:t>
      </w:r>
      <w:r w:rsidRPr="005A0CBF">
        <w:rPr>
          <w:b/>
        </w:rPr>
        <w:t xml:space="preserve">wyrównany sezonowo, ceny stałe </w:t>
      </w:r>
      <w:r>
        <w:rPr>
          <w:b/>
        </w:rPr>
        <w:t>średnioroczne roku poprzedniego</w:t>
      </w:r>
    </w:p>
    <w:tbl>
      <w:tblPr>
        <w:tblStyle w:val="Tabela-Siatka"/>
        <w:tblpPr w:leftFromText="141" w:rightFromText="141" w:vertAnchor="text" w:horzAnchor="margin" w:tblpY="176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2. PKB niewyrównany sezonowo, ceny stałe średnioroczne roku poprzedniego"/>
        <w:tblDescription w:val="Tabela prezentuje wartości dynamiki PKB w kwartałach dla lat 2020-2021 oraz w 1 i 2 kwartale 2022 r. w cenach stałych, średniorocznych roku poprzedniego, niewyrównane sezonowo, przy podstawie analogiczny okres roku poprzedniego =100 oraz porównanie danych opublikowanych 17.08.2022 r. oraz 31.08.2022 r."/>
      </w:tblPr>
      <w:tblGrid>
        <w:gridCol w:w="1450"/>
        <w:gridCol w:w="670"/>
        <w:gridCol w:w="665"/>
        <w:gridCol w:w="665"/>
        <w:gridCol w:w="661"/>
        <w:gridCol w:w="661"/>
        <w:gridCol w:w="665"/>
        <w:gridCol w:w="661"/>
        <w:gridCol w:w="670"/>
        <w:gridCol w:w="650"/>
        <w:gridCol w:w="649"/>
      </w:tblGrid>
      <w:tr w:rsidR="0022492E" w:rsidRPr="00E34AA3" w:rsidTr="0022492E">
        <w:trPr>
          <w:trHeight w:hRule="exact" w:val="397"/>
        </w:trPr>
        <w:tc>
          <w:tcPr>
            <w:tcW w:w="899" w:type="pct"/>
            <w:vMerge w:val="restart"/>
            <w:tcBorders>
              <w:left w:val="nil"/>
            </w:tcBorders>
            <w:vAlign w:val="center"/>
          </w:tcPr>
          <w:p w:rsidR="0022492E" w:rsidRPr="00E34AA3" w:rsidRDefault="0022492E" w:rsidP="008F371A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649" w:type="pct"/>
            <w:gridSpan w:val="4"/>
            <w:vAlign w:val="center"/>
          </w:tcPr>
          <w:p w:rsidR="0022492E" w:rsidRPr="00E34AA3" w:rsidRDefault="0022492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647" w:type="pct"/>
            <w:gridSpan w:val="4"/>
            <w:vAlign w:val="center"/>
          </w:tcPr>
          <w:p w:rsidR="0022492E" w:rsidRPr="00E34AA3" w:rsidRDefault="0022492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05" w:type="pct"/>
            <w:gridSpan w:val="2"/>
            <w:tcBorders>
              <w:bottom w:val="single" w:sz="4" w:space="0" w:color="001D77"/>
              <w:right w:val="nil"/>
            </w:tcBorders>
            <w:vAlign w:val="center"/>
          </w:tcPr>
          <w:p w:rsidR="0022492E" w:rsidRDefault="0022492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014">
              <w:rPr>
                <w:sz w:val="18"/>
                <w:szCs w:val="18"/>
              </w:rPr>
              <w:t>022</w:t>
            </w:r>
          </w:p>
        </w:tc>
      </w:tr>
      <w:tr w:rsidR="008011CE" w:rsidRPr="00E34AA3" w:rsidTr="008C51EE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:rsidR="008011CE" w:rsidRPr="00E34AA3" w:rsidRDefault="008011CE" w:rsidP="008F371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0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0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2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0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15" w:type="pct"/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03" w:type="pct"/>
            <w:tcBorders>
              <w:right w:val="nil"/>
            </w:tcBorders>
            <w:vAlign w:val="center"/>
          </w:tcPr>
          <w:p w:rsidR="008011CE" w:rsidRPr="00E34AA3" w:rsidRDefault="008011C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403" w:type="pct"/>
            <w:tcBorders>
              <w:right w:val="nil"/>
            </w:tcBorders>
            <w:vAlign w:val="center"/>
          </w:tcPr>
          <w:p w:rsidR="008011CE" w:rsidRDefault="008C51E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22492E" w:rsidRPr="00E34AA3" w:rsidTr="00B05EA3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:rsidR="0022492E" w:rsidRPr="00E34AA3" w:rsidRDefault="0022492E" w:rsidP="008F371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1" w:type="pct"/>
            <w:gridSpan w:val="10"/>
            <w:tcBorders>
              <w:right w:val="nil"/>
            </w:tcBorders>
            <w:vAlign w:val="center"/>
          </w:tcPr>
          <w:p w:rsidR="0022492E" w:rsidRPr="00E34AA3" w:rsidRDefault="0022492E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analogiczny kwartał roku poprzedniego = 100</w:t>
            </w:r>
          </w:p>
        </w:tc>
      </w:tr>
      <w:tr w:rsidR="008011CE" w:rsidRPr="00E34AA3" w:rsidTr="0022492E">
        <w:trPr>
          <w:trHeight w:val="284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8011CE" w:rsidRPr="00E34AA3" w:rsidRDefault="008011CE" w:rsidP="0022492E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17</w:t>
            </w:r>
            <w:r w:rsidRPr="00E34AA3">
              <w:rPr>
                <w:sz w:val="18"/>
                <w:szCs w:val="18"/>
              </w:rPr>
              <w:t>.0</w:t>
            </w:r>
            <w:r w:rsidR="0022492E">
              <w:rPr>
                <w:sz w:val="18"/>
                <w:szCs w:val="18"/>
              </w:rPr>
              <w:t>8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15" w:type="pct"/>
            <w:tcMar>
              <w:left w:w="28" w:type="dxa"/>
              <w:right w:w="28" w:type="dxa"/>
            </w:tcMar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102,6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92,1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98,9</w:t>
            </w:r>
          </w:p>
        </w:tc>
        <w:tc>
          <w:tcPr>
            <w:tcW w:w="410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97,9</w:t>
            </w:r>
          </w:p>
        </w:tc>
        <w:tc>
          <w:tcPr>
            <w:tcW w:w="410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99,4</w:t>
            </w:r>
          </w:p>
        </w:tc>
        <w:tc>
          <w:tcPr>
            <w:tcW w:w="412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111,3</w:t>
            </w:r>
          </w:p>
        </w:tc>
        <w:tc>
          <w:tcPr>
            <w:tcW w:w="410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105,5</w:t>
            </w:r>
          </w:p>
        </w:tc>
        <w:tc>
          <w:tcPr>
            <w:tcW w:w="415" w:type="pct"/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107,6</w:t>
            </w:r>
          </w:p>
        </w:tc>
        <w:tc>
          <w:tcPr>
            <w:tcW w:w="403" w:type="pct"/>
            <w:tcBorders>
              <w:bottom w:val="single" w:sz="4" w:space="0" w:color="001D77"/>
              <w:right w:val="nil"/>
            </w:tcBorders>
            <w:vAlign w:val="center"/>
          </w:tcPr>
          <w:p w:rsidR="008011CE" w:rsidRPr="00AA0F92" w:rsidRDefault="008011C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108,5</w:t>
            </w:r>
          </w:p>
        </w:tc>
        <w:tc>
          <w:tcPr>
            <w:tcW w:w="402" w:type="pct"/>
            <w:tcBorders>
              <w:bottom w:val="single" w:sz="4" w:space="0" w:color="001D77"/>
              <w:right w:val="nil"/>
            </w:tcBorders>
            <w:vAlign w:val="center"/>
          </w:tcPr>
          <w:p w:rsidR="008011CE" w:rsidRPr="00AA0F92" w:rsidRDefault="0022492E" w:rsidP="00416E81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105,3</w:t>
            </w:r>
          </w:p>
        </w:tc>
      </w:tr>
      <w:tr w:rsidR="008011CE" w:rsidRPr="00E34AA3" w:rsidTr="0022492E">
        <w:trPr>
          <w:trHeight w:val="284"/>
        </w:trPr>
        <w:tc>
          <w:tcPr>
            <w:tcW w:w="899" w:type="pct"/>
            <w:tcBorders>
              <w:left w:val="nil"/>
              <w:bottom w:val="single" w:sz="4" w:space="0" w:color="001D77"/>
            </w:tcBorders>
            <w:tcMar>
              <w:left w:w="0" w:type="dxa"/>
              <w:right w:w="0" w:type="dxa"/>
            </w:tcMar>
            <w:vAlign w:val="center"/>
          </w:tcPr>
          <w:p w:rsidR="008011CE" w:rsidRPr="00E34AA3" w:rsidRDefault="008011CE" w:rsidP="0022492E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31</w:t>
            </w:r>
            <w:r w:rsidRPr="00E34AA3">
              <w:rPr>
                <w:sz w:val="18"/>
                <w:szCs w:val="18"/>
              </w:rPr>
              <w:t>.0</w:t>
            </w:r>
            <w:r w:rsidR="0022492E">
              <w:rPr>
                <w:sz w:val="18"/>
                <w:szCs w:val="18"/>
              </w:rPr>
              <w:t>8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102,6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92,1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98,9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97,9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99,4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111,3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105,5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107,6</w:t>
            </w:r>
          </w:p>
        </w:tc>
        <w:tc>
          <w:tcPr>
            <w:tcW w:w="403" w:type="pct"/>
            <w:tcBorders>
              <w:bottom w:val="single" w:sz="4" w:space="0" w:color="auto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108,5</w:t>
            </w:r>
          </w:p>
        </w:tc>
        <w:tc>
          <w:tcPr>
            <w:tcW w:w="402" w:type="pct"/>
            <w:tcBorders>
              <w:bottom w:val="single" w:sz="4" w:space="0" w:color="auto"/>
              <w:right w:val="nil"/>
            </w:tcBorders>
            <w:vAlign w:val="center"/>
          </w:tcPr>
          <w:p w:rsidR="008011CE" w:rsidRPr="00AA0F92" w:rsidRDefault="0022492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105,5</w:t>
            </w:r>
          </w:p>
        </w:tc>
      </w:tr>
      <w:tr w:rsidR="008011CE" w:rsidRPr="00E34AA3" w:rsidTr="0022492E">
        <w:trPr>
          <w:trHeight w:val="397"/>
        </w:trPr>
        <w:tc>
          <w:tcPr>
            <w:tcW w:w="899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011CE" w:rsidRPr="00E34AA3" w:rsidRDefault="008011CE" w:rsidP="008F371A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011CE" w:rsidRPr="00AA0F92" w:rsidRDefault="008011CE" w:rsidP="00556875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bottom w:val="nil"/>
              <w:right w:val="nil"/>
            </w:tcBorders>
          </w:tcPr>
          <w:p w:rsidR="008011CE" w:rsidRPr="00AA0F92" w:rsidRDefault="0022492E" w:rsidP="00556875">
            <w:pPr>
              <w:pStyle w:val="Tablicanotka"/>
              <w:jc w:val="right"/>
              <w:rPr>
                <w:sz w:val="18"/>
                <w:szCs w:val="18"/>
              </w:rPr>
            </w:pPr>
            <w:r w:rsidRPr="00AA0F92">
              <w:rPr>
                <w:sz w:val="18"/>
                <w:szCs w:val="18"/>
              </w:rPr>
              <w:t>+0,2</w:t>
            </w:r>
          </w:p>
        </w:tc>
      </w:tr>
    </w:tbl>
    <w:p w:rsidR="00190343" w:rsidRPr="00B50AE2" w:rsidRDefault="00190343" w:rsidP="002C0414">
      <w:pPr>
        <w:spacing w:before="480" w:line="288" w:lineRule="auto"/>
        <w:rPr>
          <w:rFonts w:cs="Arial"/>
          <w:szCs w:val="19"/>
        </w:rPr>
      </w:pPr>
      <w:r w:rsidRPr="00B50AE2">
        <w:rPr>
          <w:rFonts w:cs="Arial"/>
          <w:szCs w:val="19"/>
        </w:rPr>
        <w:t xml:space="preserve">W </w:t>
      </w:r>
      <w:r w:rsidR="00AA25C1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kwartale 202</w:t>
      </w:r>
      <w:r w:rsidR="00DB370C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nastąpił wzrost PKB, który w skali roku wyniósł </w:t>
      </w:r>
      <w:r w:rsidR="00AA25C1" w:rsidRPr="00B50AE2">
        <w:rPr>
          <w:rFonts w:cs="Arial"/>
          <w:szCs w:val="19"/>
        </w:rPr>
        <w:t>5,5</w:t>
      </w:r>
      <w:r w:rsidRPr="00B50AE2">
        <w:rPr>
          <w:rFonts w:cs="Arial"/>
          <w:szCs w:val="19"/>
        </w:rPr>
        <w:t xml:space="preserve">%. Wpłynął na to wzrost popytu krajowego, który ukształtował się na poziomie </w:t>
      </w:r>
      <w:r w:rsidR="00AA25C1" w:rsidRPr="00B50AE2">
        <w:rPr>
          <w:rFonts w:cs="Arial"/>
          <w:szCs w:val="19"/>
        </w:rPr>
        <w:t>7,2</w:t>
      </w:r>
      <w:r w:rsidRPr="00B50AE2">
        <w:rPr>
          <w:rFonts w:cs="Arial"/>
          <w:szCs w:val="19"/>
        </w:rPr>
        <w:t xml:space="preserve">% (w </w:t>
      </w:r>
      <w:r w:rsidR="00AA25C1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kw. 202</w:t>
      </w:r>
      <w:r w:rsidR="00AA25C1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odnotowano zwiększenie popytu krajowego o </w:t>
      </w:r>
      <w:r w:rsidR="00AA25C1" w:rsidRPr="00B50AE2">
        <w:rPr>
          <w:rFonts w:cs="Arial"/>
          <w:szCs w:val="19"/>
        </w:rPr>
        <w:t>13,2</w:t>
      </w:r>
      <w:r w:rsidRPr="00B50AE2">
        <w:rPr>
          <w:rFonts w:cs="Arial"/>
          <w:szCs w:val="19"/>
        </w:rPr>
        <w:t>%). Złożył się na to wzrost akumulacji brutto</w:t>
      </w:r>
      <w:r w:rsidRPr="00B50AE2">
        <w:rPr>
          <w:rFonts w:cs="Arial"/>
          <w:szCs w:val="19"/>
        </w:rPr>
        <w:br/>
        <w:t xml:space="preserve"> o </w:t>
      </w:r>
      <w:r w:rsidR="008A3A5C" w:rsidRPr="00B50AE2">
        <w:rPr>
          <w:rFonts w:cs="Arial"/>
          <w:szCs w:val="19"/>
        </w:rPr>
        <w:t>16,7</w:t>
      </w:r>
      <w:r w:rsidRPr="00B50AE2">
        <w:rPr>
          <w:rFonts w:cs="Arial"/>
          <w:szCs w:val="19"/>
        </w:rPr>
        <w:t xml:space="preserve">% (wobec wzrostu w </w:t>
      </w:r>
      <w:r w:rsidR="008A3A5C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8A3A5C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o </w:t>
      </w:r>
      <w:r w:rsidR="005D7F74" w:rsidRPr="00B50AE2">
        <w:rPr>
          <w:rFonts w:cs="Arial"/>
          <w:szCs w:val="19"/>
        </w:rPr>
        <w:t>57,3</w:t>
      </w:r>
      <w:r w:rsidRPr="00B50AE2">
        <w:rPr>
          <w:rFonts w:cs="Arial"/>
          <w:szCs w:val="19"/>
        </w:rPr>
        <w:t xml:space="preserve">%) oraz wzrost spożycia ogółem o </w:t>
      </w:r>
      <w:r w:rsidR="005D7F74" w:rsidRPr="00B50AE2">
        <w:rPr>
          <w:rFonts w:cs="Arial"/>
          <w:szCs w:val="19"/>
        </w:rPr>
        <w:t>4,9</w:t>
      </w:r>
      <w:r w:rsidRPr="00B50AE2">
        <w:rPr>
          <w:rFonts w:cs="Arial"/>
          <w:szCs w:val="19"/>
        </w:rPr>
        <w:t xml:space="preserve">% (wobec wzrostu w </w:t>
      </w:r>
      <w:r w:rsidR="005D7F74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5D7F74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o </w:t>
      </w:r>
      <w:r w:rsidR="005D7F74" w:rsidRPr="00B50AE2">
        <w:rPr>
          <w:rFonts w:cs="Arial"/>
          <w:szCs w:val="19"/>
        </w:rPr>
        <w:t>5,1</w:t>
      </w:r>
      <w:r w:rsidRPr="00B50AE2">
        <w:rPr>
          <w:rFonts w:cs="Arial"/>
          <w:szCs w:val="19"/>
        </w:rPr>
        <w:t xml:space="preserve">%). Spożycie w sektorze gospodarstw domowych wzrosło o </w:t>
      </w:r>
      <w:r w:rsidR="00320E64" w:rsidRPr="00B50AE2">
        <w:rPr>
          <w:rFonts w:cs="Arial"/>
          <w:szCs w:val="19"/>
        </w:rPr>
        <w:t>6,</w:t>
      </w:r>
      <w:r w:rsidR="005D7F74" w:rsidRPr="00B50AE2">
        <w:rPr>
          <w:rFonts w:cs="Arial"/>
          <w:szCs w:val="19"/>
        </w:rPr>
        <w:t>4</w:t>
      </w:r>
      <w:r w:rsidRPr="00B50AE2">
        <w:rPr>
          <w:rFonts w:cs="Arial"/>
          <w:szCs w:val="19"/>
        </w:rPr>
        <w:t xml:space="preserve">% (wobec wzrostu w </w:t>
      </w:r>
      <w:r w:rsidR="005D7F74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kw. 202</w:t>
      </w:r>
      <w:r w:rsidR="005D7F74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o </w:t>
      </w:r>
      <w:r w:rsidR="005D7F74" w:rsidRPr="00B50AE2">
        <w:rPr>
          <w:rFonts w:cs="Arial"/>
          <w:szCs w:val="19"/>
        </w:rPr>
        <w:t>6,6</w:t>
      </w:r>
      <w:r w:rsidRPr="00B50AE2">
        <w:rPr>
          <w:rFonts w:cs="Arial"/>
          <w:szCs w:val="19"/>
        </w:rPr>
        <w:t xml:space="preserve">%). Nakłady brutto na środki trwałe wzrosły o </w:t>
      </w:r>
      <w:r w:rsidR="005D7F74" w:rsidRPr="00B50AE2">
        <w:rPr>
          <w:rFonts w:cs="Arial"/>
          <w:szCs w:val="19"/>
        </w:rPr>
        <w:t>7,1</w:t>
      </w:r>
      <w:r w:rsidRPr="00B50AE2">
        <w:rPr>
          <w:rFonts w:cs="Arial"/>
          <w:szCs w:val="19"/>
        </w:rPr>
        <w:t xml:space="preserve">% (wobec wzrostu w </w:t>
      </w:r>
      <w:r w:rsidR="005D7F74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5D7F74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o </w:t>
      </w:r>
      <w:r w:rsidR="005D7F74" w:rsidRPr="00B50AE2">
        <w:rPr>
          <w:rFonts w:cs="Arial"/>
          <w:szCs w:val="19"/>
        </w:rPr>
        <w:t>4,3</w:t>
      </w:r>
      <w:r w:rsidRPr="00B50AE2">
        <w:rPr>
          <w:rFonts w:cs="Arial"/>
          <w:szCs w:val="19"/>
        </w:rPr>
        <w:t>%).</w:t>
      </w:r>
    </w:p>
    <w:p w:rsidR="00190343" w:rsidRPr="00B50AE2" w:rsidRDefault="00190343" w:rsidP="002C0414">
      <w:pPr>
        <w:spacing w:line="288" w:lineRule="auto"/>
        <w:rPr>
          <w:b/>
        </w:rPr>
      </w:pPr>
      <w:r w:rsidRPr="00B50AE2">
        <w:rPr>
          <w:rFonts w:cs="Arial"/>
          <w:szCs w:val="19"/>
        </w:rPr>
        <w:t>W efekcie pozytywny wpływ popytu krajowego na gospodarkę wyniósł +</w:t>
      </w:r>
      <w:r w:rsidR="000A7003" w:rsidRPr="00B50AE2">
        <w:rPr>
          <w:rFonts w:cs="Arial"/>
          <w:szCs w:val="19"/>
        </w:rPr>
        <w:t>6,7</w:t>
      </w:r>
      <w:r w:rsidR="004B34E3" w:rsidRPr="00B50AE2">
        <w:rPr>
          <w:rFonts w:cs="Arial"/>
          <w:szCs w:val="19"/>
        </w:rPr>
        <w:t xml:space="preserve"> </w:t>
      </w:r>
      <w:r w:rsidRPr="00B50AE2">
        <w:rPr>
          <w:rFonts w:cs="Arial"/>
          <w:szCs w:val="19"/>
        </w:rPr>
        <w:t xml:space="preserve">p. proc. (w </w:t>
      </w:r>
      <w:r w:rsidR="000A7003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0A7003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wpływ ten wyniósł +</w:t>
      </w:r>
      <w:r w:rsidR="000A7003" w:rsidRPr="00B50AE2">
        <w:rPr>
          <w:rFonts w:cs="Arial"/>
          <w:szCs w:val="19"/>
        </w:rPr>
        <w:t>12,3</w:t>
      </w:r>
      <w:r w:rsidRPr="00B50AE2">
        <w:rPr>
          <w:rFonts w:cs="Arial"/>
          <w:szCs w:val="19"/>
        </w:rPr>
        <w:t xml:space="preserve"> p. proc.). Złożył się na to </w:t>
      </w:r>
      <w:r w:rsidR="00925BA4" w:rsidRPr="00B50AE2">
        <w:rPr>
          <w:rFonts w:cs="Arial"/>
          <w:szCs w:val="19"/>
        </w:rPr>
        <w:t xml:space="preserve">zarówno </w:t>
      </w:r>
      <w:r w:rsidRPr="00B50AE2">
        <w:rPr>
          <w:rFonts w:cs="Arial"/>
          <w:szCs w:val="19"/>
        </w:rPr>
        <w:t>pozytywny wpływ spożycia ogółem</w:t>
      </w:r>
      <w:r w:rsidR="00925BA4" w:rsidRPr="00B50AE2">
        <w:rPr>
          <w:rFonts w:cs="Arial"/>
          <w:szCs w:val="19"/>
        </w:rPr>
        <w:t>, jak</w:t>
      </w:r>
      <w:r w:rsidRPr="00B50AE2">
        <w:rPr>
          <w:rFonts w:cs="Arial"/>
          <w:szCs w:val="19"/>
        </w:rPr>
        <w:t xml:space="preserve"> i akumulacji brutto. Wpływ spożycia ogółem wyniósł +</w:t>
      </w:r>
      <w:r w:rsidR="000A7003" w:rsidRPr="00B50AE2">
        <w:rPr>
          <w:rFonts w:cs="Arial"/>
          <w:szCs w:val="19"/>
        </w:rPr>
        <w:t>3,7</w:t>
      </w:r>
      <w:r w:rsidRPr="00B50AE2">
        <w:rPr>
          <w:rFonts w:cs="Arial"/>
          <w:szCs w:val="19"/>
        </w:rPr>
        <w:t xml:space="preserve"> p. proc. (wobec wpływu +</w:t>
      </w:r>
      <w:r w:rsidR="004F4468" w:rsidRPr="00B50AE2">
        <w:rPr>
          <w:rFonts w:cs="Arial"/>
          <w:szCs w:val="19"/>
        </w:rPr>
        <w:t>4,</w:t>
      </w:r>
      <w:r w:rsidR="000A7003" w:rsidRPr="00B50AE2">
        <w:rPr>
          <w:rFonts w:cs="Arial"/>
          <w:szCs w:val="19"/>
        </w:rPr>
        <w:t>0</w:t>
      </w:r>
      <w:r w:rsidRPr="00B50AE2">
        <w:rPr>
          <w:rFonts w:cs="Arial"/>
          <w:szCs w:val="19"/>
        </w:rPr>
        <w:t xml:space="preserve"> p. proc. w </w:t>
      </w:r>
      <w:r w:rsidR="000A7003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0A7003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r.), z tego wpływ spożycia w sektorze gospodarstw domowych wyniósł +</w:t>
      </w:r>
      <w:r w:rsidR="00713ECE" w:rsidRPr="00B50AE2">
        <w:rPr>
          <w:rFonts w:cs="Arial"/>
          <w:szCs w:val="19"/>
        </w:rPr>
        <w:t>3,</w:t>
      </w:r>
      <w:r w:rsidR="000A7003" w:rsidRPr="00B50AE2">
        <w:rPr>
          <w:rFonts w:cs="Arial"/>
          <w:szCs w:val="19"/>
        </w:rPr>
        <w:t>6</w:t>
      </w:r>
      <w:r w:rsidR="00572B93" w:rsidRPr="00B50AE2">
        <w:rPr>
          <w:rFonts w:cs="Arial"/>
          <w:szCs w:val="19"/>
        </w:rPr>
        <w:t xml:space="preserve"> </w:t>
      </w:r>
      <w:r w:rsidRPr="00B50AE2">
        <w:rPr>
          <w:rFonts w:cs="Arial"/>
          <w:szCs w:val="19"/>
        </w:rPr>
        <w:t xml:space="preserve">p. proc. oraz wpływ spożycia publicznego </w:t>
      </w:r>
      <w:r w:rsidR="00713ECE" w:rsidRPr="00B50AE2">
        <w:rPr>
          <w:rFonts w:cs="Arial"/>
          <w:szCs w:val="19"/>
        </w:rPr>
        <w:t>+0,1</w:t>
      </w:r>
      <w:r w:rsidRPr="00B50AE2">
        <w:rPr>
          <w:rFonts w:cs="Arial"/>
          <w:szCs w:val="19"/>
        </w:rPr>
        <w:t xml:space="preserve"> p. proc. (w </w:t>
      </w:r>
      <w:r w:rsidR="000A7003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0A7003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odpowiednio: +</w:t>
      </w:r>
      <w:r w:rsidR="004F4468" w:rsidRPr="00B50AE2">
        <w:rPr>
          <w:rFonts w:cs="Arial"/>
          <w:szCs w:val="19"/>
        </w:rPr>
        <w:t>3,9</w:t>
      </w:r>
      <w:r w:rsidRPr="00B50AE2">
        <w:rPr>
          <w:rFonts w:cs="Arial"/>
          <w:szCs w:val="19"/>
        </w:rPr>
        <w:t xml:space="preserve"> p. proc. i +0,</w:t>
      </w:r>
      <w:r w:rsidR="000A7003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p. proc.). Wpływ popytu inwestycyjnego na PKB wyniósł +</w:t>
      </w:r>
      <w:r w:rsidR="000A7003" w:rsidRPr="00B50AE2">
        <w:rPr>
          <w:rFonts w:cs="Arial"/>
          <w:szCs w:val="19"/>
        </w:rPr>
        <w:t>1,1</w:t>
      </w:r>
      <w:r w:rsidRPr="00B50AE2">
        <w:rPr>
          <w:rFonts w:cs="Arial"/>
          <w:szCs w:val="19"/>
        </w:rPr>
        <w:t xml:space="preserve"> p. proc. (w </w:t>
      </w:r>
      <w:r w:rsidR="000A7003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0A7003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 było to +</w:t>
      </w:r>
      <w:r w:rsidR="000A7003" w:rsidRPr="00B50AE2">
        <w:rPr>
          <w:rFonts w:cs="Arial"/>
          <w:szCs w:val="19"/>
        </w:rPr>
        <w:t>0,6</w:t>
      </w:r>
      <w:r w:rsidRPr="00B50AE2">
        <w:rPr>
          <w:rFonts w:cs="Arial"/>
          <w:szCs w:val="19"/>
        </w:rPr>
        <w:t xml:space="preserve"> p. proc.). Odnotowano </w:t>
      </w:r>
      <w:r w:rsidR="00312C86" w:rsidRPr="00984F03">
        <w:rPr>
          <w:rFonts w:cs="Arial"/>
          <w:szCs w:val="19"/>
        </w:rPr>
        <w:t xml:space="preserve">znacząco niższy, niż w </w:t>
      </w:r>
      <w:r w:rsidR="00427B39" w:rsidRPr="00BE4714">
        <w:rPr>
          <w:rFonts w:cs="Arial"/>
          <w:szCs w:val="19"/>
        </w:rPr>
        <w:t>1</w:t>
      </w:r>
      <w:r w:rsidR="00312C86" w:rsidRPr="00984F03">
        <w:rPr>
          <w:rFonts w:cs="Arial"/>
          <w:szCs w:val="19"/>
        </w:rPr>
        <w:t xml:space="preserve"> kwartale 2022 r., </w:t>
      </w:r>
      <w:r w:rsidRPr="00984F03">
        <w:rPr>
          <w:rFonts w:cs="Arial"/>
          <w:szCs w:val="19"/>
        </w:rPr>
        <w:t>pozytywny wpływ przyrostu rzeczowych środków obr</w:t>
      </w:r>
      <w:r w:rsidRPr="00B50AE2">
        <w:rPr>
          <w:rFonts w:cs="Arial"/>
          <w:szCs w:val="19"/>
        </w:rPr>
        <w:t>otowych, który wyniósł +</w:t>
      </w:r>
      <w:r w:rsidR="00B50AE2" w:rsidRPr="00B50AE2">
        <w:rPr>
          <w:rFonts w:cs="Arial"/>
          <w:szCs w:val="19"/>
        </w:rPr>
        <w:t>1,9</w:t>
      </w:r>
      <w:r w:rsidRPr="00B50AE2">
        <w:rPr>
          <w:rFonts w:cs="Arial"/>
          <w:szCs w:val="19"/>
        </w:rPr>
        <w:t xml:space="preserve"> p. proc. (wobec wpływu +</w:t>
      </w:r>
      <w:r w:rsidR="00B50AE2" w:rsidRPr="00B50AE2">
        <w:rPr>
          <w:rFonts w:cs="Arial"/>
          <w:szCs w:val="19"/>
        </w:rPr>
        <w:t>7,7</w:t>
      </w:r>
      <w:r w:rsidRPr="00B50AE2">
        <w:rPr>
          <w:rFonts w:cs="Arial"/>
          <w:szCs w:val="19"/>
        </w:rPr>
        <w:t xml:space="preserve"> p. proc. w </w:t>
      </w:r>
      <w:r w:rsidR="000A7003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kw. 202</w:t>
      </w:r>
      <w:r w:rsidR="000A7003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r.). W konsekwencji wpływ akumulacji brutto na wzrost PKB wyniósł +</w:t>
      </w:r>
      <w:r w:rsidR="00B50AE2" w:rsidRPr="00B50AE2">
        <w:rPr>
          <w:rFonts w:cs="Arial"/>
          <w:szCs w:val="19"/>
        </w:rPr>
        <w:t>3,0</w:t>
      </w:r>
      <w:r w:rsidRPr="00B50AE2">
        <w:rPr>
          <w:rFonts w:cs="Arial"/>
          <w:szCs w:val="19"/>
        </w:rPr>
        <w:t xml:space="preserve"> p. proc. (wobec +</w:t>
      </w:r>
      <w:r w:rsidR="00B50AE2" w:rsidRPr="00B50AE2">
        <w:rPr>
          <w:rFonts w:cs="Arial"/>
          <w:szCs w:val="19"/>
        </w:rPr>
        <w:t>8,3</w:t>
      </w:r>
      <w:r w:rsidRPr="00B50AE2">
        <w:rPr>
          <w:rFonts w:cs="Arial"/>
          <w:szCs w:val="19"/>
        </w:rPr>
        <w:t xml:space="preserve"> p. proc. w </w:t>
      </w:r>
      <w:r w:rsidR="00B50AE2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kwartale 202</w:t>
      </w:r>
      <w:r w:rsidR="00B50AE2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r.). </w:t>
      </w:r>
      <w:r w:rsidR="00B410F3">
        <w:rPr>
          <w:rFonts w:cs="Arial"/>
          <w:szCs w:val="19"/>
        </w:rPr>
        <w:br/>
      </w:r>
      <w:r w:rsidRPr="00B50AE2">
        <w:rPr>
          <w:rFonts w:cs="Arial"/>
          <w:szCs w:val="19"/>
        </w:rPr>
        <w:t xml:space="preserve">W </w:t>
      </w:r>
      <w:r w:rsidR="00B50AE2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kwartale br. zanotowano negatywny wpływ eksportu netto na tempo wzrostu gospodarczego, który wyniósł </w:t>
      </w:r>
      <w:r w:rsidR="00713ECE" w:rsidRPr="00B50AE2">
        <w:rPr>
          <w:rFonts w:cs="Arial"/>
          <w:szCs w:val="19"/>
        </w:rPr>
        <w:t>-</w:t>
      </w:r>
      <w:r w:rsidR="00B50AE2" w:rsidRPr="00B50AE2">
        <w:rPr>
          <w:rFonts w:cs="Arial"/>
          <w:szCs w:val="19"/>
        </w:rPr>
        <w:t>1,2</w:t>
      </w:r>
      <w:r w:rsidRPr="00B50AE2">
        <w:rPr>
          <w:rFonts w:cs="Arial"/>
          <w:szCs w:val="19"/>
        </w:rPr>
        <w:t xml:space="preserve"> p. proc. (wobec </w:t>
      </w:r>
      <w:r w:rsidR="00B50AE2" w:rsidRPr="00B50AE2">
        <w:rPr>
          <w:rFonts w:cs="Arial"/>
          <w:szCs w:val="19"/>
        </w:rPr>
        <w:t>-3,8</w:t>
      </w:r>
      <w:r w:rsidR="00120FA6" w:rsidRPr="00B50AE2">
        <w:rPr>
          <w:rFonts w:cs="Arial"/>
          <w:szCs w:val="19"/>
        </w:rPr>
        <w:t xml:space="preserve"> </w:t>
      </w:r>
      <w:r w:rsidRPr="00B50AE2">
        <w:rPr>
          <w:rFonts w:cs="Arial"/>
          <w:szCs w:val="19"/>
        </w:rPr>
        <w:t xml:space="preserve">p. proc. w </w:t>
      </w:r>
      <w:r w:rsidR="00B50AE2" w:rsidRPr="00B50AE2">
        <w:rPr>
          <w:rFonts w:cs="Arial"/>
          <w:szCs w:val="19"/>
        </w:rPr>
        <w:t>1</w:t>
      </w:r>
      <w:r w:rsidRPr="00B50AE2">
        <w:rPr>
          <w:rFonts w:cs="Arial"/>
          <w:szCs w:val="19"/>
        </w:rPr>
        <w:t xml:space="preserve"> kw. 202</w:t>
      </w:r>
      <w:r w:rsidR="00B50AE2" w:rsidRPr="00B50AE2">
        <w:rPr>
          <w:rFonts w:cs="Arial"/>
          <w:szCs w:val="19"/>
        </w:rPr>
        <w:t>2</w:t>
      </w:r>
      <w:r w:rsidRPr="00B50AE2">
        <w:rPr>
          <w:rFonts w:cs="Arial"/>
          <w:szCs w:val="19"/>
        </w:rPr>
        <w:t xml:space="preserve"> r.).</w:t>
      </w:r>
    </w:p>
    <w:p w:rsidR="00190343" w:rsidRDefault="00190343" w:rsidP="00580B5E">
      <w:pPr>
        <w:spacing w:before="360" w:line="288" w:lineRule="auto"/>
        <w:rPr>
          <w:b/>
        </w:rPr>
      </w:pPr>
    </w:p>
    <w:p w:rsidR="00190343" w:rsidRDefault="00190343" w:rsidP="00580B5E">
      <w:pPr>
        <w:spacing w:before="360" w:line="288" w:lineRule="auto"/>
        <w:rPr>
          <w:b/>
        </w:rPr>
      </w:pPr>
    </w:p>
    <w:p w:rsidR="00190343" w:rsidRDefault="00190343" w:rsidP="00580B5E">
      <w:pPr>
        <w:spacing w:before="360" w:line="288" w:lineRule="auto"/>
        <w:rPr>
          <w:b/>
        </w:rPr>
      </w:pPr>
    </w:p>
    <w:p w:rsidR="00190343" w:rsidRDefault="00190343" w:rsidP="00580B5E">
      <w:pPr>
        <w:spacing w:before="360" w:line="288" w:lineRule="auto"/>
        <w:rPr>
          <w:b/>
        </w:rPr>
      </w:pPr>
    </w:p>
    <w:p w:rsidR="00B915B5" w:rsidRDefault="00B915B5" w:rsidP="00580B5E">
      <w:pPr>
        <w:spacing w:before="360" w:line="288" w:lineRule="auto"/>
        <w:rPr>
          <w:b/>
        </w:rPr>
      </w:pPr>
    </w:p>
    <w:p w:rsidR="00B915B5" w:rsidRDefault="00B915B5" w:rsidP="00580B5E">
      <w:pPr>
        <w:spacing w:before="360" w:line="288" w:lineRule="auto"/>
        <w:rPr>
          <w:b/>
        </w:rPr>
      </w:pPr>
    </w:p>
    <w:p w:rsidR="00B915B5" w:rsidRDefault="00B915B5" w:rsidP="00580B5E">
      <w:pPr>
        <w:spacing w:before="360" w:line="288" w:lineRule="auto"/>
        <w:rPr>
          <w:b/>
        </w:rPr>
      </w:pPr>
    </w:p>
    <w:p w:rsidR="004148A7" w:rsidRPr="0082329B" w:rsidRDefault="0010530D" w:rsidP="00175687">
      <w:pPr>
        <w:pStyle w:val="Tytuwykresu0"/>
        <w:spacing w:before="480" w:after="0" w:line="240" w:lineRule="exact"/>
        <w:rPr>
          <w:rFonts w:ascii="Fira Sans" w:hAnsi="Fira Sans"/>
          <w:sz w:val="18"/>
          <w:szCs w:val="18"/>
        </w:rPr>
      </w:pPr>
      <w:r>
        <w:rPr>
          <w:b w:val="0"/>
          <w:bCs w:val="0"/>
          <w:color w:val="001D77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5B289C" wp14:editId="231868ED">
                <wp:simplePos x="0" y="0"/>
                <wp:positionH relativeFrom="page">
                  <wp:posOffset>5680250</wp:posOffset>
                </wp:positionH>
                <wp:positionV relativeFrom="page">
                  <wp:posOffset>21590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3B281" id="Prostokąt 25" o:spid="_x0000_s1026" style="position:absolute;margin-left:447.25pt;margin-top:1.7pt;width:147.4pt;height:2559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Ce5huH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7D27C3">
        <w:rPr>
          <w:rFonts w:ascii="Fira Sans" w:hAnsi="Fira Sans"/>
          <w:sz w:val="18"/>
          <w:szCs w:val="18"/>
        </w:rPr>
        <w:t>Wy</w:t>
      </w:r>
      <w:r w:rsidR="00B16871" w:rsidRPr="0082329B">
        <w:rPr>
          <w:rFonts w:ascii="Fira Sans" w:hAnsi="Fira Sans"/>
          <w:sz w:val="18"/>
          <w:szCs w:val="18"/>
        </w:rPr>
        <w:t xml:space="preserve">kres 1. </w:t>
      </w:r>
      <w:r w:rsidR="007F5D28" w:rsidRPr="0082329B">
        <w:rPr>
          <w:rFonts w:ascii="Fira Sans" w:hAnsi="Fira Sans"/>
          <w:sz w:val="18"/>
          <w:szCs w:val="18"/>
        </w:rPr>
        <w:t xml:space="preserve">Dynamika realna produktu krajowego brutto </w:t>
      </w:r>
    </w:p>
    <w:p w:rsidR="00B16871" w:rsidRPr="0082329B" w:rsidRDefault="005374C0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  <w:r w:rsidRPr="005374C0"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-11010</wp:posOffset>
            </wp:positionH>
            <wp:positionV relativeFrom="paragraph">
              <wp:posOffset>290195</wp:posOffset>
            </wp:positionV>
            <wp:extent cx="5122800" cy="3175200"/>
            <wp:effectExtent l="0" t="0" r="1905" b="6350"/>
            <wp:wrapSquare wrapText="bothSides"/>
            <wp:docPr id="13" name="Obraz 13" descr="Wykres prezentuje wartości dynamiki produktu krajowego brutto w okresie 1 kw. 2020 - 2 kw. 2022, wyrównane i niewyrównane sezonowo, przy podstawie analogiczny okres roku poprzedniego = 100. &#10;" title="Wykres 1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28" w:rsidRPr="0082329B">
        <w:rPr>
          <w:rFonts w:ascii="Fira Sans" w:hAnsi="Fira Sans"/>
          <w:sz w:val="18"/>
          <w:szCs w:val="18"/>
        </w:rPr>
        <w:t>(analogiczny okres roku poprzedniego = 100)</w:t>
      </w:r>
    </w:p>
    <w:p w:rsidR="00E3507E" w:rsidRDefault="00E3507E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</w:p>
    <w:p w:rsidR="002068DA" w:rsidRPr="0082329B" w:rsidRDefault="0063303D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W</w:t>
      </w:r>
      <w:r w:rsidR="002068DA" w:rsidRPr="0082329B">
        <w:rPr>
          <w:rFonts w:ascii="Fira Sans" w:hAnsi="Fira Sans"/>
          <w:sz w:val="18"/>
          <w:szCs w:val="18"/>
        </w:rPr>
        <w:t>ykres 2. Dynamika realna produktu krajowego brutto wyrównanego sezonowo</w:t>
      </w:r>
    </w:p>
    <w:p w:rsidR="002068DA" w:rsidRDefault="005374C0" w:rsidP="002068DA">
      <w:pPr>
        <w:pStyle w:val="Tytuwykresu0"/>
        <w:spacing w:before="0" w:line="240" w:lineRule="exact"/>
        <w:ind w:left="794"/>
        <w:rPr>
          <w:rFonts w:ascii="Fira Sans" w:hAnsi="Fira Sans"/>
          <w:sz w:val="18"/>
          <w:szCs w:val="18"/>
        </w:rPr>
      </w:pPr>
      <w:r w:rsidRPr="005374C0"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-11225</wp:posOffset>
            </wp:positionH>
            <wp:positionV relativeFrom="paragraph">
              <wp:posOffset>238125</wp:posOffset>
            </wp:positionV>
            <wp:extent cx="5122800" cy="3175200"/>
            <wp:effectExtent l="0" t="0" r="1905" b="6350"/>
            <wp:wrapSquare wrapText="bothSides"/>
            <wp:docPr id="15" name="Obraz 15" descr="Wykres prezentuje wartości dynamiki produktu krajowego brutto w okresie 1kw. 2020 - 2 kw. 2022, wyrównane sezonowo, przy podstawie kwartał poprzedni = 100." title="Wykres 2. Dynamika realna produktu krajowego brutto wyrównanego sezonowo (kwartał poprzedni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8DA" w:rsidRPr="0082329B">
        <w:rPr>
          <w:rFonts w:ascii="Fira Sans" w:hAnsi="Fira Sans"/>
          <w:sz w:val="18"/>
          <w:szCs w:val="18"/>
        </w:rPr>
        <w:t>(kwartał poprzedni = 100)</w:t>
      </w:r>
    </w:p>
    <w:p w:rsidR="0030627E" w:rsidRPr="00977864" w:rsidRDefault="0030627E" w:rsidP="0030627E">
      <w:pPr>
        <w:pStyle w:val="tytuwykresu"/>
        <w:spacing w:before="480" w:line="240" w:lineRule="auto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</w:t>
      </w: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5</w:t>
      </w:r>
      <w:r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30627E" w:rsidRPr="00B72629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B72629">
        <w:rPr>
          <w:rFonts w:cs="Arial"/>
          <w:szCs w:val="19"/>
        </w:rPr>
        <w:t xml:space="preserve">W porównaniu z poprzednim kwartałem, w </w:t>
      </w:r>
      <w:r w:rsidR="004444EA">
        <w:rPr>
          <w:rFonts w:cs="Arial"/>
          <w:szCs w:val="19"/>
        </w:rPr>
        <w:t>2</w:t>
      </w:r>
      <w:r w:rsidRPr="00B72629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B72629">
        <w:rPr>
          <w:rFonts w:cs="Arial"/>
          <w:szCs w:val="19"/>
        </w:rPr>
        <w:t xml:space="preserve"> r. PKB wyrównany sezonowo z</w:t>
      </w:r>
      <w:r w:rsidR="00383C75">
        <w:rPr>
          <w:rFonts w:cs="Arial"/>
          <w:szCs w:val="19"/>
        </w:rPr>
        <w:t>mnie</w:t>
      </w:r>
      <w:r w:rsidR="00FE7A28">
        <w:rPr>
          <w:rFonts w:cs="Arial"/>
          <w:szCs w:val="19"/>
        </w:rPr>
        <w:t>j</w:t>
      </w:r>
      <w:r w:rsidRPr="00B72629">
        <w:rPr>
          <w:rFonts w:cs="Arial"/>
          <w:szCs w:val="19"/>
        </w:rPr>
        <w:t xml:space="preserve">szył się realnie o </w:t>
      </w:r>
      <w:r w:rsidR="00383C75">
        <w:rPr>
          <w:rFonts w:cs="Arial"/>
          <w:szCs w:val="19"/>
        </w:rPr>
        <w:t>2,1</w:t>
      </w:r>
      <w:r w:rsidRPr="00B72629">
        <w:rPr>
          <w:rFonts w:cs="Arial"/>
          <w:szCs w:val="19"/>
        </w:rPr>
        <w:t>%.</w:t>
      </w:r>
    </w:p>
    <w:p w:rsidR="003C6EBC" w:rsidRDefault="0030627E" w:rsidP="00E3507E">
      <w:pPr>
        <w:tabs>
          <w:tab w:val="left" w:pos="284"/>
        </w:tabs>
        <w:spacing w:after="0" w:line="288" w:lineRule="auto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Wartość dodana brutto w gospodarce narodowej w </w:t>
      </w:r>
      <w:r w:rsidR="008D1F28">
        <w:rPr>
          <w:rFonts w:cs="Arial"/>
          <w:szCs w:val="19"/>
        </w:rPr>
        <w:t>2</w:t>
      </w:r>
      <w:r w:rsidRPr="001A7FCB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1A7FCB">
        <w:rPr>
          <w:rFonts w:cs="Arial"/>
          <w:szCs w:val="19"/>
        </w:rPr>
        <w:t xml:space="preserve"> r. w porównaniu z poprzednim kwartałem z</w:t>
      </w:r>
      <w:r w:rsidR="008D1F28">
        <w:rPr>
          <w:rFonts w:cs="Arial"/>
          <w:szCs w:val="19"/>
        </w:rPr>
        <w:t>mniejszyła</w:t>
      </w:r>
      <w:r w:rsidRPr="001A7FCB">
        <w:rPr>
          <w:rFonts w:cs="Arial"/>
          <w:szCs w:val="19"/>
        </w:rPr>
        <w:t xml:space="preserve"> się realnie o </w:t>
      </w:r>
      <w:r w:rsidR="008D1F28">
        <w:rPr>
          <w:rFonts w:cs="Arial"/>
          <w:szCs w:val="19"/>
        </w:rPr>
        <w:t>0,7</w:t>
      </w:r>
      <w:r w:rsidRPr="001A7FCB">
        <w:rPr>
          <w:rFonts w:cs="Arial"/>
          <w:szCs w:val="19"/>
        </w:rPr>
        <w:t>%</w:t>
      </w:r>
      <w:r w:rsidR="000C295C">
        <w:rPr>
          <w:rFonts w:cs="Arial"/>
          <w:szCs w:val="19"/>
        </w:rPr>
        <w:t>, w tym:</w:t>
      </w:r>
    </w:p>
    <w:p w:rsidR="000C295C" w:rsidRDefault="000C295C" w:rsidP="00302E31">
      <w:pPr>
        <w:pStyle w:val="Akapitzlist"/>
        <w:numPr>
          <w:ilvl w:val="0"/>
          <w:numId w:val="7"/>
        </w:numPr>
        <w:tabs>
          <w:tab w:val="left" w:pos="284"/>
        </w:tabs>
        <w:spacing w:before="0" w:after="0"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</w:t>
      </w:r>
      <w:r>
        <w:rPr>
          <w:rFonts w:cs="Arial"/>
          <w:szCs w:val="19"/>
        </w:rPr>
        <w:t>budownictwie o 1,3%,</w:t>
      </w:r>
    </w:p>
    <w:p w:rsidR="000C295C" w:rsidRDefault="000C295C" w:rsidP="000C295C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handlu i </w:t>
      </w:r>
      <w:r w:rsidRPr="007C7DEF">
        <w:rPr>
          <w:rFonts w:cs="Arial"/>
          <w:szCs w:val="19"/>
        </w:rPr>
        <w:t>naprawach</w:t>
      </w:r>
      <w:r>
        <w:rPr>
          <w:rFonts w:cs="Arial"/>
          <w:szCs w:val="19"/>
        </w:rPr>
        <w:t xml:space="preserve"> o 5,2%,</w:t>
      </w:r>
    </w:p>
    <w:p w:rsidR="009879CE" w:rsidRPr="00D82606" w:rsidRDefault="009879CE" w:rsidP="009879CE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D82606">
        <w:rPr>
          <w:rFonts w:cs="Arial"/>
          <w:szCs w:val="19"/>
        </w:rPr>
        <w:t>w działalności finansowej i ubezpieczeniowej o 0,2%.</w:t>
      </w:r>
    </w:p>
    <w:p w:rsidR="00C26D0A" w:rsidRDefault="009879C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502A4C">
        <w:rPr>
          <w:rFonts w:cs="Arial"/>
          <w:szCs w:val="19"/>
        </w:rPr>
        <w:lastRenderedPageBreak/>
        <w:t xml:space="preserve">Wartość dodana brutto </w:t>
      </w:r>
      <w:r w:rsidR="00C26D0A">
        <w:rPr>
          <w:rFonts w:cs="Arial"/>
          <w:szCs w:val="19"/>
        </w:rPr>
        <w:t>wzrosła</w:t>
      </w:r>
      <w:r w:rsidRPr="00502A4C">
        <w:rPr>
          <w:rFonts w:cs="Arial"/>
          <w:szCs w:val="19"/>
        </w:rPr>
        <w:t xml:space="preserve"> realnie w</w:t>
      </w:r>
      <w:r w:rsidR="004565FB">
        <w:rPr>
          <w:rFonts w:cs="Arial"/>
          <w:szCs w:val="19"/>
        </w:rPr>
        <w:t xml:space="preserve"> </w:t>
      </w:r>
      <w:r w:rsidR="00420876">
        <w:rPr>
          <w:rFonts w:cs="Arial"/>
          <w:szCs w:val="19"/>
        </w:rPr>
        <w:t>przemyśle</w:t>
      </w:r>
      <w:r w:rsidR="004565FB">
        <w:rPr>
          <w:rFonts w:cs="Arial"/>
          <w:szCs w:val="19"/>
        </w:rPr>
        <w:t xml:space="preserve"> o 0,6%, w</w:t>
      </w:r>
      <w:r w:rsidR="00302E31" w:rsidRPr="00502A4C">
        <w:rPr>
          <w:rFonts w:cs="Arial"/>
          <w:szCs w:val="19"/>
        </w:rPr>
        <w:t xml:space="preserve"> transporcie i gospodarce magazynowej</w:t>
      </w:r>
      <w:r w:rsidR="00C26D0A">
        <w:rPr>
          <w:rFonts w:cs="Arial"/>
          <w:szCs w:val="19"/>
        </w:rPr>
        <w:t xml:space="preserve"> o</w:t>
      </w:r>
      <w:r w:rsidR="004565FB">
        <w:rPr>
          <w:rFonts w:cs="Arial"/>
          <w:szCs w:val="19"/>
        </w:rPr>
        <w:t xml:space="preserve"> 0,5%</w:t>
      </w:r>
      <w:r w:rsidR="00C26D0A">
        <w:rPr>
          <w:rFonts w:cs="Arial"/>
          <w:szCs w:val="19"/>
        </w:rPr>
        <w:t xml:space="preserve"> oraz w </w:t>
      </w:r>
      <w:r w:rsidR="00C26D0A" w:rsidRPr="00502A4C">
        <w:rPr>
          <w:rFonts w:cs="Arial"/>
          <w:szCs w:val="19"/>
        </w:rPr>
        <w:t>administracji publicznej i obronie narodowej, obowiązkowych zabezpieczeniach społecznych</w:t>
      </w:r>
      <w:r w:rsidR="00C26D0A" w:rsidRPr="001A7FCB">
        <w:rPr>
          <w:rFonts w:cs="Arial"/>
          <w:szCs w:val="19"/>
        </w:rPr>
        <w:t>, edukacji, opiece zdrowotnej i pomocy społecznej łącznie</w:t>
      </w:r>
      <w:r w:rsidR="00C26D0A">
        <w:rPr>
          <w:rFonts w:cs="Arial"/>
          <w:szCs w:val="19"/>
        </w:rPr>
        <w:t xml:space="preserve"> </w:t>
      </w:r>
      <w:r w:rsidR="00B410F3">
        <w:rPr>
          <w:rFonts w:cs="Arial"/>
          <w:szCs w:val="19"/>
        </w:rPr>
        <w:br/>
      </w:r>
      <w:r w:rsidR="00C26D0A">
        <w:rPr>
          <w:rFonts w:cs="Arial"/>
          <w:szCs w:val="19"/>
        </w:rPr>
        <w:t>o 0,6%.</w:t>
      </w:r>
    </w:p>
    <w:p w:rsidR="0030627E" w:rsidRPr="003B453E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Popyt krajowy w </w:t>
      </w:r>
      <w:r w:rsidR="00D82606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w porównaniu z poprzednim kwartałem </w:t>
      </w:r>
      <w:r w:rsidR="00D82606">
        <w:rPr>
          <w:rFonts w:cs="Arial"/>
          <w:szCs w:val="19"/>
        </w:rPr>
        <w:t>zmniejszył się</w:t>
      </w:r>
      <w:r w:rsidRPr="003B453E">
        <w:rPr>
          <w:rFonts w:cs="Arial"/>
          <w:szCs w:val="19"/>
        </w:rPr>
        <w:t xml:space="preserve"> realnie</w:t>
      </w:r>
      <w:r w:rsidR="00D82606">
        <w:rPr>
          <w:rFonts w:cs="Arial"/>
          <w:szCs w:val="19"/>
        </w:rPr>
        <w:t xml:space="preserve"> </w:t>
      </w:r>
      <w:r w:rsidRPr="003B453E">
        <w:rPr>
          <w:rFonts w:cs="Arial"/>
          <w:szCs w:val="19"/>
        </w:rPr>
        <w:t xml:space="preserve">o </w:t>
      </w:r>
      <w:r w:rsidR="00D82606">
        <w:rPr>
          <w:rFonts w:cs="Arial"/>
          <w:szCs w:val="19"/>
        </w:rPr>
        <w:t>3,8</w:t>
      </w:r>
      <w:r w:rsidRPr="003B453E">
        <w:rPr>
          <w:rFonts w:cs="Arial"/>
          <w:szCs w:val="19"/>
        </w:rPr>
        <w:t>%.</w:t>
      </w:r>
    </w:p>
    <w:p w:rsidR="0030627E" w:rsidRPr="007650FF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7650FF">
        <w:rPr>
          <w:rFonts w:cs="Arial"/>
          <w:szCs w:val="19"/>
        </w:rPr>
        <w:t xml:space="preserve">Spożycie ogółem w </w:t>
      </w:r>
      <w:r w:rsidR="00D82606">
        <w:rPr>
          <w:rFonts w:cs="Arial"/>
          <w:szCs w:val="19"/>
        </w:rPr>
        <w:t>2</w:t>
      </w:r>
      <w:r w:rsidRPr="007650FF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7650FF">
        <w:rPr>
          <w:rFonts w:cs="Arial"/>
          <w:szCs w:val="19"/>
        </w:rPr>
        <w:t xml:space="preserve"> r. z</w:t>
      </w:r>
      <w:r w:rsidR="00D82606">
        <w:rPr>
          <w:rFonts w:cs="Arial"/>
          <w:szCs w:val="19"/>
        </w:rPr>
        <w:t>więk</w:t>
      </w:r>
      <w:r w:rsidR="00B2669E">
        <w:rPr>
          <w:rFonts w:cs="Arial"/>
          <w:szCs w:val="19"/>
        </w:rPr>
        <w:t>s</w:t>
      </w:r>
      <w:r w:rsidRPr="007650FF">
        <w:rPr>
          <w:rFonts w:cs="Arial"/>
          <w:szCs w:val="19"/>
        </w:rPr>
        <w:t xml:space="preserve">zyło się realnie o </w:t>
      </w:r>
      <w:r w:rsidR="00B2669E">
        <w:rPr>
          <w:rFonts w:cs="Arial"/>
          <w:szCs w:val="19"/>
        </w:rPr>
        <w:t>2,</w:t>
      </w:r>
      <w:r w:rsidR="00222BA1">
        <w:rPr>
          <w:rFonts w:cs="Arial"/>
          <w:szCs w:val="19"/>
        </w:rPr>
        <w:t>7</w:t>
      </w:r>
      <w:r w:rsidRPr="007650FF">
        <w:rPr>
          <w:rFonts w:cs="Arial"/>
          <w:szCs w:val="19"/>
        </w:rPr>
        <w:t xml:space="preserve">%, </w:t>
      </w:r>
      <w:r w:rsidR="00E312BC" w:rsidRPr="000F4972">
        <w:rPr>
          <w:rFonts w:cs="Arial"/>
          <w:szCs w:val="19"/>
        </w:rPr>
        <w:t xml:space="preserve">w tym </w:t>
      </w:r>
      <w:r w:rsidR="0075123F">
        <w:rPr>
          <w:rFonts w:cs="Arial"/>
          <w:szCs w:val="19"/>
        </w:rPr>
        <w:t>spożycie</w:t>
      </w:r>
      <w:r w:rsidRPr="007650FF">
        <w:rPr>
          <w:rFonts w:cs="Arial"/>
          <w:szCs w:val="19"/>
        </w:rPr>
        <w:t xml:space="preserve"> w sektorze gospodarstw domowych </w:t>
      </w:r>
      <w:r w:rsidR="00B2669E">
        <w:rPr>
          <w:rFonts w:cs="Arial"/>
          <w:szCs w:val="19"/>
        </w:rPr>
        <w:t>wzrosło</w:t>
      </w:r>
      <w:r w:rsidRPr="007650FF">
        <w:rPr>
          <w:rFonts w:cs="Arial"/>
          <w:szCs w:val="19"/>
        </w:rPr>
        <w:t xml:space="preserve"> realnie </w:t>
      </w:r>
      <w:r w:rsidR="00C25EA3">
        <w:rPr>
          <w:rFonts w:cs="Arial"/>
          <w:szCs w:val="19"/>
        </w:rPr>
        <w:t xml:space="preserve">o </w:t>
      </w:r>
      <w:r w:rsidR="00D82606">
        <w:rPr>
          <w:rFonts w:cs="Arial"/>
          <w:szCs w:val="19"/>
        </w:rPr>
        <w:t>2,1</w:t>
      </w:r>
      <w:r w:rsidR="0075123F">
        <w:rPr>
          <w:rFonts w:cs="Arial"/>
          <w:szCs w:val="19"/>
        </w:rPr>
        <w:t xml:space="preserve">%, </w:t>
      </w:r>
      <w:r w:rsidR="00B2669E">
        <w:rPr>
          <w:rFonts w:cs="Arial"/>
          <w:szCs w:val="19"/>
        </w:rPr>
        <w:t>a</w:t>
      </w:r>
      <w:r w:rsidR="00D850BB">
        <w:rPr>
          <w:rFonts w:cs="Arial"/>
          <w:szCs w:val="19"/>
        </w:rPr>
        <w:t xml:space="preserve"> </w:t>
      </w:r>
      <w:r w:rsidR="0075123F">
        <w:rPr>
          <w:rFonts w:cs="Arial"/>
          <w:szCs w:val="19"/>
        </w:rPr>
        <w:t>spożycie</w:t>
      </w:r>
      <w:r w:rsidR="00D850BB">
        <w:rPr>
          <w:rFonts w:cs="Arial"/>
          <w:szCs w:val="19"/>
        </w:rPr>
        <w:t xml:space="preserve"> publiczne</w:t>
      </w:r>
      <w:r w:rsidRPr="007650FF">
        <w:rPr>
          <w:rFonts w:cs="Arial"/>
          <w:szCs w:val="19"/>
        </w:rPr>
        <w:t xml:space="preserve"> </w:t>
      </w:r>
      <w:r w:rsidR="0075123F">
        <w:rPr>
          <w:rFonts w:cs="Arial"/>
          <w:szCs w:val="19"/>
        </w:rPr>
        <w:t xml:space="preserve">wzrosło o </w:t>
      </w:r>
      <w:r w:rsidR="00B2669E">
        <w:rPr>
          <w:rFonts w:cs="Arial"/>
          <w:szCs w:val="19"/>
        </w:rPr>
        <w:t>0,</w:t>
      </w:r>
      <w:r w:rsidR="00D82606">
        <w:rPr>
          <w:rFonts w:cs="Arial"/>
          <w:szCs w:val="19"/>
        </w:rPr>
        <w:t>7</w:t>
      </w:r>
      <w:r w:rsidRPr="007650FF">
        <w:rPr>
          <w:rFonts w:cs="Arial"/>
          <w:szCs w:val="19"/>
        </w:rPr>
        <w:t>%.</w:t>
      </w:r>
    </w:p>
    <w:p w:rsidR="0030627E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Akumulacja w </w:t>
      </w:r>
      <w:r w:rsidR="00D82606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</w:t>
      </w:r>
      <w:r w:rsidR="00D82606">
        <w:rPr>
          <w:rFonts w:cs="Arial"/>
          <w:szCs w:val="19"/>
        </w:rPr>
        <w:t>zmniejszyła się</w:t>
      </w:r>
      <w:r w:rsidRPr="003B453E">
        <w:rPr>
          <w:rFonts w:cs="Arial"/>
          <w:szCs w:val="19"/>
        </w:rPr>
        <w:t xml:space="preserve"> realnie o </w:t>
      </w:r>
      <w:r w:rsidR="00C25903">
        <w:rPr>
          <w:rFonts w:cs="Arial"/>
          <w:szCs w:val="19"/>
        </w:rPr>
        <w:t>27,7</w:t>
      </w:r>
      <w:r>
        <w:rPr>
          <w:rFonts w:cs="Arial"/>
          <w:szCs w:val="19"/>
        </w:rPr>
        <w:t xml:space="preserve">%, </w:t>
      </w:r>
      <w:r w:rsidRPr="00505881">
        <w:rPr>
          <w:rFonts w:cs="Arial"/>
          <w:szCs w:val="19"/>
        </w:rPr>
        <w:t>w tym nakłady</w:t>
      </w:r>
      <w:r w:rsidRPr="003B453E">
        <w:rPr>
          <w:rFonts w:cs="Arial"/>
          <w:szCs w:val="19"/>
        </w:rPr>
        <w:t xml:space="preserve"> brutto na środki trwałe z</w:t>
      </w:r>
      <w:r w:rsidR="00C25903">
        <w:rPr>
          <w:rFonts w:cs="Arial"/>
          <w:szCs w:val="19"/>
        </w:rPr>
        <w:t>mniejs</w:t>
      </w:r>
      <w:r w:rsidRPr="003B453E">
        <w:rPr>
          <w:rFonts w:cs="Arial"/>
          <w:szCs w:val="19"/>
        </w:rPr>
        <w:t xml:space="preserve">zyły się realnie o </w:t>
      </w:r>
      <w:r w:rsidR="00C25903">
        <w:rPr>
          <w:rFonts w:cs="Arial"/>
          <w:szCs w:val="19"/>
        </w:rPr>
        <w:t>6,8</w:t>
      </w:r>
      <w:r w:rsidRPr="003B453E">
        <w:rPr>
          <w:rFonts w:cs="Arial"/>
          <w:szCs w:val="19"/>
        </w:rPr>
        <w:t xml:space="preserve">%. </w:t>
      </w:r>
    </w:p>
    <w:p w:rsidR="0030627E" w:rsidRPr="00B26429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B26429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B26429">
        <w:rPr>
          <w:rFonts w:cs="Arial"/>
          <w:szCs w:val="19"/>
        </w:rPr>
        <w:br/>
        <w:t>w cenach stałych przy roku odniesienia 2015, dla szeregów czasowych PKB i wybranych zmiennych, dla danych surowych, wyrównanych sezonowo i trendu.</w:t>
      </w:r>
    </w:p>
    <w:p w:rsidR="00B410F3" w:rsidRPr="00B410F3" w:rsidRDefault="0030627E" w:rsidP="00B410F3">
      <w:pPr>
        <w:pStyle w:val="Nagwek1"/>
        <w:spacing w:before="480"/>
      </w:pPr>
      <w:r w:rsidRPr="00145641">
        <w:rPr>
          <w:rFonts w:ascii="Fira Sans" w:hAnsi="Fira Sans"/>
          <w:b/>
          <w:noProof/>
          <w:spacing w:val="-2"/>
          <w:szCs w:val="19"/>
        </w:rPr>
        <w:t>Produkt krajowy brutto niewyrównany sezonowo (ceny stałe średnioroczne roku poprzedniego)</w:t>
      </w:r>
    </w:p>
    <w:p w:rsidR="0030627E" w:rsidRPr="003B453E" w:rsidRDefault="0030627E" w:rsidP="00BF3D2B">
      <w:pPr>
        <w:spacing w:after="360"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>Według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 xml:space="preserve">wstępnego szacunku PKB w </w:t>
      </w:r>
      <w:r w:rsidR="00A501B8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był realnie wyższy o </w:t>
      </w:r>
      <w:r w:rsidR="00A501B8">
        <w:rPr>
          <w:rFonts w:cs="Arial"/>
          <w:szCs w:val="19"/>
        </w:rPr>
        <w:t>5</w:t>
      </w:r>
      <w:r w:rsidR="00B07E03">
        <w:rPr>
          <w:rFonts w:cs="Arial"/>
          <w:szCs w:val="19"/>
        </w:rPr>
        <w:t>,5</w:t>
      </w:r>
      <w:r w:rsidRPr="003B453E">
        <w:rPr>
          <w:rFonts w:cs="Arial"/>
          <w:szCs w:val="19"/>
        </w:rPr>
        <w:t>%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w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porównaniu z analogicznym okresem roku poprzedniego.</w:t>
      </w:r>
    </w:p>
    <w:p w:rsidR="00B915B5" w:rsidRPr="0082329B" w:rsidRDefault="00B915B5" w:rsidP="00B915B5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W</w:t>
      </w:r>
      <w:r w:rsidRPr="0082329B">
        <w:rPr>
          <w:rFonts w:ascii="Fira Sans" w:hAnsi="Fira Sans"/>
          <w:sz w:val="18"/>
          <w:szCs w:val="18"/>
        </w:rPr>
        <w:t xml:space="preserve">ykres </w:t>
      </w:r>
      <w:r w:rsidR="004D7806">
        <w:rPr>
          <w:rFonts w:ascii="Fira Sans" w:hAnsi="Fira Sans"/>
          <w:sz w:val="18"/>
          <w:szCs w:val="18"/>
        </w:rPr>
        <w:t>3</w:t>
      </w:r>
      <w:r w:rsidRPr="0082329B">
        <w:rPr>
          <w:rFonts w:ascii="Fira Sans" w:hAnsi="Fira Sans"/>
          <w:sz w:val="18"/>
          <w:szCs w:val="18"/>
        </w:rPr>
        <w:t xml:space="preserve">. Dynamika realna produktu krajowego brutto </w:t>
      </w:r>
    </w:p>
    <w:p w:rsidR="0030627E" w:rsidRPr="00BD4289" w:rsidRDefault="00420876" w:rsidP="004D7806">
      <w:pPr>
        <w:pStyle w:val="Tytuwykresu0"/>
        <w:spacing w:before="0" w:line="240" w:lineRule="exact"/>
        <w:ind w:left="822" w:hanging="709"/>
        <w:outlineLvl w:val="9"/>
        <w:rPr>
          <w:szCs w:val="19"/>
        </w:rPr>
      </w:pPr>
      <w:r w:rsidRPr="00420876">
        <w:drawing>
          <wp:anchor distT="0" distB="0" distL="114300" distR="114300" simplePos="0" relativeHeight="251790336" behindDoc="0" locked="0" layoutInCell="1" allowOverlap="1" wp14:anchorId="2CEE74C1" wp14:editId="6C0E447B">
            <wp:simplePos x="0" y="0"/>
            <wp:positionH relativeFrom="column">
              <wp:posOffset>3175</wp:posOffset>
            </wp:positionH>
            <wp:positionV relativeFrom="paragraph">
              <wp:posOffset>360915</wp:posOffset>
            </wp:positionV>
            <wp:extent cx="5122800" cy="2919600"/>
            <wp:effectExtent l="0" t="0" r="1905" b="0"/>
            <wp:wrapSquare wrapText="bothSides"/>
            <wp:docPr id="16" name="Obraz 16" descr="Wykres prezentuje wartości dynamiki produktu krajowego brutto, spożycia w sektorze gospodarstw domowych i nakładów brutto na środki trwałe w okresie 1 kw. 2020 - 2 kw. 2022, niewyrównane sezonowo, przy podstawie analogiczny okres roku poprzedniego = 100&#10;" title="Wykres 3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5B5">
        <w:rPr>
          <w:szCs w:val="19"/>
        </w:rPr>
        <w:tab/>
      </w:r>
      <w:r w:rsidR="00B915B5" w:rsidRPr="0082329B">
        <w:rPr>
          <w:rFonts w:ascii="Fira Sans" w:hAnsi="Fira Sans"/>
          <w:sz w:val="18"/>
          <w:szCs w:val="18"/>
        </w:rPr>
        <w:t>(analogiczny okres roku poprzedniego = 100</w:t>
      </w:r>
      <w:r w:rsidR="00B915B5">
        <w:rPr>
          <w:rFonts w:ascii="Fira Sans" w:hAnsi="Fira Sans"/>
          <w:sz w:val="18"/>
          <w:szCs w:val="18"/>
        </w:rPr>
        <w:t>)</w:t>
      </w:r>
    </w:p>
    <w:p w:rsidR="00420876" w:rsidRDefault="00420876" w:rsidP="00712D10">
      <w:pPr>
        <w:spacing w:line="288" w:lineRule="auto"/>
        <w:rPr>
          <w:noProof/>
          <w:lang w:eastAsia="pl-PL"/>
        </w:rPr>
      </w:pPr>
    </w:p>
    <w:p w:rsidR="0063303D" w:rsidRDefault="00424977" w:rsidP="00145641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>W</w:t>
      </w:r>
      <w:r w:rsidR="00DB70AA" w:rsidRPr="00873934">
        <w:rPr>
          <w:rFonts w:cs="Arial"/>
          <w:szCs w:val="19"/>
        </w:rPr>
        <w:t xml:space="preserve">artość dodana brutto w gospodarce narodowej w </w:t>
      </w:r>
      <w:r w:rsidR="00465585">
        <w:rPr>
          <w:rFonts w:cs="Arial"/>
          <w:szCs w:val="19"/>
        </w:rPr>
        <w:t>2</w:t>
      </w:r>
      <w:r w:rsidR="00DB70AA" w:rsidRPr="00873934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="00DB70AA" w:rsidRPr="00873934">
        <w:rPr>
          <w:rFonts w:cs="Arial"/>
          <w:szCs w:val="19"/>
        </w:rPr>
        <w:t xml:space="preserve"> r., w porównaniu </w:t>
      </w:r>
      <w:r w:rsidR="00DB70AA" w:rsidRPr="00873934">
        <w:rPr>
          <w:rFonts w:cs="Arial"/>
          <w:szCs w:val="19"/>
        </w:rPr>
        <w:br/>
        <w:t>z analogicznym okresem 202</w:t>
      </w:r>
      <w:r w:rsidR="0006798C">
        <w:rPr>
          <w:rFonts w:cs="Arial"/>
          <w:szCs w:val="19"/>
        </w:rPr>
        <w:t>1</w:t>
      </w:r>
      <w:r w:rsidR="00DB70AA" w:rsidRPr="00873934">
        <w:rPr>
          <w:rFonts w:cs="Arial"/>
          <w:szCs w:val="19"/>
        </w:rPr>
        <w:t xml:space="preserve"> r., była wyższa o </w:t>
      </w:r>
      <w:r w:rsidR="00465585">
        <w:rPr>
          <w:rFonts w:cs="Arial"/>
          <w:szCs w:val="19"/>
        </w:rPr>
        <w:t>5</w:t>
      </w:r>
      <w:r w:rsidR="00DB0FCF">
        <w:rPr>
          <w:rFonts w:cs="Arial"/>
          <w:szCs w:val="19"/>
        </w:rPr>
        <w:t>,3</w:t>
      </w:r>
      <w:r w:rsidR="00DB70AA" w:rsidRPr="00873934">
        <w:rPr>
          <w:rFonts w:cs="Arial"/>
          <w:szCs w:val="19"/>
        </w:rPr>
        <w:t>%</w:t>
      </w:r>
      <w:r w:rsidR="00DB70AA">
        <w:rPr>
          <w:rFonts w:cs="Arial"/>
          <w:szCs w:val="19"/>
        </w:rPr>
        <w:t xml:space="preserve"> w tym:</w:t>
      </w:r>
    </w:p>
    <w:p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przemyśle o </w:t>
      </w:r>
      <w:r w:rsidR="00465585">
        <w:rPr>
          <w:rFonts w:cs="Arial"/>
          <w:szCs w:val="19"/>
        </w:rPr>
        <w:t>8,8</w:t>
      </w:r>
      <w:r w:rsidRPr="001A7FCB">
        <w:rPr>
          <w:rFonts w:cs="Arial"/>
          <w:szCs w:val="19"/>
        </w:rPr>
        <w:t>%,</w:t>
      </w:r>
    </w:p>
    <w:p w:rsidR="00DB70AA" w:rsidRPr="001A7FCB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 xml:space="preserve">w budownictwie o </w:t>
      </w:r>
      <w:r w:rsidR="00465585">
        <w:rPr>
          <w:rFonts w:cs="Arial"/>
          <w:szCs w:val="19"/>
        </w:rPr>
        <w:t>5,3</w:t>
      </w:r>
      <w:r>
        <w:rPr>
          <w:rFonts w:cs="Arial"/>
          <w:szCs w:val="19"/>
        </w:rPr>
        <w:t>%,</w:t>
      </w:r>
    </w:p>
    <w:p w:rsidR="00DB70AA" w:rsidRPr="001A7FCB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handlu i naprawach o </w:t>
      </w:r>
      <w:r w:rsidR="00465585">
        <w:rPr>
          <w:rFonts w:cs="Arial"/>
          <w:szCs w:val="19"/>
        </w:rPr>
        <w:t>5,8</w:t>
      </w:r>
      <w:r w:rsidRPr="001A7FCB">
        <w:rPr>
          <w:rFonts w:cs="Arial"/>
          <w:szCs w:val="19"/>
        </w:rPr>
        <w:t>%,</w:t>
      </w:r>
    </w:p>
    <w:p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transporcie i gospodarce magazynowej o </w:t>
      </w:r>
      <w:r w:rsidR="00465585">
        <w:rPr>
          <w:rFonts w:cs="Arial"/>
          <w:szCs w:val="19"/>
        </w:rPr>
        <w:t>13,6</w:t>
      </w:r>
      <w:r w:rsidRPr="001A7FCB">
        <w:rPr>
          <w:rFonts w:cs="Arial"/>
          <w:szCs w:val="19"/>
        </w:rPr>
        <w:t>%,</w:t>
      </w:r>
    </w:p>
    <w:p w:rsidR="00DB0FCF" w:rsidRPr="001A7FCB" w:rsidRDefault="00DB0FCF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 xml:space="preserve">w działalności finansowej i ubezpieczeniowej o </w:t>
      </w:r>
      <w:r w:rsidR="00465585">
        <w:rPr>
          <w:rFonts w:cs="Arial"/>
          <w:szCs w:val="19"/>
        </w:rPr>
        <w:t>9,9</w:t>
      </w:r>
      <w:r>
        <w:rPr>
          <w:rFonts w:cs="Arial"/>
          <w:szCs w:val="19"/>
        </w:rPr>
        <w:t>%</w:t>
      </w:r>
    </w:p>
    <w:p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administracji publicznej i obronie narodowej, obowiązkowych zabezpieczeniach </w:t>
      </w:r>
    </w:p>
    <w:p w:rsidR="00DB70AA" w:rsidRDefault="00DB70AA" w:rsidP="00AE5849">
      <w:pPr>
        <w:pStyle w:val="Akapitzlist"/>
        <w:tabs>
          <w:tab w:val="left" w:pos="284"/>
        </w:tabs>
        <w:spacing w:line="288" w:lineRule="auto"/>
        <w:ind w:left="0" w:firstLine="284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społecznych, edukacji, opiece zdrowotnej i pomocy społecznej łącznie o </w:t>
      </w:r>
      <w:r w:rsidR="00DB0FCF">
        <w:rPr>
          <w:rFonts w:cs="Arial"/>
          <w:szCs w:val="19"/>
        </w:rPr>
        <w:t>2,</w:t>
      </w:r>
      <w:r w:rsidR="00465585">
        <w:rPr>
          <w:rFonts w:cs="Arial"/>
          <w:szCs w:val="19"/>
        </w:rPr>
        <w:t>5</w:t>
      </w:r>
      <w:r w:rsidRPr="001A7FCB">
        <w:rPr>
          <w:rFonts w:cs="Arial"/>
          <w:szCs w:val="19"/>
        </w:rPr>
        <w:t>%.</w:t>
      </w:r>
    </w:p>
    <w:p w:rsidR="00DB70AA" w:rsidRPr="00E0205E" w:rsidRDefault="00DB70AA" w:rsidP="00145641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lastRenderedPageBreak/>
        <w:t xml:space="preserve">Popyt krajowy w </w:t>
      </w:r>
      <w:r w:rsidR="00AF6C4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r., w porównaniu z analogicznym okresem 202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był wyższy o </w:t>
      </w:r>
      <w:r w:rsidR="00AF6C4C">
        <w:rPr>
          <w:rFonts w:cs="Arial"/>
          <w:szCs w:val="19"/>
        </w:rPr>
        <w:t>7</w:t>
      </w:r>
      <w:r w:rsidR="00DB0FCF">
        <w:rPr>
          <w:rFonts w:cs="Arial"/>
          <w:szCs w:val="19"/>
        </w:rPr>
        <w:t>,2</w:t>
      </w:r>
      <w:r w:rsidRPr="00E0205E">
        <w:rPr>
          <w:rFonts w:cs="Arial"/>
          <w:szCs w:val="19"/>
        </w:rPr>
        <w:t>%.</w:t>
      </w:r>
    </w:p>
    <w:p w:rsidR="00755965" w:rsidRDefault="00DB70AA" w:rsidP="00755965">
      <w:pPr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Spożycie ogółem w </w:t>
      </w:r>
      <w:r w:rsidR="00AF6C4C">
        <w:rPr>
          <w:rFonts w:cs="Arial"/>
          <w:szCs w:val="19"/>
        </w:rPr>
        <w:t>2</w:t>
      </w:r>
      <w:r w:rsidR="00DB0FCF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 było wyższe niż przed rokiem o </w:t>
      </w:r>
      <w:r w:rsidR="00AF6C4C">
        <w:rPr>
          <w:rFonts w:cs="Arial"/>
          <w:szCs w:val="19"/>
        </w:rPr>
        <w:t>4,9</w:t>
      </w:r>
      <w:r w:rsidRPr="00E0205E">
        <w:rPr>
          <w:rFonts w:cs="Arial"/>
          <w:szCs w:val="19"/>
        </w:rPr>
        <w:t xml:space="preserve">%, w tym wzrost spożycia w sektorze gospodarstw domowych wyniósł </w:t>
      </w:r>
      <w:r w:rsidR="00DB0FCF">
        <w:rPr>
          <w:rFonts w:cs="Arial"/>
          <w:szCs w:val="19"/>
        </w:rPr>
        <w:t>6,</w:t>
      </w:r>
      <w:r w:rsidR="00AF6C4C">
        <w:rPr>
          <w:rFonts w:cs="Arial"/>
          <w:szCs w:val="19"/>
        </w:rPr>
        <w:t>4</w:t>
      </w:r>
      <w:r w:rsidR="0042458A">
        <w:rPr>
          <w:rFonts w:cs="Arial"/>
          <w:szCs w:val="19"/>
        </w:rPr>
        <w:t>%, a</w:t>
      </w:r>
      <w:r w:rsidR="00DB0FCF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spożyci</w:t>
      </w:r>
      <w:r w:rsidR="00755965">
        <w:rPr>
          <w:rFonts w:cs="Arial"/>
          <w:szCs w:val="19"/>
        </w:rPr>
        <w:t>e</w:t>
      </w:r>
      <w:r w:rsidRPr="00E0205E">
        <w:rPr>
          <w:rFonts w:cs="Arial"/>
          <w:szCs w:val="19"/>
        </w:rPr>
        <w:t xml:space="preserve"> publiczne</w:t>
      </w:r>
      <w:r w:rsidR="006A49F5">
        <w:rPr>
          <w:rFonts w:cs="Arial"/>
          <w:szCs w:val="19"/>
        </w:rPr>
        <w:t xml:space="preserve"> </w:t>
      </w:r>
      <w:r w:rsidR="00755965">
        <w:rPr>
          <w:rFonts w:cs="Arial"/>
          <w:szCs w:val="19"/>
        </w:rPr>
        <w:t>wzrosło o 0,</w:t>
      </w:r>
      <w:r w:rsidR="00AF6C4C">
        <w:rPr>
          <w:rFonts w:cs="Arial"/>
          <w:szCs w:val="19"/>
        </w:rPr>
        <w:t>8</w:t>
      </w:r>
      <w:r w:rsidR="00755965">
        <w:rPr>
          <w:rFonts w:cs="Arial"/>
          <w:szCs w:val="19"/>
        </w:rPr>
        <w:t>%.</w:t>
      </w:r>
      <w:r w:rsidR="006A49F5">
        <w:rPr>
          <w:rFonts w:cs="Arial"/>
          <w:szCs w:val="19"/>
        </w:rPr>
        <w:t xml:space="preserve"> </w:t>
      </w:r>
    </w:p>
    <w:p w:rsidR="00DB70AA" w:rsidRDefault="00DB70AA" w:rsidP="00755965">
      <w:pPr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Akumulacja brutto w </w:t>
      </w:r>
      <w:r w:rsidR="00AF6C4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 wzrosła o </w:t>
      </w:r>
      <w:r w:rsidR="00AF6C4C">
        <w:rPr>
          <w:rFonts w:cs="Arial"/>
          <w:szCs w:val="19"/>
        </w:rPr>
        <w:t>16,7</w:t>
      </w:r>
      <w:r w:rsidRPr="00E0205E">
        <w:rPr>
          <w:rFonts w:cs="Arial"/>
          <w:szCs w:val="19"/>
        </w:rPr>
        <w:t>%, w porównaniu z analogicznym okresem 202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w tym nakłady brutto na środki trwałe wzrosły o </w:t>
      </w:r>
      <w:r w:rsidR="00AF6C4C">
        <w:rPr>
          <w:rFonts w:cs="Arial"/>
          <w:szCs w:val="19"/>
        </w:rPr>
        <w:t>7,1</w:t>
      </w:r>
      <w:r w:rsidRPr="00E0205E">
        <w:rPr>
          <w:rFonts w:cs="Arial"/>
          <w:szCs w:val="19"/>
        </w:rPr>
        <w:t xml:space="preserve">%. Stopa inwestycji (relacja nakładów brutto na środki trwałe do produktu krajowego brutto w cenach bieżących) wyniosła </w:t>
      </w:r>
      <w:r w:rsidR="00AF6C4C">
        <w:rPr>
          <w:rFonts w:cs="Arial"/>
          <w:szCs w:val="19"/>
        </w:rPr>
        <w:t>15,1</w:t>
      </w:r>
      <w:r w:rsidRPr="00E0205E">
        <w:rPr>
          <w:rFonts w:cs="Arial"/>
          <w:szCs w:val="19"/>
        </w:rPr>
        <w:t xml:space="preserve">% wobec </w:t>
      </w:r>
      <w:r w:rsidR="00AF6C4C">
        <w:rPr>
          <w:rFonts w:cs="Arial"/>
          <w:szCs w:val="19"/>
        </w:rPr>
        <w:t>14,</w:t>
      </w:r>
      <w:r w:rsidR="00F440D5">
        <w:rPr>
          <w:rFonts w:cs="Arial"/>
          <w:szCs w:val="19"/>
        </w:rPr>
        <w:t>9</w:t>
      </w:r>
      <w:r w:rsidRPr="00E0205E">
        <w:rPr>
          <w:rFonts w:cs="Arial"/>
          <w:szCs w:val="19"/>
        </w:rPr>
        <w:t>% przed rokiem.</w:t>
      </w:r>
    </w:p>
    <w:p w:rsidR="00DB70AA" w:rsidRDefault="00DB70AA" w:rsidP="00BF3D2B">
      <w:pPr>
        <w:spacing w:line="288" w:lineRule="auto"/>
        <w:rPr>
          <w:rFonts w:cs="Arial"/>
          <w:szCs w:val="19"/>
        </w:rPr>
      </w:pPr>
      <w:r w:rsidRPr="00572E91">
        <w:rPr>
          <w:rFonts w:cs="Arial"/>
          <w:szCs w:val="19"/>
        </w:rPr>
        <w:t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</w:t>
      </w:r>
    </w:p>
    <w:p w:rsidR="00DB70AA" w:rsidRDefault="00DB70AA" w:rsidP="00BF3D2B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</w:t>
      </w:r>
      <w:r w:rsidR="00B23760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jako skutek przeliczenia szeregów czasowych, po dodaniu kolejnych obserwacji kwartalnych lub rewizji danych opublikowanych.</w:t>
      </w:r>
    </w:p>
    <w:p w:rsidR="00677AA0" w:rsidRPr="00F63D31" w:rsidRDefault="00677AA0" w:rsidP="00BF3D2B">
      <w:pPr>
        <w:spacing w:line="288" w:lineRule="auto"/>
        <w:rPr>
          <w:rFonts w:eastAsia="Times New Roman" w:cs="Times New Roman"/>
          <w:szCs w:val="19"/>
          <w:lang w:eastAsia="pl-PL"/>
        </w:rPr>
        <w:sectPr w:rsidR="00677AA0" w:rsidRPr="00F63D31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63D31">
        <w:rPr>
          <w:rFonts w:eastAsia="Times New Roman" w:cs="Times New Roman"/>
          <w:szCs w:val="19"/>
          <w:lang w:eastAsia="pl-PL"/>
        </w:rPr>
        <w:t xml:space="preserve">W przypadku cytowania danych Głównego Urzędu Statystycznego prosimy o zamieszczenie informacji: „Źródło danych GUS” </w:t>
      </w:r>
      <w:r w:rsidR="00F63D31">
        <w:rPr>
          <w:rFonts w:eastAsia="Times New Roman" w:cs="Times New Roman"/>
          <w:szCs w:val="19"/>
          <w:lang w:eastAsia="pl-PL"/>
        </w:rPr>
        <w:t>, a w przypadku publikowania o</w:t>
      </w:r>
      <w:r w:rsidRPr="00F63D31">
        <w:rPr>
          <w:rFonts w:eastAsia="Times New Roman" w:cs="Times New Roman"/>
          <w:szCs w:val="19"/>
          <w:lang w:eastAsia="pl-PL"/>
        </w:rPr>
        <w:t>bliczeń dokonanych na danych opublikowanych przez GUS prosimy o zamieszczenie informacji: „Opracowanie własne na  podstawie danych 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B84C43">
        <w:trPr>
          <w:trHeight w:val="1626"/>
        </w:trPr>
        <w:tc>
          <w:tcPr>
            <w:tcW w:w="4926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2A6E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:rsidR="00DE2400" w:rsidRPr="00DE2400" w:rsidRDefault="00107D90" w:rsidP="00747B8C">
            <w:pPr>
              <w:spacing w:before="0" w:after="0"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Anita Perzyna</w:t>
            </w:r>
          </w:p>
          <w:p w:rsidR="00DE2400" w:rsidRPr="00AB24E4" w:rsidRDefault="00DE2400" w:rsidP="00347A4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47A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17</w:t>
            </w:r>
          </w:p>
        </w:tc>
        <w:tc>
          <w:tcPr>
            <w:tcW w:w="492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Tr="00B84C43">
        <w:trPr>
          <w:trHeight w:val="418"/>
        </w:trPr>
        <w:tc>
          <w:tcPr>
            <w:tcW w:w="4926" w:type="dxa"/>
            <w:vMerge w:val="restart"/>
          </w:tcPr>
          <w:p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:rsidTr="00B84C43">
        <w:trPr>
          <w:trHeight w:val="418"/>
        </w:trPr>
        <w:tc>
          <w:tcPr>
            <w:tcW w:w="4926" w:type="dxa"/>
            <w:vMerge/>
          </w:tcPr>
          <w:p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Tr="00B84C43">
        <w:trPr>
          <w:trHeight w:val="476"/>
        </w:trPr>
        <w:tc>
          <w:tcPr>
            <w:tcW w:w="4926" w:type="dxa"/>
            <w:vMerge/>
          </w:tcPr>
          <w:p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Tr="00B84C43">
        <w:trPr>
          <w:trHeight w:val="426"/>
        </w:trPr>
        <w:tc>
          <w:tcPr>
            <w:tcW w:w="4926" w:type="dxa"/>
          </w:tcPr>
          <w:p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:rsidTr="00B84C43">
        <w:trPr>
          <w:trHeight w:val="504"/>
        </w:trPr>
        <w:tc>
          <w:tcPr>
            <w:tcW w:w="4926" w:type="dxa"/>
          </w:tcPr>
          <w:p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Tr="00B84C43">
        <w:trPr>
          <w:trHeight w:val="1546"/>
        </w:trPr>
        <w:tc>
          <w:tcPr>
            <w:tcW w:w="4926" w:type="dxa"/>
          </w:tcPr>
          <w:p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E82426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CF1731" w:rsidRPr="00AB15B7" w:rsidRDefault="00656DDE" w:rsidP="00CE5A5B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informacji sygnalnej pt. Szybki szacunek produktu krajowego brutto za drugi kwartał 2022 r." w:history="1">
              <w:r w:rsidR="00CF1731" w:rsidRPr="00CF173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Szybki szacunek produktu krajowego brutto za drugi kwartał 2022 roku</w:t>
              </w:r>
            </w:hyperlink>
          </w:p>
          <w:p w:rsidR="0053187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0B1E4D" w:rsidRPr="000B1E4D" w:rsidRDefault="00656DDE" w:rsidP="00B00C24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</w:rPr>
            </w:pPr>
            <w:hyperlink r:id="rId25" w:tooltip="Link do dziedzinowyej bazy wiedzy rachunków narodowych" w:history="1">
              <w:r w:rsidR="002335F4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Dziedzinowa bazy wiedzy Rachunki Narodowe</w:t>
              </w:r>
            </w:hyperlink>
          </w:p>
          <w:p w:rsidR="00531873" w:rsidRPr="00694D63" w:rsidRDefault="00531873" w:rsidP="00B00C24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531873" w:rsidRPr="00497EE2" w:rsidRDefault="00656DDE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tooltip="Link do słownika pojęć stosowanych w statystyce publicznej do opisu pojęcia - produkt krajowy brutto" w:history="1">
              <w:r w:rsidR="006B051D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Produkt krajowy brutto</w:t>
              </w:r>
            </w:hyperlink>
          </w:p>
          <w:p w:rsidR="00E41F8F" w:rsidRPr="00497EE2" w:rsidRDefault="00656DDE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7" w:tooltip="Link do słownika pojęć stosowanych w statystyce publicznej do opisu pojęcia - wartość dodan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Wartość dodana brutto</w:t>
              </w:r>
            </w:hyperlink>
          </w:p>
          <w:p w:rsidR="00E41F8F" w:rsidRPr="006B051D" w:rsidRDefault="00656DDE" w:rsidP="00497EE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hyperlink r:id="rId28" w:tooltip="Link do słownika pojęć stosowanych w statystyce publicznej do opisu pojęcia - akumulacj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Akumulacja brutto</w:t>
              </w:r>
            </w:hyperlink>
          </w:p>
          <w:p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6B051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82426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6B051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RPr="006B051D" w:rsidRDefault="000470AA" w:rsidP="000470AA">
      <w:pPr>
        <w:rPr>
          <w:sz w:val="20"/>
        </w:rPr>
      </w:pPr>
    </w:p>
    <w:p w:rsidR="000470AA" w:rsidRPr="006B051D" w:rsidRDefault="000470AA" w:rsidP="000470AA">
      <w:pPr>
        <w:rPr>
          <w:sz w:val="18"/>
        </w:rPr>
      </w:pPr>
    </w:p>
    <w:p w:rsidR="00D261A2" w:rsidRPr="006B051D" w:rsidRDefault="00D261A2" w:rsidP="00AD0E56">
      <w:pPr>
        <w:rPr>
          <w:sz w:val="18"/>
        </w:rPr>
      </w:pPr>
    </w:p>
    <w:sectPr w:rsidR="00D261A2" w:rsidRPr="006B051D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39" w:rsidRDefault="00B25B39" w:rsidP="000662E2">
      <w:pPr>
        <w:spacing w:after="0" w:line="240" w:lineRule="auto"/>
      </w:pPr>
      <w:r>
        <w:separator/>
      </w:r>
    </w:p>
  </w:endnote>
  <w:endnote w:type="continuationSeparator" w:id="0">
    <w:p w:rsidR="00B25B39" w:rsidRDefault="00B25B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34E0EE15-4492-492D-891F-54BFEE3C55DD}"/>
    <w:embedBold r:id="rId2" w:fontKey="{9E97BA23-C214-43DF-A9C1-B2B018AF2C4C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B77186B6-2DC5-4FDF-9F98-632FC9838A2D}"/>
    <w:embedBold r:id="rId4" w:fontKey="{2F5FACBD-5849-47A5-9988-D4E506FB24CB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FEC712AB-5924-4943-BD87-BAF940FC8144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D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D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D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39" w:rsidRDefault="00B25B39" w:rsidP="000662E2">
      <w:pPr>
        <w:spacing w:after="0" w:line="240" w:lineRule="auto"/>
      </w:pPr>
      <w:r>
        <w:separator/>
      </w:r>
    </w:p>
  </w:footnote>
  <w:footnote w:type="continuationSeparator" w:id="0">
    <w:p w:rsidR="00B25B39" w:rsidRDefault="00B25B3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056722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A72E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5EA879">
          <wp:simplePos x="0" y="0"/>
          <wp:positionH relativeFrom="column">
            <wp:posOffset>9525</wp:posOffset>
          </wp:positionH>
          <wp:positionV relativeFrom="paragraph">
            <wp:posOffset>143510</wp:posOffset>
          </wp:positionV>
          <wp:extent cx="1150620" cy="441325"/>
          <wp:effectExtent l="0" t="0" r="0" b="0"/>
          <wp:wrapSquare wrapText="bothSides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50620" cy="441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A90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2D21056">
              <wp:simplePos x="0" y="0"/>
              <wp:positionH relativeFrom="column">
                <wp:posOffset>5035639</wp:posOffset>
              </wp:positionH>
              <wp:positionV relativeFrom="paragraph">
                <wp:posOffset>199587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8" alt="Napis &quot;Informacja sygnalna&quot;" style="position:absolute;margin-left:396.5pt;margin-top:15.7pt;width:162.15pt;height:2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ulXQ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733B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5C08018">
              <wp:simplePos x="0" y="0"/>
              <wp:positionH relativeFrom="column">
                <wp:posOffset>5288400</wp:posOffset>
              </wp:positionH>
              <wp:positionV relativeFrom="paragraph">
                <wp:posOffset>265520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31.08.2022 r.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4379C9" w:rsidP="00F049AB">
                          <w:pPr>
                            <w:pStyle w:val="Datainformacjisygnalnej"/>
                          </w:pPr>
                          <w:r>
                            <w:t>31</w:t>
                          </w:r>
                          <w:r w:rsidR="00A7687B">
                            <w:t>.0</w:t>
                          </w:r>
                          <w:r w:rsidR="00BA3A4F">
                            <w:t>8</w:t>
                          </w:r>
                          <w:r w:rsidR="00A7687B">
                            <w:t>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31.08.2022 r.&#10;" style="position:absolute;margin-left:416.4pt;margin-top:20.9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" filled="f" stroked="f">
              <v:textbox>
                <w:txbxContent>
                  <w:p w:rsidR="00F37172" w:rsidRPr="00A01B40" w:rsidRDefault="004379C9" w:rsidP="00F049AB">
                    <w:pPr>
                      <w:pStyle w:val="Datainformacjisygnalnej"/>
                    </w:pPr>
                    <w:r>
                      <w:t>31</w:t>
                    </w:r>
                    <w:r w:rsidR="00A7687B">
                      <w:t>.0</w:t>
                    </w:r>
                    <w:r w:rsidR="00BA3A4F">
                      <w:t>8</w:t>
                    </w:r>
                    <w:r w:rsidR="00A7687B">
                      <w:t>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7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D8713A"/>
    <w:multiLevelType w:val="hybridMultilevel"/>
    <w:tmpl w:val="3118D46C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477045FB"/>
    <w:multiLevelType w:val="hybridMultilevel"/>
    <w:tmpl w:val="EE92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495B"/>
    <w:multiLevelType w:val="hybridMultilevel"/>
    <w:tmpl w:val="B5B8EC78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TrueTypeFonts/>
  <w:saveSubset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039"/>
    <w:rsid w:val="00003437"/>
    <w:rsid w:val="0000709F"/>
    <w:rsid w:val="000108B8"/>
    <w:rsid w:val="000152F5"/>
    <w:rsid w:val="00024D80"/>
    <w:rsid w:val="000271CD"/>
    <w:rsid w:val="0004582E"/>
    <w:rsid w:val="000470AA"/>
    <w:rsid w:val="00057CA1"/>
    <w:rsid w:val="000647A9"/>
    <w:rsid w:val="000662E2"/>
    <w:rsid w:val="00066883"/>
    <w:rsid w:val="0006751C"/>
    <w:rsid w:val="0006798C"/>
    <w:rsid w:val="00071844"/>
    <w:rsid w:val="00071B39"/>
    <w:rsid w:val="000735C5"/>
    <w:rsid w:val="00074DD8"/>
    <w:rsid w:val="00075759"/>
    <w:rsid w:val="000806F7"/>
    <w:rsid w:val="0008145F"/>
    <w:rsid w:val="00097840"/>
    <w:rsid w:val="000A1EE8"/>
    <w:rsid w:val="000A7003"/>
    <w:rsid w:val="000B041C"/>
    <w:rsid w:val="000B0727"/>
    <w:rsid w:val="000B1E4D"/>
    <w:rsid w:val="000C135D"/>
    <w:rsid w:val="000C295C"/>
    <w:rsid w:val="000C7EF7"/>
    <w:rsid w:val="000D1D43"/>
    <w:rsid w:val="000D225C"/>
    <w:rsid w:val="000D2A5C"/>
    <w:rsid w:val="000D39F0"/>
    <w:rsid w:val="000D58DB"/>
    <w:rsid w:val="000D78BB"/>
    <w:rsid w:val="000E0918"/>
    <w:rsid w:val="000E2599"/>
    <w:rsid w:val="000E79A9"/>
    <w:rsid w:val="000F4972"/>
    <w:rsid w:val="001011C3"/>
    <w:rsid w:val="00104E55"/>
    <w:rsid w:val="0010530D"/>
    <w:rsid w:val="00106DA3"/>
    <w:rsid w:val="00107D90"/>
    <w:rsid w:val="00110214"/>
    <w:rsid w:val="00110D87"/>
    <w:rsid w:val="00112399"/>
    <w:rsid w:val="001124F9"/>
    <w:rsid w:val="00114DB9"/>
    <w:rsid w:val="0011541D"/>
    <w:rsid w:val="00116087"/>
    <w:rsid w:val="00117711"/>
    <w:rsid w:val="00120FA6"/>
    <w:rsid w:val="00121F6C"/>
    <w:rsid w:val="001241DC"/>
    <w:rsid w:val="00125D3D"/>
    <w:rsid w:val="00130296"/>
    <w:rsid w:val="00134145"/>
    <w:rsid w:val="0013524E"/>
    <w:rsid w:val="00136736"/>
    <w:rsid w:val="00136740"/>
    <w:rsid w:val="00136D67"/>
    <w:rsid w:val="00141BF6"/>
    <w:rsid w:val="001423B6"/>
    <w:rsid w:val="001448A7"/>
    <w:rsid w:val="00145641"/>
    <w:rsid w:val="00146621"/>
    <w:rsid w:val="001617E3"/>
    <w:rsid w:val="00162325"/>
    <w:rsid w:val="00165E59"/>
    <w:rsid w:val="00167752"/>
    <w:rsid w:val="00175687"/>
    <w:rsid w:val="00183127"/>
    <w:rsid w:val="001838D3"/>
    <w:rsid w:val="00190343"/>
    <w:rsid w:val="00190738"/>
    <w:rsid w:val="001951DA"/>
    <w:rsid w:val="001957B6"/>
    <w:rsid w:val="001A164B"/>
    <w:rsid w:val="001A48B0"/>
    <w:rsid w:val="001A7F9E"/>
    <w:rsid w:val="001B053D"/>
    <w:rsid w:val="001B4DBF"/>
    <w:rsid w:val="001B5803"/>
    <w:rsid w:val="001C3269"/>
    <w:rsid w:val="001C5A2E"/>
    <w:rsid w:val="001D19B6"/>
    <w:rsid w:val="001D1DB4"/>
    <w:rsid w:val="001D23F1"/>
    <w:rsid w:val="001D25F9"/>
    <w:rsid w:val="001D61ED"/>
    <w:rsid w:val="001E5B2D"/>
    <w:rsid w:val="001E6D61"/>
    <w:rsid w:val="001F5E50"/>
    <w:rsid w:val="0020156C"/>
    <w:rsid w:val="002068DA"/>
    <w:rsid w:val="00214812"/>
    <w:rsid w:val="00216634"/>
    <w:rsid w:val="00222BA1"/>
    <w:rsid w:val="0022492E"/>
    <w:rsid w:val="00225176"/>
    <w:rsid w:val="002335F4"/>
    <w:rsid w:val="00242D31"/>
    <w:rsid w:val="002532F2"/>
    <w:rsid w:val="0025481E"/>
    <w:rsid w:val="00254A93"/>
    <w:rsid w:val="00257268"/>
    <w:rsid w:val="002574F9"/>
    <w:rsid w:val="00262B61"/>
    <w:rsid w:val="00262CC6"/>
    <w:rsid w:val="00263E08"/>
    <w:rsid w:val="00276811"/>
    <w:rsid w:val="00276D35"/>
    <w:rsid w:val="00282699"/>
    <w:rsid w:val="002926DF"/>
    <w:rsid w:val="00293816"/>
    <w:rsid w:val="00296522"/>
    <w:rsid w:val="00296697"/>
    <w:rsid w:val="002B0472"/>
    <w:rsid w:val="002B6B12"/>
    <w:rsid w:val="002C0414"/>
    <w:rsid w:val="002C21F0"/>
    <w:rsid w:val="002C38FC"/>
    <w:rsid w:val="002D01DF"/>
    <w:rsid w:val="002E3EB3"/>
    <w:rsid w:val="002E6140"/>
    <w:rsid w:val="002E6985"/>
    <w:rsid w:val="002E71B6"/>
    <w:rsid w:val="002F35F6"/>
    <w:rsid w:val="002F5479"/>
    <w:rsid w:val="002F77C8"/>
    <w:rsid w:val="00302E31"/>
    <w:rsid w:val="00302E9A"/>
    <w:rsid w:val="00304F22"/>
    <w:rsid w:val="0030627E"/>
    <w:rsid w:val="00306C7C"/>
    <w:rsid w:val="00312C86"/>
    <w:rsid w:val="00314F86"/>
    <w:rsid w:val="0031539E"/>
    <w:rsid w:val="00317F4D"/>
    <w:rsid w:val="00320E64"/>
    <w:rsid w:val="00322EDD"/>
    <w:rsid w:val="003309FA"/>
    <w:rsid w:val="00332320"/>
    <w:rsid w:val="00347A4F"/>
    <w:rsid w:val="00347D72"/>
    <w:rsid w:val="00353F45"/>
    <w:rsid w:val="003553B4"/>
    <w:rsid w:val="0035721D"/>
    <w:rsid w:val="00357611"/>
    <w:rsid w:val="00357C04"/>
    <w:rsid w:val="0036432A"/>
    <w:rsid w:val="00364AF9"/>
    <w:rsid w:val="0036722F"/>
    <w:rsid w:val="00367237"/>
    <w:rsid w:val="0037077F"/>
    <w:rsid w:val="00371066"/>
    <w:rsid w:val="00372411"/>
    <w:rsid w:val="00373882"/>
    <w:rsid w:val="0037799D"/>
    <w:rsid w:val="003779D2"/>
    <w:rsid w:val="003814BF"/>
    <w:rsid w:val="00383C75"/>
    <w:rsid w:val="003843DB"/>
    <w:rsid w:val="003857CB"/>
    <w:rsid w:val="00393761"/>
    <w:rsid w:val="00394ACB"/>
    <w:rsid w:val="00394E26"/>
    <w:rsid w:val="003962F7"/>
    <w:rsid w:val="00396691"/>
    <w:rsid w:val="00396F98"/>
    <w:rsid w:val="00397BF0"/>
    <w:rsid w:val="00397D18"/>
    <w:rsid w:val="003A1B36"/>
    <w:rsid w:val="003B1454"/>
    <w:rsid w:val="003B18B6"/>
    <w:rsid w:val="003B4532"/>
    <w:rsid w:val="003C161B"/>
    <w:rsid w:val="003C4411"/>
    <w:rsid w:val="003C49D5"/>
    <w:rsid w:val="003C59E0"/>
    <w:rsid w:val="003C6C8D"/>
    <w:rsid w:val="003C6EBC"/>
    <w:rsid w:val="003D1DEA"/>
    <w:rsid w:val="003D2656"/>
    <w:rsid w:val="003D4F95"/>
    <w:rsid w:val="003D5F42"/>
    <w:rsid w:val="003D60A9"/>
    <w:rsid w:val="003E4367"/>
    <w:rsid w:val="003F0020"/>
    <w:rsid w:val="003F4C97"/>
    <w:rsid w:val="003F666D"/>
    <w:rsid w:val="003F7FE6"/>
    <w:rsid w:val="00400193"/>
    <w:rsid w:val="00405397"/>
    <w:rsid w:val="00406F85"/>
    <w:rsid w:val="0041404F"/>
    <w:rsid w:val="004148A7"/>
    <w:rsid w:val="00416E81"/>
    <w:rsid w:val="00416EAF"/>
    <w:rsid w:val="00420876"/>
    <w:rsid w:val="004212E7"/>
    <w:rsid w:val="00423C88"/>
    <w:rsid w:val="0042446D"/>
    <w:rsid w:val="0042458A"/>
    <w:rsid w:val="00424977"/>
    <w:rsid w:val="004249D2"/>
    <w:rsid w:val="00427B39"/>
    <w:rsid w:val="00427BF8"/>
    <w:rsid w:val="00430687"/>
    <w:rsid w:val="00431C02"/>
    <w:rsid w:val="00436F89"/>
    <w:rsid w:val="00437395"/>
    <w:rsid w:val="004379C9"/>
    <w:rsid w:val="00437D5B"/>
    <w:rsid w:val="004444EA"/>
    <w:rsid w:val="00444795"/>
    <w:rsid w:val="00445047"/>
    <w:rsid w:val="00446749"/>
    <w:rsid w:val="0045222A"/>
    <w:rsid w:val="00453EB7"/>
    <w:rsid w:val="004546A1"/>
    <w:rsid w:val="004565FB"/>
    <w:rsid w:val="00463E39"/>
    <w:rsid w:val="00465585"/>
    <w:rsid w:val="004657FC"/>
    <w:rsid w:val="0046721B"/>
    <w:rsid w:val="004733F6"/>
    <w:rsid w:val="00474E69"/>
    <w:rsid w:val="004771D7"/>
    <w:rsid w:val="00483E9F"/>
    <w:rsid w:val="00485A2C"/>
    <w:rsid w:val="00490D6C"/>
    <w:rsid w:val="00492C36"/>
    <w:rsid w:val="00493659"/>
    <w:rsid w:val="0049621B"/>
    <w:rsid w:val="00497EE2"/>
    <w:rsid w:val="004A1D19"/>
    <w:rsid w:val="004A2D49"/>
    <w:rsid w:val="004B0CFC"/>
    <w:rsid w:val="004B34E3"/>
    <w:rsid w:val="004B4E78"/>
    <w:rsid w:val="004C1895"/>
    <w:rsid w:val="004C6D40"/>
    <w:rsid w:val="004D4A27"/>
    <w:rsid w:val="004D775E"/>
    <w:rsid w:val="004D7806"/>
    <w:rsid w:val="004E6AA8"/>
    <w:rsid w:val="004E6B92"/>
    <w:rsid w:val="004F0C3C"/>
    <w:rsid w:val="004F2280"/>
    <w:rsid w:val="004F23BB"/>
    <w:rsid w:val="004F4468"/>
    <w:rsid w:val="004F63FC"/>
    <w:rsid w:val="00502A4C"/>
    <w:rsid w:val="00505A92"/>
    <w:rsid w:val="00512511"/>
    <w:rsid w:val="00513AAE"/>
    <w:rsid w:val="00515986"/>
    <w:rsid w:val="005203F1"/>
    <w:rsid w:val="00521BC3"/>
    <w:rsid w:val="00523C5A"/>
    <w:rsid w:val="00531873"/>
    <w:rsid w:val="00533632"/>
    <w:rsid w:val="00534013"/>
    <w:rsid w:val="005374C0"/>
    <w:rsid w:val="00540C5C"/>
    <w:rsid w:val="00541E6E"/>
    <w:rsid w:val="0054251F"/>
    <w:rsid w:val="00551F1A"/>
    <w:rsid w:val="005520D8"/>
    <w:rsid w:val="00555CFB"/>
    <w:rsid w:val="00556875"/>
    <w:rsid w:val="00556ADB"/>
    <w:rsid w:val="00556CF1"/>
    <w:rsid w:val="00572B93"/>
    <w:rsid w:val="00574A8D"/>
    <w:rsid w:val="005762A7"/>
    <w:rsid w:val="00580B5E"/>
    <w:rsid w:val="00587CEE"/>
    <w:rsid w:val="005916D7"/>
    <w:rsid w:val="0059427F"/>
    <w:rsid w:val="005A0CBF"/>
    <w:rsid w:val="005A698C"/>
    <w:rsid w:val="005A7AF9"/>
    <w:rsid w:val="005B1737"/>
    <w:rsid w:val="005B1C18"/>
    <w:rsid w:val="005C0CAC"/>
    <w:rsid w:val="005C49DE"/>
    <w:rsid w:val="005D062E"/>
    <w:rsid w:val="005D2F6B"/>
    <w:rsid w:val="005D7F74"/>
    <w:rsid w:val="005E0799"/>
    <w:rsid w:val="005E10F9"/>
    <w:rsid w:val="005E1200"/>
    <w:rsid w:val="005F45EE"/>
    <w:rsid w:val="005F4BD0"/>
    <w:rsid w:val="005F5A80"/>
    <w:rsid w:val="00602785"/>
    <w:rsid w:val="006044FF"/>
    <w:rsid w:val="00607CC5"/>
    <w:rsid w:val="0061179B"/>
    <w:rsid w:val="006125F9"/>
    <w:rsid w:val="00614E43"/>
    <w:rsid w:val="00633014"/>
    <w:rsid w:val="0063303D"/>
    <w:rsid w:val="0063437B"/>
    <w:rsid w:val="0064017E"/>
    <w:rsid w:val="00654BB6"/>
    <w:rsid w:val="00655145"/>
    <w:rsid w:val="00655EF9"/>
    <w:rsid w:val="00656DDE"/>
    <w:rsid w:val="006673CA"/>
    <w:rsid w:val="00673C26"/>
    <w:rsid w:val="00674D8D"/>
    <w:rsid w:val="00674DE5"/>
    <w:rsid w:val="00677AA0"/>
    <w:rsid w:val="00677ACA"/>
    <w:rsid w:val="006812AF"/>
    <w:rsid w:val="0068327D"/>
    <w:rsid w:val="0068569B"/>
    <w:rsid w:val="00690FF0"/>
    <w:rsid w:val="00691534"/>
    <w:rsid w:val="00693880"/>
    <w:rsid w:val="00694AF0"/>
    <w:rsid w:val="006A39AB"/>
    <w:rsid w:val="006A4686"/>
    <w:rsid w:val="006A49F5"/>
    <w:rsid w:val="006B051D"/>
    <w:rsid w:val="006B0E9E"/>
    <w:rsid w:val="006B486D"/>
    <w:rsid w:val="006B5AE4"/>
    <w:rsid w:val="006D1507"/>
    <w:rsid w:val="006D4054"/>
    <w:rsid w:val="006E02EC"/>
    <w:rsid w:val="006E3C4F"/>
    <w:rsid w:val="006E5E80"/>
    <w:rsid w:val="006E6F41"/>
    <w:rsid w:val="006E73E6"/>
    <w:rsid w:val="007119AD"/>
    <w:rsid w:val="00712D10"/>
    <w:rsid w:val="00713ECE"/>
    <w:rsid w:val="007211B1"/>
    <w:rsid w:val="00721E45"/>
    <w:rsid w:val="007277DA"/>
    <w:rsid w:val="00731D27"/>
    <w:rsid w:val="0073587C"/>
    <w:rsid w:val="00743B0E"/>
    <w:rsid w:val="00746187"/>
    <w:rsid w:val="0075123F"/>
    <w:rsid w:val="00755965"/>
    <w:rsid w:val="0076254F"/>
    <w:rsid w:val="00762A71"/>
    <w:rsid w:val="00763C36"/>
    <w:rsid w:val="00767EE3"/>
    <w:rsid w:val="007801F5"/>
    <w:rsid w:val="00783CA4"/>
    <w:rsid w:val="007842FB"/>
    <w:rsid w:val="00786124"/>
    <w:rsid w:val="00790B92"/>
    <w:rsid w:val="00793080"/>
    <w:rsid w:val="0079514B"/>
    <w:rsid w:val="00795252"/>
    <w:rsid w:val="0079640A"/>
    <w:rsid w:val="00796F94"/>
    <w:rsid w:val="007A0C73"/>
    <w:rsid w:val="007A2DC1"/>
    <w:rsid w:val="007C7D79"/>
    <w:rsid w:val="007C7DEF"/>
    <w:rsid w:val="007D0869"/>
    <w:rsid w:val="007D14C4"/>
    <w:rsid w:val="007D27C3"/>
    <w:rsid w:val="007D3319"/>
    <w:rsid w:val="007D335D"/>
    <w:rsid w:val="007D52C5"/>
    <w:rsid w:val="007D605C"/>
    <w:rsid w:val="007E2947"/>
    <w:rsid w:val="007E3314"/>
    <w:rsid w:val="007E3514"/>
    <w:rsid w:val="007E4B03"/>
    <w:rsid w:val="007E7D57"/>
    <w:rsid w:val="007F0623"/>
    <w:rsid w:val="007F324B"/>
    <w:rsid w:val="007F5D28"/>
    <w:rsid w:val="007F7841"/>
    <w:rsid w:val="008000ED"/>
    <w:rsid w:val="008011CE"/>
    <w:rsid w:val="00804553"/>
    <w:rsid w:val="0080553C"/>
    <w:rsid w:val="00805B46"/>
    <w:rsid w:val="00805DB4"/>
    <w:rsid w:val="00817841"/>
    <w:rsid w:val="00822F52"/>
    <w:rsid w:val="0082329B"/>
    <w:rsid w:val="00823593"/>
    <w:rsid w:val="00825DC2"/>
    <w:rsid w:val="00830A29"/>
    <w:rsid w:val="00832911"/>
    <w:rsid w:val="00834AD3"/>
    <w:rsid w:val="008357A2"/>
    <w:rsid w:val="00843795"/>
    <w:rsid w:val="00847F0F"/>
    <w:rsid w:val="00852448"/>
    <w:rsid w:val="00852F39"/>
    <w:rsid w:val="00853852"/>
    <w:rsid w:val="00855AFE"/>
    <w:rsid w:val="00862F06"/>
    <w:rsid w:val="008776D3"/>
    <w:rsid w:val="00877F6C"/>
    <w:rsid w:val="0088258A"/>
    <w:rsid w:val="00885DE0"/>
    <w:rsid w:val="00886332"/>
    <w:rsid w:val="008925F0"/>
    <w:rsid w:val="0089448A"/>
    <w:rsid w:val="00897398"/>
    <w:rsid w:val="00897877"/>
    <w:rsid w:val="008A26D9"/>
    <w:rsid w:val="008A3A5C"/>
    <w:rsid w:val="008A7B5B"/>
    <w:rsid w:val="008B12D2"/>
    <w:rsid w:val="008C0C29"/>
    <w:rsid w:val="008C51EE"/>
    <w:rsid w:val="008C75A9"/>
    <w:rsid w:val="008D02DA"/>
    <w:rsid w:val="008D1F28"/>
    <w:rsid w:val="008D66EC"/>
    <w:rsid w:val="008D76BC"/>
    <w:rsid w:val="008E216C"/>
    <w:rsid w:val="008E2C17"/>
    <w:rsid w:val="008E7DBA"/>
    <w:rsid w:val="008F0829"/>
    <w:rsid w:val="008F22DB"/>
    <w:rsid w:val="008F3638"/>
    <w:rsid w:val="008F4441"/>
    <w:rsid w:val="008F6B20"/>
    <w:rsid w:val="008F6F31"/>
    <w:rsid w:val="008F71C5"/>
    <w:rsid w:val="008F74DF"/>
    <w:rsid w:val="00902274"/>
    <w:rsid w:val="00903B09"/>
    <w:rsid w:val="009068B3"/>
    <w:rsid w:val="009127BA"/>
    <w:rsid w:val="00913FFD"/>
    <w:rsid w:val="00920AAE"/>
    <w:rsid w:val="009227A6"/>
    <w:rsid w:val="00925BA4"/>
    <w:rsid w:val="00931D05"/>
    <w:rsid w:val="00933EC1"/>
    <w:rsid w:val="009378AE"/>
    <w:rsid w:val="00941A1A"/>
    <w:rsid w:val="009446AD"/>
    <w:rsid w:val="00947A5D"/>
    <w:rsid w:val="009530DB"/>
    <w:rsid w:val="00953676"/>
    <w:rsid w:val="00956F30"/>
    <w:rsid w:val="00966C9A"/>
    <w:rsid w:val="009705EE"/>
    <w:rsid w:val="00971C0F"/>
    <w:rsid w:val="00977927"/>
    <w:rsid w:val="0098135C"/>
    <w:rsid w:val="0098156A"/>
    <w:rsid w:val="00984F03"/>
    <w:rsid w:val="00985FBE"/>
    <w:rsid w:val="009879CE"/>
    <w:rsid w:val="00991BAC"/>
    <w:rsid w:val="0099757D"/>
    <w:rsid w:val="009A6EA0"/>
    <w:rsid w:val="009C1335"/>
    <w:rsid w:val="009C1AB2"/>
    <w:rsid w:val="009C7251"/>
    <w:rsid w:val="009D73AD"/>
    <w:rsid w:val="009E0384"/>
    <w:rsid w:val="009E2E91"/>
    <w:rsid w:val="009E3B4D"/>
    <w:rsid w:val="00A01B40"/>
    <w:rsid w:val="00A02B15"/>
    <w:rsid w:val="00A139F5"/>
    <w:rsid w:val="00A218DA"/>
    <w:rsid w:val="00A32DA4"/>
    <w:rsid w:val="00A32E16"/>
    <w:rsid w:val="00A365F4"/>
    <w:rsid w:val="00A47D80"/>
    <w:rsid w:val="00A501B8"/>
    <w:rsid w:val="00A53132"/>
    <w:rsid w:val="00A563F2"/>
    <w:rsid w:val="00A566E8"/>
    <w:rsid w:val="00A66347"/>
    <w:rsid w:val="00A7687B"/>
    <w:rsid w:val="00A810F9"/>
    <w:rsid w:val="00A82D31"/>
    <w:rsid w:val="00A85E7E"/>
    <w:rsid w:val="00A86ECC"/>
    <w:rsid w:val="00A86FCC"/>
    <w:rsid w:val="00A90A6D"/>
    <w:rsid w:val="00A971E5"/>
    <w:rsid w:val="00AA0F92"/>
    <w:rsid w:val="00AA25C1"/>
    <w:rsid w:val="00AA710D"/>
    <w:rsid w:val="00AB15B7"/>
    <w:rsid w:val="00AB4200"/>
    <w:rsid w:val="00AB64F3"/>
    <w:rsid w:val="00AB6D25"/>
    <w:rsid w:val="00AD0E56"/>
    <w:rsid w:val="00AD1DFF"/>
    <w:rsid w:val="00AE08FA"/>
    <w:rsid w:val="00AE229B"/>
    <w:rsid w:val="00AE2D4B"/>
    <w:rsid w:val="00AE3A6B"/>
    <w:rsid w:val="00AE4F99"/>
    <w:rsid w:val="00AE5849"/>
    <w:rsid w:val="00AF6C4C"/>
    <w:rsid w:val="00B00C24"/>
    <w:rsid w:val="00B07E03"/>
    <w:rsid w:val="00B11B69"/>
    <w:rsid w:val="00B13463"/>
    <w:rsid w:val="00B14952"/>
    <w:rsid w:val="00B16871"/>
    <w:rsid w:val="00B23760"/>
    <w:rsid w:val="00B25B39"/>
    <w:rsid w:val="00B25B45"/>
    <w:rsid w:val="00B2669E"/>
    <w:rsid w:val="00B26930"/>
    <w:rsid w:val="00B2797F"/>
    <w:rsid w:val="00B304A7"/>
    <w:rsid w:val="00B31E5A"/>
    <w:rsid w:val="00B3445F"/>
    <w:rsid w:val="00B353FC"/>
    <w:rsid w:val="00B410F3"/>
    <w:rsid w:val="00B47359"/>
    <w:rsid w:val="00B50AE2"/>
    <w:rsid w:val="00B653AB"/>
    <w:rsid w:val="00B65F9E"/>
    <w:rsid w:val="00B66B19"/>
    <w:rsid w:val="00B66D50"/>
    <w:rsid w:val="00B7386E"/>
    <w:rsid w:val="00B84C43"/>
    <w:rsid w:val="00B861B7"/>
    <w:rsid w:val="00B87262"/>
    <w:rsid w:val="00B914E9"/>
    <w:rsid w:val="00B915B5"/>
    <w:rsid w:val="00B956EE"/>
    <w:rsid w:val="00B97FAE"/>
    <w:rsid w:val="00BA0EC9"/>
    <w:rsid w:val="00BA2BA1"/>
    <w:rsid w:val="00BA3447"/>
    <w:rsid w:val="00BA3562"/>
    <w:rsid w:val="00BA3A4F"/>
    <w:rsid w:val="00BB4F09"/>
    <w:rsid w:val="00BB54B5"/>
    <w:rsid w:val="00BC15B4"/>
    <w:rsid w:val="00BC671B"/>
    <w:rsid w:val="00BD26B1"/>
    <w:rsid w:val="00BD4E33"/>
    <w:rsid w:val="00BD7D03"/>
    <w:rsid w:val="00BD7E86"/>
    <w:rsid w:val="00BE286B"/>
    <w:rsid w:val="00BE2A6E"/>
    <w:rsid w:val="00BE4714"/>
    <w:rsid w:val="00BE7510"/>
    <w:rsid w:val="00BF3D2B"/>
    <w:rsid w:val="00C030DE"/>
    <w:rsid w:val="00C04A2C"/>
    <w:rsid w:val="00C051A8"/>
    <w:rsid w:val="00C20A02"/>
    <w:rsid w:val="00C22105"/>
    <w:rsid w:val="00C240A6"/>
    <w:rsid w:val="00C244B6"/>
    <w:rsid w:val="00C25903"/>
    <w:rsid w:val="00C25EA3"/>
    <w:rsid w:val="00C26D0A"/>
    <w:rsid w:val="00C27BF1"/>
    <w:rsid w:val="00C33B6E"/>
    <w:rsid w:val="00C3702F"/>
    <w:rsid w:val="00C4500A"/>
    <w:rsid w:val="00C52A90"/>
    <w:rsid w:val="00C57257"/>
    <w:rsid w:val="00C62238"/>
    <w:rsid w:val="00C64A37"/>
    <w:rsid w:val="00C662DB"/>
    <w:rsid w:val="00C7158E"/>
    <w:rsid w:val="00C7250B"/>
    <w:rsid w:val="00C7346B"/>
    <w:rsid w:val="00C77C0E"/>
    <w:rsid w:val="00C84F22"/>
    <w:rsid w:val="00C91687"/>
    <w:rsid w:val="00C924A8"/>
    <w:rsid w:val="00C945FE"/>
    <w:rsid w:val="00C96FAA"/>
    <w:rsid w:val="00C97A04"/>
    <w:rsid w:val="00CA107B"/>
    <w:rsid w:val="00CA484D"/>
    <w:rsid w:val="00CA4FB6"/>
    <w:rsid w:val="00CB232B"/>
    <w:rsid w:val="00CB2F90"/>
    <w:rsid w:val="00CB6AD4"/>
    <w:rsid w:val="00CB6E4F"/>
    <w:rsid w:val="00CC739E"/>
    <w:rsid w:val="00CD057C"/>
    <w:rsid w:val="00CD1170"/>
    <w:rsid w:val="00CD1EBB"/>
    <w:rsid w:val="00CD28CF"/>
    <w:rsid w:val="00CD58B7"/>
    <w:rsid w:val="00CD7967"/>
    <w:rsid w:val="00CE2C32"/>
    <w:rsid w:val="00CE5A5B"/>
    <w:rsid w:val="00CF1731"/>
    <w:rsid w:val="00CF18EE"/>
    <w:rsid w:val="00CF30BD"/>
    <w:rsid w:val="00CF4099"/>
    <w:rsid w:val="00D00796"/>
    <w:rsid w:val="00D0091C"/>
    <w:rsid w:val="00D0418B"/>
    <w:rsid w:val="00D138BC"/>
    <w:rsid w:val="00D20B70"/>
    <w:rsid w:val="00D261A2"/>
    <w:rsid w:val="00D346DA"/>
    <w:rsid w:val="00D616D2"/>
    <w:rsid w:val="00D61B59"/>
    <w:rsid w:val="00D63B5F"/>
    <w:rsid w:val="00D707AB"/>
    <w:rsid w:val="00D70EF7"/>
    <w:rsid w:val="00D721B5"/>
    <w:rsid w:val="00D76F3D"/>
    <w:rsid w:val="00D82606"/>
    <w:rsid w:val="00D8397C"/>
    <w:rsid w:val="00D850BB"/>
    <w:rsid w:val="00D94EED"/>
    <w:rsid w:val="00D96026"/>
    <w:rsid w:val="00D972F6"/>
    <w:rsid w:val="00DA331D"/>
    <w:rsid w:val="00DA615A"/>
    <w:rsid w:val="00DA72EF"/>
    <w:rsid w:val="00DA7C1C"/>
    <w:rsid w:val="00DB0FCF"/>
    <w:rsid w:val="00DB147A"/>
    <w:rsid w:val="00DB1B7A"/>
    <w:rsid w:val="00DB370C"/>
    <w:rsid w:val="00DB706E"/>
    <w:rsid w:val="00DB70AA"/>
    <w:rsid w:val="00DB73E8"/>
    <w:rsid w:val="00DC4927"/>
    <w:rsid w:val="00DC6708"/>
    <w:rsid w:val="00DD011A"/>
    <w:rsid w:val="00DD6DC7"/>
    <w:rsid w:val="00DE2400"/>
    <w:rsid w:val="00DE58F1"/>
    <w:rsid w:val="00DE6B58"/>
    <w:rsid w:val="00DF5E32"/>
    <w:rsid w:val="00DF6985"/>
    <w:rsid w:val="00E0115F"/>
    <w:rsid w:val="00E01436"/>
    <w:rsid w:val="00E0323C"/>
    <w:rsid w:val="00E03E79"/>
    <w:rsid w:val="00E045BD"/>
    <w:rsid w:val="00E04D6C"/>
    <w:rsid w:val="00E062CC"/>
    <w:rsid w:val="00E121DA"/>
    <w:rsid w:val="00E12A4C"/>
    <w:rsid w:val="00E17B77"/>
    <w:rsid w:val="00E231AB"/>
    <w:rsid w:val="00E23337"/>
    <w:rsid w:val="00E259EA"/>
    <w:rsid w:val="00E25D33"/>
    <w:rsid w:val="00E26A29"/>
    <w:rsid w:val="00E312BC"/>
    <w:rsid w:val="00E32061"/>
    <w:rsid w:val="00E33290"/>
    <w:rsid w:val="00E33F48"/>
    <w:rsid w:val="00E34AA3"/>
    <w:rsid w:val="00E3507E"/>
    <w:rsid w:val="00E41F8F"/>
    <w:rsid w:val="00E42FF9"/>
    <w:rsid w:val="00E44790"/>
    <w:rsid w:val="00E4714C"/>
    <w:rsid w:val="00E5114F"/>
    <w:rsid w:val="00E5178D"/>
    <w:rsid w:val="00E51AEB"/>
    <w:rsid w:val="00E522A7"/>
    <w:rsid w:val="00E5349E"/>
    <w:rsid w:val="00E54452"/>
    <w:rsid w:val="00E549E3"/>
    <w:rsid w:val="00E63B0C"/>
    <w:rsid w:val="00E664C5"/>
    <w:rsid w:val="00E671A2"/>
    <w:rsid w:val="00E7628B"/>
    <w:rsid w:val="00E76D26"/>
    <w:rsid w:val="00E76EE5"/>
    <w:rsid w:val="00E802C9"/>
    <w:rsid w:val="00E82426"/>
    <w:rsid w:val="00E93F80"/>
    <w:rsid w:val="00E95036"/>
    <w:rsid w:val="00E95B8E"/>
    <w:rsid w:val="00EA0A38"/>
    <w:rsid w:val="00EA1E9B"/>
    <w:rsid w:val="00EA47DE"/>
    <w:rsid w:val="00EB1390"/>
    <w:rsid w:val="00EB2C71"/>
    <w:rsid w:val="00EB3333"/>
    <w:rsid w:val="00EB4340"/>
    <w:rsid w:val="00EB556D"/>
    <w:rsid w:val="00EB5A7D"/>
    <w:rsid w:val="00EC4458"/>
    <w:rsid w:val="00ED2C35"/>
    <w:rsid w:val="00ED55C0"/>
    <w:rsid w:val="00ED5B33"/>
    <w:rsid w:val="00ED682B"/>
    <w:rsid w:val="00ED78AD"/>
    <w:rsid w:val="00EE27C5"/>
    <w:rsid w:val="00EE2DB9"/>
    <w:rsid w:val="00EE41D5"/>
    <w:rsid w:val="00F0166F"/>
    <w:rsid w:val="00F02940"/>
    <w:rsid w:val="00F02BD1"/>
    <w:rsid w:val="00F031A8"/>
    <w:rsid w:val="00F037A4"/>
    <w:rsid w:val="00F049AB"/>
    <w:rsid w:val="00F142DB"/>
    <w:rsid w:val="00F20BAA"/>
    <w:rsid w:val="00F27C8F"/>
    <w:rsid w:val="00F30126"/>
    <w:rsid w:val="00F32749"/>
    <w:rsid w:val="00F37172"/>
    <w:rsid w:val="00F440D5"/>
    <w:rsid w:val="00F44426"/>
    <w:rsid w:val="00F4477E"/>
    <w:rsid w:val="00F46269"/>
    <w:rsid w:val="00F53285"/>
    <w:rsid w:val="00F56456"/>
    <w:rsid w:val="00F60BA8"/>
    <w:rsid w:val="00F63D31"/>
    <w:rsid w:val="00F67D8F"/>
    <w:rsid w:val="00F71B06"/>
    <w:rsid w:val="00F7674A"/>
    <w:rsid w:val="00F802BE"/>
    <w:rsid w:val="00F80E93"/>
    <w:rsid w:val="00F83C6D"/>
    <w:rsid w:val="00F86024"/>
    <w:rsid w:val="00F8611A"/>
    <w:rsid w:val="00F91A4D"/>
    <w:rsid w:val="00F955B6"/>
    <w:rsid w:val="00FA1845"/>
    <w:rsid w:val="00FA5128"/>
    <w:rsid w:val="00FB42D4"/>
    <w:rsid w:val="00FB5906"/>
    <w:rsid w:val="00FB762F"/>
    <w:rsid w:val="00FC2876"/>
    <w:rsid w:val="00FC2AED"/>
    <w:rsid w:val="00FC317F"/>
    <w:rsid w:val="00FD08AE"/>
    <w:rsid w:val="00FD5EA7"/>
    <w:rsid w:val="00FE36CF"/>
    <w:rsid w:val="00FE7A28"/>
    <w:rsid w:val="00FF0246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E7D57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styleId="Zwykatabela1">
    <w:name w:val="Plain Table 1"/>
    <w:basedOn w:val="Standardowy"/>
    <w:uiPriority w:val="41"/>
    <w:rsid w:val="00F301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20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CE5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RachunkiNarodowe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obszary-tematyczne/rachunki-narodowe/kwartalne-rachunki-narodowe/szybki-szacunek-produktu-krajowego-brutto-za-drugi-kwartal-2022-roku,1,38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6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563,pojecie.html" TargetMode="External"/><Relationship Id="rId30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sharepoint/v3"/>
    <ds:schemaRef ds:uri="8C029B3F-2CC4-4A59-AF0D-A90575FA3373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10F03-3FE6-4E8C-A82D-A93D65B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2022-05-27T15:04:00Z</cp:lastPrinted>
  <dcterms:created xsi:type="dcterms:W3CDTF">2022-05-29T13:29:00Z</dcterms:created>
  <dcterms:modified xsi:type="dcterms:W3CDTF">2022-08-31T05:02:00Z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