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691E41D"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9068B3">
        <w:t>1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9068B3">
        <w:t>2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1E690351" w14:textId="3537A4E4"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C41894B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8,5&#10;Dynamika realna PKB w 1 kwartale 2022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CF746D4"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56875">
                              <w:rPr>
                                <w:rStyle w:val="WartowskanikaZnak"/>
                              </w:rPr>
                              <w:t>108,5</w:t>
                            </w:r>
                          </w:p>
                          <w:p w14:paraId="63B3F253" w14:textId="04C6C190"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9068B3">
                              <w:t>1</w:t>
                            </w:r>
                            <w:r w:rsidR="00822F52" w:rsidRPr="00822F52">
                              <w:t xml:space="preserve"> kwartale 202</w:t>
                            </w:r>
                            <w:r w:rsidR="009068B3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pis wskaźnika:  108,5&#10;Dynamika realna PKB w 1 kwartale 2022 r. 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" fillcolor="#001d77" stroked="f">
                <v:stroke joinstyle="miter"/>
                <v:textbox>
                  <w:txbxContent>
                    <w:p w14:paraId="30951E30" w14:textId="1CF746D4"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56875">
                        <w:rPr>
                          <w:rStyle w:val="WartowskanikaZnak"/>
                        </w:rPr>
                        <w:t>108,5</w:t>
                      </w:r>
                    </w:p>
                    <w:p w14:paraId="63B3F253" w14:textId="04C6C190"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9068B3">
                        <w:t>1</w:t>
                      </w:r>
                      <w:r w:rsidR="00822F52" w:rsidRPr="00822F52">
                        <w:t xml:space="preserve"> kwartale 202</w:t>
                      </w:r>
                      <w:r w:rsidR="009068B3">
                        <w:t>2</w:t>
                      </w:r>
                      <w:r w:rsidR="00822F52" w:rsidRPr="00822F52"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9068B3">
        <w:t>1</w:t>
      </w:r>
      <w:r w:rsidR="00371066">
        <w:t xml:space="preserve"> kwartale 202</w:t>
      </w:r>
      <w:r w:rsidR="009068B3">
        <w:t>2</w:t>
      </w:r>
      <w:r w:rsidR="00371066">
        <w:t xml:space="preserve"> r. </w:t>
      </w:r>
      <w:r w:rsidR="00F91A4D">
        <w:t xml:space="preserve">wzrósł </w:t>
      </w:r>
      <w:r w:rsidR="00822F52">
        <w:t>re</w:t>
      </w:r>
      <w:r w:rsidR="00CE2C32">
        <w:t>al</w:t>
      </w:r>
      <w:r w:rsidR="00822F52">
        <w:t>nie</w:t>
      </w:r>
      <w:r w:rsidR="009068B3">
        <w:br/>
      </w:r>
      <w:r w:rsidR="00822F52">
        <w:t xml:space="preserve"> o </w:t>
      </w:r>
      <w:r w:rsidR="00B97FAE">
        <w:t>8,5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spadku o </w:t>
      </w:r>
      <w:r w:rsidR="009068B3">
        <w:t>0,6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941A1A">
        <w:t>1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66C68F79" w14:textId="77777777"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14:paraId="5634AE6E" w14:textId="3D2CFDD7" w:rsidR="00371066" w:rsidRPr="00512511" w:rsidRDefault="000647A9" w:rsidP="000C7EF7">
      <w:pPr>
        <w:pStyle w:val="Nagwek1"/>
        <w:spacing w:before="480"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A289F03"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1A289F03"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4379C9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4379C9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wzrósł realnie o </w:t>
      </w:r>
      <w:r w:rsidR="00B97FAE">
        <w:rPr>
          <w:rFonts w:ascii="Fira Sans" w:hAnsi="Fira Sans"/>
          <w:color w:val="auto"/>
          <w:szCs w:val="19"/>
        </w:rPr>
        <w:t>2,5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B97FAE">
        <w:rPr>
          <w:rFonts w:ascii="Fira Sans" w:hAnsi="Fira Sans"/>
          <w:color w:val="auto"/>
          <w:szCs w:val="19"/>
        </w:rPr>
        <w:t>9,2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14:paraId="6189446F" w14:textId="172C4130" w:rsidR="00DE6B58" w:rsidRPr="00512511" w:rsidRDefault="00BD26B1" w:rsidP="00767E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556875">
        <w:rPr>
          <w:rFonts w:eastAsia="Times New Roman" w:cs="Times New Roman"/>
          <w:szCs w:val="19"/>
          <w:lang w:eastAsia="pl-PL"/>
        </w:rPr>
        <w:t>8,5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4379C9">
        <w:rPr>
          <w:rFonts w:eastAsia="Times New Roman" w:cs="Times New Roman"/>
          <w:szCs w:val="19"/>
          <w:lang w:eastAsia="pl-PL"/>
        </w:rPr>
        <w:t>1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14:paraId="7C36352D" w14:textId="0E92909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 kwartale 2022 r. w cenach stałych przy roku odniesienia 2015, wyrównane sezonowo, przy podstawach: kwartał poprzedni=100 i analogiczny kwartał roku poprzedniego =100 oraz porównanie danych opublikowanych 17.05.2022 r. oraz 31.05.2022 r."/>
      </w:tblPr>
      <w:tblGrid>
        <w:gridCol w:w="1532"/>
        <w:gridCol w:w="728"/>
        <w:gridCol w:w="726"/>
        <w:gridCol w:w="728"/>
        <w:gridCol w:w="726"/>
        <w:gridCol w:w="726"/>
        <w:gridCol w:w="726"/>
        <w:gridCol w:w="6"/>
        <w:gridCol w:w="720"/>
        <w:gridCol w:w="10"/>
        <w:gridCol w:w="716"/>
        <w:gridCol w:w="13"/>
        <w:gridCol w:w="710"/>
      </w:tblGrid>
      <w:tr w:rsidR="008E216C" w:rsidRPr="00E34AA3" w14:paraId="4BD92C83" w14:textId="77777777" w:rsidTr="008E216C">
        <w:trPr>
          <w:trHeight w:hRule="exact" w:val="397"/>
        </w:trPr>
        <w:tc>
          <w:tcPr>
            <w:tcW w:w="950" w:type="pct"/>
            <w:vMerge w:val="restart"/>
            <w:tcBorders>
              <w:left w:val="nil"/>
            </w:tcBorders>
            <w:vAlign w:val="center"/>
          </w:tcPr>
          <w:p w14:paraId="15373AFC" w14:textId="77777777" w:rsidR="008E216C" w:rsidRPr="00E34AA3" w:rsidRDefault="008E216C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02" w:type="pct"/>
            <w:gridSpan w:val="4"/>
            <w:vAlign w:val="center"/>
          </w:tcPr>
          <w:p w14:paraId="02DE93AB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808" w:type="pct"/>
            <w:gridSpan w:val="7"/>
            <w:vAlign w:val="center"/>
          </w:tcPr>
          <w:p w14:paraId="2FD3AA7D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14:paraId="66404D0F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E216C" w:rsidRPr="00E34AA3" w14:paraId="31025B08" w14:textId="77777777" w:rsidTr="008E216C">
        <w:trPr>
          <w:trHeight w:hRule="exact" w:val="397"/>
        </w:trPr>
        <w:tc>
          <w:tcPr>
            <w:tcW w:w="950" w:type="pct"/>
            <w:vMerge/>
            <w:tcBorders>
              <w:left w:val="nil"/>
            </w:tcBorders>
          </w:tcPr>
          <w:p w14:paraId="658D854A" w14:textId="77777777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013F50B6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75080E03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14:paraId="510E7643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32DBC062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3370337D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4" w:type="pct"/>
            <w:gridSpan w:val="2"/>
            <w:vAlign w:val="center"/>
          </w:tcPr>
          <w:p w14:paraId="72740B9D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gridSpan w:val="2"/>
            <w:vAlign w:val="center"/>
          </w:tcPr>
          <w:p w14:paraId="68EE71A1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gridSpan w:val="2"/>
            <w:vAlign w:val="center"/>
          </w:tcPr>
          <w:p w14:paraId="1E8A2766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14:paraId="35163BD6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E216C" w:rsidRPr="00E34AA3" w14:paraId="5A9649BA" w14:textId="77777777" w:rsidTr="008E216C">
        <w:trPr>
          <w:trHeight w:hRule="exact" w:val="397"/>
        </w:trPr>
        <w:tc>
          <w:tcPr>
            <w:tcW w:w="950" w:type="pct"/>
            <w:vMerge/>
            <w:tcBorders>
              <w:left w:val="nil"/>
            </w:tcBorders>
          </w:tcPr>
          <w:p w14:paraId="426B1706" w14:textId="77777777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0" w:type="pct"/>
            <w:gridSpan w:val="12"/>
            <w:tcBorders>
              <w:right w:val="nil"/>
            </w:tcBorders>
            <w:vAlign w:val="center"/>
          </w:tcPr>
          <w:p w14:paraId="215F2835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8E216C" w:rsidRPr="00E34AA3" w14:paraId="4B906F71" w14:textId="77777777" w:rsidTr="008E216C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297418E" w14:textId="0CA699B7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14:paraId="0FBACE63" w14:textId="0A9C4879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450" w:type="pct"/>
            <w:vAlign w:val="center"/>
          </w:tcPr>
          <w:p w14:paraId="0C8C71BA" w14:textId="754D0E32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  <w:tc>
          <w:tcPr>
            <w:tcW w:w="451" w:type="pct"/>
            <w:vAlign w:val="center"/>
          </w:tcPr>
          <w:p w14:paraId="02F3A42C" w14:textId="66EC3BCC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  <w:tc>
          <w:tcPr>
            <w:tcW w:w="450" w:type="pct"/>
            <w:vAlign w:val="center"/>
          </w:tcPr>
          <w:p w14:paraId="57EDD6EB" w14:textId="2CB95636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50" w:type="pct"/>
            <w:vAlign w:val="center"/>
          </w:tcPr>
          <w:p w14:paraId="5A5AD249" w14:textId="27B961BE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4" w:type="pct"/>
            <w:gridSpan w:val="2"/>
            <w:vAlign w:val="center"/>
          </w:tcPr>
          <w:p w14:paraId="69420DFD" w14:textId="022BC0A6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52" w:type="pct"/>
            <w:gridSpan w:val="2"/>
            <w:vAlign w:val="center"/>
          </w:tcPr>
          <w:p w14:paraId="261F8A17" w14:textId="4E0D4233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2" w:type="pct"/>
            <w:gridSpan w:val="2"/>
            <w:vAlign w:val="center"/>
          </w:tcPr>
          <w:p w14:paraId="23014C67" w14:textId="4C803E87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14:paraId="03DCE02A" w14:textId="5F232776" w:rsidR="008E216C" w:rsidRPr="00E34AA3" w:rsidRDefault="008E216C" w:rsidP="0035721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102,4</w:t>
            </w:r>
          </w:p>
        </w:tc>
      </w:tr>
      <w:tr w:rsidR="008E216C" w:rsidRPr="00E34AA3" w14:paraId="61C9389A" w14:textId="77777777" w:rsidTr="008E216C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F102720" w14:textId="2D20719C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14:paraId="29B9F81A" w14:textId="516A4971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450" w:type="pct"/>
            <w:vAlign w:val="center"/>
          </w:tcPr>
          <w:p w14:paraId="5E6FD27D" w14:textId="1344D3D7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  <w:tc>
          <w:tcPr>
            <w:tcW w:w="451" w:type="pct"/>
            <w:vAlign w:val="center"/>
          </w:tcPr>
          <w:p w14:paraId="02EAE579" w14:textId="6387B5D0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  <w:tc>
          <w:tcPr>
            <w:tcW w:w="450" w:type="pct"/>
            <w:vAlign w:val="center"/>
          </w:tcPr>
          <w:p w14:paraId="08720131" w14:textId="2360FCAC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50" w:type="pct"/>
            <w:vAlign w:val="center"/>
          </w:tcPr>
          <w:p w14:paraId="18A46B0E" w14:textId="079D76B1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4" w:type="pct"/>
            <w:gridSpan w:val="2"/>
            <w:vAlign w:val="center"/>
          </w:tcPr>
          <w:p w14:paraId="76ABAFAC" w14:textId="3FF0CC1D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52" w:type="pct"/>
            <w:gridSpan w:val="2"/>
            <w:vAlign w:val="center"/>
          </w:tcPr>
          <w:p w14:paraId="337F41E6" w14:textId="761174B4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2" w:type="pct"/>
            <w:gridSpan w:val="2"/>
            <w:vAlign w:val="center"/>
          </w:tcPr>
          <w:p w14:paraId="340FDFB5" w14:textId="664CC50B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14:paraId="600603B6" w14:textId="41A02364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</w:tr>
      <w:tr w:rsidR="008E216C" w:rsidRPr="00E34AA3" w14:paraId="02A7EFBE" w14:textId="77777777" w:rsidTr="008E216C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F8D63D4" w14:textId="77777777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14:paraId="6E3BADD4" w14:textId="163D7B6D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vAlign w:val="center"/>
          </w:tcPr>
          <w:p w14:paraId="02889AED" w14:textId="2E4C3F45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vAlign w:val="center"/>
          </w:tcPr>
          <w:p w14:paraId="4DAC21C8" w14:textId="043B33EA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vAlign w:val="center"/>
          </w:tcPr>
          <w:p w14:paraId="5F98CB86" w14:textId="1C9381B7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vAlign w:val="center"/>
          </w:tcPr>
          <w:p w14:paraId="03C4CAAB" w14:textId="2AD7E2D8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4" w:type="pct"/>
            <w:gridSpan w:val="2"/>
            <w:vAlign w:val="center"/>
          </w:tcPr>
          <w:p w14:paraId="2F9FC6AF" w14:textId="52EB6E71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gridSpan w:val="2"/>
            <w:vAlign w:val="center"/>
          </w:tcPr>
          <w:p w14:paraId="1F95E2C5" w14:textId="77163D0A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gridSpan w:val="2"/>
            <w:vAlign w:val="center"/>
          </w:tcPr>
          <w:p w14:paraId="54296613" w14:textId="068A2422" w:rsidR="008E216C" w:rsidRPr="00E34AA3" w:rsidRDefault="0035721D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14:paraId="533DBDD1" w14:textId="5CBE15CD" w:rsidR="008E216C" w:rsidRPr="00E34AA3" w:rsidRDefault="0035721D" w:rsidP="0035721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  <w:tr w:rsidR="008E216C" w:rsidRPr="00E34AA3" w14:paraId="328A636E" w14:textId="77777777" w:rsidTr="008E216C">
        <w:trPr>
          <w:trHeight w:hRule="exact" w:val="397"/>
        </w:trPr>
        <w:tc>
          <w:tcPr>
            <w:tcW w:w="950" w:type="pct"/>
            <w:tcBorders>
              <w:left w:val="nil"/>
            </w:tcBorders>
            <w:vAlign w:val="center"/>
          </w:tcPr>
          <w:p w14:paraId="7FA50650" w14:textId="77777777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0" w:type="pct"/>
            <w:gridSpan w:val="12"/>
            <w:tcBorders>
              <w:right w:val="nil"/>
            </w:tcBorders>
            <w:vAlign w:val="center"/>
          </w:tcPr>
          <w:p w14:paraId="78F03767" w14:textId="77777777" w:rsidR="008E216C" w:rsidRPr="00E34AA3" w:rsidRDefault="008E216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8E216C" w:rsidRPr="00E34AA3" w14:paraId="46F43106" w14:textId="77777777" w:rsidTr="008E216C">
        <w:tc>
          <w:tcPr>
            <w:tcW w:w="950" w:type="pct"/>
            <w:tcBorders>
              <w:left w:val="nil"/>
            </w:tcBorders>
            <w:vAlign w:val="center"/>
          </w:tcPr>
          <w:p w14:paraId="021533EE" w14:textId="38DDE249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vAlign w:val="center"/>
          </w:tcPr>
          <w:p w14:paraId="0275D116" w14:textId="5C6A47FF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vAlign w:val="center"/>
          </w:tcPr>
          <w:p w14:paraId="7CE2DF21" w14:textId="13584CE3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51" w:type="pct"/>
            <w:vAlign w:val="center"/>
          </w:tcPr>
          <w:p w14:paraId="2696F749" w14:textId="7E3EDC2B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450" w:type="pct"/>
            <w:vAlign w:val="center"/>
          </w:tcPr>
          <w:p w14:paraId="089978ED" w14:textId="7F61BE0D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vAlign w:val="center"/>
          </w:tcPr>
          <w:p w14:paraId="02C0C191" w14:textId="16C50B77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vAlign w:val="center"/>
          </w:tcPr>
          <w:p w14:paraId="37CE8442" w14:textId="0E0D07DE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</w:t>
            </w:r>
          </w:p>
        </w:tc>
        <w:tc>
          <w:tcPr>
            <w:tcW w:w="450" w:type="pct"/>
            <w:gridSpan w:val="2"/>
            <w:vAlign w:val="center"/>
          </w:tcPr>
          <w:p w14:paraId="08B4B4BE" w14:textId="2C731A60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0" w:type="pct"/>
            <w:gridSpan w:val="2"/>
            <w:vAlign w:val="center"/>
          </w:tcPr>
          <w:p w14:paraId="1786A28F" w14:textId="45BD11B2" w:rsidR="008E216C" w:rsidRPr="00E34AA3" w:rsidRDefault="008E216C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448" w:type="pct"/>
            <w:gridSpan w:val="2"/>
            <w:tcBorders>
              <w:right w:val="nil"/>
            </w:tcBorders>
            <w:vAlign w:val="center"/>
          </w:tcPr>
          <w:p w14:paraId="23171102" w14:textId="5C119107" w:rsidR="008E216C" w:rsidRPr="00E34AA3" w:rsidRDefault="008E216C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109,1</w:t>
            </w:r>
          </w:p>
        </w:tc>
      </w:tr>
      <w:tr w:rsidR="008E216C" w:rsidRPr="00E34AA3" w14:paraId="46EAFAFE" w14:textId="77777777" w:rsidTr="008E216C">
        <w:tc>
          <w:tcPr>
            <w:tcW w:w="950" w:type="pct"/>
            <w:tcBorders>
              <w:left w:val="nil"/>
            </w:tcBorders>
            <w:vAlign w:val="center"/>
          </w:tcPr>
          <w:p w14:paraId="21098EF8" w14:textId="446FF88E" w:rsidR="008E216C" w:rsidRPr="00E34AA3" w:rsidRDefault="008E216C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tcBorders>
              <w:bottom w:val="single" w:sz="4" w:space="0" w:color="001D77"/>
            </w:tcBorders>
            <w:vAlign w:val="center"/>
          </w:tcPr>
          <w:p w14:paraId="06BE8721" w14:textId="0CAAE0AC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14:paraId="5652B7F5" w14:textId="27DE5F98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51" w:type="pct"/>
            <w:tcBorders>
              <w:bottom w:val="single" w:sz="4" w:space="0" w:color="001D77"/>
            </w:tcBorders>
            <w:vAlign w:val="center"/>
          </w:tcPr>
          <w:p w14:paraId="3E6809F8" w14:textId="7DBA9F68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14:paraId="38535260" w14:textId="143D3875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14:paraId="6F8BFA33" w14:textId="4D419FA9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14:paraId="680A61BF" w14:textId="5220AD76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</w:t>
            </w:r>
          </w:p>
        </w:tc>
        <w:tc>
          <w:tcPr>
            <w:tcW w:w="450" w:type="pct"/>
            <w:gridSpan w:val="2"/>
            <w:tcBorders>
              <w:bottom w:val="single" w:sz="4" w:space="0" w:color="001D77"/>
            </w:tcBorders>
            <w:vAlign w:val="center"/>
          </w:tcPr>
          <w:p w14:paraId="7154D9E4" w14:textId="3D964347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0" w:type="pct"/>
            <w:gridSpan w:val="2"/>
            <w:tcBorders>
              <w:bottom w:val="single" w:sz="4" w:space="0" w:color="001D77"/>
            </w:tcBorders>
            <w:vAlign w:val="center"/>
          </w:tcPr>
          <w:p w14:paraId="5F37E32E" w14:textId="14476484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44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7E135684" w14:textId="331F2F62" w:rsidR="008E216C" w:rsidRPr="00E34AA3" w:rsidRDefault="00E93F80" w:rsidP="008E21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109,2</w:t>
            </w:r>
          </w:p>
        </w:tc>
      </w:tr>
      <w:tr w:rsidR="00E93F80" w:rsidRPr="00E34AA3" w14:paraId="79C64D05" w14:textId="77777777" w:rsidTr="008E216C">
        <w:tc>
          <w:tcPr>
            <w:tcW w:w="950" w:type="pct"/>
            <w:tcBorders>
              <w:left w:val="nil"/>
              <w:bottom w:val="nil"/>
            </w:tcBorders>
          </w:tcPr>
          <w:p w14:paraId="3FABB19F" w14:textId="77777777" w:rsidR="00E93F80" w:rsidRPr="00E34AA3" w:rsidRDefault="00E93F80" w:rsidP="00E93F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14:paraId="38CA0850" w14:textId="1823E376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14:paraId="39ADBFF4" w14:textId="33D9D7FF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14:paraId="59A9B3C7" w14:textId="474018F8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14:paraId="5E62C5B6" w14:textId="010AB8F1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14:paraId="0E47D0F4" w14:textId="136596AC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14:paraId="7427E173" w14:textId="3B5202E7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2"/>
            <w:tcBorders>
              <w:bottom w:val="nil"/>
              <w:right w:val="nil"/>
            </w:tcBorders>
            <w:vAlign w:val="center"/>
          </w:tcPr>
          <w:p w14:paraId="3900FD8D" w14:textId="544622A8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2"/>
            <w:tcBorders>
              <w:bottom w:val="nil"/>
              <w:right w:val="nil"/>
            </w:tcBorders>
            <w:vAlign w:val="center"/>
          </w:tcPr>
          <w:p w14:paraId="760BDEF7" w14:textId="21AC7B2C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2"/>
            <w:tcBorders>
              <w:bottom w:val="nil"/>
              <w:right w:val="nil"/>
            </w:tcBorders>
            <w:vAlign w:val="center"/>
          </w:tcPr>
          <w:p w14:paraId="40759447" w14:textId="70FE0F4A" w:rsidR="00E93F80" w:rsidRPr="00E34AA3" w:rsidRDefault="00E93F80" w:rsidP="00E93F8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</w:tbl>
    <w:p w14:paraId="6BBB2B61" w14:textId="77777777" w:rsidR="008E216C" w:rsidRDefault="008E216C" w:rsidP="00580B5E">
      <w:pPr>
        <w:spacing w:before="360" w:line="288" w:lineRule="auto"/>
        <w:rPr>
          <w:b/>
        </w:rPr>
      </w:pPr>
    </w:p>
    <w:p w14:paraId="067C2BAB" w14:textId="77777777" w:rsidR="008E216C" w:rsidRDefault="008E216C" w:rsidP="00580B5E">
      <w:pPr>
        <w:spacing w:before="360" w:line="288" w:lineRule="auto"/>
        <w:rPr>
          <w:b/>
        </w:rPr>
      </w:pPr>
    </w:p>
    <w:p w14:paraId="307CDBA9" w14:textId="77777777" w:rsidR="00CB232B" w:rsidRDefault="00CB232B" w:rsidP="00580B5E">
      <w:pPr>
        <w:spacing w:before="360" w:line="288" w:lineRule="auto"/>
        <w:rPr>
          <w:b/>
        </w:rPr>
      </w:pPr>
    </w:p>
    <w:p w14:paraId="60FE948C" w14:textId="77777777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 kwartale 2022 r. w cenach stałych, średniorocznych roku poprzedniego, niewyrównane sezonowo, przy podstawie analogiczny okres roku poprzedniego =100 oraz porównanie danych opublikowanych 17.05.2022 r. oraz 31.05.2022 r."/>
      </w:tblPr>
      <w:tblGrid>
        <w:gridCol w:w="1536"/>
        <w:gridCol w:w="732"/>
        <w:gridCol w:w="727"/>
        <w:gridCol w:w="728"/>
        <w:gridCol w:w="726"/>
        <w:gridCol w:w="726"/>
        <w:gridCol w:w="728"/>
        <w:gridCol w:w="726"/>
        <w:gridCol w:w="731"/>
        <w:gridCol w:w="712"/>
      </w:tblGrid>
      <w:tr w:rsidR="0013524E" w:rsidRPr="00E34AA3" w14:paraId="3C8C67AD" w14:textId="77777777" w:rsidTr="00416E81">
        <w:trPr>
          <w:trHeight w:hRule="exact" w:val="397"/>
        </w:trPr>
        <w:tc>
          <w:tcPr>
            <w:tcW w:w="951" w:type="pct"/>
            <w:vMerge w:val="restart"/>
            <w:tcBorders>
              <w:left w:val="nil"/>
            </w:tcBorders>
            <w:vAlign w:val="center"/>
          </w:tcPr>
          <w:p w14:paraId="3B2DBD13" w14:textId="77777777" w:rsidR="0013524E" w:rsidRPr="00E34AA3" w:rsidRDefault="0013524E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04" w:type="pct"/>
            <w:gridSpan w:val="4"/>
            <w:vAlign w:val="center"/>
          </w:tcPr>
          <w:p w14:paraId="64BB4A82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803" w:type="pct"/>
            <w:gridSpan w:val="4"/>
            <w:vAlign w:val="center"/>
          </w:tcPr>
          <w:p w14:paraId="00263772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41" w:type="pct"/>
            <w:tcBorders>
              <w:bottom w:val="single" w:sz="4" w:space="0" w:color="001D77"/>
              <w:right w:val="nil"/>
            </w:tcBorders>
            <w:vAlign w:val="center"/>
          </w:tcPr>
          <w:p w14:paraId="5529B833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13524E" w:rsidRPr="00E34AA3" w14:paraId="0EBCCAB8" w14:textId="77777777" w:rsidTr="00416E81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14:paraId="71723654" w14:textId="77777777" w:rsidR="0013524E" w:rsidRPr="00E34AA3" w:rsidRDefault="0013524E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3" w:type="pct"/>
            <w:vAlign w:val="center"/>
          </w:tcPr>
          <w:p w14:paraId="459B3697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6E8A2548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14:paraId="44C5209C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5980D869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3EFB28E2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14:paraId="445C3FCA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14:paraId="2208127C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3" w:type="pct"/>
            <w:vAlign w:val="center"/>
          </w:tcPr>
          <w:p w14:paraId="2AB9DA51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1" w:type="pct"/>
            <w:tcBorders>
              <w:right w:val="nil"/>
            </w:tcBorders>
            <w:vAlign w:val="center"/>
          </w:tcPr>
          <w:p w14:paraId="36F922E7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13524E" w:rsidRPr="00E34AA3" w14:paraId="689D7167" w14:textId="77777777" w:rsidTr="008F371A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14:paraId="7BB99D4D" w14:textId="77777777" w:rsidR="0013524E" w:rsidRPr="00E34AA3" w:rsidRDefault="0013524E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49" w:type="pct"/>
            <w:gridSpan w:val="9"/>
            <w:tcBorders>
              <w:right w:val="nil"/>
            </w:tcBorders>
            <w:vAlign w:val="center"/>
          </w:tcPr>
          <w:p w14:paraId="1AD49679" w14:textId="77777777" w:rsidR="0013524E" w:rsidRPr="00E34AA3" w:rsidRDefault="001352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416E81" w:rsidRPr="00E34AA3" w14:paraId="65F02419" w14:textId="77777777" w:rsidTr="00416E81">
        <w:trPr>
          <w:trHeight w:val="284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B146743" w14:textId="05AB4AE9" w:rsidR="00416E81" w:rsidRPr="00E34AA3" w:rsidRDefault="00416E81" w:rsidP="00416E8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3" w:type="pct"/>
            <w:tcMar>
              <w:left w:w="28" w:type="dxa"/>
              <w:right w:w="28" w:type="dxa"/>
            </w:tcMar>
            <w:vAlign w:val="center"/>
          </w:tcPr>
          <w:p w14:paraId="58CA764A" w14:textId="299B11D6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vAlign w:val="center"/>
          </w:tcPr>
          <w:p w14:paraId="6A28E5F3" w14:textId="76CCCA07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51" w:type="pct"/>
            <w:vAlign w:val="center"/>
          </w:tcPr>
          <w:p w14:paraId="3E0A78CA" w14:textId="3165F93E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vAlign w:val="center"/>
          </w:tcPr>
          <w:p w14:paraId="32C8AB3C" w14:textId="0FD72AD6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vAlign w:val="center"/>
          </w:tcPr>
          <w:p w14:paraId="575DEC12" w14:textId="4260004C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51" w:type="pct"/>
            <w:vAlign w:val="center"/>
          </w:tcPr>
          <w:p w14:paraId="49364F1F" w14:textId="084362FF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50" w:type="pct"/>
            <w:vAlign w:val="center"/>
          </w:tcPr>
          <w:p w14:paraId="43863745" w14:textId="67E9C30C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53" w:type="pct"/>
            <w:vAlign w:val="center"/>
          </w:tcPr>
          <w:p w14:paraId="0F033832" w14:textId="470442BF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41" w:type="pct"/>
            <w:tcBorders>
              <w:bottom w:val="single" w:sz="4" w:space="0" w:color="001D77"/>
              <w:right w:val="nil"/>
            </w:tcBorders>
            <w:vAlign w:val="center"/>
          </w:tcPr>
          <w:p w14:paraId="098F9FBF" w14:textId="48397234" w:rsidR="00416E81" w:rsidRPr="00E34AA3" w:rsidRDefault="00416E81" w:rsidP="00416E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</w:t>
            </w:r>
          </w:p>
        </w:tc>
      </w:tr>
      <w:tr w:rsidR="0013524E" w:rsidRPr="00E34AA3" w14:paraId="77FC6A01" w14:textId="77777777" w:rsidTr="00416E81">
        <w:trPr>
          <w:trHeight w:val="284"/>
        </w:trPr>
        <w:tc>
          <w:tcPr>
            <w:tcW w:w="951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14:paraId="48A5B863" w14:textId="75FF6685" w:rsidR="0013524E" w:rsidRPr="00E34AA3" w:rsidRDefault="0013524E" w:rsidP="00416E8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416E81"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F779F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38BCD771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FA1EB3C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1CA26D4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0340582E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568382EC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0E428A01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29B512EB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41" w:type="pct"/>
            <w:tcBorders>
              <w:bottom w:val="single" w:sz="4" w:space="0" w:color="auto"/>
              <w:right w:val="nil"/>
            </w:tcBorders>
            <w:vAlign w:val="center"/>
          </w:tcPr>
          <w:p w14:paraId="22A390F2" w14:textId="3D62F198" w:rsidR="0013524E" w:rsidRPr="00E34AA3" w:rsidRDefault="00556875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</w:t>
            </w:r>
          </w:p>
        </w:tc>
      </w:tr>
      <w:tr w:rsidR="0013524E" w:rsidRPr="00E34AA3" w14:paraId="5F2B9161" w14:textId="77777777" w:rsidTr="00416E81">
        <w:trPr>
          <w:trHeight w:val="397"/>
        </w:trPr>
        <w:tc>
          <w:tcPr>
            <w:tcW w:w="95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97B9D41" w14:textId="77777777" w:rsidR="0013524E" w:rsidRPr="00E34AA3" w:rsidRDefault="0013524E" w:rsidP="008F371A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64C87E1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1057E3B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AC87FD1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8DC3B5C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3DE085F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7F3F715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55AC0EA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5A79425" w14:textId="77777777" w:rsidR="0013524E" w:rsidRPr="00E34AA3" w:rsidRDefault="0013524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4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8EB1FB1" w14:textId="17DB38B3" w:rsidR="0013524E" w:rsidRPr="00E34AA3" w:rsidRDefault="00556875" w:rsidP="0055687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14:paraId="0B7FEE38" w14:textId="6F4DD2B9" w:rsidR="00190343" w:rsidRDefault="00190343" w:rsidP="002C0414">
      <w:pPr>
        <w:spacing w:before="48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DB370C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</w:t>
      </w:r>
      <w:r w:rsidRPr="00B72629">
        <w:rPr>
          <w:rFonts w:cs="Arial"/>
          <w:szCs w:val="19"/>
        </w:rPr>
        <w:t>kwartale 202</w:t>
      </w:r>
      <w:r w:rsidR="00DB370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r. nastąpił wzrost PKB, który w skali roku wyniósł </w:t>
      </w:r>
      <w:r w:rsidR="00BC15B4">
        <w:rPr>
          <w:rFonts w:cs="Arial"/>
          <w:szCs w:val="19"/>
        </w:rPr>
        <w:t>8,5</w:t>
      </w:r>
      <w:r w:rsidRPr="00B72629">
        <w:rPr>
          <w:rFonts w:cs="Arial"/>
          <w:szCs w:val="19"/>
        </w:rPr>
        <w:t xml:space="preserve">%. Wpłynął na to </w:t>
      </w:r>
      <w:r w:rsidR="0038267B">
        <w:rPr>
          <w:rFonts w:cs="Arial"/>
          <w:szCs w:val="19"/>
        </w:rPr>
        <w:t xml:space="preserve">duży </w:t>
      </w:r>
      <w:r w:rsidRPr="00B72629">
        <w:rPr>
          <w:rFonts w:cs="Arial"/>
          <w:szCs w:val="19"/>
        </w:rPr>
        <w:t xml:space="preserve">wzrost popytu krajowego, który ukształtował się na poziomie </w:t>
      </w:r>
      <w:r w:rsidR="00320E64">
        <w:rPr>
          <w:rFonts w:cs="Arial"/>
          <w:szCs w:val="19"/>
        </w:rPr>
        <w:t>13,2</w:t>
      </w:r>
      <w:r w:rsidRPr="00B72629">
        <w:rPr>
          <w:rFonts w:cs="Arial"/>
          <w:szCs w:val="19"/>
        </w:rPr>
        <w:t xml:space="preserve">% (w </w:t>
      </w:r>
      <w:r w:rsidR="00DB370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kw. 2021 r. odnotowano zwiększenie popytu krajowego o </w:t>
      </w:r>
      <w:r w:rsidR="00DB370C">
        <w:rPr>
          <w:rFonts w:cs="Arial"/>
          <w:szCs w:val="19"/>
        </w:rPr>
        <w:t>10,9</w:t>
      </w:r>
      <w:r w:rsidRPr="00B72629">
        <w:rPr>
          <w:rFonts w:cs="Arial"/>
          <w:szCs w:val="19"/>
        </w:rPr>
        <w:t>%). Złożył się na to wzrost akumulacji brutto</w:t>
      </w:r>
      <w:r w:rsidRPr="00B72629">
        <w:rPr>
          <w:rFonts w:cs="Arial"/>
          <w:szCs w:val="19"/>
        </w:rPr>
        <w:br/>
        <w:t xml:space="preserve"> o </w:t>
      </w:r>
      <w:r w:rsidR="00320E64">
        <w:rPr>
          <w:rFonts w:cs="Arial"/>
          <w:szCs w:val="19"/>
        </w:rPr>
        <w:t>57,3</w:t>
      </w:r>
      <w:r w:rsidRPr="00B72629">
        <w:rPr>
          <w:rFonts w:cs="Arial"/>
          <w:szCs w:val="19"/>
        </w:rPr>
        <w:t xml:space="preserve">% (wobec wzrostu w </w:t>
      </w:r>
      <w:r w:rsidR="00DB370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o </w:t>
      </w:r>
      <w:r w:rsidR="00DB370C">
        <w:rPr>
          <w:rFonts w:cs="Arial"/>
          <w:szCs w:val="19"/>
        </w:rPr>
        <w:t>24,1</w:t>
      </w:r>
      <w:r w:rsidRPr="00B72629">
        <w:rPr>
          <w:rFonts w:cs="Arial"/>
          <w:szCs w:val="19"/>
        </w:rPr>
        <w:t xml:space="preserve">%) oraz wzrost spożycia ogółem o </w:t>
      </w:r>
      <w:r w:rsidR="00320E64">
        <w:rPr>
          <w:rFonts w:cs="Arial"/>
          <w:szCs w:val="19"/>
        </w:rPr>
        <w:t>5,1</w:t>
      </w:r>
      <w:r w:rsidRPr="00B72629">
        <w:rPr>
          <w:rFonts w:cs="Arial"/>
          <w:szCs w:val="19"/>
        </w:rPr>
        <w:t xml:space="preserve">% (wobec wzrostu w </w:t>
      </w:r>
      <w:r w:rsidR="00DB370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o </w:t>
      </w:r>
      <w:r w:rsidR="00DB370C">
        <w:rPr>
          <w:rFonts w:cs="Arial"/>
          <w:szCs w:val="19"/>
        </w:rPr>
        <w:t>6</w:t>
      </w:r>
      <w:r w:rsidR="00024D80">
        <w:rPr>
          <w:rFonts w:cs="Arial"/>
          <w:szCs w:val="19"/>
        </w:rPr>
        <w:t>,7</w:t>
      </w:r>
      <w:r w:rsidRPr="00B72629">
        <w:rPr>
          <w:rFonts w:cs="Arial"/>
          <w:szCs w:val="19"/>
        </w:rPr>
        <w:t xml:space="preserve">%). Spożycie w sektorze gospodarstw domowych wzrosło o </w:t>
      </w:r>
      <w:r w:rsidR="00320E64">
        <w:rPr>
          <w:rFonts w:cs="Arial"/>
          <w:szCs w:val="19"/>
        </w:rPr>
        <w:t>6,6</w:t>
      </w:r>
      <w:r w:rsidRPr="00B72629">
        <w:rPr>
          <w:rFonts w:cs="Arial"/>
          <w:szCs w:val="19"/>
        </w:rPr>
        <w:t xml:space="preserve">% (wobec wzrostu w </w:t>
      </w:r>
      <w:r w:rsidR="00DB370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kw. 2021 r. o </w:t>
      </w:r>
      <w:r w:rsidR="00DB370C">
        <w:rPr>
          <w:rFonts w:cs="Arial"/>
          <w:szCs w:val="19"/>
        </w:rPr>
        <w:t>8,0</w:t>
      </w:r>
      <w:r w:rsidRPr="00B72629">
        <w:rPr>
          <w:rFonts w:cs="Arial"/>
          <w:szCs w:val="19"/>
        </w:rPr>
        <w:t xml:space="preserve">%). Nakłady brutto na środki trwałe wzrosły o </w:t>
      </w:r>
      <w:r w:rsidR="00320E64">
        <w:rPr>
          <w:rFonts w:cs="Arial"/>
          <w:szCs w:val="19"/>
        </w:rPr>
        <w:t>4,3</w:t>
      </w:r>
      <w:r w:rsidRPr="00B72629">
        <w:rPr>
          <w:rFonts w:cs="Arial"/>
          <w:szCs w:val="19"/>
        </w:rPr>
        <w:t xml:space="preserve">% (wobec wzrostu w </w:t>
      </w:r>
      <w:r w:rsidR="00DB370C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o </w:t>
      </w:r>
      <w:r w:rsidR="00DB370C">
        <w:rPr>
          <w:rFonts w:cs="Arial"/>
          <w:szCs w:val="19"/>
        </w:rPr>
        <w:t>5,2</w:t>
      </w:r>
      <w:r w:rsidRPr="00B72629">
        <w:rPr>
          <w:rFonts w:cs="Arial"/>
          <w:szCs w:val="19"/>
        </w:rPr>
        <w:t>%).</w:t>
      </w:r>
    </w:p>
    <w:p w14:paraId="7BE0E173" w14:textId="36B5A83F" w:rsidR="00190343" w:rsidRDefault="00190343" w:rsidP="002C0414">
      <w:pPr>
        <w:spacing w:line="288" w:lineRule="auto"/>
        <w:rPr>
          <w:b/>
        </w:rPr>
      </w:pPr>
      <w:r w:rsidRPr="00B72629">
        <w:rPr>
          <w:rFonts w:cs="Arial"/>
          <w:szCs w:val="19"/>
        </w:rPr>
        <w:t>W efekcie pozytywny wpływ popytu krajowego na gospodarkę wyniósł +</w:t>
      </w:r>
      <w:r w:rsidR="004B34E3">
        <w:rPr>
          <w:rFonts w:cs="Arial"/>
          <w:szCs w:val="19"/>
        </w:rPr>
        <w:t xml:space="preserve">12,3 </w:t>
      </w:r>
      <w:r w:rsidRPr="00B72629">
        <w:rPr>
          <w:rFonts w:cs="Arial"/>
          <w:szCs w:val="19"/>
        </w:rPr>
        <w:t xml:space="preserve">p. proc. (w 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</w:t>
      </w:r>
      <w:r w:rsidRPr="00505881">
        <w:rPr>
          <w:rFonts w:cs="Arial"/>
          <w:szCs w:val="19"/>
        </w:rPr>
        <w:t>wpływ ten</w:t>
      </w:r>
      <w:r w:rsidRPr="00B72629">
        <w:rPr>
          <w:rFonts w:cs="Arial"/>
          <w:szCs w:val="19"/>
        </w:rPr>
        <w:t xml:space="preserve"> wyniósł +</w:t>
      </w:r>
      <w:r w:rsidR="004F4468">
        <w:rPr>
          <w:rFonts w:cs="Arial"/>
          <w:szCs w:val="19"/>
        </w:rPr>
        <w:t>10,1</w:t>
      </w:r>
      <w:r w:rsidRPr="00B72629">
        <w:rPr>
          <w:rFonts w:cs="Arial"/>
          <w:szCs w:val="19"/>
        </w:rPr>
        <w:t xml:space="preserve"> p. proc.). Złożył się na to </w:t>
      </w:r>
      <w:r w:rsidR="00104998">
        <w:rPr>
          <w:rFonts w:cs="Arial"/>
          <w:szCs w:val="19"/>
        </w:rPr>
        <w:t xml:space="preserve">zarówno </w:t>
      </w:r>
      <w:r w:rsidRPr="00B72629">
        <w:rPr>
          <w:rFonts w:cs="Arial"/>
          <w:szCs w:val="19"/>
        </w:rPr>
        <w:t>pozytywny wpływ spożycia ogółem</w:t>
      </w:r>
      <w:r w:rsidR="00104998">
        <w:rPr>
          <w:rFonts w:cs="Arial"/>
          <w:szCs w:val="19"/>
        </w:rPr>
        <w:t xml:space="preserve">, jak i </w:t>
      </w:r>
      <w:r w:rsidRPr="00B72629">
        <w:rPr>
          <w:rFonts w:cs="Arial"/>
          <w:szCs w:val="19"/>
        </w:rPr>
        <w:t>akumulacji brutto. Wpływ spożycia ogółem wyniósł +</w:t>
      </w:r>
      <w:r w:rsidR="00713ECE">
        <w:rPr>
          <w:rFonts w:cs="Arial"/>
          <w:szCs w:val="19"/>
        </w:rPr>
        <w:t>4,0</w:t>
      </w:r>
      <w:r w:rsidRPr="00B72629">
        <w:rPr>
          <w:rFonts w:cs="Arial"/>
          <w:szCs w:val="19"/>
        </w:rPr>
        <w:t xml:space="preserve"> p. proc. (wobec wpływu +</w:t>
      </w:r>
      <w:r w:rsidR="004F4468">
        <w:rPr>
          <w:rFonts w:cs="Arial"/>
          <w:szCs w:val="19"/>
        </w:rPr>
        <w:t>4,7</w:t>
      </w:r>
      <w:r w:rsidRPr="00B72629">
        <w:rPr>
          <w:rFonts w:cs="Arial"/>
          <w:szCs w:val="19"/>
        </w:rPr>
        <w:t xml:space="preserve"> p. proc. w 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r.), z tego wpływ spożycia w sektorze gospodarstw domowych wyniósł +</w:t>
      </w:r>
      <w:r w:rsidR="00713ECE">
        <w:rPr>
          <w:rFonts w:cs="Arial"/>
          <w:szCs w:val="19"/>
        </w:rPr>
        <w:t>3,9</w:t>
      </w:r>
      <w:r w:rsidR="00572B93">
        <w:rPr>
          <w:rFonts w:cs="Arial"/>
          <w:szCs w:val="19"/>
        </w:rPr>
        <w:t xml:space="preserve"> </w:t>
      </w:r>
      <w:r w:rsidRPr="00B72629">
        <w:rPr>
          <w:rFonts w:cs="Arial"/>
          <w:szCs w:val="19"/>
        </w:rPr>
        <w:t xml:space="preserve">p. proc. oraz wpływ spożycia publicznego </w:t>
      </w:r>
      <w:r w:rsidR="00713ECE">
        <w:rPr>
          <w:rFonts w:cs="Arial"/>
          <w:szCs w:val="19"/>
        </w:rPr>
        <w:t>+0,1</w:t>
      </w:r>
      <w:r w:rsidRPr="00B72629">
        <w:rPr>
          <w:rFonts w:cs="Arial"/>
          <w:szCs w:val="19"/>
        </w:rPr>
        <w:t xml:space="preserve"> p. proc. (w 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odpowiednio: +</w:t>
      </w:r>
      <w:r w:rsidR="004F4468">
        <w:rPr>
          <w:rFonts w:cs="Arial"/>
          <w:szCs w:val="19"/>
        </w:rPr>
        <w:t>3,9</w:t>
      </w:r>
      <w:r w:rsidRPr="00B72629">
        <w:rPr>
          <w:rFonts w:cs="Arial"/>
          <w:szCs w:val="19"/>
        </w:rPr>
        <w:t xml:space="preserve"> p. proc. i +0,</w:t>
      </w:r>
      <w:r w:rsidR="004F4468">
        <w:rPr>
          <w:rFonts w:cs="Arial"/>
          <w:szCs w:val="19"/>
        </w:rPr>
        <w:t>8</w:t>
      </w:r>
      <w:r w:rsidRPr="00B72629">
        <w:rPr>
          <w:rFonts w:cs="Arial"/>
          <w:szCs w:val="19"/>
        </w:rPr>
        <w:t xml:space="preserve"> p. proc.). Wpływ popytu inwestycyjnego na PKB wyniósł +</w:t>
      </w:r>
      <w:r w:rsidR="00713ECE">
        <w:rPr>
          <w:rFonts w:cs="Arial"/>
          <w:szCs w:val="19"/>
        </w:rPr>
        <w:t>0,6</w:t>
      </w:r>
      <w:r w:rsidRPr="00B72629">
        <w:rPr>
          <w:rFonts w:cs="Arial"/>
          <w:szCs w:val="19"/>
        </w:rPr>
        <w:t xml:space="preserve"> p. proc. (w</w:t>
      </w:r>
      <w:r w:rsidR="00104998">
        <w:rPr>
          <w:rFonts w:cs="Arial"/>
          <w:szCs w:val="19"/>
        </w:rPr>
        <w:t xml:space="preserve">obec wpływu </w:t>
      </w:r>
      <w:r w:rsidRPr="00B72629">
        <w:rPr>
          <w:rFonts w:cs="Arial"/>
          <w:szCs w:val="19"/>
        </w:rPr>
        <w:t>+</w:t>
      </w:r>
      <w:r w:rsidR="00120FA6">
        <w:rPr>
          <w:rFonts w:cs="Arial"/>
          <w:szCs w:val="19"/>
        </w:rPr>
        <w:t>1,</w:t>
      </w:r>
      <w:r w:rsidR="004F4468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p. proc.</w:t>
      </w:r>
      <w:r w:rsidR="00104998">
        <w:rPr>
          <w:rFonts w:cs="Arial"/>
          <w:szCs w:val="19"/>
        </w:rPr>
        <w:t xml:space="preserve"> w 4 kwartale 2021 r.)</w:t>
      </w:r>
      <w:r w:rsidRPr="00B72629">
        <w:rPr>
          <w:rFonts w:cs="Arial"/>
          <w:szCs w:val="19"/>
        </w:rPr>
        <w:t>. Odnotowano znaczący pozytywny wpływ przyrostu rzeczowych środków obrotowych, który wyniósł +</w:t>
      </w:r>
      <w:r w:rsidR="00713ECE">
        <w:rPr>
          <w:rFonts w:cs="Arial"/>
          <w:szCs w:val="19"/>
        </w:rPr>
        <w:t>7,7</w:t>
      </w:r>
      <w:r w:rsidRPr="00B72629">
        <w:rPr>
          <w:rFonts w:cs="Arial"/>
          <w:szCs w:val="19"/>
        </w:rPr>
        <w:t xml:space="preserve"> p. proc. (wobec wpływu +</w:t>
      </w:r>
      <w:r w:rsidR="004F4468">
        <w:rPr>
          <w:rFonts w:cs="Arial"/>
          <w:szCs w:val="19"/>
        </w:rPr>
        <w:t>4,3</w:t>
      </w:r>
      <w:r w:rsidRPr="00B72629">
        <w:rPr>
          <w:rFonts w:cs="Arial"/>
          <w:szCs w:val="19"/>
        </w:rPr>
        <w:t xml:space="preserve"> p. proc. w 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kw. 2021 r.). W konsekwencji wpływ akumulacji brutto na wzrost PKB wyniósł +</w:t>
      </w:r>
      <w:r w:rsidR="00713ECE">
        <w:rPr>
          <w:rFonts w:cs="Arial"/>
          <w:szCs w:val="19"/>
        </w:rPr>
        <w:t>8,3</w:t>
      </w:r>
      <w:r w:rsidRPr="00B72629">
        <w:rPr>
          <w:rFonts w:cs="Arial"/>
          <w:szCs w:val="19"/>
        </w:rPr>
        <w:t xml:space="preserve"> p. proc. (wobec +</w:t>
      </w:r>
      <w:r w:rsidR="00572B93">
        <w:rPr>
          <w:rFonts w:cs="Arial"/>
          <w:szCs w:val="19"/>
        </w:rPr>
        <w:t>5,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p. proc. w </w:t>
      </w:r>
      <w:r w:rsidR="004F446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r.). W </w:t>
      </w:r>
      <w:r w:rsidR="004F4468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br. zanotowano negatywny wpływ eksportu netto na tempo wzrostu gospodarczego, który wyniósł </w:t>
      </w:r>
      <w:r w:rsidR="00713ECE">
        <w:rPr>
          <w:rFonts w:cs="Arial"/>
          <w:szCs w:val="19"/>
        </w:rPr>
        <w:t>-3,8</w:t>
      </w:r>
      <w:r w:rsidRPr="00B72629">
        <w:rPr>
          <w:rFonts w:cs="Arial"/>
          <w:szCs w:val="19"/>
        </w:rPr>
        <w:t xml:space="preserve"> p. proc. (wobec -</w:t>
      </w:r>
      <w:r w:rsidR="00572B93">
        <w:rPr>
          <w:rFonts w:cs="Arial"/>
          <w:szCs w:val="19"/>
        </w:rPr>
        <w:t>2,</w:t>
      </w:r>
      <w:r w:rsidR="002F5479">
        <w:rPr>
          <w:rFonts w:cs="Arial"/>
          <w:szCs w:val="19"/>
        </w:rPr>
        <w:t>5</w:t>
      </w:r>
      <w:r w:rsidR="00120FA6">
        <w:rPr>
          <w:rFonts w:cs="Arial"/>
          <w:szCs w:val="19"/>
        </w:rPr>
        <w:t xml:space="preserve"> </w:t>
      </w:r>
      <w:r w:rsidRPr="00B72629">
        <w:rPr>
          <w:rFonts w:cs="Arial"/>
          <w:szCs w:val="19"/>
        </w:rPr>
        <w:t xml:space="preserve">p. proc. w </w:t>
      </w:r>
      <w:r w:rsidR="002F5479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kw. 2021 r.).</w:t>
      </w:r>
    </w:p>
    <w:p w14:paraId="3837F1D5" w14:textId="77777777" w:rsidR="00190343" w:rsidRDefault="00190343" w:rsidP="00580B5E">
      <w:pPr>
        <w:spacing w:before="360" w:line="288" w:lineRule="auto"/>
        <w:rPr>
          <w:b/>
        </w:rPr>
      </w:pPr>
    </w:p>
    <w:p w14:paraId="0211DF6B" w14:textId="77777777" w:rsidR="00190343" w:rsidRDefault="00190343" w:rsidP="00580B5E">
      <w:pPr>
        <w:spacing w:before="360" w:line="288" w:lineRule="auto"/>
        <w:rPr>
          <w:b/>
        </w:rPr>
      </w:pPr>
    </w:p>
    <w:p w14:paraId="02B4CCC3" w14:textId="77777777" w:rsidR="00190343" w:rsidRDefault="00190343" w:rsidP="00580B5E">
      <w:pPr>
        <w:spacing w:before="360" w:line="288" w:lineRule="auto"/>
        <w:rPr>
          <w:b/>
        </w:rPr>
      </w:pPr>
    </w:p>
    <w:p w14:paraId="5886D81F" w14:textId="77777777" w:rsidR="00190343" w:rsidRDefault="00190343" w:rsidP="00580B5E">
      <w:pPr>
        <w:spacing w:before="360" w:line="288" w:lineRule="auto"/>
        <w:rPr>
          <w:b/>
        </w:rPr>
      </w:pPr>
    </w:p>
    <w:p w14:paraId="762DCD35" w14:textId="77777777" w:rsidR="00B915B5" w:rsidRDefault="00B915B5" w:rsidP="00580B5E">
      <w:pPr>
        <w:spacing w:before="360" w:line="288" w:lineRule="auto"/>
        <w:rPr>
          <w:b/>
        </w:rPr>
      </w:pPr>
    </w:p>
    <w:p w14:paraId="562668F5" w14:textId="77777777" w:rsidR="00B915B5" w:rsidRDefault="00B915B5" w:rsidP="00580B5E">
      <w:pPr>
        <w:spacing w:before="360" w:line="288" w:lineRule="auto"/>
        <w:rPr>
          <w:b/>
        </w:rPr>
      </w:pPr>
    </w:p>
    <w:p w14:paraId="1A955ED7" w14:textId="77777777" w:rsidR="00B915B5" w:rsidRDefault="00B915B5" w:rsidP="00580B5E">
      <w:pPr>
        <w:spacing w:before="360" w:line="288" w:lineRule="auto"/>
        <w:rPr>
          <w:b/>
        </w:rPr>
      </w:pPr>
    </w:p>
    <w:p w14:paraId="6D364C16" w14:textId="75B27045" w:rsidR="004148A7" w:rsidRPr="0082329B" w:rsidRDefault="0010530D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060EAFD8">
                <wp:simplePos x="0" y="0"/>
                <wp:positionH relativeFrom="page">
                  <wp:posOffset>5672124</wp:posOffset>
                </wp:positionH>
                <wp:positionV relativeFrom="page">
                  <wp:posOffset>45444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6FC5E4" id="Prostokąt 25" o:spid="_x0000_s1026" style="position:absolute;margin-left:446.6pt;margin-top:3.6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AaAJcA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>
        <w:rPr>
          <w:rFonts w:ascii="Fira Sans" w:hAnsi="Fira Sans"/>
          <w:sz w:val="18"/>
          <w:szCs w:val="18"/>
        </w:rPr>
        <w:t>Wy</w:t>
      </w:r>
      <w:r w:rsidR="00B16871" w:rsidRPr="0082329B">
        <w:rPr>
          <w:rFonts w:ascii="Fira Sans" w:hAnsi="Fira Sans"/>
          <w:sz w:val="18"/>
          <w:szCs w:val="18"/>
        </w:rPr>
        <w:t xml:space="preserve">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14:paraId="7D52B145" w14:textId="70BB9ED8" w:rsidR="00B16871" w:rsidRPr="0082329B" w:rsidRDefault="00740A04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740A04">
        <w:drawing>
          <wp:anchor distT="0" distB="0" distL="114300" distR="114300" simplePos="0" relativeHeight="251786240" behindDoc="0" locked="0" layoutInCell="1" allowOverlap="1" wp14:anchorId="48EAC90C" wp14:editId="2E834BC1">
            <wp:simplePos x="0" y="0"/>
            <wp:positionH relativeFrom="margin">
              <wp:align>right</wp:align>
            </wp:positionH>
            <wp:positionV relativeFrom="paragraph">
              <wp:posOffset>385509</wp:posOffset>
            </wp:positionV>
            <wp:extent cx="5122800" cy="3157200"/>
            <wp:effectExtent l="0" t="0" r="1905" b="5715"/>
            <wp:wrapSquare wrapText="bothSides"/>
            <wp:docPr id="3" name="Obraz 3" descr="Wykres prezentuje wartości dynamiki produktu krajowego brutto w kwartałach dla lat 2020-2021 oraz w 1 kwartale 2022 r., wyrównane i niewyrównane sezonowo, przy podstawie analogiczny okres roku poprzedniego = 100&#10;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14:paraId="6B47E74A" w14:textId="32B1F974" w:rsidR="00655145" w:rsidRDefault="00655145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112B4FE8" w14:textId="67C7CDE8" w:rsidR="00740A04" w:rsidRDefault="00740A04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3563ABF2" w14:textId="6001BC2F" w:rsidR="002068DA" w:rsidRPr="0082329B" w:rsidRDefault="0063303D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="002068DA" w:rsidRPr="0082329B">
        <w:rPr>
          <w:rFonts w:ascii="Fira Sans" w:hAnsi="Fira Sans"/>
          <w:sz w:val="18"/>
          <w:szCs w:val="18"/>
        </w:rPr>
        <w:t>ykres 2. Dynamika realna produktu krajowego brutto wyrównanego sezonowo</w:t>
      </w:r>
    </w:p>
    <w:p w14:paraId="4BC83EC7" w14:textId="75425743" w:rsidR="002068DA" w:rsidRDefault="00740A04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740A04">
        <w:drawing>
          <wp:anchor distT="0" distB="0" distL="114300" distR="114300" simplePos="0" relativeHeight="251788288" behindDoc="0" locked="0" layoutInCell="1" allowOverlap="1" wp14:anchorId="6B0A23AA" wp14:editId="439D5CC4">
            <wp:simplePos x="0" y="0"/>
            <wp:positionH relativeFrom="column">
              <wp:posOffset>-49979</wp:posOffset>
            </wp:positionH>
            <wp:positionV relativeFrom="paragraph">
              <wp:posOffset>292009</wp:posOffset>
            </wp:positionV>
            <wp:extent cx="5122800" cy="3052800"/>
            <wp:effectExtent l="0" t="0" r="1905" b="0"/>
            <wp:wrapSquare wrapText="bothSides"/>
            <wp:docPr id="4" name="Obraz 4" descr="Wykres prezentuje wartości dynamiki produktu krajowego brutto w kwartałach dla lat 2020-2021 oraz w 1 kwartale 2022 r., wyrównane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14:paraId="4CB39C12" w14:textId="2CAFF764" w:rsidR="0030627E" w:rsidRPr="00977864" w:rsidRDefault="0030627E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14:paraId="217730BD" w14:textId="6D2DB2DB" w:rsidR="0030627E" w:rsidRPr="00B726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B353FC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r. PKB wyrównany sezonowo zwiększył się realnie o </w:t>
      </w:r>
      <w:r w:rsidR="008357A2">
        <w:rPr>
          <w:rFonts w:cs="Arial"/>
          <w:szCs w:val="19"/>
        </w:rPr>
        <w:t>2,5</w:t>
      </w:r>
      <w:r w:rsidRPr="00B72629">
        <w:rPr>
          <w:rFonts w:cs="Arial"/>
          <w:szCs w:val="19"/>
        </w:rPr>
        <w:t>%.</w:t>
      </w:r>
    </w:p>
    <w:p w14:paraId="74958019" w14:textId="0712085A" w:rsidR="0030627E" w:rsidRPr="001A7FCB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B353FC">
        <w:rPr>
          <w:rFonts w:cs="Arial"/>
          <w:szCs w:val="19"/>
        </w:rPr>
        <w:t>1</w:t>
      </w:r>
      <w:r w:rsidRPr="001A7FCB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r. w porównaniu z poprzednim kwartałem zwiększyła się realnie o </w:t>
      </w:r>
      <w:r w:rsidR="008357A2">
        <w:rPr>
          <w:rFonts w:cs="Arial"/>
          <w:szCs w:val="19"/>
        </w:rPr>
        <w:t>1,8</w:t>
      </w:r>
      <w:r w:rsidRPr="001A7FCB">
        <w:rPr>
          <w:rFonts w:cs="Arial"/>
          <w:szCs w:val="19"/>
        </w:rPr>
        <w:t>%, w tym:</w:t>
      </w:r>
    </w:p>
    <w:p w14:paraId="26603D30" w14:textId="2C87B8FE" w:rsidR="0030627E" w:rsidRPr="001A7FCB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8357A2">
        <w:rPr>
          <w:rFonts w:cs="Arial"/>
          <w:szCs w:val="19"/>
        </w:rPr>
        <w:t>2,5</w:t>
      </w:r>
      <w:r w:rsidRPr="001A7FCB">
        <w:rPr>
          <w:rFonts w:cs="Arial"/>
          <w:szCs w:val="19"/>
        </w:rPr>
        <w:t>%,</w:t>
      </w:r>
    </w:p>
    <w:p w14:paraId="551828E3" w14:textId="7B80120B" w:rsidR="0030627E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 w:rsidR="007C7DEF">
        <w:rPr>
          <w:rFonts w:cs="Arial"/>
          <w:szCs w:val="19"/>
        </w:rPr>
        <w:t xml:space="preserve">budownictwie o </w:t>
      </w:r>
      <w:r w:rsidR="008357A2">
        <w:rPr>
          <w:rFonts w:cs="Arial"/>
          <w:szCs w:val="19"/>
        </w:rPr>
        <w:t>4,4</w:t>
      </w:r>
      <w:r w:rsidR="007C7DEF">
        <w:rPr>
          <w:rFonts w:cs="Arial"/>
          <w:szCs w:val="19"/>
        </w:rPr>
        <w:t>%,</w:t>
      </w:r>
    </w:p>
    <w:p w14:paraId="7E85CE29" w14:textId="3B90AA92" w:rsidR="008357A2" w:rsidRPr="001A7FCB" w:rsidRDefault="008357A2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handlu i </w:t>
      </w:r>
      <w:r w:rsidRPr="007C7DEF">
        <w:rPr>
          <w:rFonts w:cs="Arial"/>
          <w:szCs w:val="19"/>
        </w:rPr>
        <w:t>naprawach</w:t>
      </w:r>
      <w:r>
        <w:rPr>
          <w:rFonts w:cs="Arial"/>
          <w:szCs w:val="19"/>
        </w:rPr>
        <w:t xml:space="preserve"> o </w:t>
      </w:r>
      <w:r w:rsidR="000A1EE8">
        <w:rPr>
          <w:rFonts w:cs="Arial"/>
          <w:szCs w:val="19"/>
        </w:rPr>
        <w:t>5,5</w:t>
      </w:r>
      <w:r>
        <w:rPr>
          <w:rFonts w:cs="Arial"/>
          <w:szCs w:val="19"/>
        </w:rPr>
        <w:t>%</w:t>
      </w:r>
      <w:r w:rsidR="002532F2">
        <w:rPr>
          <w:rFonts w:cs="Arial"/>
          <w:szCs w:val="19"/>
        </w:rPr>
        <w:t>,</w:t>
      </w:r>
    </w:p>
    <w:p w14:paraId="1AE56D20" w14:textId="0BEC086B" w:rsidR="0030627E" w:rsidRPr="001A7FCB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8357A2">
        <w:rPr>
          <w:rFonts w:cs="Arial"/>
          <w:szCs w:val="19"/>
        </w:rPr>
        <w:t>4,2</w:t>
      </w:r>
      <w:r w:rsidRPr="001A7FCB">
        <w:rPr>
          <w:rFonts w:cs="Arial"/>
          <w:szCs w:val="19"/>
        </w:rPr>
        <w:t>%,</w:t>
      </w:r>
    </w:p>
    <w:p w14:paraId="5DB31A2A" w14:textId="77777777" w:rsidR="0030627E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3AFFAD93" w14:textId="51BA98D4" w:rsidR="0030627E" w:rsidRDefault="0030627E" w:rsidP="0030627E">
      <w:pPr>
        <w:pStyle w:val="Akapitzlist"/>
        <w:tabs>
          <w:tab w:val="left" w:pos="284"/>
        </w:tabs>
        <w:spacing w:line="288" w:lineRule="auto"/>
        <w:ind w:left="0" w:firstLine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8357A2">
        <w:rPr>
          <w:rFonts w:cs="Arial"/>
          <w:szCs w:val="19"/>
        </w:rPr>
        <w:t>0,6</w:t>
      </w:r>
      <w:r>
        <w:rPr>
          <w:rFonts w:cs="Arial"/>
          <w:szCs w:val="19"/>
        </w:rPr>
        <w:t>%.</w:t>
      </w:r>
    </w:p>
    <w:p w14:paraId="7DB2C4F4" w14:textId="4760B8B6"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Wartość dodana </w:t>
      </w:r>
      <w:r w:rsidR="007C7DEF" w:rsidRPr="007C7DEF">
        <w:rPr>
          <w:rFonts w:cs="Arial"/>
          <w:szCs w:val="19"/>
        </w:rPr>
        <w:t xml:space="preserve">w działalności finansowej i ubezpieczeniowej </w:t>
      </w:r>
      <w:r w:rsidR="008357A2">
        <w:rPr>
          <w:rFonts w:cs="Arial"/>
          <w:szCs w:val="19"/>
        </w:rPr>
        <w:t>zmniejszyła się</w:t>
      </w:r>
      <w:r w:rsidR="007C7DEF" w:rsidRPr="007C7DEF">
        <w:rPr>
          <w:rFonts w:cs="Arial"/>
          <w:szCs w:val="19"/>
        </w:rPr>
        <w:t xml:space="preserve"> o </w:t>
      </w:r>
      <w:r w:rsidR="008357A2">
        <w:rPr>
          <w:rFonts w:cs="Arial"/>
          <w:szCs w:val="19"/>
        </w:rPr>
        <w:t>2,3</w:t>
      </w:r>
      <w:r w:rsidR="007C7DEF">
        <w:rPr>
          <w:rFonts w:cs="Arial"/>
          <w:szCs w:val="19"/>
        </w:rPr>
        <w:t>%.</w:t>
      </w:r>
    </w:p>
    <w:p w14:paraId="4E3ABBB3" w14:textId="1CFB619C" w:rsidR="0030627E" w:rsidRPr="003B453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B353FC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w porównaniu z poprzednim kwartałem wzrósł realnie</w:t>
      </w:r>
      <w:r>
        <w:rPr>
          <w:rFonts w:cs="Arial"/>
          <w:szCs w:val="19"/>
        </w:rPr>
        <w:br/>
      </w:r>
      <w:r w:rsidRPr="003B453E">
        <w:rPr>
          <w:rFonts w:cs="Arial"/>
          <w:szCs w:val="19"/>
        </w:rPr>
        <w:t xml:space="preserve"> o </w:t>
      </w:r>
      <w:r w:rsidR="00B2669E">
        <w:rPr>
          <w:rFonts w:cs="Arial"/>
          <w:szCs w:val="19"/>
        </w:rPr>
        <w:t>5,3</w:t>
      </w:r>
      <w:r w:rsidRPr="003B453E">
        <w:rPr>
          <w:rFonts w:cs="Arial"/>
          <w:szCs w:val="19"/>
        </w:rPr>
        <w:t>%.</w:t>
      </w:r>
    </w:p>
    <w:p w14:paraId="3E3FB3FE" w14:textId="457A8C22"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06798C">
        <w:rPr>
          <w:rFonts w:cs="Arial"/>
          <w:szCs w:val="19"/>
        </w:rPr>
        <w:t>1</w:t>
      </w:r>
      <w:r w:rsidRPr="007650FF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r. z</w:t>
      </w:r>
      <w:r w:rsidR="00B2669E">
        <w:rPr>
          <w:rFonts w:cs="Arial"/>
          <w:szCs w:val="19"/>
        </w:rPr>
        <w:t>mniejs</w:t>
      </w:r>
      <w:r w:rsidRPr="007650FF">
        <w:rPr>
          <w:rFonts w:cs="Arial"/>
          <w:szCs w:val="19"/>
        </w:rPr>
        <w:t xml:space="preserve">zyło się realnie o </w:t>
      </w:r>
      <w:r w:rsidR="00B2669E">
        <w:rPr>
          <w:rFonts w:cs="Arial"/>
          <w:szCs w:val="19"/>
        </w:rPr>
        <w:t>2,5</w:t>
      </w:r>
      <w:r w:rsidRPr="007650FF">
        <w:rPr>
          <w:rFonts w:cs="Arial"/>
          <w:szCs w:val="19"/>
        </w:rPr>
        <w:t xml:space="preserve">%,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B2669E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B2669E">
        <w:rPr>
          <w:rFonts w:cs="Arial"/>
          <w:szCs w:val="19"/>
        </w:rPr>
        <w:t>0,6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Pr="007650FF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 xml:space="preserve">wzrosło o </w:t>
      </w:r>
      <w:r w:rsidR="00B2669E">
        <w:rPr>
          <w:rFonts w:cs="Arial"/>
          <w:szCs w:val="19"/>
        </w:rPr>
        <w:t>0,3</w:t>
      </w:r>
      <w:r w:rsidRPr="007650FF">
        <w:rPr>
          <w:rFonts w:cs="Arial"/>
          <w:szCs w:val="19"/>
        </w:rPr>
        <w:t>%.</w:t>
      </w:r>
    </w:p>
    <w:p w14:paraId="2CE8FBAE" w14:textId="52FA2977" w:rsidR="0030627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06798C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3B453E">
        <w:rPr>
          <w:rFonts w:cs="Arial"/>
          <w:szCs w:val="19"/>
        </w:rPr>
        <w:t xml:space="preserve"> realnie o </w:t>
      </w:r>
      <w:r w:rsidR="00830A29">
        <w:rPr>
          <w:rFonts w:cs="Arial"/>
          <w:szCs w:val="19"/>
        </w:rPr>
        <w:t>44,2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>
        <w:rPr>
          <w:rFonts w:cs="Arial"/>
          <w:szCs w:val="19"/>
        </w:rPr>
        <w:t>więk</w:t>
      </w:r>
      <w:r w:rsidRPr="003B453E">
        <w:rPr>
          <w:rFonts w:cs="Arial"/>
          <w:szCs w:val="19"/>
        </w:rPr>
        <w:t xml:space="preserve">szyły się realnie o </w:t>
      </w:r>
      <w:r w:rsidR="00830A29">
        <w:rPr>
          <w:rFonts w:cs="Arial"/>
          <w:szCs w:val="19"/>
        </w:rPr>
        <w:t>11,5</w:t>
      </w:r>
      <w:r w:rsidRPr="003B453E">
        <w:rPr>
          <w:rFonts w:cs="Arial"/>
          <w:szCs w:val="19"/>
        </w:rPr>
        <w:t xml:space="preserve">%. </w:t>
      </w:r>
    </w:p>
    <w:p w14:paraId="4527983A" w14:textId="77777777"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14:paraId="143A7CDE" w14:textId="77777777" w:rsidR="0030627E" w:rsidRPr="00145641" w:rsidRDefault="0030627E" w:rsidP="0030627E">
      <w:pPr>
        <w:pStyle w:val="Nagwek1"/>
        <w:spacing w:before="480"/>
        <w:rPr>
          <w:rFonts w:ascii="Fira Sans" w:hAnsi="Fira Sans"/>
          <w:b/>
          <w:noProof/>
          <w:spacing w:val="-2"/>
          <w:szCs w:val="19"/>
        </w:rPr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22D51EE0" w14:textId="1386EA09"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06798C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był realnie wyższy o </w:t>
      </w:r>
      <w:r w:rsidR="00B07E03">
        <w:rPr>
          <w:rFonts w:cs="Arial"/>
          <w:szCs w:val="19"/>
        </w:rPr>
        <w:t>8,5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14:paraId="4CDEFBCA" w14:textId="3467CD37" w:rsidR="00B915B5" w:rsidRPr="0082329B" w:rsidRDefault="00B915B5" w:rsidP="00B915B5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</w:t>
      </w:r>
      <w:r w:rsidR="004D7806">
        <w:rPr>
          <w:rFonts w:ascii="Fira Sans" w:hAnsi="Fira Sans"/>
          <w:sz w:val="18"/>
          <w:szCs w:val="18"/>
        </w:rPr>
        <w:t>3</w:t>
      </w:r>
      <w:r w:rsidRPr="0082329B">
        <w:rPr>
          <w:rFonts w:ascii="Fira Sans" w:hAnsi="Fira Sans"/>
          <w:sz w:val="18"/>
          <w:szCs w:val="18"/>
        </w:rPr>
        <w:t xml:space="preserve">. Dynamika realna produktu krajowego brutto </w:t>
      </w:r>
    </w:p>
    <w:p w14:paraId="6F3214F7" w14:textId="690C9EAC" w:rsidR="0030627E" w:rsidRPr="00BD4289" w:rsidRDefault="00B915B5" w:rsidP="004D7806">
      <w:pPr>
        <w:pStyle w:val="Tytuwykresu0"/>
        <w:spacing w:before="0" w:line="240" w:lineRule="exact"/>
        <w:ind w:left="822" w:hanging="709"/>
        <w:outlineLvl w:val="9"/>
        <w:rPr>
          <w:szCs w:val="19"/>
        </w:rPr>
      </w:pPr>
      <w:r>
        <w:rPr>
          <w:szCs w:val="19"/>
        </w:rPr>
        <w:tab/>
      </w:r>
      <w:r w:rsidRPr="0082329B">
        <w:rPr>
          <w:rFonts w:ascii="Fira Sans" w:hAnsi="Fira Sans"/>
          <w:sz w:val="18"/>
          <w:szCs w:val="18"/>
        </w:rPr>
        <w:t>(analogiczny okres roku poprzedniego = 100</w:t>
      </w:r>
      <w:r>
        <w:rPr>
          <w:rFonts w:ascii="Fira Sans" w:hAnsi="Fira Sans"/>
          <w:sz w:val="18"/>
          <w:szCs w:val="18"/>
        </w:rPr>
        <w:t>)</w:t>
      </w:r>
    </w:p>
    <w:p w14:paraId="71BC9417" w14:textId="2F4EB1E6" w:rsidR="0063303D" w:rsidRDefault="00C61B6D" w:rsidP="00712D10">
      <w:pPr>
        <w:spacing w:line="288" w:lineRule="auto"/>
      </w:pPr>
      <w:r w:rsidRPr="00C61B6D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42255567" wp14:editId="3B929D64">
            <wp:simplePos x="0" y="0"/>
            <wp:positionH relativeFrom="column">
              <wp:posOffset>-34610</wp:posOffset>
            </wp:positionH>
            <wp:positionV relativeFrom="paragraph">
              <wp:posOffset>154454</wp:posOffset>
            </wp:positionV>
            <wp:extent cx="5122800" cy="2919600"/>
            <wp:effectExtent l="0" t="0" r="1905" b="0"/>
            <wp:wrapSquare wrapText="bothSides"/>
            <wp:docPr id="18" name="Obraz 18" descr="Wykres prezentuje wartości dynamiki produktu krajowego brutto, spożycia w sektorze gospodarstw domowych i nakładów brutto na środki trwałe w kwartałach dla lat 2020-2021 i w 1 kwartale 2022 r., niewyrównane sezonowo, przy podstawie analogiczny okres roku poprzedniego = 100&#10;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D088D" w14:textId="77777777" w:rsidR="005C23D0" w:rsidRDefault="005C23D0" w:rsidP="00145641">
      <w:pPr>
        <w:spacing w:line="288" w:lineRule="auto"/>
        <w:rPr>
          <w:rFonts w:cs="Arial"/>
          <w:szCs w:val="19"/>
        </w:rPr>
      </w:pPr>
    </w:p>
    <w:p w14:paraId="774E4FF2" w14:textId="734F0530"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06798C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06798C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r., była wyższa o </w:t>
      </w:r>
      <w:r w:rsidR="00DB0FCF">
        <w:rPr>
          <w:rFonts w:cs="Arial"/>
          <w:szCs w:val="19"/>
        </w:rPr>
        <w:t>8,3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14:paraId="54ED6ED3" w14:textId="07BFEA78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DB0FCF">
        <w:rPr>
          <w:rFonts w:cs="Arial"/>
          <w:szCs w:val="19"/>
        </w:rPr>
        <w:t>15,1</w:t>
      </w:r>
      <w:r w:rsidRPr="001A7FCB">
        <w:rPr>
          <w:rFonts w:cs="Arial"/>
          <w:szCs w:val="19"/>
        </w:rPr>
        <w:t>%,</w:t>
      </w:r>
    </w:p>
    <w:p w14:paraId="33C16E0B" w14:textId="5F54E910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DB0FCF">
        <w:rPr>
          <w:rFonts w:cs="Arial"/>
          <w:szCs w:val="19"/>
        </w:rPr>
        <w:t>17,4</w:t>
      </w:r>
      <w:r>
        <w:rPr>
          <w:rFonts w:cs="Arial"/>
          <w:szCs w:val="19"/>
        </w:rPr>
        <w:t>%,</w:t>
      </w:r>
    </w:p>
    <w:p w14:paraId="1EA76A39" w14:textId="14FE7DBB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 w:rsidR="00DB0FCF">
        <w:rPr>
          <w:rFonts w:cs="Arial"/>
          <w:szCs w:val="19"/>
        </w:rPr>
        <w:t>6,0</w:t>
      </w:r>
      <w:r w:rsidRPr="001A7FCB">
        <w:rPr>
          <w:rFonts w:cs="Arial"/>
          <w:szCs w:val="19"/>
        </w:rPr>
        <w:t>%,</w:t>
      </w:r>
    </w:p>
    <w:p w14:paraId="17A2D876" w14:textId="249991C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DB0FCF">
        <w:rPr>
          <w:rFonts w:cs="Arial"/>
          <w:szCs w:val="19"/>
        </w:rPr>
        <w:t>17,0</w:t>
      </w:r>
      <w:r w:rsidRPr="001A7FCB">
        <w:rPr>
          <w:rFonts w:cs="Arial"/>
          <w:szCs w:val="19"/>
        </w:rPr>
        <w:t>%,</w:t>
      </w:r>
    </w:p>
    <w:p w14:paraId="327A3CBD" w14:textId="03C51E4F"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działalności finansowej i ubezpieczeniowej o 11,1%</w:t>
      </w:r>
    </w:p>
    <w:p w14:paraId="6BAF2959" w14:textId="03F7043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39D23637" w14:textId="754A8CB1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społecznych, edukacji, opiece zdrowotnej i pomocy społecznej łącznie o </w:t>
      </w:r>
      <w:r w:rsidR="00DB0FCF">
        <w:rPr>
          <w:rFonts w:cs="Arial"/>
          <w:szCs w:val="19"/>
        </w:rPr>
        <w:t>2,3</w:t>
      </w:r>
      <w:r w:rsidRPr="001A7FCB">
        <w:rPr>
          <w:rFonts w:cs="Arial"/>
          <w:szCs w:val="19"/>
        </w:rPr>
        <w:t>%.</w:t>
      </w:r>
    </w:p>
    <w:p w14:paraId="74891233" w14:textId="687AE0AE"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był wyższy o </w:t>
      </w:r>
      <w:r w:rsidR="00DB0FCF">
        <w:rPr>
          <w:rFonts w:cs="Arial"/>
          <w:szCs w:val="19"/>
        </w:rPr>
        <w:t>13,2</w:t>
      </w:r>
      <w:r w:rsidRPr="00E0205E">
        <w:rPr>
          <w:rFonts w:cs="Arial"/>
          <w:szCs w:val="19"/>
        </w:rPr>
        <w:t>%.</w:t>
      </w:r>
    </w:p>
    <w:p w14:paraId="270C72FA" w14:textId="52987ACC"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06798C">
        <w:rPr>
          <w:rFonts w:cs="Arial"/>
          <w:szCs w:val="19"/>
        </w:rPr>
        <w:t>1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było wyższe niż przed rokiem o </w:t>
      </w:r>
      <w:r w:rsidR="00DB0FCF">
        <w:rPr>
          <w:rFonts w:cs="Arial"/>
          <w:szCs w:val="19"/>
        </w:rPr>
        <w:t>5,1</w:t>
      </w:r>
      <w:r w:rsidRPr="00E0205E">
        <w:rPr>
          <w:rFonts w:cs="Arial"/>
          <w:szCs w:val="19"/>
        </w:rPr>
        <w:t xml:space="preserve">%, w tym wzrost spożycia w sektorze gospodarstw domowych wyniósł </w:t>
      </w:r>
      <w:r w:rsidR="00DB0FCF">
        <w:rPr>
          <w:rFonts w:cs="Arial"/>
          <w:szCs w:val="19"/>
        </w:rPr>
        <w:t>6,6</w:t>
      </w:r>
      <w:r w:rsidR="0042458A">
        <w:rPr>
          <w:rFonts w:cs="Arial"/>
          <w:szCs w:val="19"/>
        </w:rPr>
        <w:t>%, a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spożyci</w:t>
      </w:r>
      <w:r w:rsidR="00755965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6A49F5">
        <w:rPr>
          <w:rFonts w:cs="Arial"/>
          <w:szCs w:val="19"/>
        </w:rPr>
        <w:t xml:space="preserve"> </w:t>
      </w:r>
      <w:r w:rsidR="00755965">
        <w:rPr>
          <w:rFonts w:cs="Arial"/>
          <w:szCs w:val="19"/>
        </w:rPr>
        <w:t>wzrosło o 0,6%.</w:t>
      </w:r>
      <w:r w:rsidR="006A49F5">
        <w:rPr>
          <w:rFonts w:cs="Arial"/>
          <w:szCs w:val="19"/>
        </w:rPr>
        <w:t xml:space="preserve"> </w:t>
      </w:r>
    </w:p>
    <w:p w14:paraId="2D13EFA4" w14:textId="4CEA83A3"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wzrosła o </w:t>
      </w:r>
      <w:r w:rsidR="00444795">
        <w:rPr>
          <w:rFonts w:cs="Arial"/>
          <w:szCs w:val="19"/>
        </w:rPr>
        <w:t>57,3</w:t>
      </w:r>
      <w:r w:rsidRPr="00E0205E">
        <w:rPr>
          <w:rFonts w:cs="Arial"/>
          <w:szCs w:val="19"/>
        </w:rPr>
        <w:t>%,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444795">
        <w:rPr>
          <w:rFonts w:cs="Arial"/>
          <w:szCs w:val="19"/>
        </w:rPr>
        <w:t>4,3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444795">
        <w:rPr>
          <w:rFonts w:cs="Arial"/>
          <w:szCs w:val="19"/>
        </w:rPr>
        <w:t>12,4</w:t>
      </w:r>
      <w:r w:rsidRPr="00E0205E">
        <w:rPr>
          <w:rFonts w:cs="Arial"/>
          <w:szCs w:val="19"/>
        </w:rPr>
        <w:t xml:space="preserve">% wobec </w:t>
      </w:r>
      <w:r w:rsidR="00F440D5">
        <w:rPr>
          <w:rFonts w:cs="Arial"/>
          <w:szCs w:val="19"/>
        </w:rPr>
        <w:t>12,9</w:t>
      </w:r>
      <w:r w:rsidRPr="00E0205E">
        <w:rPr>
          <w:rFonts w:cs="Arial"/>
          <w:szCs w:val="19"/>
        </w:rPr>
        <w:t>% przed rokiem.</w:t>
      </w:r>
    </w:p>
    <w:p w14:paraId="70DD352D" w14:textId="5FFB93E5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14:paraId="124D175A" w14:textId="48D71620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14:paraId="24497A93" w14:textId="00770116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E819E5C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1A1AE38" w14:textId="6B273E35"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14:paraId="5425F0B4" w14:textId="0E6BA7C4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3DE0344" w14:textId="03DC2B16" w:rsidR="00276D35" w:rsidRPr="00AB15B7" w:rsidRDefault="00F779E7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informacji sygnalnej pt. Szybki szacunek produktu krajowego brutto za 1 kwartał 2022 roku" w:history="1">
              <w:r w:rsidR="00276D35" w:rsidRPr="00276D3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Szybki szacunek produktu krajowego brutto za 1 kwartał 2022 roku</w:t>
              </w:r>
            </w:hyperlink>
          </w:p>
          <w:p w14:paraId="55DA24D0" w14:textId="59B1BB22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A01077" w14:textId="4D9E5B0C" w:rsidR="000B1E4D" w:rsidRPr="000B1E4D" w:rsidRDefault="00F779E7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5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14:paraId="6EC7A51E" w14:textId="1DA83904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5F0C48D7" w:rsidR="00531873" w:rsidRPr="00497EE2" w:rsidRDefault="00F779E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14:paraId="78D9BC87" w14:textId="0B6D0DD1" w:rsidR="00E41F8F" w:rsidRPr="00497EE2" w:rsidRDefault="00F779E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14:paraId="45BA3D88" w14:textId="2DB2045B" w:rsidR="00E41F8F" w:rsidRPr="006B051D" w:rsidRDefault="00F779E7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14:paraId="734C8732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6B051D" w:rsidRDefault="000470AA" w:rsidP="000470AA">
      <w:pPr>
        <w:rPr>
          <w:sz w:val="20"/>
        </w:rPr>
      </w:pPr>
    </w:p>
    <w:p w14:paraId="21E45930" w14:textId="77777777" w:rsidR="000470AA" w:rsidRPr="006B051D" w:rsidRDefault="000470AA" w:rsidP="000470AA">
      <w:pPr>
        <w:rPr>
          <w:sz w:val="18"/>
        </w:rPr>
      </w:pPr>
    </w:p>
    <w:p w14:paraId="7C19EFAE" w14:textId="5AAD912C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2D96D" w14:textId="77777777" w:rsidR="00F779E7" w:rsidRDefault="00F779E7" w:rsidP="000662E2">
      <w:pPr>
        <w:spacing w:after="0" w:line="240" w:lineRule="auto"/>
      </w:pPr>
      <w:r>
        <w:separator/>
      </w:r>
    </w:p>
  </w:endnote>
  <w:endnote w:type="continuationSeparator" w:id="0">
    <w:p w14:paraId="50559736" w14:textId="77777777" w:rsidR="00F779E7" w:rsidRDefault="00F779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161BC5F-1E03-4774-A390-E2B0D0DA97D7}"/>
    <w:embedBold r:id="rId2" w:fontKey="{BF3B5991-3877-4CF3-84FC-89B756F2783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F51A828-EA33-48BD-89ED-256341A9DE5C}"/>
    <w:embedBold r:id="rId4" w:fontKey="{E8464136-513A-455E-B77B-968968E28C4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CCEFC998-DA4F-45E7-B5FF-B75F525F7B0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FB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F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FB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9D263" w14:textId="77777777" w:rsidR="00F779E7" w:rsidRDefault="00F779E7" w:rsidP="000662E2">
      <w:pPr>
        <w:spacing w:after="0" w:line="240" w:lineRule="auto"/>
      </w:pPr>
      <w:r>
        <w:separator/>
      </w:r>
    </w:p>
  </w:footnote>
  <w:footnote w:type="continuationSeparator" w:id="0">
    <w:p w14:paraId="3BD8BAE8" w14:textId="77777777" w:rsidR="00F779E7" w:rsidRDefault="00F779E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26F371F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5FA28BA2" w:rsidR="00540C5C" w:rsidRDefault="0078723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DAAAF">
              <wp:simplePos x="0" y="0"/>
              <wp:positionH relativeFrom="column">
                <wp:posOffset>5163185</wp:posOffset>
              </wp:positionH>
              <wp:positionV relativeFrom="paragraph">
                <wp:posOffset>53340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76B945" id="Prostokąt 10" o:spid="_x0000_s1026" style="position:absolute;margin-left:406.55pt;margin-top:4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QtnsLkAAAACwEAAA8AAABkcnMvZG93bnJl&#10;di54bWxMj8FOwzAQRO9I/IO1SNyoY0rbEOJUCIiExAXaRtCbGy9J1HgdYjcNfD3uCW6zmtHM23Q5&#10;mpYN2LvGkgQxiYAhlVY3VEnYrPOrGJjzirRqLaGEb3SwzM7PUpVoe6Q3HFa+YqGEXKIk1N53Ceeu&#10;rNEoN7EdUvA+bW+UD2dfcd2rYyg3Lb+Oojk3qqGwUKsOH2os96uDkWC3w/pF5/m+KH4e31/jp4/i&#10;a/ss5eXFeH8HzOPo/8Jwwg/okAWmnT2QdqyVEIupCNEgboCdfBEtboHtJEznYjYDnqX8/w/ZL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ELZ7C5AAAAAs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9B6CE3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1.05.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0AEC033" w:rsidR="00F37172" w:rsidRPr="00A01B40" w:rsidRDefault="004379C9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A7687B">
                            <w:t>.0</w:t>
                          </w:r>
                          <w:r>
                            <w:t>5</w:t>
                          </w:r>
                          <w:r w:rsidR="00A7687B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31.05.2022 r.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84j+GT4CAAA/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71967FEA" w14:textId="50AEC033" w:rsidR="00F37172" w:rsidRPr="00A01B40" w:rsidRDefault="004379C9" w:rsidP="00F049AB">
                    <w:pPr>
                      <w:pStyle w:val="Datainformacjisygnalnej"/>
                    </w:pPr>
                    <w:r>
                      <w:t>31</w:t>
                    </w:r>
                    <w:r w:rsidR="00A7687B">
                      <w:t>.0</w:t>
                    </w:r>
                    <w:r>
                      <w:t>5</w:t>
                    </w:r>
                    <w:r w:rsidR="00A7687B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709F"/>
    <w:rsid w:val="000108B8"/>
    <w:rsid w:val="000152F5"/>
    <w:rsid w:val="00024D80"/>
    <w:rsid w:val="000271CD"/>
    <w:rsid w:val="0004582E"/>
    <w:rsid w:val="000470AA"/>
    <w:rsid w:val="00057CA1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806F7"/>
    <w:rsid w:val="0008145F"/>
    <w:rsid w:val="00097840"/>
    <w:rsid w:val="000A1EE8"/>
    <w:rsid w:val="000B041C"/>
    <w:rsid w:val="000B0727"/>
    <w:rsid w:val="000B1E4D"/>
    <w:rsid w:val="000C135D"/>
    <w:rsid w:val="000C7EF7"/>
    <w:rsid w:val="000D1D43"/>
    <w:rsid w:val="000D225C"/>
    <w:rsid w:val="000D2A5C"/>
    <w:rsid w:val="000D39F0"/>
    <w:rsid w:val="000D58DB"/>
    <w:rsid w:val="000D78BB"/>
    <w:rsid w:val="000E0918"/>
    <w:rsid w:val="000E2599"/>
    <w:rsid w:val="000E79A9"/>
    <w:rsid w:val="001011C3"/>
    <w:rsid w:val="00104998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4145"/>
    <w:rsid w:val="0013524E"/>
    <w:rsid w:val="00136736"/>
    <w:rsid w:val="00136740"/>
    <w:rsid w:val="00136D67"/>
    <w:rsid w:val="00141BF6"/>
    <w:rsid w:val="001423B6"/>
    <w:rsid w:val="001448A7"/>
    <w:rsid w:val="00145641"/>
    <w:rsid w:val="00146621"/>
    <w:rsid w:val="001617E3"/>
    <w:rsid w:val="00162325"/>
    <w:rsid w:val="00167752"/>
    <w:rsid w:val="00175687"/>
    <w:rsid w:val="00181A31"/>
    <w:rsid w:val="00190343"/>
    <w:rsid w:val="00190738"/>
    <w:rsid w:val="001951DA"/>
    <w:rsid w:val="001957B6"/>
    <w:rsid w:val="001A164B"/>
    <w:rsid w:val="001A48B0"/>
    <w:rsid w:val="001B053D"/>
    <w:rsid w:val="001B4480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5E50"/>
    <w:rsid w:val="0020156C"/>
    <w:rsid w:val="002068DA"/>
    <w:rsid w:val="00216634"/>
    <w:rsid w:val="00225176"/>
    <w:rsid w:val="002335F4"/>
    <w:rsid w:val="00242D31"/>
    <w:rsid w:val="002455EC"/>
    <w:rsid w:val="002532F2"/>
    <w:rsid w:val="0025481E"/>
    <w:rsid w:val="00254A93"/>
    <w:rsid w:val="002574F9"/>
    <w:rsid w:val="00262B61"/>
    <w:rsid w:val="00262CC6"/>
    <w:rsid w:val="00263E08"/>
    <w:rsid w:val="00276811"/>
    <w:rsid w:val="00276D35"/>
    <w:rsid w:val="00282699"/>
    <w:rsid w:val="002926DF"/>
    <w:rsid w:val="00293816"/>
    <w:rsid w:val="00296522"/>
    <w:rsid w:val="00296697"/>
    <w:rsid w:val="002B0472"/>
    <w:rsid w:val="002B6B12"/>
    <w:rsid w:val="002C0414"/>
    <w:rsid w:val="002C21F0"/>
    <w:rsid w:val="002C38FC"/>
    <w:rsid w:val="002D01DF"/>
    <w:rsid w:val="002E3EB3"/>
    <w:rsid w:val="002E6140"/>
    <w:rsid w:val="002E6985"/>
    <w:rsid w:val="002E71B6"/>
    <w:rsid w:val="002F35F6"/>
    <w:rsid w:val="002F5479"/>
    <w:rsid w:val="002F77C8"/>
    <w:rsid w:val="00302E9A"/>
    <w:rsid w:val="00304F22"/>
    <w:rsid w:val="0030627E"/>
    <w:rsid w:val="00306C7C"/>
    <w:rsid w:val="00314F86"/>
    <w:rsid w:val="00317F4D"/>
    <w:rsid w:val="00320E64"/>
    <w:rsid w:val="00322EDD"/>
    <w:rsid w:val="003309FA"/>
    <w:rsid w:val="00332320"/>
    <w:rsid w:val="00347A4F"/>
    <w:rsid w:val="00347D72"/>
    <w:rsid w:val="00353F45"/>
    <w:rsid w:val="003553B4"/>
    <w:rsid w:val="0035721D"/>
    <w:rsid w:val="00357611"/>
    <w:rsid w:val="0036432A"/>
    <w:rsid w:val="00364AF9"/>
    <w:rsid w:val="0036722F"/>
    <w:rsid w:val="00367237"/>
    <w:rsid w:val="0037077F"/>
    <w:rsid w:val="00371066"/>
    <w:rsid w:val="00372411"/>
    <w:rsid w:val="00373882"/>
    <w:rsid w:val="00373E20"/>
    <w:rsid w:val="0037799D"/>
    <w:rsid w:val="003779D2"/>
    <w:rsid w:val="003814BF"/>
    <w:rsid w:val="0038267B"/>
    <w:rsid w:val="003843DB"/>
    <w:rsid w:val="003857CB"/>
    <w:rsid w:val="00393761"/>
    <w:rsid w:val="00394E26"/>
    <w:rsid w:val="003962F7"/>
    <w:rsid w:val="00396691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06F85"/>
    <w:rsid w:val="0041404F"/>
    <w:rsid w:val="004148A7"/>
    <w:rsid w:val="00416E81"/>
    <w:rsid w:val="00416EAF"/>
    <w:rsid w:val="004212E7"/>
    <w:rsid w:val="00423C88"/>
    <w:rsid w:val="0042446D"/>
    <w:rsid w:val="0042458A"/>
    <w:rsid w:val="00424977"/>
    <w:rsid w:val="004249D2"/>
    <w:rsid w:val="00427BF8"/>
    <w:rsid w:val="00430687"/>
    <w:rsid w:val="00431C02"/>
    <w:rsid w:val="00437395"/>
    <w:rsid w:val="004379C9"/>
    <w:rsid w:val="00437D5B"/>
    <w:rsid w:val="00444795"/>
    <w:rsid w:val="00445047"/>
    <w:rsid w:val="00446749"/>
    <w:rsid w:val="00453EB7"/>
    <w:rsid w:val="0046280E"/>
    <w:rsid w:val="00462FB6"/>
    <w:rsid w:val="00463E39"/>
    <w:rsid w:val="004657FC"/>
    <w:rsid w:val="0046721B"/>
    <w:rsid w:val="004733F6"/>
    <w:rsid w:val="00474E69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A2D49"/>
    <w:rsid w:val="004A43D0"/>
    <w:rsid w:val="004B0CFC"/>
    <w:rsid w:val="004B34E3"/>
    <w:rsid w:val="004B4E78"/>
    <w:rsid w:val="004C1895"/>
    <w:rsid w:val="004C6D40"/>
    <w:rsid w:val="004D4A27"/>
    <w:rsid w:val="004D775E"/>
    <w:rsid w:val="004D7806"/>
    <w:rsid w:val="004E201E"/>
    <w:rsid w:val="004E6AA8"/>
    <w:rsid w:val="004F0C3C"/>
    <w:rsid w:val="004F2280"/>
    <w:rsid w:val="004F23BB"/>
    <w:rsid w:val="004F4468"/>
    <w:rsid w:val="004F63FC"/>
    <w:rsid w:val="004F771D"/>
    <w:rsid w:val="00505A92"/>
    <w:rsid w:val="00512511"/>
    <w:rsid w:val="00513AAE"/>
    <w:rsid w:val="00515986"/>
    <w:rsid w:val="005203F1"/>
    <w:rsid w:val="00521BC3"/>
    <w:rsid w:val="00523C5A"/>
    <w:rsid w:val="00531873"/>
    <w:rsid w:val="00533632"/>
    <w:rsid w:val="00534013"/>
    <w:rsid w:val="00540C5C"/>
    <w:rsid w:val="00541E6E"/>
    <w:rsid w:val="0054251F"/>
    <w:rsid w:val="00551F1A"/>
    <w:rsid w:val="005520D8"/>
    <w:rsid w:val="00555CFB"/>
    <w:rsid w:val="00556875"/>
    <w:rsid w:val="00556ADB"/>
    <w:rsid w:val="00556CF1"/>
    <w:rsid w:val="00572B93"/>
    <w:rsid w:val="00574A8D"/>
    <w:rsid w:val="005762A7"/>
    <w:rsid w:val="00580B5E"/>
    <w:rsid w:val="00587CEE"/>
    <w:rsid w:val="005916D7"/>
    <w:rsid w:val="0059427F"/>
    <w:rsid w:val="005A0CBF"/>
    <w:rsid w:val="005A698C"/>
    <w:rsid w:val="005A7AF9"/>
    <w:rsid w:val="005B1737"/>
    <w:rsid w:val="005C0CAC"/>
    <w:rsid w:val="005C23D0"/>
    <w:rsid w:val="005C49DE"/>
    <w:rsid w:val="005D062E"/>
    <w:rsid w:val="005D2F6B"/>
    <w:rsid w:val="005D4907"/>
    <w:rsid w:val="005E0799"/>
    <w:rsid w:val="005E10F9"/>
    <w:rsid w:val="005E1200"/>
    <w:rsid w:val="005F45EE"/>
    <w:rsid w:val="005F5A80"/>
    <w:rsid w:val="00602785"/>
    <w:rsid w:val="006044FF"/>
    <w:rsid w:val="00607CC5"/>
    <w:rsid w:val="0061179B"/>
    <w:rsid w:val="006125F9"/>
    <w:rsid w:val="00614E43"/>
    <w:rsid w:val="00616CBA"/>
    <w:rsid w:val="00633014"/>
    <w:rsid w:val="0063303D"/>
    <w:rsid w:val="0063437B"/>
    <w:rsid w:val="00635118"/>
    <w:rsid w:val="0064017E"/>
    <w:rsid w:val="00654BB6"/>
    <w:rsid w:val="00655145"/>
    <w:rsid w:val="00655EF9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86852"/>
    <w:rsid w:val="00690FF0"/>
    <w:rsid w:val="00691534"/>
    <w:rsid w:val="00693880"/>
    <w:rsid w:val="00694AF0"/>
    <w:rsid w:val="006A39AB"/>
    <w:rsid w:val="006A4686"/>
    <w:rsid w:val="006A49F5"/>
    <w:rsid w:val="006B051D"/>
    <w:rsid w:val="006B0E9E"/>
    <w:rsid w:val="006B486D"/>
    <w:rsid w:val="006B5AE4"/>
    <w:rsid w:val="006D1507"/>
    <w:rsid w:val="006D4054"/>
    <w:rsid w:val="006E02EC"/>
    <w:rsid w:val="006E3C4F"/>
    <w:rsid w:val="006E5E80"/>
    <w:rsid w:val="006E6F41"/>
    <w:rsid w:val="006E73E6"/>
    <w:rsid w:val="007119AD"/>
    <w:rsid w:val="00712D10"/>
    <w:rsid w:val="00713ECE"/>
    <w:rsid w:val="007211B1"/>
    <w:rsid w:val="00721E45"/>
    <w:rsid w:val="007277DA"/>
    <w:rsid w:val="00731D27"/>
    <w:rsid w:val="0073587C"/>
    <w:rsid w:val="00740A04"/>
    <w:rsid w:val="00743B0E"/>
    <w:rsid w:val="00746187"/>
    <w:rsid w:val="0075123F"/>
    <w:rsid w:val="00755965"/>
    <w:rsid w:val="0076254F"/>
    <w:rsid w:val="00762A71"/>
    <w:rsid w:val="00763C36"/>
    <w:rsid w:val="00767EE3"/>
    <w:rsid w:val="007801F5"/>
    <w:rsid w:val="00783CA4"/>
    <w:rsid w:val="007842FB"/>
    <w:rsid w:val="00786124"/>
    <w:rsid w:val="0078723E"/>
    <w:rsid w:val="00790B92"/>
    <w:rsid w:val="00793080"/>
    <w:rsid w:val="0079514B"/>
    <w:rsid w:val="00795252"/>
    <w:rsid w:val="00796F94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17841"/>
    <w:rsid w:val="00822F52"/>
    <w:rsid w:val="0082329B"/>
    <w:rsid w:val="00823593"/>
    <w:rsid w:val="00825DC2"/>
    <w:rsid w:val="00830A29"/>
    <w:rsid w:val="00832911"/>
    <w:rsid w:val="00834AD3"/>
    <w:rsid w:val="008357A2"/>
    <w:rsid w:val="00843795"/>
    <w:rsid w:val="00847F0F"/>
    <w:rsid w:val="00852448"/>
    <w:rsid w:val="00852F39"/>
    <w:rsid w:val="00855AFE"/>
    <w:rsid w:val="008776D3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C0C29"/>
    <w:rsid w:val="008C75A9"/>
    <w:rsid w:val="008D02DA"/>
    <w:rsid w:val="008D66EC"/>
    <w:rsid w:val="008D76BC"/>
    <w:rsid w:val="008E216C"/>
    <w:rsid w:val="008E7DBA"/>
    <w:rsid w:val="008F0829"/>
    <w:rsid w:val="008F3638"/>
    <w:rsid w:val="008F4441"/>
    <w:rsid w:val="008F6B20"/>
    <w:rsid w:val="008F6F31"/>
    <w:rsid w:val="008F71C5"/>
    <w:rsid w:val="008F74DF"/>
    <w:rsid w:val="00902274"/>
    <w:rsid w:val="00903B09"/>
    <w:rsid w:val="009068B3"/>
    <w:rsid w:val="009127BA"/>
    <w:rsid w:val="00913FFD"/>
    <w:rsid w:val="00920AAE"/>
    <w:rsid w:val="009227A6"/>
    <w:rsid w:val="00931D05"/>
    <w:rsid w:val="00933EC1"/>
    <w:rsid w:val="009378AE"/>
    <w:rsid w:val="00941A1A"/>
    <w:rsid w:val="009446AD"/>
    <w:rsid w:val="00947A5D"/>
    <w:rsid w:val="009530DB"/>
    <w:rsid w:val="00953676"/>
    <w:rsid w:val="00956F30"/>
    <w:rsid w:val="00966C9A"/>
    <w:rsid w:val="009705EE"/>
    <w:rsid w:val="00971C0F"/>
    <w:rsid w:val="00977927"/>
    <w:rsid w:val="0098135C"/>
    <w:rsid w:val="0098156A"/>
    <w:rsid w:val="00985FBE"/>
    <w:rsid w:val="00991BAC"/>
    <w:rsid w:val="0099757D"/>
    <w:rsid w:val="009A6EA0"/>
    <w:rsid w:val="009C1335"/>
    <w:rsid w:val="009C1AB2"/>
    <w:rsid w:val="009C7251"/>
    <w:rsid w:val="009D73AD"/>
    <w:rsid w:val="009E2E91"/>
    <w:rsid w:val="009E3B4D"/>
    <w:rsid w:val="00A01B40"/>
    <w:rsid w:val="00A139F5"/>
    <w:rsid w:val="00A218DA"/>
    <w:rsid w:val="00A32DA4"/>
    <w:rsid w:val="00A32E16"/>
    <w:rsid w:val="00A365F4"/>
    <w:rsid w:val="00A47D80"/>
    <w:rsid w:val="00A53132"/>
    <w:rsid w:val="00A563F2"/>
    <w:rsid w:val="00A566E8"/>
    <w:rsid w:val="00A66347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15B7"/>
    <w:rsid w:val="00AB4200"/>
    <w:rsid w:val="00AB64F3"/>
    <w:rsid w:val="00AB6D25"/>
    <w:rsid w:val="00AD0E56"/>
    <w:rsid w:val="00AD1DFF"/>
    <w:rsid w:val="00AE229B"/>
    <w:rsid w:val="00AE2D4B"/>
    <w:rsid w:val="00AE3A6B"/>
    <w:rsid w:val="00AE4F99"/>
    <w:rsid w:val="00AE5849"/>
    <w:rsid w:val="00B00C24"/>
    <w:rsid w:val="00B07E03"/>
    <w:rsid w:val="00B11B69"/>
    <w:rsid w:val="00B13463"/>
    <w:rsid w:val="00B14952"/>
    <w:rsid w:val="00B16871"/>
    <w:rsid w:val="00B25B45"/>
    <w:rsid w:val="00B2669E"/>
    <w:rsid w:val="00B2797F"/>
    <w:rsid w:val="00B304A7"/>
    <w:rsid w:val="00B31E5A"/>
    <w:rsid w:val="00B3445F"/>
    <w:rsid w:val="00B353FC"/>
    <w:rsid w:val="00B47359"/>
    <w:rsid w:val="00B653AB"/>
    <w:rsid w:val="00B65F9E"/>
    <w:rsid w:val="00B66B19"/>
    <w:rsid w:val="00B7386E"/>
    <w:rsid w:val="00B84C43"/>
    <w:rsid w:val="00B861B7"/>
    <w:rsid w:val="00B87262"/>
    <w:rsid w:val="00B914E9"/>
    <w:rsid w:val="00B915B5"/>
    <w:rsid w:val="00B956EE"/>
    <w:rsid w:val="00B97FAE"/>
    <w:rsid w:val="00BA0EC9"/>
    <w:rsid w:val="00BA2BA1"/>
    <w:rsid w:val="00BA3447"/>
    <w:rsid w:val="00BA3562"/>
    <w:rsid w:val="00BB4F09"/>
    <w:rsid w:val="00BB54B5"/>
    <w:rsid w:val="00BC15B4"/>
    <w:rsid w:val="00BC24FE"/>
    <w:rsid w:val="00BC671B"/>
    <w:rsid w:val="00BD26B1"/>
    <w:rsid w:val="00BD4E33"/>
    <w:rsid w:val="00BD7D03"/>
    <w:rsid w:val="00BD7E86"/>
    <w:rsid w:val="00BE286B"/>
    <w:rsid w:val="00BE2A6E"/>
    <w:rsid w:val="00BF3D2B"/>
    <w:rsid w:val="00C030DE"/>
    <w:rsid w:val="00C051A8"/>
    <w:rsid w:val="00C20A02"/>
    <w:rsid w:val="00C22105"/>
    <w:rsid w:val="00C244B6"/>
    <w:rsid w:val="00C25EA3"/>
    <w:rsid w:val="00C27BF1"/>
    <w:rsid w:val="00C33B6E"/>
    <w:rsid w:val="00C3702F"/>
    <w:rsid w:val="00C4500A"/>
    <w:rsid w:val="00C52A90"/>
    <w:rsid w:val="00C57257"/>
    <w:rsid w:val="00C61B6D"/>
    <w:rsid w:val="00C62238"/>
    <w:rsid w:val="00C64A37"/>
    <w:rsid w:val="00C7158E"/>
    <w:rsid w:val="00C7250B"/>
    <w:rsid w:val="00C7346B"/>
    <w:rsid w:val="00C77C0E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6AD4"/>
    <w:rsid w:val="00CC739E"/>
    <w:rsid w:val="00CD057C"/>
    <w:rsid w:val="00CD1170"/>
    <w:rsid w:val="00CD1EBB"/>
    <w:rsid w:val="00CD28CF"/>
    <w:rsid w:val="00CD58B7"/>
    <w:rsid w:val="00CD7967"/>
    <w:rsid w:val="00CE2C32"/>
    <w:rsid w:val="00CE5A5B"/>
    <w:rsid w:val="00CF18EE"/>
    <w:rsid w:val="00CF30BD"/>
    <w:rsid w:val="00CF4099"/>
    <w:rsid w:val="00D00796"/>
    <w:rsid w:val="00D0091C"/>
    <w:rsid w:val="00D0418B"/>
    <w:rsid w:val="00D138BC"/>
    <w:rsid w:val="00D20B70"/>
    <w:rsid w:val="00D261A2"/>
    <w:rsid w:val="00D616D2"/>
    <w:rsid w:val="00D61B59"/>
    <w:rsid w:val="00D63B5F"/>
    <w:rsid w:val="00D707AB"/>
    <w:rsid w:val="00D70EF7"/>
    <w:rsid w:val="00D721B5"/>
    <w:rsid w:val="00D76F3D"/>
    <w:rsid w:val="00D8397C"/>
    <w:rsid w:val="00D850BB"/>
    <w:rsid w:val="00D94EED"/>
    <w:rsid w:val="00D96026"/>
    <w:rsid w:val="00D972F6"/>
    <w:rsid w:val="00DA331D"/>
    <w:rsid w:val="00DA615A"/>
    <w:rsid w:val="00DA72EF"/>
    <w:rsid w:val="00DA7C1C"/>
    <w:rsid w:val="00DB071E"/>
    <w:rsid w:val="00DB0FCF"/>
    <w:rsid w:val="00DB147A"/>
    <w:rsid w:val="00DB1B7A"/>
    <w:rsid w:val="00DB370C"/>
    <w:rsid w:val="00DB706E"/>
    <w:rsid w:val="00DB70AA"/>
    <w:rsid w:val="00DB73E8"/>
    <w:rsid w:val="00DC4927"/>
    <w:rsid w:val="00DC6708"/>
    <w:rsid w:val="00DD011A"/>
    <w:rsid w:val="00DD6DC7"/>
    <w:rsid w:val="00DE2400"/>
    <w:rsid w:val="00DE58F1"/>
    <w:rsid w:val="00DE6B58"/>
    <w:rsid w:val="00DF5E32"/>
    <w:rsid w:val="00DF6985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FFF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7A"/>
    <w:rsid w:val="00E664C5"/>
    <w:rsid w:val="00E671A2"/>
    <w:rsid w:val="00E7628B"/>
    <w:rsid w:val="00E76D26"/>
    <w:rsid w:val="00E76EE5"/>
    <w:rsid w:val="00E802C9"/>
    <w:rsid w:val="00E82426"/>
    <w:rsid w:val="00E93F80"/>
    <w:rsid w:val="00E95036"/>
    <w:rsid w:val="00E95B8E"/>
    <w:rsid w:val="00EA0A38"/>
    <w:rsid w:val="00EA47DE"/>
    <w:rsid w:val="00EB1390"/>
    <w:rsid w:val="00EB2C71"/>
    <w:rsid w:val="00EB3333"/>
    <w:rsid w:val="00EB4340"/>
    <w:rsid w:val="00EB556D"/>
    <w:rsid w:val="00EB5A7D"/>
    <w:rsid w:val="00EC4458"/>
    <w:rsid w:val="00ED55C0"/>
    <w:rsid w:val="00ED5B33"/>
    <w:rsid w:val="00ED682B"/>
    <w:rsid w:val="00EE2DB9"/>
    <w:rsid w:val="00EE41D5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2749"/>
    <w:rsid w:val="00F37172"/>
    <w:rsid w:val="00F440D5"/>
    <w:rsid w:val="00F44426"/>
    <w:rsid w:val="00F4477E"/>
    <w:rsid w:val="00F46269"/>
    <w:rsid w:val="00F53285"/>
    <w:rsid w:val="00F56456"/>
    <w:rsid w:val="00F60BA8"/>
    <w:rsid w:val="00F6380A"/>
    <w:rsid w:val="00F63D31"/>
    <w:rsid w:val="00F67D8F"/>
    <w:rsid w:val="00F71B06"/>
    <w:rsid w:val="00F74E23"/>
    <w:rsid w:val="00F7674A"/>
    <w:rsid w:val="00F779E7"/>
    <w:rsid w:val="00F802BE"/>
    <w:rsid w:val="00F80E93"/>
    <w:rsid w:val="00F83C6D"/>
    <w:rsid w:val="00F86024"/>
    <w:rsid w:val="00F8611A"/>
    <w:rsid w:val="00F91A4D"/>
    <w:rsid w:val="00F955B6"/>
    <w:rsid w:val="00FA1845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E6D71"/>
    <w:rsid w:val="00FF0246"/>
    <w:rsid w:val="00FF1B1A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1-kwartal-2022-roku,1,37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0AD65AC-69E0-453B-BFFB-576A2374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1 kwartale 2022 r</dc:title>
  <dc:subject/>
  <dc:creator>GUS</dc:creator>
  <cp:keywords/>
  <dc:description/>
  <cp:lastModifiedBy>Putkowska Beata</cp:lastModifiedBy>
  <cp:revision>3</cp:revision>
  <cp:lastPrinted>2022-05-27T15:04:00Z</cp:lastPrinted>
  <dcterms:created xsi:type="dcterms:W3CDTF">2022-05-31T06:37:00Z</dcterms:created>
  <dcterms:modified xsi:type="dcterms:W3CDTF">2022-05-31T06:57:00Z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