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5A43F15"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E802C9" w:rsidRPr="00FC2876">
        <w:t>4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2021 r.</w:t>
      </w:r>
      <w:r w:rsidR="00364AF9" w:rsidRPr="00FC2876">
        <w:rPr>
          <w:sz w:val="32"/>
        </w:rPr>
        <w:tab/>
      </w:r>
    </w:p>
    <w:p w14:paraId="1E690351" w14:textId="0E6B2AF5"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DBD2A2E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7,3&#10;Dynamika realna PKB w 4 kwartale 2021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679ECD1"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1404F">
                              <w:rPr>
                                <w:rStyle w:val="WartowskanikaZnak"/>
                              </w:rPr>
                              <w:t>107,3</w:t>
                            </w:r>
                          </w:p>
                          <w:p w14:paraId="63B3F253" w14:textId="75CC8FE4"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E802C9">
                              <w:t>4</w:t>
                            </w:r>
                            <w:r w:rsidR="00822F52" w:rsidRPr="00822F52">
                              <w:t xml:space="preserve"> kwartale 2021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7,3&#10;Dynamika realna PKB w 4 kwartale 2021 r. 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" fillcolor="#001d77" stroked="f">
                <v:stroke joinstyle="miter"/>
                <v:textbox>
                  <w:txbxContent>
                    <w:p w14:paraId="30951E30" w14:textId="1679ECD1"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1404F">
                        <w:rPr>
                          <w:rStyle w:val="WartowskanikaZnak"/>
                        </w:rPr>
                        <w:t>107,3</w:t>
                      </w:r>
                    </w:p>
                    <w:p w14:paraId="63B3F253" w14:textId="75CC8FE4"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E802C9">
                        <w:t>4</w:t>
                      </w:r>
                      <w:r w:rsidR="00822F52" w:rsidRPr="00822F52">
                        <w:t xml:space="preserve"> kwartale 2021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E802C9">
        <w:t>4</w:t>
      </w:r>
      <w:r w:rsidR="00371066">
        <w:t xml:space="preserve"> kwartale 2021 r. </w:t>
      </w:r>
      <w:r w:rsidR="00F91A4D">
        <w:t xml:space="preserve">wzrósł </w:t>
      </w:r>
      <w:r w:rsidR="00822F52">
        <w:t>re</w:t>
      </w:r>
      <w:r w:rsidR="00CE2C32">
        <w:t>al</w:t>
      </w:r>
      <w:r w:rsidR="00822F52">
        <w:t xml:space="preserve">nie o </w:t>
      </w:r>
      <w:r w:rsidR="00852F39">
        <w:t>7,3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spadku o </w:t>
      </w:r>
      <w:r w:rsidR="006E5E80">
        <w:t>2,5</w:t>
      </w:r>
      <w:r w:rsidR="00371066">
        <w:t xml:space="preserve">% w analogicznym </w:t>
      </w:r>
      <w:r w:rsidR="00F91A4D">
        <w:t xml:space="preserve">kwartale </w:t>
      </w:r>
      <w:r w:rsidR="00371066">
        <w:t>2020 r.</w:t>
      </w:r>
      <w:r w:rsidR="00DE6B58" w:rsidRPr="00822F52">
        <w:t xml:space="preserve"> </w:t>
      </w:r>
      <w:r w:rsidR="00F91A4D">
        <w:t>(w cenach stałych średniorocznych roku poprzedniego).</w:t>
      </w:r>
    </w:p>
    <w:p w14:paraId="66C68F79" w14:textId="77777777"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14:paraId="5634AE6E" w14:textId="1C30C252" w:rsidR="00371066" w:rsidRPr="00512511" w:rsidRDefault="000647A9" w:rsidP="000C7EF7">
      <w:pPr>
        <w:pStyle w:val="Nagwek1"/>
        <w:spacing w:before="480"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A289F03"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1A289F03"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E802C9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2021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wzrósł realnie o </w:t>
      </w:r>
      <w:r w:rsidR="001A48B0">
        <w:rPr>
          <w:rFonts w:ascii="Fira Sans" w:hAnsi="Fira Sans"/>
          <w:color w:val="auto"/>
          <w:szCs w:val="19"/>
        </w:rPr>
        <w:t>1,7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</w:t>
      </w:r>
      <w:r w:rsidR="001C5A2E">
        <w:rPr>
          <w:rFonts w:ascii="Fira Sans" w:hAnsi="Fira Sans"/>
          <w:color w:val="auto"/>
          <w:szCs w:val="19"/>
        </w:rPr>
        <w:br/>
      </w:r>
      <w:r w:rsidR="00371066" w:rsidRPr="00512511">
        <w:rPr>
          <w:rFonts w:ascii="Fira Sans" w:hAnsi="Fira Sans"/>
          <w:color w:val="auto"/>
          <w:szCs w:val="19"/>
        </w:rPr>
        <w:t xml:space="preserve">o </w:t>
      </w:r>
      <w:r w:rsidR="001A48B0">
        <w:rPr>
          <w:rFonts w:ascii="Fira Sans" w:hAnsi="Fira Sans"/>
          <w:color w:val="auto"/>
          <w:szCs w:val="19"/>
        </w:rPr>
        <w:t>7,6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14:paraId="6189446F" w14:textId="4E07AE01" w:rsidR="00DE6B58" w:rsidRPr="00512511" w:rsidRDefault="00BD26B1" w:rsidP="00767E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852F39">
        <w:rPr>
          <w:rFonts w:eastAsia="Times New Roman" w:cs="Times New Roman"/>
          <w:szCs w:val="19"/>
          <w:lang w:eastAsia="pl-PL"/>
        </w:rPr>
        <w:t>7,3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F91A4D">
        <w:rPr>
          <w:rFonts w:eastAsia="Times New Roman" w:cs="Times New Roman"/>
          <w:szCs w:val="19"/>
          <w:lang w:eastAsia="pl-PL"/>
        </w:rPr>
        <w:t>4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PKB wyrównany sezonowo, ceny stałe przy roku odniesienia 2015"/>
        <w:tblDescription w:val="Tabela prezentuje wartości dynamiki PKB w kwartałach dla lat 2019-2021 w cenach stałych przy roku odniesienia 2015, wyrównane sezonowo, przy podstawach: kwartał poprzedni=100 i analogiczny kwartał roku poprzedniego =100 oraz porównanie danych opublikowanych 15.02.2022 r. oraz 28.02.2022 r.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E34AA3" w:rsidRPr="00E34AA3" w14:paraId="295682F9" w14:textId="77777777" w:rsidTr="00D0418B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38406AE6" w14:textId="77777777" w:rsidR="000E2599" w:rsidRPr="00E34AA3" w:rsidRDefault="000E2599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51" w:type="pct"/>
            <w:gridSpan w:val="7"/>
            <w:vAlign w:val="center"/>
          </w:tcPr>
          <w:p w14:paraId="1A51D8B7" w14:textId="77777777" w:rsidR="000E2599" w:rsidRPr="00E34AA3" w:rsidRDefault="000E2599" w:rsidP="00F20BA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50F3B22E" w14:textId="77777777" w:rsidR="000E2599" w:rsidRPr="00E34AA3" w:rsidRDefault="000E2599" w:rsidP="00F20BA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3007766A" w14:textId="77777777" w:rsidR="000E2599" w:rsidRPr="00E34AA3" w:rsidRDefault="000E2599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E802C9" w:rsidRPr="00E34AA3" w14:paraId="63144AD8" w14:textId="77777777" w:rsidTr="00F20BAA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76EB425A" w14:textId="77777777" w:rsidR="00E802C9" w:rsidRPr="00E34AA3" w:rsidRDefault="00E802C9" w:rsidP="00E802C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3A5D63DE" w14:textId="5D319D4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gridSpan w:val="2"/>
            <w:vAlign w:val="center"/>
          </w:tcPr>
          <w:p w14:paraId="2BCD0827" w14:textId="53680694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gridSpan w:val="2"/>
            <w:vAlign w:val="center"/>
          </w:tcPr>
          <w:p w14:paraId="73BE8519" w14:textId="4012E530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6F05147A" w14:textId="2901E596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30EF8B06" w14:textId="171879E0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70B54503" w14:textId="56D08D23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75256A24" w14:textId="77DFA671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3765D034" w14:textId="7A13D553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57F12EBC" w14:textId="2421727E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5A9AC5F3" w14:textId="465E864A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7EA8EB71" w14:textId="021062DC" w:rsidR="00E802C9" w:rsidRPr="00E34AA3" w:rsidRDefault="00E802C9" w:rsidP="00E802C9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315D4B08" w14:textId="16D65109" w:rsidR="00E802C9" w:rsidRPr="00E34AA3" w:rsidRDefault="00E802C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E2599" w:rsidRPr="00E34AA3" w14:paraId="5B992BE5" w14:textId="77777777" w:rsidTr="00F20BAA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1C88319D" w14:textId="77777777" w:rsidR="000E2599" w:rsidRPr="00E34AA3" w:rsidRDefault="000E2599" w:rsidP="000E259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2FE41227" w14:textId="77777777" w:rsidR="000E2599" w:rsidRPr="00E34AA3" w:rsidRDefault="000E259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67752" w:rsidRPr="00167752" w14:paraId="6DD8F523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E35E635" w14:textId="0ABFA872" w:rsidR="00167752" w:rsidRPr="00E34AA3" w:rsidRDefault="00167752" w:rsidP="0016775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4CD35F4" w14:textId="2875A987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101,9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1F9B9C0C" w14:textId="158E8497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100,7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2FBE39FF" w14:textId="58221B22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101,1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2FC3C9F9" w14:textId="21777840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100,3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528233D" w14:textId="449FBFDD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100,1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FDC7D1A" w14:textId="1D5E4AD2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90,8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78B83325" w14:textId="6C36135F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107,6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4D8F1770" w14:textId="0A6623CA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99,7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5830D6A" w14:textId="08BC66F2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101,6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0FA65A4D" w14:textId="4B627AAD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101,8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7BE2F7B0" w14:textId="23E26B2A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102,3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451239" w14:textId="6F20749A" w:rsidR="00167752" w:rsidRPr="00002039" w:rsidRDefault="00167752" w:rsidP="00002039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101,7</w:t>
            </w:r>
          </w:p>
        </w:tc>
      </w:tr>
      <w:tr w:rsidR="000E2599" w:rsidRPr="00E34AA3" w14:paraId="20C98D42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7413727" w14:textId="3BC4E90C" w:rsidR="000E2599" w:rsidRPr="00E34AA3" w:rsidRDefault="000E2599" w:rsidP="0016775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167752">
              <w:rPr>
                <w:sz w:val="18"/>
                <w:szCs w:val="18"/>
              </w:rPr>
              <w:t>28</w:t>
            </w:r>
            <w:r w:rsidRPr="00E34AA3">
              <w:rPr>
                <w:sz w:val="18"/>
                <w:szCs w:val="18"/>
              </w:rPr>
              <w:t>.02.2022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5BED9B53" w14:textId="31F1D3F5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456C95EB" w14:textId="4B7A9FFB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71C03F3F" w14:textId="300AB9FD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77473CC9" w14:textId="356153C3" w:rsidR="000E2599" w:rsidRPr="00E34AA3" w:rsidRDefault="005C49DE" w:rsidP="000020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002039">
              <w:rPr>
                <w:sz w:val="18"/>
                <w:szCs w:val="18"/>
              </w:rPr>
              <w:t>4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2F3D040" w14:textId="1918C557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E88EA02" w14:textId="47CDC4A7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458648DD" w14:textId="370805A8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4BA6139C" w14:textId="28A64C29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D4B32E5" w14:textId="1B4619FF" w:rsidR="000E2599" w:rsidRPr="00E34AA3" w:rsidRDefault="000E2599" w:rsidP="005C49DE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</w:t>
            </w:r>
            <w:r w:rsidR="005C49DE">
              <w:rPr>
                <w:sz w:val="18"/>
                <w:szCs w:val="18"/>
              </w:rPr>
              <w:t>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08EC5243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101,8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6D1C8A5C" w14:textId="562CB303" w:rsidR="000E2599" w:rsidRPr="00E34AA3" w:rsidRDefault="005C49DE" w:rsidP="000E259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AF4EA33" w14:textId="0E8F553A" w:rsidR="000E2599" w:rsidRPr="00E34AA3" w:rsidRDefault="000E2599" w:rsidP="0000203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101</w:t>
            </w:r>
            <w:r w:rsidR="005C49DE">
              <w:rPr>
                <w:sz w:val="18"/>
                <w:szCs w:val="18"/>
              </w:rPr>
              <w:t>,7</w:t>
            </w:r>
          </w:p>
        </w:tc>
      </w:tr>
      <w:tr w:rsidR="000E2599" w:rsidRPr="00E34AA3" w14:paraId="390F366A" w14:textId="77777777" w:rsidTr="007E7D57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F3CD1A6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0B43C1BF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14:paraId="416C7A5A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14:paraId="799EB0D9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14:paraId="57F37316" w14:textId="61D160E0" w:rsidR="000E2599" w:rsidRPr="00E34AA3" w:rsidRDefault="00002039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0E2599" w:rsidRPr="00E34AA3">
              <w:rPr>
                <w:sz w:val="18"/>
                <w:szCs w:val="18"/>
              </w:rPr>
              <w:t>0,</w:t>
            </w:r>
            <w:r w:rsidR="0046721B"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3192EF61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6CF634A7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3C4ED165" w14:textId="613B5379" w:rsidR="000E2599" w:rsidRPr="00E34AA3" w:rsidRDefault="00002039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14:paraId="36C3EABB" w14:textId="55EAFF77" w:rsidR="000E2599" w:rsidRPr="00E34AA3" w:rsidRDefault="00002039" w:rsidP="0046721B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1510D603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41EEEEE8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06500E81" w14:textId="77777777" w:rsidR="000E2599" w:rsidRPr="00E34AA3" w:rsidRDefault="000E2599" w:rsidP="000E2599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14:paraId="484924A2" w14:textId="78558FF4" w:rsidR="000E2599" w:rsidRPr="00E34AA3" w:rsidRDefault="00002039" w:rsidP="000020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0E2599" w:rsidRPr="00E34AA3" w14:paraId="5A61BFB8" w14:textId="77777777" w:rsidTr="007E7D57">
        <w:trPr>
          <w:trHeight w:hRule="exact" w:val="397"/>
        </w:trPr>
        <w:tc>
          <w:tcPr>
            <w:tcW w:w="948" w:type="pct"/>
            <w:tcBorders>
              <w:left w:val="nil"/>
            </w:tcBorders>
            <w:vAlign w:val="center"/>
          </w:tcPr>
          <w:p w14:paraId="17A75900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0A0E1C56" w14:textId="77777777" w:rsidR="000E2599" w:rsidRPr="00E34AA3" w:rsidRDefault="000E2599" w:rsidP="003779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002039" w:rsidRPr="00002039" w14:paraId="310804B5" w14:textId="77777777" w:rsidTr="00727489">
        <w:tc>
          <w:tcPr>
            <w:tcW w:w="948" w:type="pct"/>
            <w:tcBorders>
              <w:left w:val="nil"/>
            </w:tcBorders>
          </w:tcPr>
          <w:p w14:paraId="7304E3B0" w14:textId="57961A15" w:rsidR="00167752" w:rsidRPr="00E34AA3" w:rsidRDefault="00167752" w:rsidP="0016775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vAlign w:val="center"/>
          </w:tcPr>
          <w:p w14:paraId="13F14129" w14:textId="4C3F357B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vAlign w:val="center"/>
          </w:tcPr>
          <w:p w14:paraId="295D8807" w14:textId="2D03CA73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104,9</w:t>
            </w:r>
          </w:p>
        </w:tc>
        <w:tc>
          <w:tcPr>
            <w:tcW w:w="354" w:type="pct"/>
            <w:gridSpan w:val="2"/>
            <w:vAlign w:val="center"/>
          </w:tcPr>
          <w:p w14:paraId="04384EFC" w14:textId="41E7CCA3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vAlign w:val="center"/>
          </w:tcPr>
          <w:p w14:paraId="7F3AD63C" w14:textId="14B08268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104,0</w:t>
            </w:r>
          </w:p>
        </w:tc>
        <w:tc>
          <w:tcPr>
            <w:tcW w:w="333" w:type="pct"/>
            <w:gridSpan w:val="2"/>
            <w:vAlign w:val="center"/>
          </w:tcPr>
          <w:p w14:paraId="0F39C0F3" w14:textId="36CB69BB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vAlign w:val="center"/>
          </w:tcPr>
          <w:p w14:paraId="35ABD536" w14:textId="1340F2A4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92,2</w:t>
            </w:r>
          </w:p>
        </w:tc>
        <w:tc>
          <w:tcPr>
            <w:tcW w:w="333" w:type="pct"/>
            <w:gridSpan w:val="2"/>
            <w:vAlign w:val="center"/>
          </w:tcPr>
          <w:p w14:paraId="1C1F5588" w14:textId="1DEB81D9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98,1</w:t>
            </w:r>
          </w:p>
        </w:tc>
        <w:tc>
          <w:tcPr>
            <w:tcW w:w="335" w:type="pct"/>
            <w:gridSpan w:val="2"/>
            <w:vAlign w:val="center"/>
          </w:tcPr>
          <w:p w14:paraId="7920FEDF" w14:textId="4E17B10F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97,4</w:t>
            </w:r>
          </w:p>
        </w:tc>
        <w:tc>
          <w:tcPr>
            <w:tcW w:w="333" w:type="pct"/>
            <w:gridSpan w:val="2"/>
            <w:vAlign w:val="center"/>
          </w:tcPr>
          <w:p w14:paraId="01DEA142" w14:textId="09660402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98,9</w:t>
            </w:r>
          </w:p>
        </w:tc>
        <w:tc>
          <w:tcPr>
            <w:tcW w:w="334" w:type="pct"/>
            <w:gridSpan w:val="2"/>
            <w:vAlign w:val="center"/>
          </w:tcPr>
          <w:p w14:paraId="54DD1859" w14:textId="0BCC35B4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110,9</w:t>
            </w:r>
          </w:p>
        </w:tc>
        <w:tc>
          <w:tcPr>
            <w:tcW w:w="334" w:type="pct"/>
            <w:gridSpan w:val="2"/>
            <w:vAlign w:val="center"/>
          </w:tcPr>
          <w:p w14:paraId="40FBF117" w14:textId="6D6271A5" w:rsidR="00167752" w:rsidRPr="00002039" w:rsidRDefault="00167752" w:rsidP="00167752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105,5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1C5CD946" w14:textId="6FA7AD5C" w:rsidR="00167752" w:rsidRPr="00002039" w:rsidRDefault="00167752" w:rsidP="00002039">
            <w:pPr>
              <w:pStyle w:val="Tablicanotka"/>
              <w:jc w:val="right"/>
              <w:rPr>
                <w:sz w:val="18"/>
                <w:szCs w:val="18"/>
              </w:rPr>
            </w:pPr>
            <w:r w:rsidRPr="00002039">
              <w:rPr>
                <w:sz w:val="18"/>
                <w:szCs w:val="18"/>
              </w:rPr>
              <w:t>107,7</w:t>
            </w:r>
          </w:p>
        </w:tc>
      </w:tr>
      <w:tr w:rsidR="004B4E78" w:rsidRPr="00E34AA3" w14:paraId="1EA1BA1D" w14:textId="77777777" w:rsidTr="007E7D57">
        <w:tc>
          <w:tcPr>
            <w:tcW w:w="948" w:type="pct"/>
            <w:tcBorders>
              <w:left w:val="nil"/>
            </w:tcBorders>
          </w:tcPr>
          <w:p w14:paraId="1BA96906" w14:textId="66759856" w:rsidR="004B4E78" w:rsidRPr="00E34AA3" w:rsidRDefault="004B4E78" w:rsidP="0016775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167752">
              <w:rPr>
                <w:sz w:val="18"/>
                <w:szCs w:val="18"/>
              </w:rPr>
              <w:t>28</w:t>
            </w:r>
            <w:r w:rsidRPr="00E34AA3">
              <w:rPr>
                <w:sz w:val="18"/>
                <w:szCs w:val="18"/>
              </w:rPr>
              <w:t>.02.2022</w:t>
            </w:r>
          </w:p>
        </w:tc>
        <w:tc>
          <w:tcPr>
            <w:tcW w:w="355" w:type="pct"/>
            <w:gridSpan w:val="2"/>
            <w:vAlign w:val="center"/>
          </w:tcPr>
          <w:p w14:paraId="4D2ED9C7" w14:textId="176B23F5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vAlign w:val="center"/>
          </w:tcPr>
          <w:p w14:paraId="196595E4" w14:textId="6DA6FC1E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104,9</w:t>
            </w:r>
          </w:p>
        </w:tc>
        <w:tc>
          <w:tcPr>
            <w:tcW w:w="354" w:type="pct"/>
            <w:gridSpan w:val="2"/>
            <w:vAlign w:val="center"/>
          </w:tcPr>
          <w:p w14:paraId="69340333" w14:textId="69DE7F43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vAlign w:val="center"/>
          </w:tcPr>
          <w:p w14:paraId="0B6B9E49" w14:textId="7F04469C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333" w:type="pct"/>
            <w:gridSpan w:val="2"/>
            <w:vAlign w:val="center"/>
          </w:tcPr>
          <w:p w14:paraId="3AA4196E" w14:textId="78412978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vAlign w:val="center"/>
          </w:tcPr>
          <w:p w14:paraId="447072AB" w14:textId="29FD7C60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</w:t>
            </w:r>
          </w:p>
        </w:tc>
        <w:tc>
          <w:tcPr>
            <w:tcW w:w="333" w:type="pct"/>
            <w:gridSpan w:val="2"/>
            <w:vAlign w:val="center"/>
          </w:tcPr>
          <w:p w14:paraId="28EBDE91" w14:textId="1D8D7CEB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98,1</w:t>
            </w:r>
          </w:p>
        </w:tc>
        <w:tc>
          <w:tcPr>
            <w:tcW w:w="335" w:type="pct"/>
            <w:gridSpan w:val="2"/>
            <w:vAlign w:val="center"/>
          </w:tcPr>
          <w:p w14:paraId="7BC62F59" w14:textId="007940D8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97,4</w:t>
            </w:r>
          </w:p>
        </w:tc>
        <w:tc>
          <w:tcPr>
            <w:tcW w:w="333" w:type="pct"/>
            <w:gridSpan w:val="2"/>
            <w:vAlign w:val="center"/>
          </w:tcPr>
          <w:p w14:paraId="7D135EE4" w14:textId="41C31FB2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334" w:type="pct"/>
            <w:gridSpan w:val="2"/>
            <w:vAlign w:val="center"/>
          </w:tcPr>
          <w:p w14:paraId="6B2C50E1" w14:textId="0A2AFF96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334" w:type="pct"/>
            <w:gridSpan w:val="2"/>
            <w:vAlign w:val="center"/>
          </w:tcPr>
          <w:p w14:paraId="1E27B1EA" w14:textId="1517050E" w:rsidR="004B4E78" w:rsidRPr="00E34AA3" w:rsidRDefault="004B4E78" w:rsidP="004B4E7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14:paraId="73E12051" w14:textId="4D6AF6FA" w:rsidR="004B4E78" w:rsidRPr="00E34AA3" w:rsidRDefault="004B4E78" w:rsidP="000020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</w:t>
            </w:r>
            <w:r w:rsidR="00002039">
              <w:rPr>
                <w:sz w:val="18"/>
                <w:szCs w:val="18"/>
              </w:rPr>
              <w:t>6</w:t>
            </w:r>
          </w:p>
        </w:tc>
      </w:tr>
      <w:tr w:rsidR="000E2599" w:rsidRPr="00E34AA3" w14:paraId="59A23684" w14:textId="77777777" w:rsidTr="007E7D57">
        <w:tc>
          <w:tcPr>
            <w:tcW w:w="948" w:type="pct"/>
            <w:tcBorders>
              <w:left w:val="nil"/>
              <w:bottom w:val="nil"/>
            </w:tcBorders>
          </w:tcPr>
          <w:p w14:paraId="3D6DB996" w14:textId="77777777" w:rsidR="000E2599" w:rsidRPr="00E34AA3" w:rsidRDefault="000E2599" w:rsidP="007E7D57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Borders>
              <w:bottom w:val="nil"/>
            </w:tcBorders>
            <w:vAlign w:val="center"/>
          </w:tcPr>
          <w:p w14:paraId="35757B2C" w14:textId="26C02740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vAlign w:val="center"/>
          </w:tcPr>
          <w:p w14:paraId="77030BFE" w14:textId="28B85AC3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vAlign w:val="center"/>
          </w:tcPr>
          <w:p w14:paraId="4AEFF447" w14:textId="70BF3F38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vAlign w:val="center"/>
          </w:tcPr>
          <w:p w14:paraId="727B1BEF" w14:textId="531DA910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77EB9F59" w14:textId="72DBE38B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254D1F88" w14:textId="5C5438B9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1ABF642C" w14:textId="75631702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vAlign w:val="center"/>
          </w:tcPr>
          <w:p w14:paraId="3B72B591" w14:textId="7436CD13" w:rsidR="000E2599" w:rsidRPr="00E34AA3" w:rsidRDefault="00F7674A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14:paraId="3AAC3D63" w14:textId="69847F5E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7CBBE444" w14:textId="61C9E85A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14:paraId="4F30F4B8" w14:textId="505C105E" w:rsidR="000E2599" w:rsidRPr="00E34AA3" w:rsidRDefault="007F7841" w:rsidP="00F5645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14:paraId="242925F7" w14:textId="41D1B971" w:rsidR="000E2599" w:rsidRPr="00E34AA3" w:rsidRDefault="00002039" w:rsidP="000020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14:paraId="7C36352D" w14:textId="0E92909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14:paraId="307CDBA9" w14:textId="77777777" w:rsidR="00CB232B" w:rsidRDefault="00CB232B" w:rsidP="00580B5E">
      <w:pPr>
        <w:spacing w:before="360" w:line="288" w:lineRule="auto"/>
        <w:rPr>
          <w:b/>
        </w:rPr>
      </w:pPr>
    </w:p>
    <w:p w14:paraId="4103B856" w14:textId="77777777" w:rsidR="00CB232B" w:rsidRDefault="00CB232B" w:rsidP="00580B5E">
      <w:pPr>
        <w:spacing w:before="360" w:line="288" w:lineRule="auto"/>
        <w:rPr>
          <w:b/>
        </w:rPr>
      </w:pPr>
    </w:p>
    <w:p w14:paraId="55455AE9" w14:textId="77777777" w:rsidR="00190343" w:rsidRDefault="00190343" w:rsidP="00580B5E">
      <w:pPr>
        <w:spacing w:before="360" w:line="288" w:lineRule="auto"/>
        <w:rPr>
          <w:b/>
        </w:rPr>
      </w:pPr>
    </w:p>
    <w:p w14:paraId="60FE948C" w14:textId="77777777"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28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19-2021 w cenach stałych, średniorocznych roku poprzedniego, niewyrównane sezonowo, przy podstawie analogiczny okres roku poprzedniego =100 oraz porównanie danych opublikowanych 15.02.2022 r. oraz 28.02.2022 r.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190343" w:rsidRPr="00E34AA3" w14:paraId="2E279330" w14:textId="77777777" w:rsidTr="00190343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14:paraId="6C881ED2" w14:textId="77777777" w:rsidR="00190343" w:rsidRPr="00E34AA3" w:rsidRDefault="00190343" w:rsidP="00190343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51" w:type="pct"/>
            <w:gridSpan w:val="7"/>
            <w:vAlign w:val="center"/>
          </w:tcPr>
          <w:p w14:paraId="3D13549A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14:paraId="29A16A98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14:paraId="30830A1C" w14:textId="77777777" w:rsidR="00190343" w:rsidRPr="00E34AA3" w:rsidRDefault="00190343" w:rsidP="0019034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190343" w:rsidRPr="00E34AA3" w14:paraId="35AE52E9" w14:textId="77777777" w:rsidTr="00190343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3F466910" w14:textId="77777777" w:rsidR="00190343" w:rsidRPr="00E34AA3" w:rsidRDefault="00190343" w:rsidP="00190343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14:paraId="0B394F60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gridSpan w:val="2"/>
            <w:vAlign w:val="center"/>
          </w:tcPr>
          <w:p w14:paraId="30A6D112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gridSpan w:val="2"/>
            <w:vAlign w:val="center"/>
          </w:tcPr>
          <w:p w14:paraId="0AAF660D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05EAB148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179FBF3F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66788E2E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8" w:type="pct"/>
            <w:gridSpan w:val="2"/>
            <w:vAlign w:val="center"/>
          </w:tcPr>
          <w:p w14:paraId="39F360B0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48D121F2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0" w:type="pct"/>
            <w:gridSpan w:val="2"/>
            <w:vAlign w:val="center"/>
          </w:tcPr>
          <w:p w14:paraId="1A100ADF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747DCB33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9" w:type="pct"/>
            <w:gridSpan w:val="2"/>
            <w:vAlign w:val="center"/>
          </w:tcPr>
          <w:p w14:paraId="18E95A97" w14:textId="77777777" w:rsidR="00190343" w:rsidRPr="00E34AA3" w:rsidRDefault="00190343" w:rsidP="00190343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14:paraId="4B451E75" w14:textId="77777777" w:rsidR="00190343" w:rsidRPr="00E34AA3" w:rsidRDefault="00190343" w:rsidP="0019034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190343" w:rsidRPr="00E34AA3" w14:paraId="1CA99210" w14:textId="77777777" w:rsidTr="00190343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14:paraId="7BAF7767" w14:textId="77777777" w:rsidR="00190343" w:rsidRPr="00E34AA3" w:rsidRDefault="00190343" w:rsidP="00190343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14:paraId="1584A48E" w14:textId="77777777" w:rsidR="00190343" w:rsidRPr="00E34AA3" w:rsidRDefault="00190343" w:rsidP="0019034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analogiczny kwartał roku poprzedniego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190343" w:rsidRPr="00E34AA3" w14:paraId="348051F0" w14:textId="77777777" w:rsidTr="00190343">
        <w:trPr>
          <w:trHeight w:val="284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0552550" w14:textId="77777777" w:rsidR="00190343" w:rsidRPr="00E34AA3" w:rsidRDefault="00190343" w:rsidP="0019034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Dynamika PKB, dane z 15.02.2022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4D853C10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0B5E0F07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32733185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083F9B14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103,7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B2D06FD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971DEA4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91,8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00772567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98,5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75E2A280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97,5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128110A6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99,2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7C6870F7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111,2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4DC2AA91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01659D0" w14:textId="77777777" w:rsidR="00190343" w:rsidRPr="000B041C" w:rsidRDefault="00190343" w:rsidP="00913FFD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107,3</w:t>
            </w:r>
          </w:p>
        </w:tc>
      </w:tr>
      <w:tr w:rsidR="00190343" w:rsidRPr="00E34AA3" w14:paraId="6FDB06A6" w14:textId="77777777" w:rsidTr="00190343">
        <w:trPr>
          <w:trHeight w:val="284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9D421B4" w14:textId="77777777" w:rsidR="00190343" w:rsidRPr="00E34AA3" w:rsidRDefault="00190343" w:rsidP="0019034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28.</w:t>
            </w:r>
            <w:r w:rsidRPr="00E34AA3">
              <w:rPr>
                <w:sz w:val="18"/>
                <w:szCs w:val="18"/>
              </w:rPr>
              <w:t>02.2022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A1DD51A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14:paraId="058510B4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14:paraId="5CDE7D17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104,6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14:paraId="5E71C1EE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103,7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4D29BADA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102,2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54F20C8B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91,8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64D8180C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98,5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14:paraId="511F5F3F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97,5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14:paraId="3B95DA64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99,2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7EE7F462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111,2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14:paraId="23974D70" w14:textId="77777777" w:rsidR="00190343" w:rsidRPr="000B041C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105,3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E8282A6" w14:textId="41091FF7" w:rsidR="00190343" w:rsidRPr="000B041C" w:rsidRDefault="00763C36" w:rsidP="00913FFD">
            <w:pPr>
              <w:pStyle w:val="Tablicanotka"/>
              <w:jc w:val="right"/>
              <w:rPr>
                <w:sz w:val="18"/>
                <w:szCs w:val="18"/>
              </w:rPr>
            </w:pPr>
            <w:r w:rsidRPr="000B041C">
              <w:rPr>
                <w:sz w:val="18"/>
                <w:szCs w:val="18"/>
              </w:rPr>
              <w:t>107,3</w:t>
            </w:r>
          </w:p>
        </w:tc>
      </w:tr>
      <w:tr w:rsidR="00190343" w:rsidRPr="00E34AA3" w14:paraId="53B83013" w14:textId="77777777" w:rsidTr="00190343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09B0152" w14:textId="77777777" w:rsidR="00190343" w:rsidRPr="00E34AA3" w:rsidRDefault="00190343" w:rsidP="0019034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14:paraId="158E79BD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14:paraId="15E0FE10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14:paraId="737F5A57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14:paraId="77B9B416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2A3EB331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426D3ABD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737339A0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14:paraId="2676AE94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14:paraId="32143C8F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4D63F6CA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14:paraId="0EFF901B" w14:textId="77777777" w:rsidR="00190343" w:rsidRPr="00E34AA3" w:rsidRDefault="00190343" w:rsidP="00190343">
            <w:pPr>
              <w:pStyle w:val="Tablicanotka"/>
              <w:jc w:val="right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14:paraId="7D4824C9" w14:textId="4E65665E" w:rsidR="00190343" w:rsidRPr="00E34AA3" w:rsidRDefault="00763C36" w:rsidP="00913FF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14:paraId="0B7FEE38" w14:textId="6B49EFDF" w:rsidR="00190343" w:rsidRDefault="00190343" w:rsidP="002C0414">
      <w:pPr>
        <w:spacing w:before="48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 4 </w:t>
      </w:r>
      <w:r w:rsidRPr="00B72629">
        <w:rPr>
          <w:rFonts w:cs="Arial"/>
          <w:szCs w:val="19"/>
        </w:rPr>
        <w:t xml:space="preserve">kwartale 2021 r. nastąpił wzrost PKB, który w skali roku wyniósł </w:t>
      </w:r>
      <w:r w:rsidR="00024D80">
        <w:rPr>
          <w:rFonts w:cs="Arial"/>
          <w:szCs w:val="19"/>
        </w:rPr>
        <w:t>7,3</w:t>
      </w:r>
      <w:r w:rsidRPr="00B72629">
        <w:rPr>
          <w:rFonts w:cs="Arial"/>
          <w:szCs w:val="19"/>
        </w:rPr>
        <w:t xml:space="preserve">%. Wpłynął na to wzrost popytu krajowego, który ukształtował się na poziomie </w:t>
      </w:r>
      <w:r w:rsidR="00024D80">
        <w:rPr>
          <w:rFonts w:cs="Arial"/>
          <w:szCs w:val="19"/>
        </w:rPr>
        <w:t>11,2</w:t>
      </w:r>
      <w:r w:rsidRPr="00B72629">
        <w:rPr>
          <w:rFonts w:cs="Arial"/>
          <w:szCs w:val="19"/>
        </w:rPr>
        <w:t xml:space="preserve">% (w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kw. 2021 r. odnotowano zwiększenie popytu krajowego o </w:t>
      </w:r>
      <w:r w:rsidR="00024D80">
        <w:rPr>
          <w:rFonts w:cs="Arial"/>
          <w:szCs w:val="19"/>
        </w:rPr>
        <w:t>8,6</w:t>
      </w:r>
      <w:r w:rsidRPr="00B72629">
        <w:rPr>
          <w:rFonts w:cs="Arial"/>
          <w:szCs w:val="19"/>
        </w:rPr>
        <w:t>%). Złożył się na to wzrost akumulacji brutto</w:t>
      </w:r>
      <w:r w:rsidRPr="00B72629">
        <w:rPr>
          <w:rFonts w:cs="Arial"/>
          <w:szCs w:val="19"/>
        </w:rPr>
        <w:br/>
        <w:t xml:space="preserve"> o </w:t>
      </w:r>
      <w:r w:rsidR="00024D80">
        <w:rPr>
          <w:rFonts w:cs="Arial"/>
          <w:szCs w:val="19"/>
        </w:rPr>
        <w:t>30,0</w:t>
      </w:r>
      <w:r w:rsidRPr="00B72629">
        <w:rPr>
          <w:rFonts w:cs="Arial"/>
          <w:szCs w:val="19"/>
        </w:rPr>
        <w:t xml:space="preserve">% (wobec wzrostu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o </w:t>
      </w:r>
      <w:r w:rsidR="00024D80">
        <w:rPr>
          <w:rFonts w:cs="Arial"/>
          <w:szCs w:val="19"/>
        </w:rPr>
        <w:t>33,8</w:t>
      </w:r>
      <w:r w:rsidRPr="00B72629">
        <w:rPr>
          <w:rFonts w:cs="Arial"/>
          <w:szCs w:val="19"/>
        </w:rPr>
        <w:t xml:space="preserve">%) oraz wzrost spożycia ogółem o </w:t>
      </w:r>
      <w:r w:rsidR="00024D80">
        <w:rPr>
          <w:rFonts w:cs="Arial"/>
          <w:szCs w:val="19"/>
        </w:rPr>
        <w:t>5,3</w:t>
      </w:r>
      <w:r w:rsidRPr="00B72629">
        <w:rPr>
          <w:rFonts w:cs="Arial"/>
          <w:szCs w:val="19"/>
        </w:rPr>
        <w:t xml:space="preserve">% (wobec wzrostu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o </w:t>
      </w:r>
      <w:r w:rsidR="00024D80">
        <w:rPr>
          <w:rFonts w:cs="Arial"/>
          <w:szCs w:val="19"/>
        </w:rPr>
        <w:t>3,7</w:t>
      </w:r>
      <w:r w:rsidRPr="00B72629">
        <w:rPr>
          <w:rFonts w:cs="Arial"/>
          <w:szCs w:val="19"/>
        </w:rPr>
        <w:t xml:space="preserve">%). Spożycie w sektorze gospodarstw domowych wzrosło o </w:t>
      </w:r>
      <w:r w:rsidR="00024D80">
        <w:rPr>
          <w:rFonts w:cs="Arial"/>
          <w:szCs w:val="19"/>
        </w:rPr>
        <w:t>7,9</w:t>
      </w:r>
      <w:r w:rsidRPr="00B72629">
        <w:rPr>
          <w:rFonts w:cs="Arial"/>
          <w:szCs w:val="19"/>
        </w:rPr>
        <w:t xml:space="preserve">% (wobec wzrostu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kw. 2021 r. o </w:t>
      </w:r>
      <w:r w:rsidR="00024D80">
        <w:rPr>
          <w:rFonts w:cs="Arial"/>
          <w:szCs w:val="19"/>
        </w:rPr>
        <w:t>4,7</w:t>
      </w:r>
      <w:r w:rsidRPr="00B72629">
        <w:rPr>
          <w:rFonts w:cs="Arial"/>
          <w:szCs w:val="19"/>
        </w:rPr>
        <w:t xml:space="preserve">%). Nakłady brutto na środki trwałe wzrosły o </w:t>
      </w:r>
      <w:r w:rsidR="00024D80">
        <w:rPr>
          <w:rFonts w:cs="Arial"/>
          <w:szCs w:val="19"/>
        </w:rPr>
        <w:t>11,7</w:t>
      </w:r>
      <w:r w:rsidRPr="00B72629">
        <w:rPr>
          <w:rFonts w:cs="Arial"/>
          <w:szCs w:val="19"/>
        </w:rPr>
        <w:t xml:space="preserve">% (wobec wzrostu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o </w:t>
      </w:r>
      <w:r w:rsidR="00DB73E8">
        <w:rPr>
          <w:rFonts w:cs="Arial"/>
          <w:szCs w:val="19"/>
        </w:rPr>
        <w:t>9,3</w:t>
      </w:r>
      <w:r w:rsidRPr="00B72629">
        <w:rPr>
          <w:rFonts w:cs="Arial"/>
          <w:szCs w:val="19"/>
        </w:rPr>
        <w:t>%).</w:t>
      </w:r>
    </w:p>
    <w:p w14:paraId="7BE0E173" w14:textId="0254947D" w:rsidR="00190343" w:rsidRDefault="00190343" w:rsidP="002C0414">
      <w:pPr>
        <w:spacing w:line="288" w:lineRule="auto"/>
        <w:rPr>
          <w:b/>
        </w:rPr>
      </w:pPr>
      <w:r w:rsidRPr="00B72629">
        <w:rPr>
          <w:rFonts w:cs="Arial"/>
          <w:szCs w:val="19"/>
        </w:rPr>
        <w:t>W efekcie pozytywny wpływ popytu krajowego na gospodarkę wyniósł +</w:t>
      </w:r>
      <w:r w:rsidR="00572B93">
        <w:rPr>
          <w:rFonts w:cs="Arial"/>
          <w:szCs w:val="19"/>
        </w:rPr>
        <w:t>10,5</w:t>
      </w:r>
      <w:r w:rsidRPr="00B72629">
        <w:rPr>
          <w:rFonts w:cs="Arial"/>
          <w:szCs w:val="19"/>
        </w:rPr>
        <w:t xml:space="preserve"> p. proc. (w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</w:t>
      </w:r>
      <w:r w:rsidRPr="00505881">
        <w:rPr>
          <w:rFonts w:cs="Arial"/>
          <w:szCs w:val="19"/>
        </w:rPr>
        <w:t>wpływ ten</w:t>
      </w:r>
      <w:r w:rsidRPr="00B72629">
        <w:rPr>
          <w:rFonts w:cs="Arial"/>
          <w:szCs w:val="19"/>
        </w:rPr>
        <w:t xml:space="preserve"> wyniósł +</w:t>
      </w:r>
      <w:r w:rsidR="00572B93">
        <w:rPr>
          <w:rFonts w:cs="Arial"/>
          <w:szCs w:val="19"/>
        </w:rPr>
        <w:t>8,0</w:t>
      </w:r>
      <w:r w:rsidRPr="00B72629">
        <w:rPr>
          <w:rFonts w:cs="Arial"/>
          <w:szCs w:val="19"/>
        </w:rPr>
        <w:t xml:space="preserve"> p. proc.). Złożył się na to pozytywny wpływ spożycia ogółem i pozytywny wpływ akumulacji brutto. Wpływ spożycia ogółem wyniósł +</w:t>
      </w:r>
      <w:r w:rsidR="00572B93">
        <w:rPr>
          <w:rFonts w:cs="Arial"/>
          <w:szCs w:val="19"/>
        </w:rPr>
        <w:t>3</w:t>
      </w:r>
      <w:r>
        <w:rPr>
          <w:rFonts w:cs="Arial"/>
          <w:szCs w:val="19"/>
        </w:rPr>
        <w:t>,</w:t>
      </w:r>
      <w:r w:rsidRPr="00B72629">
        <w:rPr>
          <w:rFonts w:cs="Arial"/>
          <w:szCs w:val="19"/>
        </w:rPr>
        <w:t>8 p. proc. (wobec wpływu +</w:t>
      </w:r>
      <w:r w:rsidR="00572B93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,8 p. proc.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r.), z tego wpływ spożycia w sektorze gospodarstw domowych wyniósł +</w:t>
      </w:r>
      <w:r w:rsidR="00572B93">
        <w:rPr>
          <w:rFonts w:cs="Arial"/>
          <w:szCs w:val="19"/>
        </w:rPr>
        <w:t xml:space="preserve">3,9 </w:t>
      </w:r>
      <w:r w:rsidRPr="00B72629">
        <w:rPr>
          <w:rFonts w:cs="Arial"/>
          <w:szCs w:val="19"/>
        </w:rPr>
        <w:t xml:space="preserve">p. proc. oraz wpływ spożycia publicznego </w:t>
      </w:r>
      <w:r w:rsidR="00572B93">
        <w:rPr>
          <w:rFonts w:cs="Arial"/>
          <w:szCs w:val="19"/>
        </w:rPr>
        <w:t>-</w:t>
      </w:r>
      <w:r w:rsidRPr="00B72629">
        <w:rPr>
          <w:rFonts w:cs="Arial"/>
          <w:szCs w:val="19"/>
        </w:rPr>
        <w:t xml:space="preserve">0,1 p. proc. (w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odpowiednio: +</w:t>
      </w:r>
      <w:r w:rsidR="00572B93">
        <w:rPr>
          <w:rFonts w:cs="Arial"/>
          <w:szCs w:val="19"/>
        </w:rPr>
        <w:t>2,7</w:t>
      </w:r>
      <w:r w:rsidRPr="00B72629">
        <w:rPr>
          <w:rFonts w:cs="Arial"/>
          <w:szCs w:val="19"/>
        </w:rPr>
        <w:t xml:space="preserve"> p. proc. i +0,</w:t>
      </w:r>
      <w:r w:rsidR="00572B93">
        <w:rPr>
          <w:rFonts w:cs="Arial"/>
          <w:szCs w:val="19"/>
        </w:rPr>
        <w:t>1</w:t>
      </w:r>
      <w:r w:rsidRPr="00B72629">
        <w:rPr>
          <w:rFonts w:cs="Arial"/>
          <w:szCs w:val="19"/>
        </w:rPr>
        <w:t xml:space="preserve"> p. proc.). Wpływ popytu inwestycyjnego na PKB wyniósł +</w:t>
      </w:r>
      <w:r w:rsidR="00572B93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,5 p. proc. (w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 było to +</w:t>
      </w:r>
      <w:r w:rsidR="00120FA6">
        <w:rPr>
          <w:rFonts w:cs="Arial"/>
          <w:szCs w:val="19"/>
        </w:rPr>
        <w:t>1,</w:t>
      </w:r>
      <w:r w:rsidR="00572B93">
        <w:rPr>
          <w:rFonts w:cs="Arial"/>
          <w:szCs w:val="19"/>
        </w:rPr>
        <w:t>5</w:t>
      </w:r>
      <w:r w:rsidRPr="00B72629">
        <w:rPr>
          <w:rFonts w:cs="Arial"/>
          <w:szCs w:val="19"/>
        </w:rPr>
        <w:t xml:space="preserve"> p. proc.). Odnotowano znaczący pozytywny wpływ przyrostu rzeczowych środków obrotowych, który wyniósł +</w:t>
      </w:r>
      <w:r w:rsidR="00572B93">
        <w:rPr>
          <w:rFonts w:cs="Arial"/>
          <w:szCs w:val="19"/>
        </w:rPr>
        <w:t>4,2</w:t>
      </w:r>
      <w:r w:rsidRPr="00B72629">
        <w:rPr>
          <w:rFonts w:cs="Arial"/>
          <w:szCs w:val="19"/>
        </w:rPr>
        <w:t xml:space="preserve"> p. proc. (wobec wpływu +</w:t>
      </w:r>
      <w:r w:rsidR="00572B93">
        <w:rPr>
          <w:rFonts w:cs="Arial"/>
          <w:szCs w:val="19"/>
        </w:rPr>
        <w:t>3,7</w:t>
      </w:r>
      <w:r w:rsidRPr="00B72629">
        <w:rPr>
          <w:rFonts w:cs="Arial"/>
          <w:szCs w:val="19"/>
        </w:rPr>
        <w:t xml:space="preserve"> p. proc.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kw. 2021 r.). W konsekwencji wpływ akumulacji brutto na wzrost PKB wyniósł +</w:t>
      </w:r>
      <w:r w:rsidR="00572B93">
        <w:rPr>
          <w:rFonts w:cs="Arial"/>
          <w:szCs w:val="19"/>
        </w:rPr>
        <w:t>6,7</w:t>
      </w:r>
      <w:r w:rsidRPr="00B72629">
        <w:rPr>
          <w:rFonts w:cs="Arial"/>
          <w:szCs w:val="19"/>
        </w:rPr>
        <w:t xml:space="preserve"> p. proc. (wobec +</w:t>
      </w:r>
      <w:r w:rsidR="00572B93">
        <w:rPr>
          <w:rFonts w:cs="Arial"/>
          <w:szCs w:val="19"/>
        </w:rPr>
        <w:t>5,2</w:t>
      </w:r>
      <w:r w:rsidRPr="00B72629">
        <w:rPr>
          <w:rFonts w:cs="Arial"/>
          <w:szCs w:val="19"/>
        </w:rPr>
        <w:t xml:space="preserve"> p. proc.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2021 r.). W </w:t>
      </w:r>
      <w:r w:rsidR="0036722F"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br. zanotowano negatywny wpływ eksportu netto na tempo wzrostu gospodarczego, który wyniósł -</w:t>
      </w:r>
      <w:r w:rsidR="00572B93">
        <w:rPr>
          <w:rFonts w:cs="Arial"/>
          <w:szCs w:val="19"/>
        </w:rPr>
        <w:t>3,2</w:t>
      </w:r>
      <w:r w:rsidRPr="00B72629">
        <w:rPr>
          <w:rFonts w:cs="Arial"/>
          <w:szCs w:val="19"/>
        </w:rPr>
        <w:t xml:space="preserve"> p. proc. (wobec -</w:t>
      </w:r>
      <w:r w:rsidR="00572B93">
        <w:rPr>
          <w:rFonts w:cs="Arial"/>
          <w:szCs w:val="19"/>
        </w:rPr>
        <w:t>2,7</w:t>
      </w:r>
      <w:r w:rsidR="00120FA6">
        <w:rPr>
          <w:rFonts w:cs="Arial"/>
          <w:szCs w:val="19"/>
        </w:rPr>
        <w:t xml:space="preserve"> </w:t>
      </w:r>
      <w:r w:rsidRPr="00B72629">
        <w:rPr>
          <w:rFonts w:cs="Arial"/>
          <w:szCs w:val="19"/>
        </w:rPr>
        <w:t xml:space="preserve">p. proc. w </w:t>
      </w:r>
      <w:r w:rsidR="0036722F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kw. 2021 r.).</w:t>
      </w:r>
    </w:p>
    <w:p w14:paraId="3837F1D5" w14:textId="77777777" w:rsidR="00190343" w:rsidRDefault="00190343" w:rsidP="00580B5E">
      <w:pPr>
        <w:spacing w:before="360" w:line="288" w:lineRule="auto"/>
        <w:rPr>
          <w:b/>
        </w:rPr>
      </w:pPr>
    </w:p>
    <w:p w14:paraId="0211DF6B" w14:textId="77777777" w:rsidR="00190343" w:rsidRDefault="00190343" w:rsidP="00580B5E">
      <w:pPr>
        <w:spacing w:before="360" w:line="288" w:lineRule="auto"/>
        <w:rPr>
          <w:b/>
        </w:rPr>
      </w:pPr>
    </w:p>
    <w:p w14:paraId="02B4CCC3" w14:textId="77777777" w:rsidR="00190343" w:rsidRDefault="00190343" w:rsidP="00580B5E">
      <w:pPr>
        <w:spacing w:before="360" w:line="288" w:lineRule="auto"/>
        <w:rPr>
          <w:b/>
        </w:rPr>
      </w:pPr>
    </w:p>
    <w:p w14:paraId="5886D81F" w14:textId="77777777" w:rsidR="00190343" w:rsidRDefault="00190343" w:rsidP="00580B5E">
      <w:pPr>
        <w:spacing w:before="360" w:line="288" w:lineRule="auto"/>
        <w:rPr>
          <w:b/>
        </w:rPr>
      </w:pPr>
    </w:p>
    <w:p w14:paraId="762DCD35" w14:textId="77777777" w:rsidR="00B915B5" w:rsidRDefault="00B915B5" w:rsidP="00580B5E">
      <w:pPr>
        <w:spacing w:before="360" w:line="288" w:lineRule="auto"/>
        <w:rPr>
          <w:b/>
        </w:rPr>
      </w:pPr>
    </w:p>
    <w:p w14:paraId="562668F5" w14:textId="77777777" w:rsidR="00B915B5" w:rsidRDefault="00B915B5" w:rsidP="00580B5E">
      <w:pPr>
        <w:spacing w:before="360" w:line="288" w:lineRule="auto"/>
        <w:rPr>
          <w:b/>
        </w:rPr>
      </w:pPr>
    </w:p>
    <w:p w14:paraId="1A955ED7" w14:textId="77777777" w:rsidR="00B915B5" w:rsidRDefault="00B915B5" w:rsidP="00580B5E">
      <w:pPr>
        <w:spacing w:before="360" w:line="288" w:lineRule="auto"/>
        <w:rPr>
          <w:b/>
        </w:rPr>
      </w:pPr>
    </w:p>
    <w:p w14:paraId="6F641DCB" w14:textId="77777777" w:rsidR="00B915B5" w:rsidRDefault="00B915B5" w:rsidP="00580B5E">
      <w:pPr>
        <w:spacing w:before="360" w:line="288" w:lineRule="auto"/>
        <w:rPr>
          <w:b/>
        </w:rPr>
      </w:pPr>
    </w:p>
    <w:p w14:paraId="6D364C16" w14:textId="75B27045" w:rsidR="004148A7" w:rsidRPr="0082329B" w:rsidRDefault="0010530D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231868ED">
                <wp:simplePos x="0" y="0"/>
                <wp:positionH relativeFrom="page">
                  <wp:posOffset>5680250</wp:posOffset>
                </wp:positionH>
                <wp:positionV relativeFrom="page">
                  <wp:posOffset>21590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16A54" id="Prostokąt 25" o:spid="_x0000_s1026" style="position:absolute;margin-left:447.25pt;margin-top:1.7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Ce5huH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>
        <w:rPr>
          <w:rFonts w:ascii="Fira Sans" w:hAnsi="Fira Sans"/>
          <w:sz w:val="18"/>
          <w:szCs w:val="18"/>
        </w:rPr>
        <w:t>Wy</w:t>
      </w:r>
      <w:r w:rsidR="00B16871" w:rsidRPr="0082329B">
        <w:rPr>
          <w:rFonts w:ascii="Fira Sans" w:hAnsi="Fira Sans"/>
          <w:sz w:val="18"/>
          <w:szCs w:val="18"/>
        </w:rPr>
        <w:t xml:space="preserve">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14:paraId="7D52B145" w14:textId="436CFDD0" w:rsidR="00B16871" w:rsidRPr="0082329B" w:rsidRDefault="00655145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655145">
        <w:drawing>
          <wp:anchor distT="0" distB="0" distL="114300" distR="114300" simplePos="0" relativeHeight="251773952" behindDoc="0" locked="0" layoutInCell="1" allowOverlap="1" wp14:anchorId="506EF9A7" wp14:editId="1E1B1F4A">
            <wp:simplePos x="0" y="0"/>
            <wp:positionH relativeFrom="column">
              <wp:posOffset>4211</wp:posOffset>
            </wp:positionH>
            <wp:positionV relativeFrom="paragraph">
              <wp:posOffset>345354</wp:posOffset>
            </wp:positionV>
            <wp:extent cx="5122800" cy="3160800"/>
            <wp:effectExtent l="0" t="0" r="1905" b="1905"/>
            <wp:wrapSquare wrapText="bothSides"/>
            <wp:docPr id="4" name="Obraz 4" descr="Wykres prezentuje wartości dynamiki produktu krajowego brutto w kwartałach dla lat 2019-2021, wyrównane i niewyrównane sezonowo, przy podstawie analogiczny okres roku poprzedniego = 100. 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14:paraId="5D42ACFB" w14:textId="0D2A880B" w:rsidR="00EC4458" w:rsidRDefault="00EC4458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6B47E74A" w14:textId="3005FBAE" w:rsidR="00655145" w:rsidRDefault="00655145" w:rsidP="00BA0EC9">
      <w:pPr>
        <w:pStyle w:val="Tytuwykresu0"/>
        <w:spacing w:before="0" w:line="240" w:lineRule="exact"/>
        <w:ind w:left="794"/>
        <w:rPr>
          <w:sz w:val="18"/>
          <w:szCs w:val="18"/>
        </w:rPr>
      </w:pPr>
    </w:p>
    <w:p w14:paraId="3563ABF2" w14:textId="6001BC2F" w:rsidR="002068DA" w:rsidRPr="0082329B" w:rsidRDefault="0063303D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="002068DA" w:rsidRPr="0082329B">
        <w:rPr>
          <w:rFonts w:ascii="Fira Sans" w:hAnsi="Fira Sans"/>
          <w:sz w:val="18"/>
          <w:szCs w:val="18"/>
        </w:rPr>
        <w:t>ykres 2. Dynamika realna produktu krajowego brutto wyrównanego sezonowo</w:t>
      </w:r>
    </w:p>
    <w:p w14:paraId="4BC83EC7" w14:textId="3D9D36C2" w:rsidR="002068DA" w:rsidRPr="0082329B" w:rsidRDefault="00655145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655145">
        <w:drawing>
          <wp:anchor distT="0" distB="0" distL="114300" distR="114300" simplePos="0" relativeHeight="251776000" behindDoc="0" locked="0" layoutInCell="1" allowOverlap="1" wp14:anchorId="071EBED4" wp14:editId="118C0B30">
            <wp:simplePos x="0" y="0"/>
            <wp:positionH relativeFrom="column">
              <wp:posOffset>341</wp:posOffset>
            </wp:positionH>
            <wp:positionV relativeFrom="paragraph">
              <wp:posOffset>306825</wp:posOffset>
            </wp:positionV>
            <wp:extent cx="5122800" cy="3052800"/>
            <wp:effectExtent l="0" t="0" r="1905" b="0"/>
            <wp:wrapSquare wrapText="bothSides"/>
            <wp:docPr id="16" name="Obraz 16" descr="Wykres prezentuje wartości dynamiki produktu krajowego brutto w kwartałach dla lat 2019-2021, wyrównane sezonowo, przy podstawie kwartał poprzedni = 100. 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14:paraId="4CB39C12" w14:textId="2CAFF764" w:rsidR="0030627E" w:rsidRPr="00977864" w:rsidRDefault="0030627E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14:paraId="217730BD" w14:textId="48485B67" w:rsidR="0030627E" w:rsidRPr="00B726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>
        <w:rPr>
          <w:rFonts w:cs="Arial"/>
          <w:szCs w:val="19"/>
        </w:rPr>
        <w:t>4</w:t>
      </w:r>
      <w:r w:rsidRPr="00B72629">
        <w:rPr>
          <w:rFonts w:cs="Arial"/>
          <w:szCs w:val="19"/>
        </w:rPr>
        <w:t xml:space="preserve"> kwartale 2021 r. PKB wyrównany sezonowo zwiększył się realnie o </w:t>
      </w:r>
      <w:r w:rsidR="004D4A27">
        <w:rPr>
          <w:rFonts w:cs="Arial"/>
          <w:szCs w:val="19"/>
        </w:rPr>
        <w:t>1,7</w:t>
      </w:r>
      <w:r w:rsidRPr="00B72629">
        <w:rPr>
          <w:rFonts w:cs="Arial"/>
          <w:szCs w:val="19"/>
        </w:rPr>
        <w:t>%.</w:t>
      </w:r>
    </w:p>
    <w:p w14:paraId="74958019" w14:textId="3717FA53" w:rsidR="0030627E" w:rsidRPr="001A7FCB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>
        <w:rPr>
          <w:rFonts w:cs="Arial"/>
          <w:szCs w:val="19"/>
        </w:rPr>
        <w:t>4</w:t>
      </w:r>
      <w:r w:rsidRPr="001A7FCB">
        <w:rPr>
          <w:rFonts w:cs="Arial"/>
          <w:szCs w:val="19"/>
        </w:rPr>
        <w:t xml:space="preserve"> kwartale 2021 r. w porównaniu z poprzednim kwartałem zwiększyła się realnie o </w:t>
      </w:r>
      <w:r w:rsidR="004D4A27">
        <w:rPr>
          <w:rFonts w:cs="Arial"/>
          <w:szCs w:val="19"/>
        </w:rPr>
        <w:t>2,0</w:t>
      </w:r>
      <w:r w:rsidRPr="001A7FCB">
        <w:rPr>
          <w:rFonts w:cs="Arial"/>
          <w:szCs w:val="19"/>
        </w:rPr>
        <w:t>%, w tym:</w:t>
      </w:r>
    </w:p>
    <w:p w14:paraId="26603D30" w14:textId="2CD4D105" w:rsidR="0030627E" w:rsidRPr="001A7FCB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4D4A27">
        <w:rPr>
          <w:rFonts w:cs="Arial"/>
          <w:szCs w:val="19"/>
        </w:rPr>
        <w:t>3,8</w:t>
      </w:r>
      <w:r w:rsidRPr="001A7FCB">
        <w:rPr>
          <w:rFonts w:cs="Arial"/>
          <w:szCs w:val="19"/>
        </w:rPr>
        <w:t>%,</w:t>
      </w:r>
    </w:p>
    <w:p w14:paraId="551828E3" w14:textId="24789851" w:rsidR="0030627E" w:rsidRPr="001A7FCB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 w:rsidR="007C7DEF">
        <w:rPr>
          <w:rFonts w:cs="Arial"/>
          <w:szCs w:val="19"/>
        </w:rPr>
        <w:t>budownictwie o 0,9%,</w:t>
      </w:r>
    </w:p>
    <w:p w14:paraId="1AE56D20" w14:textId="3840C852" w:rsidR="0030627E" w:rsidRPr="001A7FCB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transporcie i gospodarce magazynowej o </w:t>
      </w:r>
      <w:r w:rsidR="004D4A27">
        <w:rPr>
          <w:rFonts w:cs="Arial"/>
          <w:szCs w:val="19"/>
        </w:rPr>
        <w:t>3,3</w:t>
      </w:r>
      <w:r w:rsidRPr="001A7FCB">
        <w:rPr>
          <w:rFonts w:cs="Arial"/>
          <w:szCs w:val="19"/>
        </w:rPr>
        <w:t>%,</w:t>
      </w:r>
    </w:p>
    <w:p w14:paraId="5DB31A2A" w14:textId="77777777" w:rsidR="0030627E" w:rsidRDefault="0030627E" w:rsidP="0030627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3AFFAD93" w14:textId="0FADC0F0" w:rsidR="0030627E" w:rsidRDefault="0030627E" w:rsidP="0030627E">
      <w:pPr>
        <w:pStyle w:val="Akapitzlist"/>
        <w:tabs>
          <w:tab w:val="left" w:pos="284"/>
        </w:tabs>
        <w:spacing w:line="288" w:lineRule="auto"/>
        <w:ind w:left="0" w:firstLine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4D4A27">
        <w:rPr>
          <w:rFonts w:cs="Arial"/>
          <w:szCs w:val="19"/>
        </w:rPr>
        <w:t>0,6</w:t>
      </w:r>
      <w:r>
        <w:rPr>
          <w:rFonts w:cs="Arial"/>
          <w:szCs w:val="19"/>
        </w:rPr>
        <w:t>%.</w:t>
      </w:r>
    </w:p>
    <w:p w14:paraId="7DB2C4F4" w14:textId="38AC4563"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Wartość dodana brutto </w:t>
      </w:r>
      <w:r w:rsidR="007C7DEF" w:rsidRPr="001A7FCB">
        <w:rPr>
          <w:rFonts w:cs="Arial"/>
          <w:szCs w:val="19"/>
        </w:rPr>
        <w:t xml:space="preserve">w handlu i </w:t>
      </w:r>
      <w:r w:rsidR="007C7DEF" w:rsidRPr="007C7DEF">
        <w:rPr>
          <w:rFonts w:cs="Arial"/>
          <w:szCs w:val="19"/>
        </w:rPr>
        <w:t>naprawach zmniejszyła się o 4,1%, a w działalności finansowej i ubezpieczeniowej spadła o 1,6</w:t>
      </w:r>
      <w:r w:rsidR="007C7DEF">
        <w:rPr>
          <w:rFonts w:cs="Arial"/>
          <w:szCs w:val="19"/>
        </w:rPr>
        <w:t>%.</w:t>
      </w:r>
    </w:p>
    <w:p w14:paraId="4E3ABBB3" w14:textId="3AC9009A" w:rsidR="0030627E" w:rsidRPr="003B453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2021 r. w porównaniu z poprzednim kwartałem wzrósł realnie</w:t>
      </w:r>
      <w:r>
        <w:rPr>
          <w:rFonts w:cs="Arial"/>
          <w:szCs w:val="19"/>
        </w:rPr>
        <w:br/>
      </w:r>
      <w:r w:rsidRPr="003B453E">
        <w:rPr>
          <w:rFonts w:cs="Arial"/>
          <w:szCs w:val="19"/>
        </w:rPr>
        <w:t xml:space="preserve"> o </w:t>
      </w:r>
      <w:r w:rsidR="007C7DEF">
        <w:rPr>
          <w:rFonts w:cs="Arial"/>
          <w:szCs w:val="19"/>
        </w:rPr>
        <w:t>2,5</w:t>
      </w:r>
      <w:r w:rsidRPr="003B453E">
        <w:rPr>
          <w:rFonts w:cs="Arial"/>
          <w:szCs w:val="19"/>
        </w:rPr>
        <w:t>%.</w:t>
      </w:r>
    </w:p>
    <w:p w14:paraId="3E3FB3FE" w14:textId="621B5512"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>
        <w:rPr>
          <w:rFonts w:cs="Arial"/>
          <w:szCs w:val="19"/>
        </w:rPr>
        <w:t>4</w:t>
      </w:r>
      <w:r w:rsidRPr="007650FF">
        <w:rPr>
          <w:rFonts w:cs="Arial"/>
          <w:szCs w:val="19"/>
        </w:rPr>
        <w:t xml:space="preserve"> kwartale 2021 r. zwiększyło się realnie o </w:t>
      </w:r>
      <w:r w:rsidR="0075123F">
        <w:rPr>
          <w:rFonts w:cs="Arial"/>
          <w:szCs w:val="19"/>
        </w:rPr>
        <w:t>1,3</w:t>
      </w:r>
      <w:r w:rsidRPr="007650FF">
        <w:rPr>
          <w:rFonts w:cs="Arial"/>
          <w:szCs w:val="19"/>
        </w:rPr>
        <w:t xml:space="preserve">%,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75123F">
        <w:rPr>
          <w:rFonts w:cs="Arial"/>
          <w:szCs w:val="19"/>
        </w:rPr>
        <w:t>zmniejszyło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75123F">
        <w:rPr>
          <w:rFonts w:cs="Arial"/>
          <w:szCs w:val="19"/>
        </w:rPr>
        <w:t xml:space="preserve">1,5%, </w:t>
      </w:r>
      <w:r w:rsidR="00D850BB">
        <w:rPr>
          <w:rFonts w:cs="Arial"/>
          <w:szCs w:val="19"/>
        </w:rPr>
        <w:t xml:space="preserve">natomiast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Pr="007650FF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 xml:space="preserve">wzrosło </w:t>
      </w:r>
      <w:r w:rsidR="00D850BB">
        <w:rPr>
          <w:rFonts w:cs="Arial"/>
          <w:szCs w:val="19"/>
        </w:rPr>
        <w:br/>
      </w:r>
      <w:r w:rsidR="0075123F">
        <w:rPr>
          <w:rFonts w:cs="Arial"/>
          <w:szCs w:val="19"/>
        </w:rPr>
        <w:t>o 0,3</w:t>
      </w:r>
      <w:r w:rsidRPr="007650FF">
        <w:rPr>
          <w:rFonts w:cs="Arial"/>
          <w:szCs w:val="19"/>
        </w:rPr>
        <w:t>%.</w:t>
      </w:r>
    </w:p>
    <w:p w14:paraId="2CE8FBAE" w14:textId="6B5B39F1" w:rsidR="0030627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2021 r. </w:t>
      </w:r>
      <w:r>
        <w:rPr>
          <w:rFonts w:cs="Arial"/>
          <w:szCs w:val="19"/>
        </w:rPr>
        <w:t>wzrosła</w:t>
      </w:r>
      <w:r w:rsidRPr="003B453E">
        <w:rPr>
          <w:rFonts w:cs="Arial"/>
          <w:szCs w:val="19"/>
        </w:rPr>
        <w:t xml:space="preserve"> realnie o </w:t>
      </w:r>
      <w:r w:rsidR="003962F7">
        <w:rPr>
          <w:rFonts w:cs="Arial"/>
          <w:szCs w:val="19"/>
        </w:rPr>
        <w:t>4,2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>
        <w:rPr>
          <w:rFonts w:cs="Arial"/>
          <w:szCs w:val="19"/>
        </w:rPr>
        <w:t>więk</w:t>
      </w:r>
      <w:r w:rsidRPr="003B453E">
        <w:rPr>
          <w:rFonts w:cs="Arial"/>
          <w:szCs w:val="19"/>
        </w:rPr>
        <w:t xml:space="preserve">szyły się realnie o </w:t>
      </w:r>
      <w:r w:rsidR="003962F7">
        <w:rPr>
          <w:rFonts w:cs="Arial"/>
          <w:szCs w:val="19"/>
        </w:rPr>
        <w:t>2,9</w:t>
      </w:r>
      <w:r w:rsidRPr="003B453E">
        <w:rPr>
          <w:rFonts w:cs="Arial"/>
          <w:szCs w:val="19"/>
        </w:rPr>
        <w:t xml:space="preserve">%. </w:t>
      </w:r>
    </w:p>
    <w:p w14:paraId="4527983A" w14:textId="77777777"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14:paraId="143A7CDE" w14:textId="77777777" w:rsidR="0030627E" w:rsidRPr="00145641" w:rsidRDefault="0030627E" w:rsidP="0030627E">
      <w:pPr>
        <w:pStyle w:val="Nagwek1"/>
        <w:spacing w:before="480"/>
        <w:rPr>
          <w:rFonts w:ascii="Fira Sans" w:hAnsi="Fira Sans"/>
          <w:b/>
          <w:noProof/>
          <w:spacing w:val="-2"/>
          <w:szCs w:val="19"/>
        </w:rPr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14:paraId="22D51EE0" w14:textId="2EC56BA4"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>
        <w:rPr>
          <w:rFonts w:cs="Arial"/>
          <w:szCs w:val="19"/>
        </w:rPr>
        <w:t>4</w:t>
      </w:r>
      <w:r w:rsidRPr="003B453E">
        <w:rPr>
          <w:rFonts w:cs="Arial"/>
          <w:szCs w:val="19"/>
        </w:rPr>
        <w:t xml:space="preserve"> kwartale 2021 r. był realnie wyższy o </w:t>
      </w:r>
      <w:r w:rsidR="0037799D">
        <w:rPr>
          <w:rFonts w:cs="Arial"/>
          <w:szCs w:val="19"/>
        </w:rPr>
        <w:t>7,3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14:paraId="4CDEFBCA" w14:textId="3467CD37" w:rsidR="00B915B5" w:rsidRPr="0082329B" w:rsidRDefault="00B915B5" w:rsidP="00B915B5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</w:t>
      </w:r>
      <w:r w:rsidR="004D7806">
        <w:rPr>
          <w:rFonts w:ascii="Fira Sans" w:hAnsi="Fira Sans"/>
          <w:sz w:val="18"/>
          <w:szCs w:val="18"/>
        </w:rPr>
        <w:t>3</w:t>
      </w:r>
      <w:r w:rsidRPr="0082329B">
        <w:rPr>
          <w:rFonts w:ascii="Fira Sans" w:hAnsi="Fira Sans"/>
          <w:sz w:val="18"/>
          <w:szCs w:val="18"/>
        </w:rPr>
        <w:t xml:space="preserve">. Dynamika realna produktu krajowego brutto </w:t>
      </w:r>
    </w:p>
    <w:p w14:paraId="6F3214F7" w14:textId="690C9EAC" w:rsidR="0030627E" w:rsidRPr="00BD4289" w:rsidRDefault="00B915B5" w:rsidP="004D7806">
      <w:pPr>
        <w:pStyle w:val="Tytuwykresu0"/>
        <w:spacing w:before="0" w:line="240" w:lineRule="exact"/>
        <w:ind w:left="822" w:hanging="709"/>
        <w:outlineLvl w:val="9"/>
        <w:rPr>
          <w:szCs w:val="19"/>
        </w:rPr>
      </w:pPr>
      <w:r>
        <w:rPr>
          <w:szCs w:val="19"/>
        </w:rPr>
        <w:tab/>
      </w:r>
      <w:r w:rsidRPr="0082329B">
        <w:rPr>
          <w:rFonts w:ascii="Fira Sans" w:hAnsi="Fira Sans"/>
          <w:sz w:val="18"/>
          <w:szCs w:val="18"/>
        </w:rPr>
        <w:t>(analogiczny okres roku poprzedniego = 100</w:t>
      </w:r>
      <w:r>
        <w:rPr>
          <w:rFonts w:ascii="Fira Sans" w:hAnsi="Fira Sans"/>
          <w:sz w:val="18"/>
          <w:szCs w:val="18"/>
        </w:rPr>
        <w:t>)</w:t>
      </w:r>
    </w:p>
    <w:p w14:paraId="71BC9417" w14:textId="2430220D" w:rsidR="0063303D" w:rsidRDefault="00AE5849" w:rsidP="00712D10">
      <w:pPr>
        <w:spacing w:line="288" w:lineRule="auto"/>
      </w:pPr>
      <w:r w:rsidRPr="00AE5849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3E756D4A" wp14:editId="31D24068">
            <wp:simplePos x="0" y="0"/>
            <wp:positionH relativeFrom="column">
              <wp:posOffset>-40025</wp:posOffset>
            </wp:positionH>
            <wp:positionV relativeFrom="paragraph">
              <wp:posOffset>196130</wp:posOffset>
            </wp:positionV>
            <wp:extent cx="5122800" cy="2916000"/>
            <wp:effectExtent l="0" t="0" r="1905" b="0"/>
            <wp:wrapSquare wrapText="bothSides"/>
            <wp:docPr id="3" name="Obraz 3" descr="Wykres prezentuje wartości dynamiki produktu krajowego brutto, spożycia w sektorze gospodarstw domowych i nakładów brutto na środki trwałe w kwartałach dla lat 2019-2021, niewyrównane sezonowo, przy podstawie analogiczny okres roku poprzedniego = 100&#10; 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E459" w14:textId="77777777" w:rsidR="00BD7E86" w:rsidRDefault="00BD7E86" w:rsidP="00712D10">
      <w:pPr>
        <w:spacing w:line="288" w:lineRule="auto"/>
      </w:pPr>
    </w:p>
    <w:p w14:paraId="774E4FF2" w14:textId="77F37050"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D0091C">
        <w:rPr>
          <w:rFonts w:cs="Arial"/>
          <w:szCs w:val="19"/>
        </w:rPr>
        <w:t>4</w:t>
      </w:r>
      <w:r w:rsidR="00DB70AA" w:rsidRPr="00873934">
        <w:rPr>
          <w:rFonts w:cs="Arial"/>
          <w:szCs w:val="19"/>
        </w:rPr>
        <w:t xml:space="preserve"> kwartale 2021 r., w porównaniu </w:t>
      </w:r>
      <w:r w:rsidR="00DB70AA" w:rsidRPr="00873934">
        <w:rPr>
          <w:rFonts w:cs="Arial"/>
          <w:szCs w:val="19"/>
        </w:rPr>
        <w:br/>
        <w:t xml:space="preserve">z analogicznym okresem 2020 r., była wyższa o </w:t>
      </w:r>
      <w:r w:rsidR="0037799D">
        <w:rPr>
          <w:rFonts w:cs="Arial"/>
          <w:szCs w:val="19"/>
        </w:rPr>
        <w:t>7,1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14:paraId="54ED6ED3" w14:textId="5BC5A2CA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37799D">
        <w:rPr>
          <w:rFonts w:cs="Arial"/>
          <w:szCs w:val="19"/>
        </w:rPr>
        <w:t>14,2</w:t>
      </w:r>
      <w:r w:rsidRPr="001A7FCB">
        <w:rPr>
          <w:rFonts w:cs="Arial"/>
          <w:szCs w:val="19"/>
        </w:rPr>
        <w:t>%,</w:t>
      </w:r>
    </w:p>
    <w:p w14:paraId="33C16E0B" w14:textId="478F5BCE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37799D">
        <w:rPr>
          <w:rFonts w:cs="Arial"/>
          <w:szCs w:val="19"/>
        </w:rPr>
        <w:t>5,8</w:t>
      </w:r>
      <w:r>
        <w:rPr>
          <w:rFonts w:cs="Arial"/>
          <w:szCs w:val="19"/>
        </w:rPr>
        <w:t>%,</w:t>
      </w:r>
    </w:p>
    <w:p w14:paraId="1EA76A39" w14:textId="696C5249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 w:rsidR="0037799D">
        <w:rPr>
          <w:rFonts w:cs="Arial"/>
          <w:szCs w:val="19"/>
        </w:rPr>
        <w:t>7,7</w:t>
      </w:r>
      <w:r w:rsidRPr="001A7FCB">
        <w:rPr>
          <w:rFonts w:cs="Arial"/>
          <w:szCs w:val="19"/>
        </w:rPr>
        <w:t>%,</w:t>
      </w:r>
    </w:p>
    <w:p w14:paraId="17A2D876" w14:textId="77873F0C"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37799D">
        <w:rPr>
          <w:rFonts w:cs="Arial"/>
          <w:szCs w:val="19"/>
        </w:rPr>
        <w:t>16,5</w:t>
      </w:r>
      <w:r w:rsidRPr="001A7FCB">
        <w:rPr>
          <w:rFonts w:cs="Arial"/>
          <w:szCs w:val="19"/>
        </w:rPr>
        <w:t>%,</w:t>
      </w:r>
    </w:p>
    <w:p w14:paraId="6BAF2959" w14:textId="03F70437"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14:paraId="39D23637" w14:textId="7B24FAFA"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społecznych, edukacji, opiece zdrowotnej i pomocy społecznej łącznie o </w:t>
      </w:r>
      <w:r w:rsidR="0037799D">
        <w:rPr>
          <w:rFonts w:cs="Arial"/>
          <w:szCs w:val="19"/>
        </w:rPr>
        <w:t>2,7</w:t>
      </w:r>
      <w:r w:rsidRPr="001A7FCB">
        <w:rPr>
          <w:rFonts w:cs="Arial"/>
          <w:szCs w:val="19"/>
        </w:rPr>
        <w:t>%.</w:t>
      </w:r>
    </w:p>
    <w:p w14:paraId="61F7B18A" w14:textId="45CC01F6" w:rsidR="008F71C5" w:rsidRPr="008F71C5" w:rsidRDefault="008F71C5" w:rsidP="008F71C5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Wartość dodana brutto </w:t>
      </w:r>
      <w:r w:rsidRPr="001A7FCB">
        <w:rPr>
          <w:rFonts w:cs="Arial"/>
          <w:szCs w:val="19"/>
        </w:rPr>
        <w:t xml:space="preserve">w działalności finansowej i ubezpieczeniowej </w:t>
      </w:r>
      <w:r>
        <w:rPr>
          <w:rFonts w:cs="Arial"/>
          <w:szCs w:val="19"/>
        </w:rPr>
        <w:t xml:space="preserve">zmniejszyła się </w:t>
      </w:r>
      <w:r w:rsidRPr="001A7FCB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9,9</w:t>
      </w:r>
      <w:r w:rsidRPr="001A7FCB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74891233" w14:textId="69063A07"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D0091C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kwartale 2021 r., w porównaniu z analogicznym okresem 2020 r., był wyższy o </w:t>
      </w:r>
      <w:r w:rsidR="001241DC">
        <w:rPr>
          <w:rFonts w:cs="Arial"/>
          <w:szCs w:val="19"/>
        </w:rPr>
        <w:t>11,2</w:t>
      </w:r>
      <w:r w:rsidRPr="00E0205E">
        <w:rPr>
          <w:rFonts w:cs="Arial"/>
          <w:szCs w:val="19"/>
        </w:rPr>
        <w:t>%.</w:t>
      </w:r>
    </w:p>
    <w:p w14:paraId="498C2EE1" w14:textId="5DEF47B3" w:rsidR="00DB70AA" w:rsidRDefault="00DB70AA" w:rsidP="00145641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D0091C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kwartale 2021 r. było wyższe niż przed rokiem o </w:t>
      </w:r>
      <w:r w:rsidR="001241DC">
        <w:rPr>
          <w:rFonts w:cs="Arial"/>
          <w:szCs w:val="19"/>
        </w:rPr>
        <w:t>5,3</w:t>
      </w:r>
      <w:r w:rsidRPr="00E0205E">
        <w:rPr>
          <w:rFonts w:cs="Arial"/>
          <w:szCs w:val="19"/>
        </w:rPr>
        <w:t xml:space="preserve">%, w tym wzrost spożycia w sektorze gospodarstw domowych wyniósł </w:t>
      </w:r>
      <w:r w:rsidR="001241DC">
        <w:rPr>
          <w:rFonts w:cs="Arial"/>
          <w:szCs w:val="19"/>
        </w:rPr>
        <w:t>7,9</w:t>
      </w:r>
      <w:r w:rsidRPr="00E0205E">
        <w:rPr>
          <w:rFonts w:cs="Arial"/>
          <w:szCs w:val="19"/>
        </w:rPr>
        <w:t>%, spożyci</w:t>
      </w:r>
      <w:r w:rsidR="006A49F5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6A49F5">
        <w:rPr>
          <w:rFonts w:cs="Arial"/>
          <w:szCs w:val="19"/>
        </w:rPr>
        <w:t xml:space="preserve"> zmniejszyło się </w:t>
      </w:r>
      <w:r w:rsidR="006A49F5">
        <w:rPr>
          <w:rFonts w:cs="Arial"/>
          <w:szCs w:val="19"/>
        </w:rPr>
        <w:br/>
        <w:t>o</w:t>
      </w:r>
      <w:r w:rsidRPr="00E0205E">
        <w:rPr>
          <w:rFonts w:cs="Arial"/>
          <w:szCs w:val="19"/>
        </w:rPr>
        <w:t xml:space="preserve"> </w:t>
      </w:r>
      <w:r w:rsidR="001241DC">
        <w:rPr>
          <w:rFonts w:cs="Arial"/>
          <w:szCs w:val="19"/>
        </w:rPr>
        <w:t>0,5</w:t>
      </w:r>
      <w:r>
        <w:rPr>
          <w:rFonts w:cs="Arial"/>
          <w:szCs w:val="19"/>
        </w:rPr>
        <w:t>%.</w:t>
      </w:r>
    </w:p>
    <w:p w14:paraId="2D13EFA4" w14:textId="7231CEB9" w:rsidR="00DB70AA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D0091C">
        <w:rPr>
          <w:rFonts w:cs="Arial"/>
          <w:szCs w:val="19"/>
        </w:rPr>
        <w:t>4</w:t>
      </w:r>
      <w:r w:rsidRPr="00E0205E">
        <w:rPr>
          <w:rFonts w:cs="Arial"/>
          <w:szCs w:val="19"/>
        </w:rPr>
        <w:t xml:space="preserve"> kwartale 2021 r. wzrosła o </w:t>
      </w:r>
      <w:r w:rsidR="008D66EC">
        <w:rPr>
          <w:rFonts w:cs="Arial"/>
          <w:szCs w:val="19"/>
        </w:rPr>
        <w:t>30,0</w:t>
      </w:r>
      <w:r w:rsidRPr="00E0205E">
        <w:rPr>
          <w:rFonts w:cs="Arial"/>
          <w:szCs w:val="19"/>
        </w:rPr>
        <w:t xml:space="preserve">%, w porównaniu z analogicznym okresem 2020 r., w tym nakłady brutto na środki trwałe wzrosły o </w:t>
      </w:r>
      <w:r w:rsidR="008D66EC">
        <w:rPr>
          <w:rFonts w:cs="Arial"/>
          <w:szCs w:val="19"/>
        </w:rPr>
        <w:t>11,7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F955B6">
        <w:rPr>
          <w:rFonts w:cs="Arial"/>
          <w:szCs w:val="19"/>
        </w:rPr>
        <w:t>21,5</w:t>
      </w:r>
      <w:r w:rsidRPr="00E0205E">
        <w:rPr>
          <w:rFonts w:cs="Arial"/>
          <w:szCs w:val="19"/>
        </w:rPr>
        <w:t xml:space="preserve">% wobec </w:t>
      </w:r>
      <w:r w:rsidR="00F955B6">
        <w:rPr>
          <w:rFonts w:cs="Arial"/>
          <w:szCs w:val="19"/>
        </w:rPr>
        <w:t>21,1</w:t>
      </w:r>
      <w:r w:rsidRPr="00E0205E">
        <w:rPr>
          <w:rFonts w:cs="Arial"/>
          <w:szCs w:val="19"/>
        </w:rPr>
        <w:t>% przed rokiem.</w:t>
      </w:r>
    </w:p>
    <w:p w14:paraId="70DD352D" w14:textId="5FFB93E5"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14:paraId="124D175A" w14:textId="48D71620"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14:paraId="24497A93" w14:textId="00770116"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E819E5C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41A1AE38" w14:textId="6B273E35"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14:paraId="5425F0B4" w14:textId="0E6BA7C4"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D9034BF" w14:textId="4852CEDA" w:rsidR="00CE5A5B" w:rsidRPr="00AB15B7" w:rsidRDefault="00531873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E82426">
              <w:rPr>
                <w:rFonts w:cs="Times New Roman"/>
              </w:rPr>
              <w:t xml:space="preserve"> </w:t>
            </w:r>
            <w:hyperlink r:id="rId24" w:tooltip="Link do informacji sygnalnej pt. Szybki szacunek produktu krajowego brutto za 4 kwartał 2021 roku" w:history="1">
              <w:r w:rsidR="00AB15B7" w:rsidRPr="00AB15B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Szybki szacunek produktu krajowego brutto za 4 kwartał 2021 roku</w:t>
              </w:r>
            </w:hyperlink>
          </w:p>
          <w:p w14:paraId="55DA24D0" w14:textId="59B1BB22"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A01077" w14:textId="4D9E5B0C" w:rsidR="000B1E4D" w:rsidRPr="000B1E4D" w:rsidRDefault="001805B7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5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14:paraId="6EC7A51E" w14:textId="1DA83904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5F0C48D7" w:rsidR="00531873" w:rsidRPr="00497EE2" w:rsidRDefault="001805B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14:paraId="78D9BC87" w14:textId="0B6D0DD1" w:rsidR="00E41F8F" w:rsidRPr="00497EE2" w:rsidRDefault="001805B7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14:paraId="45BA3D88" w14:textId="2DB2045B" w:rsidR="00E41F8F" w:rsidRPr="006B051D" w:rsidRDefault="001805B7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14:paraId="734C8732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6B051D" w:rsidRDefault="000470AA" w:rsidP="000470AA">
      <w:pPr>
        <w:rPr>
          <w:sz w:val="20"/>
        </w:rPr>
      </w:pPr>
    </w:p>
    <w:p w14:paraId="21E45930" w14:textId="77777777" w:rsidR="000470AA" w:rsidRPr="006B051D" w:rsidRDefault="000470AA" w:rsidP="000470AA">
      <w:pPr>
        <w:rPr>
          <w:sz w:val="18"/>
        </w:rPr>
      </w:pPr>
    </w:p>
    <w:p w14:paraId="7C19EFAE" w14:textId="5AAD912C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F33E4" w14:textId="77777777" w:rsidR="001805B7" w:rsidRDefault="001805B7" w:rsidP="000662E2">
      <w:pPr>
        <w:spacing w:after="0" w:line="240" w:lineRule="auto"/>
      </w:pPr>
      <w:r>
        <w:separator/>
      </w:r>
    </w:p>
  </w:endnote>
  <w:endnote w:type="continuationSeparator" w:id="0">
    <w:p w14:paraId="41393D69" w14:textId="77777777" w:rsidR="001805B7" w:rsidRDefault="001805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FE79CD0-4016-45A0-BE8A-850811B1FD82}"/>
    <w:embedBold r:id="rId2" w:fontKey="{E50A0DE6-F664-4E31-A2C3-F137D0C5824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4E03D6F-664D-4812-97AE-9C7F0CAFE35D}"/>
    <w:embedBold r:id="rId4" w:fontKey="{4DAB1983-2E22-4C18-A1E9-670999A195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BF504F-A5DE-4CE3-8C92-8DCD802F255A}"/>
    <w:embedBold r:id="rId6" w:fontKey="{33FA3F01-D759-4F37-B7B6-5FB0B70570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2C594C8-B03C-4017-9FFA-DF22E3CA9307}"/>
    <w:embedItalic r:id="rId8" w:fontKey="{6DC1543E-D6F5-4358-9B18-F5A70B9B93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E70FBB0-5D7D-4632-8F85-10DFE6760B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79E84F1-1AF4-43B0-BCC8-B625600BCCBD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F9E669CD-5F2A-49A4-A700-08FCD9E2E8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C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C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C5601" w14:textId="77777777" w:rsidR="001805B7" w:rsidRDefault="001805B7" w:rsidP="000662E2">
      <w:pPr>
        <w:spacing w:after="0" w:line="240" w:lineRule="auto"/>
      </w:pPr>
      <w:r>
        <w:separator/>
      </w:r>
    </w:p>
  </w:footnote>
  <w:footnote w:type="continuationSeparator" w:id="0">
    <w:p w14:paraId="3EE5A323" w14:textId="77777777" w:rsidR="001805B7" w:rsidRDefault="001805B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22C2211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AD26DD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28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B0951BB" w:rsidR="00F37172" w:rsidRPr="00A01B40" w:rsidRDefault="00F91A4D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A7687B">
                            <w:t>.02.2022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28.02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OEtzj02AgAANw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7B0951BB" w:rsidR="00F37172" w:rsidRPr="00A01B40" w:rsidRDefault="00F91A4D" w:rsidP="00F049AB">
                    <w:pPr>
                      <w:pStyle w:val="Datainformacjisygnalnej"/>
                    </w:pPr>
                    <w:r>
                      <w:t>28</w:t>
                    </w:r>
                    <w:r w:rsidR="00A7687B">
                      <w:t>.02.2022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1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709F"/>
    <w:rsid w:val="000108B8"/>
    <w:rsid w:val="000152F5"/>
    <w:rsid w:val="00024D80"/>
    <w:rsid w:val="000271CD"/>
    <w:rsid w:val="0004582E"/>
    <w:rsid w:val="000470AA"/>
    <w:rsid w:val="00057CA1"/>
    <w:rsid w:val="000647A9"/>
    <w:rsid w:val="000662E2"/>
    <w:rsid w:val="00066883"/>
    <w:rsid w:val="0006751C"/>
    <w:rsid w:val="00071844"/>
    <w:rsid w:val="00071B39"/>
    <w:rsid w:val="000735C5"/>
    <w:rsid w:val="00074DD8"/>
    <w:rsid w:val="00075759"/>
    <w:rsid w:val="000806F7"/>
    <w:rsid w:val="00097840"/>
    <w:rsid w:val="000B041C"/>
    <w:rsid w:val="000B0727"/>
    <w:rsid w:val="000B1E4D"/>
    <w:rsid w:val="000C135D"/>
    <w:rsid w:val="000C7EF7"/>
    <w:rsid w:val="000D1D43"/>
    <w:rsid w:val="000D225C"/>
    <w:rsid w:val="000D2A5C"/>
    <w:rsid w:val="000D39F0"/>
    <w:rsid w:val="000D58DB"/>
    <w:rsid w:val="000D78BB"/>
    <w:rsid w:val="000E0918"/>
    <w:rsid w:val="000E2599"/>
    <w:rsid w:val="000E79A9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4145"/>
    <w:rsid w:val="00136736"/>
    <w:rsid w:val="00136740"/>
    <w:rsid w:val="00136D67"/>
    <w:rsid w:val="00141BF6"/>
    <w:rsid w:val="001423B6"/>
    <w:rsid w:val="001448A7"/>
    <w:rsid w:val="00145641"/>
    <w:rsid w:val="00146621"/>
    <w:rsid w:val="001617E3"/>
    <w:rsid w:val="00162325"/>
    <w:rsid w:val="00167752"/>
    <w:rsid w:val="00175687"/>
    <w:rsid w:val="001805B7"/>
    <w:rsid w:val="00190343"/>
    <w:rsid w:val="00190738"/>
    <w:rsid w:val="001951DA"/>
    <w:rsid w:val="001957B6"/>
    <w:rsid w:val="001A164B"/>
    <w:rsid w:val="001A48B0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5E50"/>
    <w:rsid w:val="0020156C"/>
    <w:rsid w:val="002068DA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6811"/>
    <w:rsid w:val="00282699"/>
    <w:rsid w:val="002926DF"/>
    <w:rsid w:val="00293816"/>
    <w:rsid w:val="00296522"/>
    <w:rsid w:val="00296697"/>
    <w:rsid w:val="002B0472"/>
    <w:rsid w:val="002B6B12"/>
    <w:rsid w:val="002C0414"/>
    <w:rsid w:val="002C21F0"/>
    <w:rsid w:val="002C38FC"/>
    <w:rsid w:val="002D01DF"/>
    <w:rsid w:val="002E3EB3"/>
    <w:rsid w:val="002E6140"/>
    <w:rsid w:val="002E6985"/>
    <w:rsid w:val="002E71B6"/>
    <w:rsid w:val="002F35F6"/>
    <w:rsid w:val="002F77C8"/>
    <w:rsid w:val="00304F22"/>
    <w:rsid w:val="0030627E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2F"/>
    <w:rsid w:val="00367237"/>
    <w:rsid w:val="0037077F"/>
    <w:rsid w:val="00371066"/>
    <w:rsid w:val="00372411"/>
    <w:rsid w:val="00373882"/>
    <w:rsid w:val="0037799D"/>
    <w:rsid w:val="003779D2"/>
    <w:rsid w:val="003814BF"/>
    <w:rsid w:val="003843DB"/>
    <w:rsid w:val="003857CB"/>
    <w:rsid w:val="00393761"/>
    <w:rsid w:val="00394E26"/>
    <w:rsid w:val="003962F7"/>
    <w:rsid w:val="00396691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06F85"/>
    <w:rsid w:val="0041404F"/>
    <w:rsid w:val="004148A7"/>
    <w:rsid w:val="00416EAF"/>
    <w:rsid w:val="004212E7"/>
    <w:rsid w:val="00423C88"/>
    <w:rsid w:val="0042446D"/>
    <w:rsid w:val="00424977"/>
    <w:rsid w:val="004249D2"/>
    <w:rsid w:val="00427BF8"/>
    <w:rsid w:val="00430687"/>
    <w:rsid w:val="00431C02"/>
    <w:rsid w:val="00437395"/>
    <w:rsid w:val="00437D5B"/>
    <w:rsid w:val="00445047"/>
    <w:rsid w:val="00446749"/>
    <w:rsid w:val="00453EB7"/>
    <w:rsid w:val="00463E39"/>
    <w:rsid w:val="004657FC"/>
    <w:rsid w:val="0046721B"/>
    <w:rsid w:val="004733F6"/>
    <w:rsid w:val="00474E69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B4E78"/>
    <w:rsid w:val="004C1895"/>
    <w:rsid w:val="004C6D40"/>
    <w:rsid w:val="004D4A27"/>
    <w:rsid w:val="004D775E"/>
    <w:rsid w:val="004D7806"/>
    <w:rsid w:val="004E6AA8"/>
    <w:rsid w:val="004F0C3C"/>
    <w:rsid w:val="004F2280"/>
    <w:rsid w:val="004F23BB"/>
    <w:rsid w:val="004F63FC"/>
    <w:rsid w:val="00505A92"/>
    <w:rsid w:val="00512511"/>
    <w:rsid w:val="00513AAE"/>
    <w:rsid w:val="00515986"/>
    <w:rsid w:val="005203F1"/>
    <w:rsid w:val="00521BC3"/>
    <w:rsid w:val="00523C5A"/>
    <w:rsid w:val="00531873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2B93"/>
    <w:rsid w:val="00574A8D"/>
    <w:rsid w:val="005762A7"/>
    <w:rsid w:val="00580B5E"/>
    <w:rsid w:val="00587CEE"/>
    <w:rsid w:val="005916D7"/>
    <w:rsid w:val="0059427F"/>
    <w:rsid w:val="005A0CBF"/>
    <w:rsid w:val="005A698C"/>
    <w:rsid w:val="005A7AF9"/>
    <w:rsid w:val="005B1737"/>
    <w:rsid w:val="005C0CAC"/>
    <w:rsid w:val="005C49DE"/>
    <w:rsid w:val="005D062E"/>
    <w:rsid w:val="005D2F6B"/>
    <w:rsid w:val="005E0799"/>
    <w:rsid w:val="005E10F9"/>
    <w:rsid w:val="005E1200"/>
    <w:rsid w:val="005F45EE"/>
    <w:rsid w:val="005F5A80"/>
    <w:rsid w:val="00602785"/>
    <w:rsid w:val="006044FF"/>
    <w:rsid w:val="00607CC5"/>
    <w:rsid w:val="0061179B"/>
    <w:rsid w:val="006125F9"/>
    <w:rsid w:val="00614E43"/>
    <w:rsid w:val="00633014"/>
    <w:rsid w:val="0063303D"/>
    <w:rsid w:val="0063437B"/>
    <w:rsid w:val="0064017E"/>
    <w:rsid w:val="00654BB6"/>
    <w:rsid w:val="00655145"/>
    <w:rsid w:val="00655EF9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39AB"/>
    <w:rsid w:val="006A4686"/>
    <w:rsid w:val="006A49F5"/>
    <w:rsid w:val="006B051D"/>
    <w:rsid w:val="006B0E9E"/>
    <w:rsid w:val="006B486D"/>
    <w:rsid w:val="006B5AE4"/>
    <w:rsid w:val="006D1507"/>
    <w:rsid w:val="006D4054"/>
    <w:rsid w:val="006E02EC"/>
    <w:rsid w:val="006E3C4F"/>
    <w:rsid w:val="006E5E80"/>
    <w:rsid w:val="006E6F41"/>
    <w:rsid w:val="006E73E6"/>
    <w:rsid w:val="007119AD"/>
    <w:rsid w:val="00712D10"/>
    <w:rsid w:val="007211B1"/>
    <w:rsid w:val="00721E45"/>
    <w:rsid w:val="007277DA"/>
    <w:rsid w:val="00731D27"/>
    <w:rsid w:val="0073587C"/>
    <w:rsid w:val="00743B0E"/>
    <w:rsid w:val="00746187"/>
    <w:rsid w:val="0075123F"/>
    <w:rsid w:val="0076254F"/>
    <w:rsid w:val="00763C36"/>
    <w:rsid w:val="00767EE3"/>
    <w:rsid w:val="007801F5"/>
    <w:rsid w:val="00783CA4"/>
    <w:rsid w:val="007842FB"/>
    <w:rsid w:val="00786124"/>
    <w:rsid w:val="00790B92"/>
    <w:rsid w:val="00793080"/>
    <w:rsid w:val="007949C9"/>
    <w:rsid w:val="0079514B"/>
    <w:rsid w:val="00795252"/>
    <w:rsid w:val="00796F94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2F52"/>
    <w:rsid w:val="0082329B"/>
    <w:rsid w:val="00823593"/>
    <w:rsid w:val="00825DC2"/>
    <w:rsid w:val="00832911"/>
    <w:rsid w:val="00834AD3"/>
    <w:rsid w:val="00843795"/>
    <w:rsid w:val="00847F0F"/>
    <w:rsid w:val="00852448"/>
    <w:rsid w:val="00852F39"/>
    <w:rsid w:val="00855AFE"/>
    <w:rsid w:val="008776D3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C0C29"/>
    <w:rsid w:val="008C75A9"/>
    <w:rsid w:val="008D02DA"/>
    <w:rsid w:val="008D66EC"/>
    <w:rsid w:val="008D76BC"/>
    <w:rsid w:val="008E7DBA"/>
    <w:rsid w:val="008F0829"/>
    <w:rsid w:val="008F3638"/>
    <w:rsid w:val="008F4441"/>
    <w:rsid w:val="008F6B20"/>
    <w:rsid w:val="008F6F31"/>
    <w:rsid w:val="008F71C5"/>
    <w:rsid w:val="008F74DF"/>
    <w:rsid w:val="00902274"/>
    <w:rsid w:val="00903B09"/>
    <w:rsid w:val="009127BA"/>
    <w:rsid w:val="00913FFD"/>
    <w:rsid w:val="00920AAE"/>
    <w:rsid w:val="009227A6"/>
    <w:rsid w:val="00931D05"/>
    <w:rsid w:val="00933EC1"/>
    <w:rsid w:val="009378AE"/>
    <w:rsid w:val="009446AD"/>
    <w:rsid w:val="00947A5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73AD"/>
    <w:rsid w:val="009E2E91"/>
    <w:rsid w:val="009E3B4D"/>
    <w:rsid w:val="00A01B40"/>
    <w:rsid w:val="00A139F5"/>
    <w:rsid w:val="00A218DA"/>
    <w:rsid w:val="00A32DA4"/>
    <w:rsid w:val="00A32E16"/>
    <w:rsid w:val="00A365F4"/>
    <w:rsid w:val="00A47D80"/>
    <w:rsid w:val="00A53132"/>
    <w:rsid w:val="00A563F2"/>
    <w:rsid w:val="00A566E8"/>
    <w:rsid w:val="00A66347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15B7"/>
    <w:rsid w:val="00AB4200"/>
    <w:rsid w:val="00AB64F3"/>
    <w:rsid w:val="00AB6D25"/>
    <w:rsid w:val="00AD0E56"/>
    <w:rsid w:val="00AD1DFF"/>
    <w:rsid w:val="00AE229B"/>
    <w:rsid w:val="00AE2D4B"/>
    <w:rsid w:val="00AE4F99"/>
    <w:rsid w:val="00AE5849"/>
    <w:rsid w:val="00B00C24"/>
    <w:rsid w:val="00B11B69"/>
    <w:rsid w:val="00B13463"/>
    <w:rsid w:val="00B14952"/>
    <w:rsid w:val="00B16871"/>
    <w:rsid w:val="00B25B45"/>
    <w:rsid w:val="00B2797F"/>
    <w:rsid w:val="00B304A7"/>
    <w:rsid w:val="00B31E5A"/>
    <w:rsid w:val="00B3445F"/>
    <w:rsid w:val="00B47359"/>
    <w:rsid w:val="00B653AB"/>
    <w:rsid w:val="00B65F9E"/>
    <w:rsid w:val="00B66B19"/>
    <w:rsid w:val="00B7386E"/>
    <w:rsid w:val="00B84C43"/>
    <w:rsid w:val="00B861B7"/>
    <w:rsid w:val="00B87262"/>
    <w:rsid w:val="00B914E9"/>
    <w:rsid w:val="00B915B5"/>
    <w:rsid w:val="00B956EE"/>
    <w:rsid w:val="00BA0EC9"/>
    <w:rsid w:val="00BA2BA1"/>
    <w:rsid w:val="00BA3447"/>
    <w:rsid w:val="00BA3562"/>
    <w:rsid w:val="00BB4F09"/>
    <w:rsid w:val="00BB54B5"/>
    <w:rsid w:val="00BC671B"/>
    <w:rsid w:val="00BD26B1"/>
    <w:rsid w:val="00BD4E33"/>
    <w:rsid w:val="00BD7D03"/>
    <w:rsid w:val="00BD7E86"/>
    <w:rsid w:val="00BE286B"/>
    <w:rsid w:val="00BE2A6E"/>
    <w:rsid w:val="00BF3D2B"/>
    <w:rsid w:val="00C030DE"/>
    <w:rsid w:val="00C051A8"/>
    <w:rsid w:val="00C20A02"/>
    <w:rsid w:val="00C22105"/>
    <w:rsid w:val="00C244B6"/>
    <w:rsid w:val="00C25EA3"/>
    <w:rsid w:val="00C27BF1"/>
    <w:rsid w:val="00C3702F"/>
    <w:rsid w:val="00C4500A"/>
    <w:rsid w:val="00C52A90"/>
    <w:rsid w:val="00C57257"/>
    <w:rsid w:val="00C62238"/>
    <w:rsid w:val="00C64A37"/>
    <w:rsid w:val="00C7158E"/>
    <w:rsid w:val="00C7250B"/>
    <w:rsid w:val="00C7346B"/>
    <w:rsid w:val="00C77C0E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6AD4"/>
    <w:rsid w:val="00CC739E"/>
    <w:rsid w:val="00CD057C"/>
    <w:rsid w:val="00CD1170"/>
    <w:rsid w:val="00CD1EBB"/>
    <w:rsid w:val="00CD28CF"/>
    <w:rsid w:val="00CD58B7"/>
    <w:rsid w:val="00CD7967"/>
    <w:rsid w:val="00CE2C32"/>
    <w:rsid w:val="00CE5A5B"/>
    <w:rsid w:val="00CF18EE"/>
    <w:rsid w:val="00CF30BD"/>
    <w:rsid w:val="00CF4099"/>
    <w:rsid w:val="00D00796"/>
    <w:rsid w:val="00D0091C"/>
    <w:rsid w:val="00D0418B"/>
    <w:rsid w:val="00D138BC"/>
    <w:rsid w:val="00D20B70"/>
    <w:rsid w:val="00D261A2"/>
    <w:rsid w:val="00D616D2"/>
    <w:rsid w:val="00D61B59"/>
    <w:rsid w:val="00D63B5F"/>
    <w:rsid w:val="00D707AB"/>
    <w:rsid w:val="00D70EF7"/>
    <w:rsid w:val="00D721B5"/>
    <w:rsid w:val="00D76F3D"/>
    <w:rsid w:val="00D8397C"/>
    <w:rsid w:val="00D850BB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B70AA"/>
    <w:rsid w:val="00DB73E8"/>
    <w:rsid w:val="00DC4927"/>
    <w:rsid w:val="00DC6708"/>
    <w:rsid w:val="00DD011A"/>
    <w:rsid w:val="00DE2400"/>
    <w:rsid w:val="00DE58F1"/>
    <w:rsid w:val="00DE6B58"/>
    <w:rsid w:val="00DF5E32"/>
    <w:rsid w:val="00DF6985"/>
    <w:rsid w:val="00E01436"/>
    <w:rsid w:val="00E0323C"/>
    <w:rsid w:val="00E03E79"/>
    <w:rsid w:val="00E045BD"/>
    <w:rsid w:val="00E04D6C"/>
    <w:rsid w:val="00E062C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28B"/>
    <w:rsid w:val="00E76D26"/>
    <w:rsid w:val="00E76EE5"/>
    <w:rsid w:val="00E802C9"/>
    <w:rsid w:val="00E82426"/>
    <w:rsid w:val="00E95036"/>
    <w:rsid w:val="00E95B8E"/>
    <w:rsid w:val="00EA0A38"/>
    <w:rsid w:val="00EA47DE"/>
    <w:rsid w:val="00EB1390"/>
    <w:rsid w:val="00EB2C71"/>
    <w:rsid w:val="00EB3333"/>
    <w:rsid w:val="00EB4340"/>
    <w:rsid w:val="00EB556D"/>
    <w:rsid w:val="00EB5A7D"/>
    <w:rsid w:val="00EC4458"/>
    <w:rsid w:val="00ED55C0"/>
    <w:rsid w:val="00ED5B33"/>
    <w:rsid w:val="00ED682B"/>
    <w:rsid w:val="00EE2DB9"/>
    <w:rsid w:val="00EE41D5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2749"/>
    <w:rsid w:val="00F37172"/>
    <w:rsid w:val="00F44426"/>
    <w:rsid w:val="00F4477E"/>
    <w:rsid w:val="00F46269"/>
    <w:rsid w:val="00F56456"/>
    <w:rsid w:val="00F60BA8"/>
    <w:rsid w:val="00F63D31"/>
    <w:rsid w:val="00F67D8F"/>
    <w:rsid w:val="00F71B06"/>
    <w:rsid w:val="00F7674A"/>
    <w:rsid w:val="00F802BE"/>
    <w:rsid w:val="00F80E93"/>
    <w:rsid w:val="00F83C6D"/>
    <w:rsid w:val="00F86024"/>
    <w:rsid w:val="00F8611A"/>
    <w:rsid w:val="00F91A4D"/>
    <w:rsid w:val="00F955B6"/>
    <w:rsid w:val="00FA1845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4-kwartal-2021-roku,1,36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Informacja sygnalna_PKB_IV kw. 2021_t+2 m._28.02.2022.docx</NazwaPliku>
    <Odbiorcy2 xmlns="8C029B3F-2CC4-4A59-AF0D-A90575FA3373" xsi:nil="true"/>
    <Osoba xmlns="8C029B3F-2CC4-4A59-AF0D-A90575FA3373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5BE3BE-FC63-4ACB-99D6-1112D8AEE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D6588-113B-4893-B765-CB075026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szacunek produktu krajowego brutto w 4 kwartale 2021 r</dc:title>
  <dc:subject/>
  <dc:creator>GUS</dc:creator>
  <cp:keywords/>
  <dc:description/>
  <cp:lastModifiedBy>Putkowska Beata</cp:lastModifiedBy>
  <cp:revision>3</cp:revision>
  <cp:lastPrinted>2022-02-24T17:45:00Z</cp:lastPrinted>
  <dcterms:created xsi:type="dcterms:W3CDTF">2022-02-14T13:03:00Z</dcterms:created>
  <dcterms:modified xsi:type="dcterms:W3CDTF">2022-02-28T08:19:00Z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