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7958B5C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3325FE">
        <w:rPr>
          <w:szCs w:val="40"/>
        </w:rPr>
        <w:t>1</w:t>
      </w:r>
      <w:r w:rsidR="007A3970">
        <w:rPr>
          <w:szCs w:val="40"/>
        </w:rPr>
        <w:t xml:space="preserve"> kwartale 2022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1E690351" w14:textId="66F8EAE6" w:rsidR="00DE58F1" w:rsidRPr="00C37793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705647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0,2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13E42B2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CB65D5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CE101E">
                              <w:rPr>
                                <w:rStyle w:val="WartowskanikaZnak"/>
                                <w:lang w:val="en-US"/>
                              </w:rPr>
                              <w:t>0,2</w:t>
                            </w:r>
                            <w:r w:rsidR="009C58FF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0,2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" fillcolor="#001d77" stroked="f">
                <v:stroke joinstyle="miter"/>
                <v:textbox>
                  <w:txbxContent>
                    <w:p w14:paraId="30951E30" w14:textId="313E42B2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CB65D5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CE101E">
                        <w:rPr>
                          <w:rStyle w:val="WartowskanikaZnak"/>
                          <w:lang w:val="en-US"/>
                        </w:rPr>
                        <w:t>0,2</w:t>
                      </w:r>
                      <w:r w:rsidR="009C58FF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C37793">
        <w:rPr>
          <w:rFonts w:eastAsia="Times New Roman" w:cs="Times New Roman"/>
          <w:bCs/>
          <w:noProof w:val="0"/>
        </w:rPr>
        <w:t xml:space="preserve">W </w:t>
      </w:r>
      <w:r w:rsidR="003325FE">
        <w:rPr>
          <w:rFonts w:eastAsia="Times New Roman" w:cs="Times New Roman"/>
          <w:bCs/>
          <w:noProof w:val="0"/>
        </w:rPr>
        <w:t>1</w:t>
      </w:r>
      <w:r w:rsidR="00263FCE">
        <w:rPr>
          <w:rFonts w:eastAsia="Times New Roman" w:cs="Times New Roman"/>
          <w:bCs/>
          <w:noProof w:val="0"/>
        </w:rPr>
        <w:t xml:space="preserve"> kwartale 2022</w:t>
      </w:r>
      <w:r w:rsidR="00C37793" w:rsidRPr="00C37793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>
        <w:rPr>
          <w:rFonts w:eastAsia="Times New Roman" w:cs="Times New Roman"/>
          <w:bCs/>
          <w:noProof w:val="0"/>
        </w:rPr>
        <w:t xml:space="preserve">niefinansowych </w:t>
      </w:r>
      <w:r w:rsidR="00C37793" w:rsidRPr="00C37793">
        <w:rPr>
          <w:rFonts w:eastAsia="Times New Roman" w:cs="Times New Roman"/>
          <w:bCs/>
          <w:noProof w:val="0"/>
        </w:rPr>
        <w:t>były wyższ</w:t>
      </w:r>
      <w:r w:rsidR="00CE101E">
        <w:rPr>
          <w:rFonts w:eastAsia="Times New Roman" w:cs="Times New Roman"/>
          <w:bCs/>
          <w:noProof w:val="0"/>
        </w:rPr>
        <w:t xml:space="preserve">e od uzyskanych rok wcześniej. </w:t>
      </w:r>
      <w:r w:rsidR="00CE101E" w:rsidRPr="00782DC6">
        <w:rPr>
          <w:rFonts w:eastAsia="Times New Roman" w:cs="Times New Roman"/>
          <w:bCs/>
          <w:noProof w:val="0"/>
        </w:rPr>
        <w:t>Nieznacznemu pogorszeniu uległy</w:t>
      </w:r>
      <w:r w:rsidR="00C37793" w:rsidRPr="00782DC6">
        <w:rPr>
          <w:rFonts w:eastAsia="Times New Roman" w:cs="Times New Roman"/>
          <w:bCs/>
          <w:noProof w:val="0"/>
        </w:rPr>
        <w:t xml:space="preserve"> wskaźniki ekonomiczno-finansowe.</w:t>
      </w:r>
      <w:r w:rsidR="00C37793" w:rsidRPr="00C54145">
        <w:rPr>
          <w:rFonts w:eastAsia="Times New Roman" w:cs="Times New Roman"/>
          <w:bCs/>
          <w:noProof w:val="0"/>
        </w:rPr>
        <w:t xml:space="preserve"> Nakład</w:t>
      </w:r>
      <w:r w:rsidR="00022056">
        <w:rPr>
          <w:rFonts w:eastAsia="Times New Roman" w:cs="Times New Roman"/>
          <w:bCs/>
          <w:noProof w:val="0"/>
        </w:rPr>
        <w:t>y inwestycyjne były wyższe o 1</w:t>
      </w:r>
      <w:r w:rsidR="00792FA4">
        <w:rPr>
          <w:rFonts w:eastAsia="Times New Roman" w:cs="Times New Roman"/>
          <w:bCs/>
          <w:noProof w:val="0"/>
        </w:rPr>
        <w:t>,3</w:t>
      </w:r>
      <w:r w:rsidR="00C37793" w:rsidRPr="00C54145">
        <w:rPr>
          <w:rFonts w:eastAsia="Times New Roman" w:cs="Times New Roman"/>
          <w:bCs/>
          <w:noProof w:val="0"/>
        </w:rPr>
        <w:t>% od notow</w:t>
      </w:r>
      <w:r w:rsidR="00C54145" w:rsidRPr="00C54145">
        <w:rPr>
          <w:rFonts w:eastAsia="Times New Roman" w:cs="Times New Roman"/>
          <w:bCs/>
          <w:noProof w:val="0"/>
        </w:rPr>
        <w:t>anych w</w:t>
      </w:r>
      <w:r w:rsidR="00C37793" w:rsidRPr="00C54145">
        <w:rPr>
          <w:rFonts w:eastAsia="Times New Roman" w:cs="Times New Roman"/>
          <w:bCs/>
          <w:noProof w:val="0"/>
        </w:rPr>
        <w:t xml:space="preserve"> </w:t>
      </w:r>
      <w:r w:rsidR="00EB11D0">
        <w:rPr>
          <w:rFonts w:eastAsia="Times New Roman" w:cs="Times New Roman"/>
          <w:bCs/>
          <w:noProof w:val="0"/>
        </w:rPr>
        <w:t>1</w:t>
      </w:r>
      <w:r w:rsidR="00022056">
        <w:rPr>
          <w:rFonts w:eastAsia="Times New Roman" w:cs="Times New Roman"/>
          <w:bCs/>
          <w:noProof w:val="0"/>
        </w:rPr>
        <w:t xml:space="preserve"> kwartale 2021</w:t>
      </w:r>
      <w:r w:rsidR="00C37793" w:rsidRPr="00C54145">
        <w:rPr>
          <w:rFonts w:eastAsia="Times New Roman" w:cs="Times New Roman"/>
          <w:bCs/>
          <w:noProof w:val="0"/>
        </w:rPr>
        <w:t xml:space="preserve"> roku </w:t>
      </w:r>
      <w:r w:rsidR="00022056">
        <w:rPr>
          <w:rFonts w:eastAsia="Times New Roman" w:cs="Times New Roman"/>
          <w:bCs/>
          <w:noProof w:val="0"/>
        </w:rPr>
        <w:t>(kiedy miał miejsce wzrost o 4,6</w:t>
      </w:r>
      <w:r w:rsidR="00C37793" w:rsidRPr="00C54145">
        <w:rPr>
          <w:rFonts w:eastAsia="Times New Roman" w:cs="Times New Roman"/>
          <w:bCs/>
          <w:noProof w:val="0"/>
        </w:rPr>
        <w:t>%).</w:t>
      </w:r>
    </w:p>
    <w:p w14:paraId="75708857" w14:textId="1BA60518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CE101E">
        <w:rPr>
          <w:rFonts w:eastAsia="Times New Roman" w:cs="Times New Roman"/>
          <w:szCs w:val="19"/>
          <w:lang w:eastAsia="pl-PL"/>
        </w:rPr>
        <w:t>były wyższe o 30,2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263FCE">
        <w:rPr>
          <w:rFonts w:eastAsia="Times New Roman" w:cs="Times New Roman"/>
          <w:szCs w:val="19"/>
          <w:lang w:eastAsia="pl-PL"/>
        </w:rPr>
        <w:t>zty ich uzyskania wzrosły o 3</w:t>
      </w:r>
      <w:r w:rsidR="00CB65D5">
        <w:rPr>
          <w:rFonts w:eastAsia="Times New Roman" w:cs="Times New Roman"/>
          <w:szCs w:val="19"/>
          <w:lang w:eastAsia="pl-PL"/>
        </w:rPr>
        <w:t>0</w:t>
      </w:r>
      <w:r w:rsidR="00CB65D5" w:rsidRPr="00782DC6">
        <w:rPr>
          <w:rFonts w:eastAsia="Times New Roman" w:cs="Times New Roman"/>
          <w:szCs w:val="19"/>
          <w:lang w:eastAsia="pl-PL"/>
        </w:rPr>
        <w:t>,6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CE101E" w:rsidRPr="00782DC6">
        <w:rPr>
          <w:rFonts w:eastAsia="Times New Roman" w:cs="Times New Roman"/>
          <w:szCs w:val="19"/>
          <w:lang w:eastAsia="pl-PL"/>
        </w:rPr>
        <w:t>Nieznacznie pogorszył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CE101E" w:rsidRPr="00782DC6">
        <w:rPr>
          <w:rFonts w:eastAsia="Times New Roman" w:cs="Times New Roman"/>
          <w:szCs w:val="19"/>
          <w:lang w:eastAsia="pl-PL"/>
        </w:rPr>
        <w:t>tów z 93,4% przed rokiem do 93,6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CE101E">
        <w:rPr>
          <w:rFonts w:eastAsia="Times New Roman" w:cs="Times New Roman"/>
          <w:szCs w:val="19"/>
          <w:lang w:eastAsia="pl-PL"/>
        </w:rPr>
        <w:t>materiałów wzrosły o 31,1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DB7CAC">
        <w:rPr>
          <w:rFonts w:eastAsia="Times New Roman" w:cs="Times New Roman"/>
          <w:szCs w:val="19"/>
          <w:lang w:eastAsia="pl-PL"/>
        </w:rPr>
        <w:t>alności – o 30,2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3077C600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609428A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2021 roku wynik finansowy netto przedsiębiorstw niefinansowych był wyższy o 91,4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C9175DD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1C1489">
                              <w:rPr>
                                <w:bCs w:val="0"/>
                              </w:rPr>
                              <w:t>1</w:t>
                            </w:r>
                            <w:r w:rsidR="000B1E93">
                              <w:rPr>
                                <w:bCs w:val="0"/>
                              </w:rPr>
                              <w:t xml:space="preserve"> kwartale 2022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7A58D5">
                              <w:rPr>
                                <w:bCs w:val="0"/>
                              </w:rPr>
                              <w:t>niefinansowych był wyższy o 25,1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oku wynik finansowy netto przedsiębiorstw niefinansowych był wyższy o 91,4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" filled="f" stroked="f">
                <v:textbox>
                  <w:txbxContent>
                    <w:p w14:paraId="66113316" w14:textId="3C9175DD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1C1489">
                        <w:rPr>
                          <w:bCs w:val="0"/>
                        </w:rPr>
                        <w:t>1</w:t>
                      </w:r>
                      <w:r w:rsidR="000B1E93">
                        <w:rPr>
                          <w:bCs w:val="0"/>
                        </w:rPr>
                        <w:t xml:space="preserve"> kwartale 2022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 w:rsidR="007A58D5">
                        <w:rPr>
                          <w:bCs w:val="0"/>
                        </w:rPr>
                        <w:t>niefinansowych był wyższy o 25,1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>warów i materiałów wyniósł 73,7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273D09">
        <w:rPr>
          <w:rFonts w:eastAsia="Times New Roman" w:cs="Times New Roman"/>
          <w:szCs w:val="19"/>
          <w:lang w:eastAsia="pl-PL"/>
        </w:rPr>
        <w:t>d zł i był wyższy o 44,9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1C1489">
        <w:rPr>
          <w:rFonts w:eastAsia="Times New Roman" w:cs="Times New Roman"/>
          <w:szCs w:val="19"/>
          <w:lang w:eastAsia="pl-PL"/>
        </w:rPr>
        <w:t xml:space="preserve"> niż w 1</w:t>
      </w:r>
      <w:r w:rsidR="000A7803">
        <w:rPr>
          <w:rFonts w:eastAsia="Times New Roman" w:cs="Times New Roman"/>
          <w:szCs w:val="19"/>
          <w:lang w:eastAsia="pl-PL"/>
        </w:rPr>
        <w:t xml:space="preserve"> kwartale 2021 roku</w:t>
      </w:r>
      <w:r w:rsidR="00846E02" w:rsidRPr="00846E02">
        <w:rPr>
          <w:rFonts w:eastAsia="Times New Roman" w:cs="Times New Roman"/>
          <w:szCs w:val="19"/>
          <w:lang w:eastAsia="pl-PL"/>
        </w:rPr>
        <w:t>. Wynik finan</w:t>
      </w:r>
      <w:bookmarkStart w:id="0" w:name="_GoBack"/>
      <w:bookmarkEnd w:id="0"/>
      <w:r w:rsidR="00846E02" w:rsidRPr="00846E02">
        <w:rPr>
          <w:rFonts w:eastAsia="Times New Roman" w:cs="Times New Roman"/>
          <w:szCs w:val="19"/>
          <w:lang w:eastAsia="pl-PL"/>
        </w:rPr>
        <w:t>sowy z pozostałej działalności operacyjnej u</w:t>
      </w:r>
      <w:r w:rsidR="000B1E93">
        <w:rPr>
          <w:rFonts w:eastAsia="Times New Roman" w:cs="Times New Roman"/>
          <w:szCs w:val="19"/>
          <w:lang w:eastAsia="pl-PL"/>
        </w:rPr>
        <w:t>kształtował się na poziomie min</w:t>
      </w:r>
      <w:r w:rsidR="003035F1">
        <w:rPr>
          <w:rFonts w:eastAsia="Times New Roman" w:cs="Times New Roman"/>
          <w:szCs w:val="19"/>
          <w:lang w:eastAsia="pl-PL"/>
        </w:rPr>
        <w:t>us 0,3 mld zł i był niższy o 9,3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przed rokiem. Zanotowano poprawę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0B1E93">
        <w:rPr>
          <w:rFonts w:eastAsia="Times New Roman" w:cs="Times New Roman"/>
          <w:szCs w:val="19"/>
          <w:lang w:eastAsia="pl-PL"/>
        </w:rPr>
        <w:t>minus 1,2 mld zł wobec minus 2,4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1C1489">
        <w:rPr>
          <w:rFonts w:eastAsia="Times New Roman" w:cs="Times New Roman"/>
          <w:szCs w:val="19"/>
          <w:lang w:eastAsia="pl-PL"/>
        </w:rPr>
        <w:t>1</w:t>
      </w:r>
      <w:r w:rsidR="000B1E93">
        <w:rPr>
          <w:rFonts w:eastAsia="Times New Roman" w:cs="Times New Roman"/>
          <w:szCs w:val="19"/>
          <w:lang w:eastAsia="pl-PL"/>
        </w:rPr>
        <w:t xml:space="preserve"> kwartale 2021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1650BC07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CE101E">
        <w:rPr>
          <w:rFonts w:eastAsia="Times New Roman" w:cs="Times New Roman"/>
          <w:szCs w:val="19"/>
          <w:lang w:eastAsia="pl-PL"/>
        </w:rPr>
        <w:t>utto wyniósł 72,3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74565A">
        <w:rPr>
          <w:rFonts w:eastAsia="Times New Roman" w:cs="Times New Roman"/>
          <w:szCs w:val="19"/>
          <w:lang w:eastAsia="pl-PL"/>
        </w:rPr>
        <w:t>wobec 57</w:t>
      </w:r>
      <w:r w:rsidR="001F10BB">
        <w:rPr>
          <w:rFonts w:eastAsia="Times New Roman" w:cs="Times New Roman"/>
          <w:szCs w:val="19"/>
          <w:lang w:eastAsia="pl-PL"/>
        </w:rPr>
        <w:t>,5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74565A">
        <w:rPr>
          <w:rFonts w:eastAsia="Times New Roman" w:cs="Times New Roman"/>
          <w:szCs w:val="19"/>
          <w:lang w:eastAsia="pl-PL"/>
        </w:rPr>
        <w:t>ształtowały się na poziomie 13,4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74565A">
        <w:rPr>
          <w:rFonts w:eastAsia="Times New Roman" w:cs="Times New Roman"/>
          <w:szCs w:val="19"/>
          <w:lang w:eastAsia="pl-PL"/>
        </w:rPr>
        <w:t>obec 10,4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7A58D5">
        <w:rPr>
          <w:rFonts w:eastAsia="Times New Roman" w:cs="Times New Roman"/>
          <w:szCs w:val="19"/>
          <w:lang w:eastAsia="pl-PL"/>
        </w:rPr>
        <w:t>iósł 58,9 mld zł i był wyższy o 25,1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894961">
        <w:rPr>
          <w:rFonts w:eastAsia="Times New Roman" w:cs="Times New Roman"/>
          <w:szCs w:val="19"/>
          <w:lang w:eastAsia="pl-PL"/>
        </w:rPr>
        <w:t>73,9 mld zł i był wyższy o 12,7</w:t>
      </w:r>
      <w:r w:rsidRPr="00846E02">
        <w:rPr>
          <w:rFonts w:eastAsia="Times New Roman" w:cs="Times New Roman"/>
          <w:szCs w:val="19"/>
          <w:lang w:eastAsia="pl-PL"/>
        </w:rPr>
        <w:t xml:space="preserve"> 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1C1489">
        <w:rPr>
          <w:rFonts w:eastAsia="Times New Roman" w:cs="Times New Roman"/>
          <w:szCs w:val="19"/>
          <w:lang w:eastAsia="pl-PL"/>
        </w:rPr>
        <w:t>1</w:t>
      </w:r>
      <w:r w:rsidR="009145CF">
        <w:rPr>
          <w:rFonts w:eastAsia="Times New Roman" w:cs="Times New Roman"/>
          <w:szCs w:val="19"/>
          <w:lang w:eastAsia="pl-PL"/>
        </w:rPr>
        <w:t xml:space="preserve"> kwartale 2021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9145CF">
        <w:rPr>
          <w:rFonts w:eastAsia="Times New Roman" w:cs="Times New Roman"/>
          <w:szCs w:val="19"/>
          <w:lang w:eastAsia="pl-PL"/>
        </w:rPr>
        <w:t>ku, a strata netto wyniosła 15,0 mld zł i zwiększyła się o 0,9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>i roku. Zysk netto wykazało 70,6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9145CF">
        <w:rPr>
          <w:rFonts w:eastAsia="Times New Roman" w:cs="Times New Roman"/>
          <w:szCs w:val="19"/>
          <w:lang w:eastAsia="pl-PL"/>
        </w:rPr>
        <w:t>gółu przedsiębiorstw (wobec 69</w:t>
      </w:r>
      <w:r w:rsidR="00436653">
        <w:rPr>
          <w:rFonts w:eastAsia="Times New Roman" w:cs="Times New Roman"/>
          <w:szCs w:val="19"/>
          <w:lang w:eastAsia="pl-PL"/>
        </w:rPr>
        <w:t>,4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894961">
        <w:rPr>
          <w:rFonts w:eastAsia="Times New Roman" w:cs="Times New Roman"/>
          <w:szCs w:val="19"/>
          <w:lang w:eastAsia="pl-PL"/>
        </w:rPr>
        <w:t>przez nie przychody stanowiły 81,7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894961">
        <w:rPr>
          <w:rFonts w:eastAsia="Times New Roman" w:cs="Times New Roman"/>
          <w:szCs w:val="19"/>
          <w:lang w:eastAsia="pl-PL"/>
        </w:rPr>
        <w:t>nych przedsiębiorstw (wobec 81,8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8C2DD9">
        <w:rPr>
          <w:rFonts w:eastAsia="Times New Roman" w:cs="Times New Roman"/>
          <w:szCs w:val="19"/>
          <w:lang w:eastAsia="pl-PL"/>
        </w:rPr>
        <w:t>łowym zysk netto odnotowało 76,7% jednostek (przed rokiem 75,5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827374" w:rsidRPr="00782DC6">
        <w:rPr>
          <w:rFonts w:eastAsia="Times New Roman" w:cs="Times New Roman"/>
          <w:szCs w:val="19"/>
          <w:lang w:eastAsia="pl-PL"/>
        </w:rPr>
        <w:t xml:space="preserve"> sekcji wyniósł 84,3</w:t>
      </w:r>
      <w:r w:rsidR="008C2DD9" w:rsidRPr="00782DC6">
        <w:rPr>
          <w:rFonts w:eastAsia="Times New Roman" w:cs="Times New Roman"/>
          <w:szCs w:val="19"/>
          <w:lang w:eastAsia="pl-PL"/>
        </w:rPr>
        <w:t>% (wobec odpowiednio 84,8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7E922662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332AA3" w:rsidRPr="00782DC6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="001C1489" w:rsidRPr="00782DC6">
        <w:rPr>
          <w:rFonts w:eastAsia="Times New Roman" w:cs="Times New Roman"/>
          <w:b/>
          <w:szCs w:val="19"/>
          <w:lang w:eastAsia="pl-PL"/>
        </w:rPr>
        <w:t>w 1</w:t>
      </w:r>
      <w:r w:rsidR="00A71B63" w:rsidRPr="00782DC6">
        <w:rPr>
          <w:rFonts w:eastAsia="Times New Roman" w:cs="Times New Roman"/>
          <w:b/>
          <w:szCs w:val="19"/>
          <w:lang w:eastAsia="pl-PL"/>
        </w:rPr>
        <w:t xml:space="preserve"> kwartale w latach 2003-2022</w:t>
      </w:r>
    </w:p>
    <w:p w14:paraId="38FD6AA7" w14:textId="3028FE18" w:rsidR="00136008" w:rsidRDefault="00782DC6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73FD6AC" wp14:editId="180919A1">
            <wp:extent cx="4944110" cy="3011805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BC631E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642E6128" w:rsidR="00136008" w:rsidRPr="00957F9B" w:rsidRDefault="00D0184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01-03 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7E20CE4E" w:rsidR="00136008" w:rsidRPr="00957F9B" w:rsidRDefault="00D0184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01-03 2022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467E12F1" w:rsidR="00136008" w:rsidRPr="00A01A76" w:rsidRDefault="00D01848" w:rsidP="00BC631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01-03 2021</w:t>
            </w:r>
            <w:r w:rsidR="00136008"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BC631E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63CC7385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C655D" w:rsidRPr="00957F9B" w14:paraId="4218A4D3" w14:textId="77777777" w:rsidTr="00BC631E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56E88D64" w:rsidR="003C655D" w:rsidRDefault="003C655D" w:rsidP="003C655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868 242,6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324A184F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1 130 874,0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5F935847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130,2</w:t>
            </w:r>
          </w:p>
        </w:tc>
      </w:tr>
      <w:tr w:rsidR="003C655D" w:rsidRPr="00957F9B" w14:paraId="21CFADB5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810FD" w14:textId="77777777" w:rsidR="003C655D" w:rsidRPr="00957F9B" w:rsidRDefault="003C655D" w:rsidP="003C655D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252939E4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841 057,8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32AE83DF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1 102 301,1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6C05C0F3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131,1</w:t>
            </w:r>
          </w:p>
        </w:tc>
      </w:tr>
      <w:tr w:rsidR="003C655D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59D575CA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810 731,1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33C81A4C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1 058 599,1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1415863F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130,6</w:t>
            </w:r>
          </w:p>
        </w:tc>
      </w:tr>
      <w:tr w:rsidR="003C655D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3C655D" w:rsidRPr="00957F9B" w:rsidRDefault="003C655D" w:rsidP="003C655D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44DB557B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790 190,2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1EA59E5E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1 028 584,3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18CBCB19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130,2</w:t>
            </w:r>
          </w:p>
        </w:tc>
      </w:tr>
      <w:tr w:rsidR="003C655D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18AD9979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50 867,6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52B93DEF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73 716,8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2789E619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144,9</w:t>
            </w:r>
          </w:p>
        </w:tc>
      </w:tr>
      <w:tr w:rsidR="003C655D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6A62BBE9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9 009,2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0541D569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-263,4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64BD31B7" w:rsidR="003C655D" w:rsidRDefault="002B2537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C655D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12D55137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-2 365,3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44E5E7DD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-1 178,5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4C7FECCA" w:rsidR="003C655D" w:rsidRDefault="002B2537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C655D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0C5575CF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57 511,5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704D129D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72 274,9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57D00074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</w:tr>
      <w:tr w:rsidR="003C655D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66E6510F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47 098,6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61AE3FE0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58 908,5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74D55721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125,1</w:t>
            </w:r>
          </w:p>
        </w:tc>
      </w:tr>
      <w:tr w:rsidR="003C655D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42293CAB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61 236,3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377C7643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73 889,2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3CD1CA1F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120,7</w:t>
            </w:r>
          </w:p>
        </w:tc>
      </w:tr>
      <w:tr w:rsidR="003C655D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5B030131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14 137,8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5F160183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14 980,7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71B37D27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3C655D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735B1830" w:rsidR="003C655D" w:rsidRDefault="003C655D" w:rsidP="003C655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5743E2AC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3C655D" w:rsidRPr="00957F9B" w:rsidRDefault="003C655D" w:rsidP="003C655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C655D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56C31E59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625BD166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3C655D" w:rsidRPr="00957F9B" w:rsidRDefault="003C655D" w:rsidP="003C655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C655D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2E6909B5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777D2BFD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3C655D" w:rsidRPr="00957F9B" w:rsidRDefault="003C655D" w:rsidP="003C655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C655D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3E8A464D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180D855E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3C655D" w:rsidRPr="00957F9B" w:rsidRDefault="003C655D" w:rsidP="003C655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C655D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57DA1C09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72A5C516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3C655D" w:rsidRPr="00957F9B" w:rsidRDefault="003C655D" w:rsidP="003C655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C655D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3C655D" w:rsidRPr="00957F9B" w:rsidRDefault="003C655D" w:rsidP="003C655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3C98BC38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33ED9C4A" w:rsidR="003C655D" w:rsidRDefault="003C655D" w:rsidP="003C655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3C655D" w:rsidRPr="00957F9B" w:rsidRDefault="003C655D" w:rsidP="003C655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D7D67AA" w14:textId="578E2A20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6C7D7E60">
                <wp:simplePos x="0" y="0"/>
                <wp:positionH relativeFrom="column">
                  <wp:posOffset>5267325</wp:posOffset>
                </wp:positionH>
                <wp:positionV relativeFrom="paragraph">
                  <wp:posOffset>712470</wp:posOffset>
                </wp:positionV>
                <wp:extent cx="1638300" cy="1447800"/>
                <wp:effectExtent l="0" t="0" r="0" b="0"/>
                <wp:wrapSquare wrapText="bothSides"/>
                <wp:docPr id="18" name="Pole tekstowe 5" descr="W 2021 roku poprawę wskaźnika rentowności obrotu netto odnotowano w większości sek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6787B0A9" w:rsidR="00136008" w:rsidRPr="00BF2F65" w:rsidRDefault="00413738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Największą 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poprawę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zakwaterowaniu i gastronomii (o 21,6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7720" id="Pole tekstowe 5" o:spid="_x0000_s1028" type="#_x0000_t202" alt="W 2021 roku poprawę wskaźnika rentowności obrotu netto odnotowano w większości sekcji" style="position:absolute;margin-left:414.75pt;margin-top:56.1pt;width:129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" filled="f" stroked="f">
                <v:textbox>
                  <w:txbxContent>
                    <w:p w14:paraId="358783D6" w14:textId="6787B0A9" w:rsidR="00136008" w:rsidRPr="00BF2F65" w:rsidRDefault="00413738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Największą 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poprawę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zakwaterowaniu i gastronomii (o 21,6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D733C8">
        <w:rPr>
          <w:b w:val="0"/>
        </w:rPr>
        <w:t>przedsiębiorstw wyniósł 93,6</w:t>
      </w:r>
      <w:r w:rsidR="00C22A86">
        <w:rPr>
          <w:b w:val="0"/>
        </w:rPr>
        <w:t>% (wobec 93,4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D733C8">
        <w:rPr>
          <w:b w:val="0"/>
        </w:rPr>
        <w:t>utto zwiększył się z 6,0% do 6,7</w:t>
      </w:r>
      <w:r>
        <w:rPr>
          <w:b w:val="0"/>
        </w:rPr>
        <w:t xml:space="preserve">%, </w:t>
      </w:r>
      <w:r w:rsidR="00D308F3">
        <w:rPr>
          <w:b w:val="0"/>
        </w:rPr>
        <w:t xml:space="preserve">obniżył się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D308F3">
        <w:rPr>
          <w:b w:val="0"/>
        </w:rPr>
        <w:t>tu brutto z 6,6% do 6,4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57774C">
        <w:rPr>
          <w:b w:val="0"/>
        </w:rPr>
        <w:t xml:space="preserve"> </w:t>
      </w:r>
      <w:r w:rsidR="00C22A86">
        <w:rPr>
          <w:b w:val="0"/>
        </w:rPr>
        <w:t>z 5,4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D308F3">
        <w:rPr>
          <w:b w:val="0"/>
        </w:rPr>
        <w:t>5,2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2EFEBF33" w14:textId="03F2F6E7" w:rsidR="00136008" w:rsidRDefault="00D2095E" w:rsidP="0009551C">
      <w:pPr>
        <w:pStyle w:val="LID"/>
        <w:spacing w:line="288" w:lineRule="auto"/>
        <w:rPr>
          <w:b w:val="0"/>
        </w:rPr>
      </w:pPr>
      <w:r>
        <w:rPr>
          <w:b w:val="0"/>
        </w:rPr>
        <w:t>P</w:t>
      </w:r>
      <w:r w:rsidR="00136008" w:rsidRPr="0062183F">
        <w:rPr>
          <w:b w:val="0"/>
        </w:rPr>
        <w:t xml:space="preserve">oprawę wskaźnika rentowności </w:t>
      </w:r>
      <w:r w:rsidR="00413738">
        <w:rPr>
          <w:b w:val="0"/>
        </w:rPr>
        <w:t xml:space="preserve">obrotu netto odnotowano m.in. w </w:t>
      </w:r>
      <w:r w:rsidR="00D35DA0">
        <w:rPr>
          <w:b w:val="0"/>
        </w:rPr>
        <w:t>zakwa</w:t>
      </w:r>
      <w:r w:rsidR="00136008" w:rsidRPr="0062183F">
        <w:rPr>
          <w:b w:val="0"/>
        </w:rPr>
        <w:t>terowaniu</w:t>
      </w:r>
      <w:r w:rsidR="00413738">
        <w:rPr>
          <w:b w:val="0"/>
        </w:rPr>
        <w:t xml:space="preserve"> i gastronomii (z minus 18,9</w:t>
      </w:r>
      <w:r w:rsidR="00136008" w:rsidRPr="0062183F">
        <w:rPr>
          <w:b w:val="0"/>
        </w:rPr>
        <w:t xml:space="preserve">% </w:t>
      </w:r>
      <w:r w:rsidR="00413738">
        <w:rPr>
          <w:b w:val="0"/>
        </w:rPr>
        <w:t>do 2,7</w:t>
      </w:r>
      <w:r w:rsidR="00136008" w:rsidRPr="0062183F">
        <w:rPr>
          <w:b w:val="0"/>
        </w:rPr>
        <w:t xml:space="preserve">%), </w:t>
      </w:r>
      <w:r w:rsidR="00413738" w:rsidRPr="0062183F">
        <w:rPr>
          <w:b w:val="0"/>
        </w:rPr>
        <w:t>górni</w:t>
      </w:r>
      <w:r w:rsidR="00413738">
        <w:rPr>
          <w:b w:val="0"/>
        </w:rPr>
        <w:t>ctwie i wydobywaniu (z 1,4% do 16,0</w:t>
      </w:r>
      <w:r w:rsidR="00413738" w:rsidRPr="0062183F">
        <w:rPr>
          <w:b w:val="0"/>
        </w:rPr>
        <w:t xml:space="preserve">%), </w:t>
      </w:r>
      <w:r w:rsidR="008E782E" w:rsidRPr="0062183F">
        <w:rPr>
          <w:b w:val="0"/>
        </w:rPr>
        <w:t>pozostałej działalnośc</w:t>
      </w:r>
      <w:r w:rsidR="00647330">
        <w:rPr>
          <w:b w:val="0"/>
        </w:rPr>
        <w:t>i usługowej (z minus 5,0% do 3,2</w:t>
      </w:r>
      <w:r w:rsidR="008E782E" w:rsidRPr="0062183F">
        <w:rPr>
          <w:b w:val="0"/>
        </w:rPr>
        <w:t>%),</w:t>
      </w:r>
      <w:r w:rsidR="008E782E">
        <w:rPr>
          <w:b w:val="0"/>
        </w:rPr>
        <w:t xml:space="preserve"> </w:t>
      </w:r>
      <w:r w:rsidR="0034626A" w:rsidRPr="0062183F">
        <w:rPr>
          <w:b w:val="0"/>
        </w:rPr>
        <w:t>transporcie</w:t>
      </w:r>
      <w:r w:rsidR="0034626A">
        <w:rPr>
          <w:b w:val="0"/>
        </w:rPr>
        <w:t xml:space="preserve"> i gospodarce magazynowej (z 3,2% do 3,7</w:t>
      </w:r>
      <w:r w:rsidR="0034626A" w:rsidRPr="0062183F">
        <w:rPr>
          <w:b w:val="0"/>
        </w:rPr>
        <w:t>%),</w:t>
      </w:r>
      <w:r w:rsidR="0034626A">
        <w:rPr>
          <w:b w:val="0"/>
        </w:rPr>
        <w:t xml:space="preserve"> </w:t>
      </w:r>
      <w:r w:rsidR="0034626A" w:rsidRPr="0062183F">
        <w:rPr>
          <w:b w:val="0"/>
        </w:rPr>
        <w:t>działalności profesjonalnej, nauk</w:t>
      </w:r>
      <w:r w:rsidR="0034626A">
        <w:rPr>
          <w:b w:val="0"/>
        </w:rPr>
        <w:t xml:space="preserve">owej i technicznej (z 7,4% do 7,8%) oraz w </w:t>
      </w:r>
      <w:r w:rsidR="0034626A" w:rsidRPr="0034626A">
        <w:rPr>
          <w:b w:val="0"/>
        </w:rPr>
        <w:t>handlu; napraw</w:t>
      </w:r>
      <w:r w:rsidR="0034626A">
        <w:rPr>
          <w:b w:val="0"/>
        </w:rPr>
        <w:t>ie pojazdów samochodowych (z 3,2% do 3,5</w:t>
      </w:r>
      <w:r w:rsidR="0034626A" w:rsidRPr="0034626A">
        <w:rPr>
          <w:b w:val="0"/>
        </w:rPr>
        <w:t>%).</w:t>
      </w:r>
      <w:r w:rsidR="0009551C">
        <w:rPr>
          <w:b w:val="0"/>
        </w:rPr>
        <w:t xml:space="preserve"> </w:t>
      </w:r>
      <w:r w:rsidR="00136008" w:rsidRPr="0062183F">
        <w:rPr>
          <w:b w:val="0"/>
        </w:rPr>
        <w:t>Pogorszenie wskaźnika rentowności obrotu netto odnotowano</w:t>
      </w:r>
      <w:r w:rsidR="0034626A">
        <w:rPr>
          <w:b w:val="0"/>
        </w:rPr>
        <w:t xml:space="preserve"> m.in.</w:t>
      </w:r>
      <w:r w:rsidR="00136008" w:rsidRPr="0062183F">
        <w:rPr>
          <w:b w:val="0"/>
        </w:rPr>
        <w:t xml:space="preserve"> w </w:t>
      </w:r>
      <w:r w:rsidR="0034626A" w:rsidRPr="0062183F">
        <w:rPr>
          <w:b w:val="0"/>
        </w:rPr>
        <w:t>i</w:t>
      </w:r>
      <w:r w:rsidR="0034626A">
        <w:rPr>
          <w:b w:val="0"/>
        </w:rPr>
        <w:t>nformacji i komunikacji (z 20,9</w:t>
      </w:r>
      <w:r w:rsidR="0034626A" w:rsidRPr="0062183F">
        <w:rPr>
          <w:b w:val="0"/>
        </w:rPr>
        <w:t xml:space="preserve">% </w:t>
      </w:r>
      <w:r w:rsidR="0034626A">
        <w:rPr>
          <w:b w:val="0"/>
        </w:rPr>
        <w:t>do 12,2</w:t>
      </w:r>
      <w:r w:rsidR="0034626A" w:rsidRPr="0062183F">
        <w:rPr>
          <w:b w:val="0"/>
        </w:rPr>
        <w:t>%),</w:t>
      </w:r>
      <w:r w:rsidR="0034626A">
        <w:rPr>
          <w:b w:val="0"/>
        </w:rPr>
        <w:t xml:space="preserve"> </w:t>
      </w:r>
      <w:r w:rsidR="00136008" w:rsidRPr="0062183F">
        <w:rPr>
          <w:b w:val="0"/>
        </w:rPr>
        <w:t>obsłudze rynku nieruchomośc</w:t>
      </w:r>
      <w:r w:rsidR="0034626A">
        <w:rPr>
          <w:b w:val="0"/>
        </w:rPr>
        <w:t>i (z 8,6% do 0,2%),</w:t>
      </w:r>
      <w:r w:rsidR="00853F23">
        <w:rPr>
          <w:b w:val="0"/>
        </w:rPr>
        <w:t xml:space="preserve"> </w:t>
      </w:r>
      <w:r w:rsidR="0009551C">
        <w:rPr>
          <w:b w:val="0"/>
        </w:rPr>
        <w:t xml:space="preserve">budownictwie (z 5,6% do 3,5%), </w:t>
      </w:r>
      <w:r w:rsidR="0009551C" w:rsidRPr="0062183F">
        <w:rPr>
          <w:b w:val="0"/>
        </w:rPr>
        <w:t>dostawie wody; gospodarowaniu ściekami</w:t>
      </w:r>
      <w:r w:rsidR="0009551C">
        <w:rPr>
          <w:b w:val="0"/>
        </w:rPr>
        <w:t xml:space="preserve"> i odpadami; rekultywacji (z 8,6% do 7,7</w:t>
      </w:r>
      <w:r w:rsidR="0009551C" w:rsidRPr="0062183F">
        <w:rPr>
          <w:b w:val="0"/>
        </w:rPr>
        <w:t>%)</w:t>
      </w:r>
      <w:r w:rsidR="00215766">
        <w:rPr>
          <w:b w:val="0"/>
        </w:rPr>
        <w:t>,</w:t>
      </w:r>
      <w:r w:rsidR="0009551C" w:rsidRPr="0062183F">
        <w:rPr>
          <w:b w:val="0"/>
        </w:rPr>
        <w:t xml:space="preserve"> </w:t>
      </w:r>
      <w:r w:rsidR="0009551C">
        <w:rPr>
          <w:b w:val="0"/>
        </w:rPr>
        <w:t xml:space="preserve">wytwarzaniu i </w:t>
      </w:r>
      <w:r w:rsidR="0009551C" w:rsidRPr="0009551C">
        <w:rPr>
          <w:b w:val="0"/>
        </w:rPr>
        <w:t>zaopatrywaniu w energię elektryczną, gaz,</w:t>
      </w:r>
      <w:r w:rsidR="0009551C">
        <w:rPr>
          <w:b w:val="0"/>
        </w:rPr>
        <w:t xml:space="preserve"> parę wodną i gorącą wodę (z 7</w:t>
      </w:r>
      <w:r w:rsidR="005479FE">
        <w:rPr>
          <w:b w:val="0"/>
        </w:rPr>
        <w:t>,</w:t>
      </w:r>
      <w:r w:rsidR="0009551C">
        <w:rPr>
          <w:b w:val="0"/>
        </w:rPr>
        <w:t>0% do 6,4</w:t>
      </w:r>
      <w:r w:rsidR="0009551C" w:rsidRPr="0009551C">
        <w:rPr>
          <w:b w:val="0"/>
        </w:rPr>
        <w:t>%)</w:t>
      </w:r>
      <w:r w:rsidR="00215766">
        <w:rPr>
          <w:b w:val="0"/>
        </w:rPr>
        <w:t xml:space="preserve"> oraz w </w:t>
      </w:r>
      <w:r w:rsidR="00215766" w:rsidRPr="00215766">
        <w:rPr>
          <w:b w:val="0"/>
        </w:rPr>
        <w:t>przetwórstwi</w:t>
      </w:r>
      <w:r w:rsidR="00215766">
        <w:rPr>
          <w:b w:val="0"/>
        </w:rPr>
        <w:t>e przemysłowym (z 5,9% do 5,4%)</w:t>
      </w:r>
      <w:r w:rsidR="0009551C">
        <w:rPr>
          <w:b w:val="0"/>
        </w:rPr>
        <w:t>.</w:t>
      </w:r>
    </w:p>
    <w:p w14:paraId="7DF9C437" w14:textId="7BCE5509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0C6B65">
        <w:rPr>
          <w:b w:val="0"/>
        </w:rPr>
        <w:t>sł 42,7</w:t>
      </w:r>
      <w:r w:rsidR="00E23D97">
        <w:rPr>
          <w:b w:val="0"/>
        </w:rPr>
        <w:t>% (wobec 43</w:t>
      </w:r>
      <w:r w:rsidR="000C6B65">
        <w:rPr>
          <w:b w:val="0"/>
        </w:rPr>
        <w:t>,0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0C6B65">
        <w:rPr>
          <w:b w:val="0"/>
        </w:rPr>
        <w:t>ia 108,0% (wobec 104</w:t>
      </w:r>
      <w:r w:rsidR="00E23D97">
        <w:rPr>
          <w:b w:val="0"/>
        </w:rPr>
        <w:t>,4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0C6B65">
        <w:rPr>
          <w:b w:val="0"/>
        </w:rPr>
        <w:t>topnia powyżej 20% uzyskało 55,1</w:t>
      </w:r>
      <w:r>
        <w:rPr>
          <w:b w:val="0"/>
        </w:rPr>
        <w:t>% bada</w:t>
      </w:r>
      <w:r w:rsidR="000C6B65">
        <w:rPr>
          <w:b w:val="0"/>
        </w:rPr>
        <w:t>nych przedsiębiorstw (wobec 60,7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>rokiem). Wskaźnik płynności II stopnia w przedziale</w:t>
      </w:r>
      <w:r>
        <w:rPr>
          <w:b w:val="0"/>
        </w:rPr>
        <w:t xml:space="preserve"> od 100% do 130% odnotowało 12,5% badanych </w:t>
      </w:r>
      <w:r w:rsidRPr="006A4389">
        <w:rPr>
          <w:b w:val="0"/>
        </w:rPr>
        <w:t>przedsiębiorstw (wob</w:t>
      </w:r>
      <w:r w:rsidR="00E23D97">
        <w:rPr>
          <w:b w:val="0"/>
        </w:rPr>
        <w:t>ec</w:t>
      </w:r>
      <w:r w:rsidR="000C6B65">
        <w:rPr>
          <w:b w:val="0"/>
        </w:rPr>
        <w:t xml:space="preserve"> 12,4</w:t>
      </w:r>
      <w:r w:rsidRPr="006A4389">
        <w:rPr>
          <w:b w:val="0"/>
        </w:rPr>
        <w:t>% przed rokiem).</w:t>
      </w:r>
    </w:p>
    <w:p w14:paraId="6927858E" w14:textId="1859B03D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43CAD114" w:rsidR="00BA1968" w:rsidRDefault="00AE3D6B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3952" behindDoc="0" locked="0" layoutInCell="1" allowOverlap="1" wp14:anchorId="11689BE9" wp14:editId="6E1A3B2A">
            <wp:simplePos x="0" y="0"/>
            <wp:positionH relativeFrom="margin">
              <wp:align>left</wp:align>
            </wp:positionH>
            <wp:positionV relativeFrom="paragraph">
              <wp:posOffset>50635</wp:posOffset>
            </wp:positionV>
            <wp:extent cx="5084445" cy="3450590"/>
            <wp:effectExtent l="0" t="0" r="1905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36F5853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3C6729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17A18A0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0AFDA3C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40F22DE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F392FB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6A069D3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57A89B6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22BEE06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51BC68E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72E4ABB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37B870C4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6765E381" w:rsidR="00BA1968" w:rsidRDefault="00BA1968" w:rsidP="00BA1968">
      <w:pPr>
        <w:pStyle w:val="LID"/>
        <w:contextualSpacing/>
      </w:pPr>
    </w:p>
    <w:p w14:paraId="4537C37E" w14:textId="47FCA36B" w:rsidR="00C178DB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>
        <w:rPr>
          <w:b w:val="0"/>
        </w:rPr>
        <w:t>zużycia materiałów</w:t>
      </w:r>
      <w:r w:rsidRPr="00A9459D">
        <w:rPr>
          <w:b w:val="0"/>
        </w:rPr>
        <w:t xml:space="preserve"> (</w:t>
      </w:r>
      <w:r w:rsidR="00C178DB">
        <w:rPr>
          <w:b w:val="0"/>
        </w:rPr>
        <w:t>o 4,9 p. proc.), zużycia energii (o 0,6 p. proc.) oraz pozostałych kosztów rodzajowych (o 0,2 p. proc.).</w:t>
      </w:r>
    </w:p>
    <w:p w14:paraId="6618CA94" w14:textId="7D300E05" w:rsidR="00BA1968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>Zmniejszył się udział wynagrodzeń (</w:t>
      </w:r>
      <w:r w:rsidR="00C178DB">
        <w:rPr>
          <w:b w:val="0"/>
        </w:rPr>
        <w:t>o 2,1</w:t>
      </w:r>
      <w:r w:rsidRPr="00A9459D">
        <w:rPr>
          <w:b w:val="0"/>
        </w:rPr>
        <w:t xml:space="preserve"> p. proc.),</w:t>
      </w:r>
      <w:r w:rsidR="00AB1529">
        <w:rPr>
          <w:b w:val="0"/>
        </w:rPr>
        <w:t xml:space="preserve"> </w:t>
      </w:r>
      <w:r>
        <w:rPr>
          <w:b w:val="0"/>
        </w:rPr>
        <w:t>us</w:t>
      </w:r>
      <w:r w:rsidR="00C178DB">
        <w:rPr>
          <w:b w:val="0"/>
        </w:rPr>
        <w:t>ług obcych (o 1</w:t>
      </w:r>
      <w:r w:rsidR="004B5C2A">
        <w:rPr>
          <w:b w:val="0"/>
        </w:rPr>
        <w:t>,6 p. proc.),</w:t>
      </w:r>
      <w:r w:rsidR="00C178DB">
        <w:rPr>
          <w:b w:val="0"/>
        </w:rPr>
        <w:t xml:space="preserve"> amortyzacji (o 1,1 p. proc.),</w:t>
      </w:r>
      <w:r>
        <w:rPr>
          <w:b w:val="0"/>
        </w:rPr>
        <w:t xml:space="preserve"> </w:t>
      </w:r>
      <w:r w:rsidRPr="00A9459D">
        <w:rPr>
          <w:b w:val="0"/>
        </w:rPr>
        <w:t>ubezpieczeń s</w:t>
      </w:r>
      <w:r>
        <w:rPr>
          <w:b w:val="0"/>
        </w:rPr>
        <w:t>połe</w:t>
      </w:r>
      <w:r w:rsidR="00C178DB">
        <w:rPr>
          <w:b w:val="0"/>
        </w:rPr>
        <w:t>cznych i innych świadczeń (o 0,5</w:t>
      </w:r>
      <w:r w:rsidRPr="00A9459D">
        <w:rPr>
          <w:b w:val="0"/>
        </w:rPr>
        <w:t xml:space="preserve"> p. proc.)</w:t>
      </w:r>
      <w:r w:rsidR="00C178DB">
        <w:rPr>
          <w:b w:val="0"/>
        </w:rPr>
        <w:t xml:space="preserve"> oraz podatków i opłat (o 0,4</w:t>
      </w:r>
      <w:r w:rsidR="004B5C2A">
        <w:rPr>
          <w:b w:val="0"/>
        </w:rPr>
        <w:t xml:space="preserve"> p. proc.). </w:t>
      </w:r>
    </w:p>
    <w:p w14:paraId="602073DE" w14:textId="3BE08C9A" w:rsidR="00BA1968" w:rsidRDefault="00BA1968" w:rsidP="00BA1968">
      <w:pPr>
        <w:pStyle w:val="LID"/>
        <w:contextualSpacing/>
      </w:pPr>
    </w:p>
    <w:p w14:paraId="5809FF43" w14:textId="40415E52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583FD0">
        <w:t xml:space="preserve"> 1</w:t>
      </w:r>
      <w:r w:rsidR="008A7C8C">
        <w:t xml:space="preserve"> kwartale 2022</w:t>
      </w:r>
      <w:r w:rsidRPr="00553C9F">
        <w:t xml:space="preserve"> roku</w:t>
      </w:r>
    </w:p>
    <w:p w14:paraId="12929199" w14:textId="4BE2777B" w:rsidR="00BA1968" w:rsidRDefault="00616199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2928" behindDoc="0" locked="0" layoutInCell="1" allowOverlap="1" wp14:anchorId="1E00E370" wp14:editId="30C1619C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5090795" cy="335280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53094FE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4CA0EAD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17E9738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70F8D42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5D3893AD" w14:textId="77777777" w:rsidR="00BA1968" w:rsidRDefault="00BA1968" w:rsidP="00BA1968">
      <w:pPr>
        <w:pStyle w:val="LID"/>
        <w:rPr>
          <w:b w:val="0"/>
        </w:rPr>
      </w:pPr>
    </w:p>
    <w:p w14:paraId="275C52AA" w14:textId="4BAD5287" w:rsidR="00E40D45" w:rsidRPr="00EC42DC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0042EE92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7,6% w stosunku do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2E1947FC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792F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,3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83F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kwartału 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A320" id="_x0000_s1029" type="#_x0000_t202" alt="Odnotowano wzrost nakładów inwestycyjnych badanych przedsiębiorstw o 7,6% w stosunku do 2020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" filled="f" stroked="f">
                <v:textbox>
                  <w:txbxContent>
                    <w:p w14:paraId="308632EC" w14:textId="2E1947FC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792F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,3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83F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kwartału 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89016A">
        <w:rPr>
          <w:b w:val="0"/>
        </w:rPr>
        <w:t>52,0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583FD0">
        <w:rPr>
          <w:b w:val="0"/>
        </w:rPr>
        <w:t>1</w:t>
      </w:r>
      <w:r w:rsidR="004F7EE5">
        <w:rPr>
          <w:b w:val="0"/>
        </w:rPr>
        <w:t xml:space="preserve"> kwartale 2022</w:t>
      </w:r>
      <w:r w:rsidR="00E40D45" w:rsidRPr="008C358E">
        <w:rPr>
          <w:b w:val="0"/>
        </w:rPr>
        <w:t xml:space="preserve"> roku przychody netto ze sprzedaży produktów, towarów i m</w:t>
      </w:r>
      <w:r w:rsidR="0089016A">
        <w:rPr>
          <w:b w:val="0"/>
        </w:rPr>
        <w:t>ateriałów na eksport (wobec 52,2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6B7831">
        <w:rPr>
          <w:b w:val="0"/>
        </w:rPr>
        <w:t xml:space="preserve"> był o 25,9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6B7831">
        <w:rPr>
          <w:b w:val="0"/>
        </w:rPr>
        <w:t>w zmniejszył się z 26,3% do 25,3</w:t>
      </w:r>
      <w:r w:rsidR="00E40D45" w:rsidRPr="001B5354">
        <w:rPr>
          <w:b w:val="0"/>
        </w:rPr>
        <w:t xml:space="preserve">%. Spośród jednostek eksportujących, zysk netto wykazało </w:t>
      </w:r>
      <w:r w:rsidR="00E12882">
        <w:rPr>
          <w:b w:val="0"/>
        </w:rPr>
        <w:t>77,0</w:t>
      </w:r>
      <w:r w:rsidR="00E40D45">
        <w:rPr>
          <w:b w:val="0"/>
        </w:rPr>
        <w:t xml:space="preserve">% przedsiębiorstw wobec </w:t>
      </w:r>
      <w:r w:rsidR="00E12882">
        <w:rPr>
          <w:b w:val="0"/>
        </w:rPr>
        <w:t>76,4</w:t>
      </w:r>
      <w:r w:rsidR="00E40D45">
        <w:rPr>
          <w:b w:val="0"/>
        </w:rPr>
        <w:t xml:space="preserve">% przed rokiem. </w:t>
      </w:r>
      <w:r w:rsidR="00E40D45" w:rsidRPr="001B5354">
        <w:rPr>
          <w:b w:val="0"/>
        </w:rPr>
        <w:t>Podstawowe relacje ekonomiczno-finansowe eksporterów</w:t>
      </w:r>
      <w:r w:rsidR="00D55DD3">
        <w:rPr>
          <w:b w:val="0"/>
        </w:rPr>
        <w:t xml:space="preserve"> uległy pogorszeniu, ale</w:t>
      </w:r>
      <w:r w:rsidR="00E40D45">
        <w:rPr>
          <w:b w:val="0"/>
        </w:rPr>
        <w:t xml:space="preserve"> były</w:t>
      </w:r>
      <w:r w:rsidR="00E40D45" w:rsidRPr="001B5354">
        <w:rPr>
          <w:b w:val="0"/>
        </w:rPr>
        <w:t xml:space="preserve"> lepsze niż dla ogółu badanych przedsiębiorstw.</w:t>
      </w:r>
    </w:p>
    <w:p w14:paraId="1BDC0FD0" w14:textId="05095E8B" w:rsidR="00E40D45" w:rsidRPr="00DA67E5" w:rsidRDefault="00167C3B" w:rsidP="00AB4FBD">
      <w:pPr>
        <w:pStyle w:val="LID"/>
        <w:rPr>
          <w:b w:val="0"/>
          <w:highlight w:val="yellow"/>
        </w:rPr>
      </w:pPr>
      <w:r w:rsidRPr="00167C3B">
        <w:rPr>
          <w:b w:val="0"/>
        </w:rPr>
        <w:t xml:space="preserve">Nakłady inwestycyjne badanych przedsiębiorstw w 1 kwartale br. wyniosły 34,4 mld zł i były (w cenach stałych) o 1,3% wyższe niż przed rokiem (w 1 kwartale ub. roku odnotowano wzrost o 4,6%). Nakłady na budynki i budowle zwiększyły się o 1,4% (wobec spadku przed rokiem o 7,9%). Nakłady na zakupy wzrosły o 1,2%, w tym nakłady na środki transportu wzrosły o 5,4% (wobec wzrostu </w:t>
      </w:r>
      <w:r w:rsidR="00E2193F">
        <w:rPr>
          <w:b w:val="0"/>
        </w:rPr>
        <w:t xml:space="preserve">w ubiegłym roku </w:t>
      </w:r>
      <w:r w:rsidRPr="00167C3B">
        <w:rPr>
          <w:b w:val="0"/>
        </w:rPr>
        <w:t>o 30,6%), przy spadku nakładów na maszyny, urządzenia techniczne i narzędzia o 0,3% (wobec wzrostu przed rokiem o 8,0%).</w:t>
      </w:r>
    </w:p>
    <w:p w14:paraId="227CE102" w14:textId="4ED5A5E2" w:rsidR="00BA1968" w:rsidRDefault="00142C8A" w:rsidP="00AB4FBD">
      <w:pPr>
        <w:rPr>
          <w:rFonts w:eastAsia="Times New Roman" w:cs="Times New Roman"/>
          <w:b/>
          <w:szCs w:val="19"/>
          <w:lang w:eastAsia="pl-PL"/>
        </w:rPr>
      </w:pPr>
      <w:r w:rsidRPr="00142C8A">
        <w:t>Wzrost nakładów inwestycyjnych (w cenach bieżących) wystąpił m.in. w handlu; naprawie pojazdów samochodowych (o 33,1% wobec spadku przed rokiem o 0,2%), dostawie wody; gospodarowaniu ściekami i odpadami; rekultywacji (o 19,7% wobec spadku o 4,8% przed rokiem), przetwórstwie przemysłowym (o 17,6% wobec spadku o 10,0% przed rokiem), informacji i komunikacji (o 12,3% wobec wzrostu przed rokiem o 12,1%), administrowaniu i działalności wspierającej (o 10,4% wobec wzrostu o 37,0% przed rokiem), transporcie i gospodarce magazynowej (o 0,9% wobec wzrostu przed rokiem o 66,6%). Zmniejszyły się nakłady inwestycyjne m.in. w budownictwie (o 32,0% wobec wzrostu przed rokiem o 24,2%), działalności związanej z obsługą rynku nieruchomości (o 13,2% wobec wzrostu przed rokiem o 107,8%), wytwarzaniu i zaopatrywaniu w energię elektryczną, gaz, parę wodną i gorącą wodę (o 8,0% wobec spadku przed rokiem o 10,7%), górnictwie i wydobywaniu (o 1,0% wobec spadku przed rokiem o 12,2%).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553C9F">
        <w:t>Wykres 4. Dynamika nakładów inwestycyjnych – wzrost/spadek w stosunku do analogicznego okresu roku poprzedniego</w:t>
      </w:r>
    </w:p>
    <w:p w14:paraId="2BD0D7BA" w14:textId="0CA63759" w:rsidR="00BA1968" w:rsidRDefault="00D9217E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68AAC20" wp14:editId="310AF6AE">
            <wp:extent cx="5084445" cy="308483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3F1247EF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3A4407">
        <w:rPr>
          <w:rFonts w:eastAsia="Times New Roman" w:cs="Times New Roman"/>
          <w:szCs w:val="19"/>
          <w:lang w:eastAsia="pl-PL"/>
        </w:rPr>
        <w:t>jszym opracowaniu dotyczą 16 435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2FF83ED8" w:rsidR="00FD1E89" w:rsidRPr="00FA5E94" w:rsidRDefault="00B34D0E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760400CC" w:rsidR="00FD1E89" w:rsidRPr="00FA5E94" w:rsidRDefault="00B34D0E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493F005C" w:rsidR="00FD1E89" w:rsidRPr="00FA5E94" w:rsidRDefault="00B34D0E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B34D0E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B34D0E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B34D0E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B34D0E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B34D0E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B34D0E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B34D0E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B34D0E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B34D0E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B34D0E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B34D0E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B34D0E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28B1C" w14:textId="77777777" w:rsidR="00B34D0E" w:rsidRDefault="00B34D0E" w:rsidP="000662E2">
      <w:pPr>
        <w:spacing w:after="0" w:line="240" w:lineRule="auto"/>
      </w:pPr>
      <w:r>
        <w:separator/>
      </w:r>
    </w:p>
  </w:endnote>
  <w:endnote w:type="continuationSeparator" w:id="0">
    <w:p w14:paraId="65079314" w14:textId="77777777" w:rsidR="00B34D0E" w:rsidRDefault="00B34D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DD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DD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DD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0D1E4" w14:textId="77777777" w:rsidR="00B34D0E" w:rsidRDefault="00B34D0E" w:rsidP="000662E2">
      <w:pPr>
        <w:spacing w:after="0" w:line="240" w:lineRule="auto"/>
      </w:pPr>
      <w:r>
        <w:separator/>
      </w:r>
    </w:p>
  </w:footnote>
  <w:footnote w:type="continuationSeparator" w:id="0">
    <w:p w14:paraId="5B956987" w14:textId="77777777" w:rsidR="00B34D0E" w:rsidRDefault="00B34D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05C2B9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E59DDA" w:rsidR="00F37172" w:rsidRPr="00A01B40" w:rsidRDefault="007A3970" w:rsidP="00F049AB">
                          <w:pPr>
                            <w:pStyle w:val="Datainformacjisygnalnej"/>
                          </w:pPr>
                          <w:r>
                            <w:t>24.05</w:t>
                          </w:r>
                          <w:r w:rsidR="00523AD1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.05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NuSM04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32E59DDA" w:rsidR="00F37172" w:rsidRPr="00A01B40" w:rsidRDefault="007A3970" w:rsidP="00F049AB">
                    <w:pPr>
                      <w:pStyle w:val="Datainformacjisygnalnej"/>
                    </w:pPr>
                    <w:r>
                      <w:t>24.05</w:t>
                    </w:r>
                    <w:r w:rsidR="00523AD1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056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7EE1"/>
    <w:rsid w:val="000806F7"/>
    <w:rsid w:val="0009551C"/>
    <w:rsid w:val="00097840"/>
    <w:rsid w:val="000A7803"/>
    <w:rsid w:val="000B0727"/>
    <w:rsid w:val="000B1E93"/>
    <w:rsid w:val="000B2172"/>
    <w:rsid w:val="000C135D"/>
    <w:rsid w:val="000C6B65"/>
    <w:rsid w:val="000D1D43"/>
    <w:rsid w:val="000D225C"/>
    <w:rsid w:val="000D2A5C"/>
    <w:rsid w:val="000D39F0"/>
    <w:rsid w:val="000E0918"/>
    <w:rsid w:val="000E70A9"/>
    <w:rsid w:val="000E79A9"/>
    <w:rsid w:val="001011C3"/>
    <w:rsid w:val="00103124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621"/>
    <w:rsid w:val="00146D29"/>
    <w:rsid w:val="00157C39"/>
    <w:rsid w:val="001617E3"/>
    <w:rsid w:val="00162325"/>
    <w:rsid w:val="001624A7"/>
    <w:rsid w:val="001628E4"/>
    <w:rsid w:val="0016538E"/>
    <w:rsid w:val="00167C3B"/>
    <w:rsid w:val="001951DA"/>
    <w:rsid w:val="001A4114"/>
    <w:rsid w:val="001A6107"/>
    <w:rsid w:val="001B053D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E5B2D"/>
    <w:rsid w:val="001F10BB"/>
    <w:rsid w:val="0020041B"/>
    <w:rsid w:val="0020156C"/>
    <w:rsid w:val="00215766"/>
    <w:rsid w:val="00216634"/>
    <w:rsid w:val="00233E64"/>
    <w:rsid w:val="00242D31"/>
    <w:rsid w:val="0025481E"/>
    <w:rsid w:val="002574F9"/>
    <w:rsid w:val="00262B61"/>
    <w:rsid w:val="00262CC6"/>
    <w:rsid w:val="00263E08"/>
    <w:rsid w:val="00263FCE"/>
    <w:rsid w:val="00273D09"/>
    <w:rsid w:val="00276811"/>
    <w:rsid w:val="00282699"/>
    <w:rsid w:val="002926DF"/>
    <w:rsid w:val="00296697"/>
    <w:rsid w:val="002B0472"/>
    <w:rsid w:val="002B04F2"/>
    <w:rsid w:val="002B2537"/>
    <w:rsid w:val="002B6B12"/>
    <w:rsid w:val="002C21F0"/>
    <w:rsid w:val="002D01DF"/>
    <w:rsid w:val="002D425F"/>
    <w:rsid w:val="002E2B73"/>
    <w:rsid w:val="002E3EB3"/>
    <w:rsid w:val="002E6140"/>
    <w:rsid w:val="002E6985"/>
    <w:rsid w:val="002E71B6"/>
    <w:rsid w:val="002F2FCD"/>
    <w:rsid w:val="002F35F6"/>
    <w:rsid w:val="002F77C8"/>
    <w:rsid w:val="003035F1"/>
    <w:rsid w:val="00304F22"/>
    <w:rsid w:val="00306C7C"/>
    <w:rsid w:val="00314F86"/>
    <w:rsid w:val="00317F4D"/>
    <w:rsid w:val="00322EDD"/>
    <w:rsid w:val="003309FA"/>
    <w:rsid w:val="00332320"/>
    <w:rsid w:val="003325FE"/>
    <w:rsid w:val="00332AA3"/>
    <w:rsid w:val="0034626A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2411"/>
    <w:rsid w:val="00373882"/>
    <w:rsid w:val="003843DB"/>
    <w:rsid w:val="00393761"/>
    <w:rsid w:val="00394E26"/>
    <w:rsid w:val="00396691"/>
    <w:rsid w:val="00396698"/>
    <w:rsid w:val="00397D18"/>
    <w:rsid w:val="003A1B36"/>
    <w:rsid w:val="003A4407"/>
    <w:rsid w:val="003A719E"/>
    <w:rsid w:val="003B08A6"/>
    <w:rsid w:val="003B099C"/>
    <w:rsid w:val="003B1454"/>
    <w:rsid w:val="003B18B6"/>
    <w:rsid w:val="003C161B"/>
    <w:rsid w:val="003C59E0"/>
    <w:rsid w:val="003C655D"/>
    <w:rsid w:val="003C6C8D"/>
    <w:rsid w:val="003D0D30"/>
    <w:rsid w:val="003D2656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993"/>
    <w:rsid w:val="003F7FE6"/>
    <w:rsid w:val="00400193"/>
    <w:rsid w:val="00403044"/>
    <w:rsid w:val="00413738"/>
    <w:rsid w:val="00416EAF"/>
    <w:rsid w:val="004212E7"/>
    <w:rsid w:val="00423C88"/>
    <w:rsid w:val="0042446D"/>
    <w:rsid w:val="00427BF8"/>
    <w:rsid w:val="00431C02"/>
    <w:rsid w:val="0043254E"/>
    <w:rsid w:val="00436653"/>
    <w:rsid w:val="00437395"/>
    <w:rsid w:val="00445047"/>
    <w:rsid w:val="00446749"/>
    <w:rsid w:val="00451EF6"/>
    <w:rsid w:val="00453EB7"/>
    <w:rsid w:val="00463E39"/>
    <w:rsid w:val="0046425B"/>
    <w:rsid w:val="004657FC"/>
    <w:rsid w:val="00466E22"/>
    <w:rsid w:val="004733F6"/>
    <w:rsid w:val="00474E69"/>
    <w:rsid w:val="00483E9F"/>
    <w:rsid w:val="00485A2C"/>
    <w:rsid w:val="0049621B"/>
    <w:rsid w:val="004A1D19"/>
    <w:rsid w:val="004B5C2A"/>
    <w:rsid w:val="004B62A1"/>
    <w:rsid w:val="004C1895"/>
    <w:rsid w:val="004C4F63"/>
    <w:rsid w:val="004C6D4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203F1"/>
    <w:rsid w:val="00521BC3"/>
    <w:rsid w:val="00523AD1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C2C"/>
    <w:rsid w:val="005654AA"/>
    <w:rsid w:val="005762A7"/>
    <w:rsid w:val="0057774C"/>
    <w:rsid w:val="00583FD0"/>
    <w:rsid w:val="00587B47"/>
    <w:rsid w:val="00587CEE"/>
    <w:rsid w:val="005916D7"/>
    <w:rsid w:val="0059427F"/>
    <w:rsid w:val="005A698C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B1A"/>
    <w:rsid w:val="005F45EE"/>
    <w:rsid w:val="005F5A80"/>
    <w:rsid w:val="00600561"/>
    <w:rsid w:val="006044FF"/>
    <w:rsid w:val="00604F2C"/>
    <w:rsid w:val="00607CC5"/>
    <w:rsid w:val="0061179B"/>
    <w:rsid w:val="006125F9"/>
    <w:rsid w:val="00616199"/>
    <w:rsid w:val="00633014"/>
    <w:rsid w:val="0063437B"/>
    <w:rsid w:val="0064017E"/>
    <w:rsid w:val="006443F0"/>
    <w:rsid w:val="00647330"/>
    <w:rsid w:val="00654BB6"/>
    <w:rsid w:val="00663A20"/>
    <w:rsid w:val="0066421C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B7831"/>
    <w:rsid w:val="006D1507"/>
    <w:rsid w:val="006D3C5B"/>
    <w:rsid w:val="006D4054"/>
    <w:rsid w:val="006E02EC"/>
    <w:rsid w:val="006E0442"/>
    <w:rsid w:val="006E3AF2"/>
    <w:rsid w:val="006E3C4F"/>
    <w:rsid w:val="006E6F41"/>
    <w:rsid w:val="006E73E6"/>
    <w:rsid w:val="006F0BE9"/>
    <w:rsid w:val="007211B1"/>
    <w:rsid w:val="00722D35"/>
    <w:rsid w:val="007277DA"/>
    <w:rsid w:val="00730B7A"/>
    <w:rsid w:val="00731D27"/>
    <w:rsid w:val="0074565A"/>
    <w:rsid w:val="00746187"/>
    <w:rsid w:val="00752289"/>
    <w:rsid w:val="00754A09"/>
    <w:rsid w:val="0076254F"/>
    <w:rsid w:val="00773B3B"/>
    <w:rsid w:val="0077583C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B03"/>
    <w:rsid w:val="007E7211"/>
    <w:rsid w:val="007F324B"/>
    <w:rsid w:val="007F7A8F"/>
    <w:rsid w:val="0080553C"/>
    <w:rsid w:val="00805B46"/>
    <w:rsid w:val="00805DB4"/>
    <w:rsid w:val="00820E10"/>
    <w:rsid w:val="008223FC"/>
    <w:rsid w:val="00823593"/>
    <w:rsid w:val="00825DC2"/>
    <w:rsid w:val="00827374"/>
    <w:rsid w:val="00834AD3"/>
    <w:rsid w:val="00843795"/>
    <w:rsid w:val="00846E02"/>
    <w:rsid w:val="00846E71"/>
    <w:rsid w:val="00847F0F"/>
    <w:rsid w:val="00852448"/>
    <w:rsid w:val="00853F23"/>
    <w:rsid w:val="00867F32"/>
    <w:rsid w:val="00877F6C"/>
    <w:rsid w:val="008821B2"/>
    <w:rsid w:val="0088258A"/>
    <w:rsid w:val="00886332"/>
    <w:rsid w:val="0089016A"/>
    <w:rsid w:val="008925F0"/>
    <w:rsid w:val="0089448A"/>
    <w:rsid w:val="00894961"/>
    <w:rsid w:val="0089543A"/>
    <w:rsid w:val="00897877"/>
    <w:rsid w:val="008A26D9"/>
    <w:rsid w:val="008A7B5B"/>
    <w:rsid w:val="008A7C8C"/>
    <w:rsid w:val="008A7F75"/>
    <w:rsid w:val="008B0E9B"/>
    <w:rsid w:val="008B12D2"/>
    <w:rsid w:val="008C0C29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45CF"/>
    <w:rsid w:val="00920AAE"/>
    <w:rsid w:val="009227A6"/>
    <w:rsid w:val="00923B3A"/>
    <w:rsid w:val="0093019B"/>
    <w:rsid w:val="00933EC1"/>
    <w:rsid w:val="009446A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1BAC"/>
    <w:rsid w:val="0099757D"/>
    <w:rsid w:val="009A63AF"/>
    <w:rsid w:val="009A6EA0"/>
    <w:rsid w:val="009C1335"/>
    <w:rsid w:val="009C1AB2"/>
    <w:rsid w:val="009C58FF"/>
    <w:rsid w:val="009C5FD8"/>
    <w:rsid w:val="009C61B6"/>
    <w:rsid w:val="009C7251"/>
    <w:rsid w:val="009D05F6"/>
    <w:rsid w:val="009E2E91"/>
    <w:rsid w:val="009E4D7B"/>
    <w:rsid w:val="00A01B40"/>
    <w:rsid w:val="00A139F5"/>
    <w:rsid w:val="00A20B1F"/>
    <w:rsid w:val="00A22B05"/>
    <w:rsid w:val="00A32E16"/>
    <w:rsid w:val="00A365F4"/>
    <w:rsid w:val="00A47D80"/>
    <w:rsid w:val="00A53132"/>
    <w:rsid w:val="00A563F2"/>
    <w:rsid w:val="00A566E8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38D5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21A9"/>
    <w:rsid w:val="00AE229B"/>
    <w:rsid w:val="00AE2D4B"/>
    <w:rsid w:val="00AE3D6B"/>
    <w:rsid w:val="00AE4F99"/>
    <w:rsid w:val="00B10993"/>
    <w:rsid w:val="00B11B69"/>
    <w:rsid w:val="00B14952"/>
    <w:rsid w:val="00B16871"/>
    <w:rsid w:val="00B2368A"/>
    <w:rsid w:val="00B25B45"/>
    <w:rsid w:val="00B31E5A"/>
    <w:rsid w:val="00B32F30"/>
    <w:rsid w:val="00B34D0E"/>
    <w:rsid w:val="00B47359"/>
    <w:rsid w:val="00B54A91"/>
    <w:rsid w:val="00B653AB"/>
    <w:rsid w:val="00B65F9E"/>
    <w:rsid w:val="00B66B19"/>
    <w:rsid w:val="00B67BFF"/>
    <w:rsid w:val="00B67C6F"/>
    <w:rsid w:val="00B7386E"/>
    <w:rsid w:val="00B81EC1"/>
    <w:rsid w:val="00B84C43"/>
    <w:rsid w:val="00B8626A"/>
    <w:rsid w:val="00B914E9"/>
    <w:rsid w:val="00B92903"/>
    <w:rsid w:val="00B956EE"/>
    <w:rsid w:val="00B97589"/>
    <w:rsid w:val="00BA1968"/>
    <w:rsid w:val="00BA2BA1"/>
    <w:rsid w:val="00BA3447"/>
    <w:rsid w:val="00BA3562"/>
    <w:rsid w:val="00BA372C"/>
    <w:rsid w:val="00BB4F09"/>
    <w:rsid w:val="00BB54B5"/>
    <w:rsid w:val="00BC2717"/>
    <w:rsid w:val="00BD4E33"/>
    <w:rsid w:val="00C030DE"/>
    <w:rsid w:val="00C051A8"/>
    <w:rsid w:val="00C178DB"/>
    <w:rsid w:val="00C22105"/>
    <w:rsid w:val="00C22A86"/>
    <w:rsid w:val="00C244B6"/>
    <w:rsid w:val="00C2587F"/>
    <w:rsid w:val="00C27BF1"/>
    <w:rsid w:val="00C33EE9"/>
    <w:rsid w:val="00C3702F"/>
    <w:rsid w:val="00C37793"/>
    <w:rsid w:val="00C4500A"/>
    <w:rsid w:val="00C52613"/>
    <w:rsid w:val="00C54145"/>
    <w:rsid w:val="00C62238"/>
    <w:rsid w:val="00C64A37"/>
    <w:rsid w:val="00C7158E"/>
    <w:rsid w:val="00C7250B"/>
    <w:rsid w:val="00C7346B"/>
    <w:rsid w:val="00C77C0E"/>
    <w:rsid w:val="00C86901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51D"/>
    <w:rsid w:val="00CC739E"/>
    <w:rsid w:val="00CD1EBB"/>
    <w:rsid w:val="00CD28CF"/>
    <w:rsid w:val="00CD58B7"/>
    <w:rsid w:val="00CD7967"/>
    <w:rsid w:val="00CE101E"/>
    <w:rsid w:val="00CF18EE"/>
    <w:rsid w:val="00CF30BD"/>
    <w:rsid w:val="00CF4099"/>
    <w:rsid w:val="00D00796"/>
    <w:rsid w:val="00D01848"/>
    <w:rsid w:val="00D0375A"/>
    <w:rsid w:val="00D10A04"/>
    <w:rsid w:val="00D15B67"/>
    <w:rsid w:val="00D2095E"/>
    <w:rsid w:val="00D261A2"/>
    <w:rsid w:val="00D308F3"/>
    <w:rsid w:val="00D35DA0"/>
    <w:rsid w:val="00D55DD3"/>
    <w:rsid w:val="00D616D2"/>
    <w:rsid w:val="00D63B5F"/>
    <w:rsid w:val="00D64926"/>
    <w:rsid w:val="00D70EF7"/>
    <w:rsid w:val="00D733C8"/>
    <w:rsid w:val="00D77E00"/>
    <w:rsid w:val="00D8397C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6708"/>
    <w:rsid w:val="00DD011A"/>
    <w:rsid w:val="00DE2400"/>
    <w:rsid w:val="00DE458B"/>
    <w:rsid w:val="00DE58F1"/>
    <w:rsid w:val="00DE6B58"/>
    <w:rsid w:val="00DF5E32"/>
    <w:rsid w:val="00E00B3B"/>
    <w:rsid w:val="00E01436"/>
    <w:rsid w:val="00E03E79"/>
    <w:rsid w:val="00E045BD"/>
    <w:rsid w:val="00E04D6C"/>
    <w:rsid w:val="00E06F14"/>
    <w:rsid w:val="00E11D57"/>
    <w:rsid w:val="00E12882"/>
    <w:rsid w:val="00E17B77"/>
    <w:rsid w:val="00E20FA8"/>
    <w:rsid w:val="00E2193F"/>
    <w:rsid w:val="00E231AB"/>
    <w:rsid w:val="00E23337"/>
    <w:rsid w:val="00E23D97"/>
    <w:rsid w:val="00E259EA"/>
    <w:rsid w:val="00E25D33"/>
    <w:rsid w:val="00E26E99"/>
    <w:rsid w:val="00E32061"/>
    <w:rsid w:val="00E33F48"/>
    <w:rsid w:val="00E355ED"/>
    <w:rsid w:val="00E40D45"/>
    <w:rsid w:val="00E42FF9"/>
    <w:rsid w:val="00E44790"/>
    <w:rsid w:val="00E45817"/>
    <w:rsid w:val="00E4714C"/>
    <w:rsid w:val="00E5178D"/>
    <w:rsid w:val="00E51AEB"/>
    <w:rsid w:val="00E522A7"/>
    <w:rsid w:val="00E5349E"/>
    <w:rsid w:val="00E54452"/>
    <w:rsid w:val="00E63B0C"/>
    <w:rsid w:val="00E6400D"/>
    <w:rsid w:val="00E664C5"/>
    <w:rsid w:val="00E671A2"/>
    <w:rsid w:val="00E76D26"/>
    <w:rsid w:val="00E76EE5"/>
    <w:rsid w:val="00E8733E"/>
    <w:rsid w:val="00E87AAD"/>
    <w:rsid w:val="00E95036"/>
    <w:rsid w:val="00E95B8E"/>
    <w:rsid w:val="00EA59ED"/>
    <w:rsid w:val="00EA6761"/>
    <w:rsid w:val="00EB11D0"/>
    <w:rsid w:val="00EB1390"/>
    <w:rsid w:val="00EB2C71"/>
    <w:rsid w:val="00EB3333"/>
    <w:rsid w:val="00EB4340"/>
    <w:rsid w:val="00EB556D"/>
    <w:rsid w:val="00EB5A7D"/>
    <w:rsid w:val="00EB73BC"/>
    <w:rsid w:val="00ED55C0"/>
    <w:rsid w:val="00ED682B"/>
    <w:rsid w:val="00EE41D5"/>
    <w:rsid w:val="00EE481C"/>
    <w:rsid w:val="00EF1FDB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87591"/>
    <w:rsid w:val="00F93103"/>
    <w:rsid w:val="00FA5128"/>
    <w:rsid w:val="00FA5E94"/>
    <w:rsid w:val="00FA6A83"/>
    <w:rsid w:val="00FB42D4"/>
    <w:rsid w:val="00FB5906"/>
    <w:rsid w:val="00FB762F"/>
    <w:rsid w:val="00FC2AED"/>
    <w:rsid w:val="00FC6DA3"/>
    <w:rsid w:val="00FD08AE"/>
    <w:rsid w:val="00FD1E89"/>
    <w:rsid w:val="00FD5EA7"/>
    <w:rsid w:val="00FE36CF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pierwszym-kwartale-2022-r-,1,119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2021-roku,12,46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32022,4,124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sygnalna-fin.p_01-03 2022.docx.docx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91637-173B-4D60-AC15-B392A7E9204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44A81D5-161A-4B5D-84DF-A729F8FE4F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1784</Words>
  <Characters>10709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Główny Urząd Statystyczny</dc:creator>
  <cp:keywords>przedsiębiorstwa niefinansowe; nakłady inwestycyjne; wyniki finansowe przedsiębiorstw niefinansowych; przychody przedsiębiorstw niefinansowych; koszty przedsiębiorstw niefinansowych; koszty rodzajowe przedsiębiorstw niefinansowych; wskaźniki rentowności przedsiębiorstw niefinansowych; wskaźniki płynności finansowej przedsiębiorstw niefinansowych; przychody ze sprzedaży na eksport przedsiębiorstw niefinansowychD</cp:keywords>
  <dc:description/>
  <cp:lastModifiedBy>Pasiak Karol</cp:lastModifiedBy>
  <cp:revision>86</cp:revision>
  <cp:lastPrinted>2019-02-21T09:45:00Z</cp:lastPrinted>
  <dcterms:created xsi:type="dcterms:W3CDTF">2022-03-21T10:42:00Z</dcterms:created>
  <dcterms:modified xsi:type="dcterms:W3CDTF">2022-06-23T12:40:00Z</dcterms:modified>
  <cp:category>Przedsiębiorstwa niefinansowe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