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F4571" w14:textId="0B034427" w:rsidR="00393761" w:rsidRPr="00001C5B" w:rsidRDefault="00CF3D9C" w:rsidP="00184C3A">
      <w:pPr>
        <w:pStyle w:val="tytuinformacji"/>
        <w:spacing w:after="600"/>
        <w:rPr>
          <w:sz w:val="32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891EE1">
        <w:rPr>
          <w:shd w:val="clear" w:color="auto" w:fill="FFFFFF"/>
        </w:rPr>
        <w:t>1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891EE1">
        <w:rPr>
          <w:shd w:val="clear" w:color="auto" w:fill="FFFFFF"/>
        </w:rPr>
        <w:t>2</w:t>
      </w:r>
      <w:r w:rsidR="00BF0C5F" w:rsidRPr="00BF0C5F">
        <w:rPr>
          <w:shd w:val="clear" w:color="auto" w:fill="FFFFFF"/>
        </w:rPr>
        <w:t xml:space="preserve"> r.</w:t>
      </w:r>
    </w:p>
    <w:p w14:paraId="24D34DC5" w14:textId="7FBD27E6" w:rsidR="00BD5E55" w:rsidRPr="00BD5E55" w:rsidRDefault="00CB1421" w:rsidP="007A6021">
      <w:pPr>
        <w:pStyle w:val="LID"/>
        <w:rPr>
          <w:b w:val="0"/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14BA17B" wp14:editId="0C267F67">
                <wp:simplePos x="0" y="0"/>
                <wp:positionH relativeFrom="margin">
                  <wp:posOffset>0</wp:posOffset>
                </wp:positionH>
                <wp:positionV relativeFrom="paragraph">
                  <wp:posOffset>73229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13.6%&#10;Wzrost cen lokali mieszkalnych w porównaniu z 1 kwartał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3957" w14:textId="1FB04DC8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bookmarkStart w:id="0" w:name="_GoBack"/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891EE1">
                              <w:rPr>
                                <w:rStyle w:val="WartowskanikaZnak"/>
                              </w:rPr>
                              <w:t>13,6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4308064" w14:textId="28BA4A28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w porównaniu z </w:t>
                            </w:r>
                            <w:r w:rsidR="00891EE1">
                              <w:t>1</w:t>
                            </w:r>
                            <w:r w:rsidRPr="00AE12EF">
                              <w:t xml:space="preserve"> kwartałem 202</w:t>
                            </w:r>
                            <w:r w:rsidR="00891EE1">
                              <w:t>1</w:t>
                            </w:r>
                            <w:r w:rsidRPr="00AE12EF">
                              <w:t xml:space="preserve"> r.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BA17B" id="Pole tekstowe 2" o:spid="_x0000_s1026" alt="Wartość wskaźnika 13.6%&#10;Wzrost cen lokali mieszkalnych w porównaniu z 1 kwartałem 2021 r." style="position:absolute;margin-left:0;margin-top:5.75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" fillcolor="#001d77" stroked="f">
                <v:stroke joinstyle="miter"/>
                <v:textbox>
                  <w:txbxContent>
                    <w:p w14:paraId="21FC3957" w14:textId="1FB04DC8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bookmarkStart w:id="1" w:name="_GoBack"/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891EE1">
                        <w:rPr>
                          <w:rStyle w:val="WartowskanikaZnak"/>
                        </w:rPr>
                        <w:t>13,6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64308064" w14:textId="28BA4A28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w porównaniu z </w:t>
                      </w:r>
                      <w:r w:rsidR="00891EE1">
                        <w:t>1</w:t>
                      </w:r>
                      <w:r w:rsidRPr="00AE12EF">
                        <w:t xml:space="preserve"> kwartałem 202</w:t>
                      </w:r>
                      <w:r w:rsidR="00891EE1">
                        <w:t>1</w:t>
                      </w:r>
                      <w:r w:rsidRPr="00AE12EF">
                        <w:t xml:space="preserve"> r.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891EE1">
        <w:t>1</w:t>
      </w:r>
      <w:r w:rsidR="006B220B">
        <w:t xml:space="preserve"> kwartale </w:t>
      </w:r>
      <w:r w:rsidR="00BC4844">
        <w:t>202</w:t>
      </w:r>
      <w:r w:rsidR="00891EE1">
        <w:t>2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3508C3">
        <w:t>3,</w:t>
      </w:r>
      <w:r w:rsidR="00891EE1">
        <w:t>3</w:t>
      </w:r>
      <w:r w:rsidR="008B15C2">
        <w:t xml:space="preserve">% w stosunku do </w:t>
      </w:r>
      <w:r w:rsidR="00891EE1">
        <w:t>4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935F55">
        <w:t>1</w:t>
      </w:r>
      <w:r w:rsidR="00EC1EE7">
        <w:t xml:space="preserve"> r. </w:t>
      </w:r>
      <w:r w:rsidR="008B15C2">
        <w:t xml:space="preserve"> </w:t>
      </w:r>
      <w:r w:rsidR="00F47FA5">
        <w:t>przy</w:t>
      </w:r>
      <w:r w:rsidR="00A5578E">
        <w:t> </w:t>
      </w:r>
      <w:r w:rsidR="00F47FA5">
        <w:t>jednakowym wzroście</w:t>
      </w:r>
      <w:r w:rsidR="00A5578E">
        <w:t xml:space="preserve"> cen </w:t>
      </w:r>
      <w:r w:rsidR="00891EE1">
        <w:t xml:space="preserve">zarówno </w:t>
      </w:r>
      <w:r w:rsidR="00EC1EE7">
        <w:t>na rynku pierwotnym</w:t>
      </w:r>
      <w:r w:rsidR="00891EE1">
        <w:t xml:space="preserve">, jak i </w:t>
      </w:r>
      <w:r w:rsidR="00EC1EE7">
        <w:t>na rynku wtórnym.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</w:t>
      </w:r>
      <w:r w:rsidR="00891EE1">
        <w:t>1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3508C3">
        <w:t>1</w:t>
      </w:r>
      <w:r w:rsidR="00891EE1">
        <w:t>3,6</w:t>
      </w:r>
      <w:r w:rsidR="00F140E4">
        <w:t>% (w</w:t>
      </w:r>
      <w:r w:rsidR="000361EC">
        <w:t xml:space="preserve"> tym na rynku pierwotnym – o </w:t>
      </w:r>
      <w:r w:rsidR="00442CBE">
        <w:t>1</w:t>
      </w:r>
      <w:r w:rsidR="00891EE1">
        <w:t>3,3</w:t>
      </w:r>
      <w:r w:rsidR="006B220B">
        <w:t xml:space="preserve">% i na rynku wtórnym </w:t>
      </w:r>
      <w:r w:rsidR="000361EC">
        <w:t xml:space="preserve">– o </w:t>
      </w:r>
      <w:r w:rsidR="003508C3">
        <w:t>1</w:t>
      </w:r>
      <w:r w:rsidR="00891EE1">
        <w:t>3,8</w:t>
      </w:r>
      <w:r w:rsidR="00F140E4">
        <w:t>%).</w:t>
      </w:r>
    </w:p>
    <w:p w14:paraId="595B33D7" w14:textId="1FCEEA77" w:rsidR="00CC7C9C" w:rsidRPr="007A6021" w:rsidRDefault="007068CE" w:rsidP="007A6021">
      <w:pPr>
        <w:pStyle w:val="Nagwek1"/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</w:pPr>
      <w:r w:rsidRPr="007A6021">
        <w:rPr>
          <w:rFonts w:ascii="Fira Sans" w:hAnsi="Fira Sans"/>
          <w:b/>
          <w:color w:val="auto"/>
          <w:szCs w:val="19"/>
        </w:rPr>
        <w:t xml:space="preserve">Tablica 1. 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Wskaźni</w:t>
      </w:r>
      <w:r w:rsidR="009C2EB1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ki cen lokali mieszkaln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ych w </w:t>
      </w:r>
      <w:r w:rsidR="00891EE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1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kwartale </w:t>
      </w:r>
      <w:r w:rsidR="00BC484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202</w:t>
      </w:r>
      <w:r w:rsidR="00891EE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 przedstawiająca wskaźniki cen lokali mieszkalnych według województw w 1 kwartale 2022 r. w stosunku do: 4 kw. 2021, 1 kw. 2021 oraz do 2015.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7143FF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69923BD9" w:rsidR="00BC4844" w:rsidRPr="007A6021" w:rsidRDefault="007A6021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62FE3E3" w14:textId="27FC4ADE" w:rsidR="00BC4844" w:rsidRPr="007A6021" w:rsidRDefault="00891EE1" w:rsidP="00184C3A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</w:tr>
      <w:tr w:rsidR="00BC4844" w:rsidRPr="00437A70" w14:paraId="53E39A7F" w14:textId="77777777" w:rsidTr="007143FF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2DEC789" w14:textId="77777777" w:rsidR="00BC4844" w:rsidRPr="007A6021" w:rsidRDefault="00BC4844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C0CDF07" w14:textId="754BBED6" w:rsidR="00BC4844" w:rsidRPr="007A6021" w:rsidRDefault="00891EE1" w:rsidP="00184C3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935F55" w:rsidRPr="007A6021"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1627107E" w14:textId="2E7D2656" w:rsidR="00BC4844" w:rsidRPr="007A6021" w:rsidRDefault="00891EE1" w:rsidP="00891EE1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73B07774" w14:textId="77777777" w:rsidR="00BC4844" w:rsidRPr="007A6021" w:rsidRDefault="00BC4844" w:rsidP="00184C3A">
            <w:pPr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891EE1" w:rsidRPr="0051704F" w14:paraId="3FE70845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4709F566" w:rsidR="00891EE1" w:rsidRPr="007A6021" w:rsidRDefault="00891EE1" w:rsidP="00891EE1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</w:tcPr>
          <w:p w14:paraId="7CEC36FD" w14:textId="3097D790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103,3</w:t>
            </w:r>
          </w:p>
        </w:tc>
        <w:tc>
          <w:tcPr>
            <w:tcW w:w="1654" w:type="dxa"/>
            <w:shd w:val="clear" w:color="auto" w:fill="auto"/>
          </w:tcPr>
          <w:p w14:paraId="0D069082" w14:textId="3929B964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113,6</w:t>
            </w:r>
          </w:p>
        </w:tc>
        <w:tc>
          <w:tcPr>
            <w:tcW w:w="1654" w:type="dxa"/>
            <w:shd w:val="clear" w:color="auto" w:fill="auto"/>
          </w:tcPr>
          <w:p w14:paraId="4FE283CC" w14:textId="48714EA7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160,3</w:t>
            </w:r>
          </w:p>
        </w:tc>
      </w:tr>
      <w:tr w:rsidR="00891EE1" w:rsidRPr="0051704F" w14:paraId="74EAB253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617A3C79" w:rsidR="00891EE1" w:rsidRPr="007A6021" w:rsidRDefault="00891EE1" w:rsidP="00891EE1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</w:tcPr>
          <w:p w14:paraId="1737A2E8" w14:textId="4FBA95E4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103,3</w:t>
            </w:r>
          </w:p>
        </w:tc>
        <w:tc>
          <w:tcPr>
            <w:tcW w:w="1654" w:type="dxa"/>
            <w:shd w:val="clear" w:color="auto" w:fill="auto"/>
          </w:tcPr>
          <w:p w14:paraId="4C7160BE" w14:textId="7B023AE7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113,3</w:t>
            </w:r>
          </w:p>
        </w:tc>
        <w:tc>
          <w:tcPr>
            <w:tcW w:w="1654" w:type="dxa"/>
            <w:shd w:val="clear" w:color="auto" w:fill="auto"/>
          </w:tcPr>
          <w:p w14:paraId="34993749" w14:textId="0924AC76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147,7</w:t>
            </w:r>
          </w:p>
        </w:tc>
      </w:tr>
      <w:tr w:rsidR="00891EE1" w:rsidRPr="0051704F" w14:paraId="1CFC42D5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11F381DD" w:rsidR="00891EE1" w:rsidRPr="007A6021" w:rsidRDefault="00891EE1" w:rsidP="00891EE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</w:tcPr>
          <w:p w14:paraId="17A55DE2" w14:textId="1C19A8EB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103,3</w:t>
            </w:r>
          </w:p>
        </w:tc>
        <w:tc>
          <w:tcPr>
            <w:tcW w:w="1654" w:type="dxa"/>
            <w:shd w:val="clear" w:color="auto" w:fill="auto"/>
          </w:tcPr>
          <w:p w14:paraId="3E0F62F8" w14:textId="4D69CB64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113,8</w:t>
            </w:r>
          </w:p>
        </w:tc>
        <w:tc>
          <w:tcPr>
            <w:tcW w:w="1654" w:type="dxa"/>
            <w:shd w:val="clear" w:color="auto" w:fill="auto"/>
          </w:tcPr>
          <w:p w14:paraId="6F54A2F3" w14:textId="6DF17A7A" w:rsidR="00891EE1" w:rsidRPr="007A6021" w:rsidRDefault="00891EE1" w:rsidP="00891EE1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8D8">
              <w:t>171,4</w:t>
            </w:r>
          </w:p>
        </w:tc>
      </w:tr>
    </w:tbl>
    <w:p w14:paraId="149CB747" w14:textId="234DDB84" w:rsidR="00C44EB3" w:rsidRPr="00184C3A" w:rsidRDefault="00E940FD" w:rsidP="00C72120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639F45BB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ków cen lokali mieszkalnych za 2022 r. rynkowi wtórnemu przypisuje się wagę 52,8%, a rynkowi pierwotnemu – 47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1A8AF7E2" w:rsidR="00F22BD7" w:rsidRPr="00074DD8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891EE1">
                              <w:t>2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</w:t>
                            </w:r>
                            <w:r w:rsidR="00891EE1">
                              <w:t>8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</w:t>
                            </w:r>
                            <w:r w:rsidR="00891EE1">
                              <w:t>7,2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DDF4F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2 r. rynkowi wtórnemu przypisuje się wagę 52,8%, a rynkowi pierwotnemu – 47,2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" filled="f" stroked="f">
                <v:textbox>
                  <w:txbxContent>
                    <w:p w14:paraId="3A5FFA49" w14:textId="1A8AF7E2" w:rsidR="00F22BD7" w:rsidRPr="00074DD8" w:rsidRDefault="00F22BD7" w:rsidP="007143FF">
                      <w:pPr>
                        <w:pStyle w:val="tekstzboku"/>
                        <w:spacing w:before="240" w:after="120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891EE1">
                        <w:t>2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</w:t>
                      </w:r>
                      <w:r w:rsidR="00891EE1">
                        <w:t>8</w:t>
                      </w:r>
                      <w:r w:rsidR="00E34475">
                        <w:t xml:space="preserve">%, a rynkowi pierwotnemu – </w:t>
                      </w:r>
                      <w:r w:rsidR="00BF263D">
                        <w:t>4</w:t>
                      </w:r>
                      <w:r w:rsidR="00891EE1">
                        <w:t>7,2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891EE1">
        <w:rPr>
          <w:b/>
          <w:sz w:val="18"/>
          <w:szCs w:val="18"/>
        </w:rPr>
        <w:t>2</w:t>
      </w:r>
      <w:r w:rsidR="005E3B8D" w:rsidRPr="00184C3A">
        <w:rPr>
          <w:b/>
          <w:sz w:val="18"/>
          <w:szCs w:val="18"/>
        </w:rPr>
        <w:t xml:space="preserve"> r.</w:t>
      </w:r>
    </w:p>
    <w:p w14:paraId="5B2FE6B9" w14:textId="5EF7C7E4" w:rsidR="001F4522" w:rsidRDefault="00F859AE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30D5B5CD" wp14:editId="71AA325A">
            <wp:simplePos x="0" y="0"/>
            <wp:positionH relativeFrom="column">
              <wp:posOffset>87630</wp:posOffset>
            </wp:positionH>
            <wp:positionV relativeFrom="paragraph">
              <wp:posOffset>6350</wp:posOffset>
            </wp:positionV>
            <wp:extent cx="5122545" cy="948690"/>
            <wp:effectExtent l="0" t="0" r="1905" b="3810"/>
            <wp:wrapNone/>
            <wp:docPr id="28" name="Obraz 5" descr="Wykres 1 przedstawiający system wag stosowany w obliczeniach wskaźników cen lokali mieszkal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32F6E" w14:textId="1D4960E9" w:rsidR="001F4522" w:rsidRDefault="001F4522" w:rsidP="00204445">
      <w:pPr>
        <w:spacing w:before="240"/>
        <w:rPr>
          <w:b/>
          <w:sz w:val="18"/>
        </w:rPr>
      </w:pPr>
    </w:p>
    <w:p w14:paraId="102F8234" w14:textId="2FF165A9" w:rsidR="001F4522" w:rsidRDefault="001F4522" w:rsidP="00204445">
      <w:pPr>
        <w:spacing w:before="240"/>
        <w:rPr>
          <w:b/>
          <w:sz w:val="18"/>
        </w:rPr>
      </w:pPr>
    </w:p>
    <w:p w14:paraId="449E67C4" w14:textId="0357F6F5" w:rsidR="006E095C" w:rsidRDefault="00AA6B32" w:rsidP="00C72120">
      <w:pPr>
        <w:spacing w:before="240"/>
        <w:rPr>
          <w:b/>
          <w:sz w:val="18"/>
        </w:rPr>
      </w:pPr>
      <w:r w:rsidRPr="00184C3A">
        <w:rPr>
          <w:b/>
          <w:sz w:val="18"/>
        </w:rPr>
        <w:t>Wykres 2</w:t>
      </w:r>
      <w:r w:rsidR="00D24CF3" w:rsidRPr="00184C3A">
        <w:rPr>
          <w:b/>
          <w:sz w:val="18"/>
        </w:rPr>
        <w:t xml:space="preserve">. </w:t>
      </w:r>
      <w:r w:rsidR="0025568B" w:rsidRPr="00184C3A">
        <w:rPr>
          <w:b/>
          <w:sz w:val="18"/>
        </w:rPr>
        <w:t>Kwartalne z</w:t>
      </w:r>
      <w:r w:rsidR="003662A9" w:rsidRPr="00184C3A">
        <w:rPr>
          <w:b/>
          <w:sz w:val="18"/>
        </w:rPr>
        <w:t>miany c</w:t>
      </w:r>
      <w:r w:rsidR="0025568B" w:rsidRPr="00184C3A">
        <w:rPr>
          <w:b/>
          <w:sz w:val="18"/>
        </w:rPr>
        <w:t xml:space="preserve">en lokali mieszkalnych </w:t>
      </w:r>
      <w:r w:rsidR="003662A9" w:rsidRPr="00184C3A">
        <w:rPr>
          <w:b/>
          <w:sz w:val="18"/>
        </w:rPr>
        <w:t xml:space="preserve">w </w:t>
      </w:r>
      <w:r w:rsidR="00D24CF3" w:rsidRPr="00184C3A">
        <w:rPr>
          <w:b/>
          <w:sz w:val="18"/>
        </w:rPr>
        <w:t>stosunku do okresu</w:t>
      </w:r>
      <w:r w:rsidR="003662A9" w:rsidRPr="00184C3A">
        <w:rPr>
          <w:b/>
          <w:sz w:val="18"/>
        </w:rPr>
        <w:t xml:space="preserve"> poprzedniego</w:t>
      </w:r>
    </w:p>
    <w:p w14:paraId="203E0D06" w14:textId="60A9D657" w:rsidR="00030AC9" w:rsidRPr="00184C3A" w:rsidRDefault="009174B3" w:rsidP="00C72120">
      <w:pPr>
        <w:spacing w:before="240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821056" behindDoc="0" locked="0" layoutInCell="1" allowOverlap="1" wp14:anchorId="24446F47" wp14:editId="4D4B5967">
            <wp:simplePos x="0" y="0"/>
            <wp:positionH relativeFrom="column">
              <wp:posOffset>81280</wp:posOffset>
            </wp:positionH>
            <wp:positionV relativeFrom="paragraph">
              <wp:posOffset>26035</wp:posOffset>
            </wp:positionV>
            <wp:extent cx="5126990" cy="3164205"/>
            <wp:effectExtent l="0" t="0" r="0" b="0"/>
            <wp:wrapNone/>
            <wp:docPr id="5" name="Obraz 5" descr="Wykres 2 prezentujący kwartalne zmiany cen lokali mieszkalnych w stosunku do okresu poprzedniego na rynku: ogółem, pierwotnym i wtórnych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FFA458" w14:textId="4CE55854" w:rsidR="006755C8" w:rsidRDefault="006755C8" w:rsidP="00442CBE">
      <w:pPr>
        <w:tabs>
          <w:tab w:val="left" w:pos="851"/>
        </w:tabs>
        <w:spacing w:before="0" w:after="160" w:line="259" w:lineRule="auto"/>
        <w:ind w:left="142"/>
        <w:rPr>
          <w:b/>
          <w:sz w:val="18"/>
        </w:rPr>
      </w:pPr>
    </w:p>
    <w:p w14:paraId="068F667A" w14:textId="43C51D6F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465B0A9F" w14:textId="336C181E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2DB3475C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51C566D8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1D073ED1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3A01A34E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BE2B6D5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738CFEDD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031A5D4C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9508B26" w14:textId="1245838F" w:rsidR="006E095C" w:rsidRPr="00184C3A" w:rsidRDefault="006E095C" w:rsidP="00C72120">
      <w:pPr>
        <w:spacing w:before="240" w:line="240" w:lineRule="auto"/>
        <w:ind w:left="851" w:right="-153" w:hanging="851"/>
        <w:rPr>
          <w:b/>
          <w:sz w:val="18"/>
        </w:rPr>
      </w:pPr>
      <w:r w:rsidRPr="00184C3A">
        <w:rPr>
          <w:b/>
          <w:sz w:val="18"/>
        </w:rPr>
        <w:lastRenderedPageBreak/>
        <w:t xml:space="preserve">Wykres 3.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Pr="00184C3A">
        <w:rPr>
          <w:b/>
          <w:sz w:val="18"/>
        </w:rPr>
        <w:t>en lokali mieszkalnych</w:t>
      </w:r>
      <w:r w:rsidR="00D309D6" w:rsidRPr="00184C3A">
        <w:rPr>
          <w:b/>
          <w:sz w:val="18"/>
        </w:rPr>
        <w:t xml:space="preserve"> </w:t>
      </w:r>
      <w:r w:rsidRPr="00184C3A">
        <w:rPr>
          <w:b/>
          <w:sz w:val="18"/>
        </w:rPr>
        <w:t>w s</w:t>
      </w:r>
      <w:r w:rsidR="00E67040" w:rsidRPr="00184C3A">
        <w:rPr>
          <w:b/>
          <w:sz w:val="18"/>
        </w:rPr>
        <w:t>tosunku do analogicznego okresu</w:t>
      </w:r>
      <w:r w:rsidR="00E61BB6" w:rsidRPr="00184C3A">
        <w:rPr>
          <w:b/>
          <w:sz w:val="18"/>
        </w:rPr>
        <w:t xml:space="preserve"> </w:t>
      </w:r>
      <w:r w:rsidR="00F413E7" w:rsidRPr="00184C3A">
        <w:rPr>
          <w:b/>
          <w:sz w:val="18"/>
        </w:rPr>
        <w:t>roku</w:t>
      </w:r>
      <w:r w:rsidR="00D309D6" w:rsidRPr="00184C3A">
        <w:rPr>
          <w:b/>
          <w:sz w:val="18"/>
        </w:rPr>
        <w:t xml:space="preserve"> </w:t>
      </w:r>
      <w:r w:rsidR="00143BE8" w:rsidRPr="00184C3A">
        <w:rPr>
          <w:b/>
          <w:sz w:val="18"/>
        </w:rPr>
        <w:br/>
      </w:r>
      <w:r w:rsidR="00D309D6" w:rsidRPr="00184C3A">
        <w:rPr>
          <w:b/>
          <w:sz w:val="18"/>
        </w:rPr>
        <w:t>poprzedniego</w:t>
      </w:r>
    </w:p>
    <w:p w14:paraId="51F72013" w14:textId="03FC13E5" w:rsidR="006E095C" w:rsidRDefault="009174B3" w:rsidP="001B33E1">
      <w:pPr>
        <w:spacing w:before="0" w:after="160" w:line="259" w:lineRule="auto"/>
        <w:ind w:left="284" w:hanging="142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inline distT="0" distB="0" distL="0" distR="0" wp14:anchorId="09D78650" wp14:editId="024F566A">
            <wp:extent cx="5126990" cy="4127500"/>
            <wp:effectExtent l="0" t="0" r="0" b="6350"/>
            <wp:docPr id="11" name="Obraz 11" descr="Wykres 3 przedstawiający kwartalne zmiany cen lokali mieszkalnych w stosunku do analogicznego okresu roku poprzedniego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648A1" w14:textId="77777777" w:rsidR="0087115A" w:rsidRPr="00184C3A" w:rsidRDefault="00E940FD" w:rsidP="00C72120">
      <w:pPr>
        <w:spacing w:before="360" w:line="240" w:lineRule="auto"/>
        <w:rPr>
          <w:b/>
          <w:sz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3BD61A7B">
                <wp:simplePos x="0" y="0"/>
                <wp:positionH relativeFrom="column">
                  <wp:posOffset>5248275</wp:posOffset>
                </wp:positionH>
                <wp:positionV relativeFrom="paragraph">
                  <wp:posOffset>89535</wp:posOffset>
                </wp:positionV>
                <wp:extent cx="1762125" cy="1504950"/>
                <wp:effectExtent l="0" t="0" r="0" b="0"/>
                <wp:wrapTight wrapText="bothSides">
                  <wp:wrapPolygon edited="0">
                    <wp:start x="701" y="0"/>
                    <wp:lineTo x="701" y="21327"/>
                    <wp:lineTo x="20783" y="21327"/>
                    <wp:lineTo x="20783" y="0"/>
                    <wp:lineTo x="701" y="0"/>
                  </wp:wrapPolygon>
                </wp:wrapTight>
                <wp:docPr id="12" name="Pole tekstowe 6" descr="W 4 kwartale 2021 r. ceny &#10;lokali mieszkalnych były o 55,2% wyższe w porównaniu ze średnią ceną dla 2015 r. (w tym na rynku pierwotnym – o 43,0%, a na rynku wtór-nym – o 65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3CEA2C0F" w:rsidR="00F22BD7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>
                              <w:t xml:space="preserve">W </w:t>
                            </w:r>
                            <w:r w:rsidR="0087357C">
                              <w:t>1</w:t>
                            </w:r>
                            <w:r>
                              <w:t xml:space="preserve"> kwartale 202</w:t>
                            </w:r>
                            <w:r w:rsidR="0087357C">
                              <w:t>2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87357C">
                              <w:t>60,3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87357C">
                              <w:t>47,7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87357C">
                              <w:t>71,4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FC7D" id="_x0000_s1028" type="#_x0000_t202" alt="W 4 kwartale 2021 r. ceny &#10;lokali mieszkalnych były o 55,2% wyższe w porównaniu ze średnią ceną dla 2015 r. (w tym na rynku pierwotnym – o 43,0%, a na rynku wtór-nym – o 65,8%)" style="position:absolute;margin-left:413.25pt;margin-top:7.05pt;width:138.75pt;height:118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" filled="f" stroked="f">
                <v:textbox>
                  <w:txbxContent>
                    <w:p w14:paraId="2FB9DD57" w14:textId="3CEA2C0F" w:rsidR="00F22BD7" w:rsidRDefault="0032064E" w:rsidP="00907C44">
                      <w:pPr>
                        <w:pStyle w:val="tekstzboku"/>
                        <w:spacing w:before="240" w:after="120"/>
                      </w:pPr>
                      <w:r>
                        <w:t xml:space="preserve">W </w:t>
                      </w:r>
                      <w:r w:rsidR="0087357C">
                        <w:t>1</w:t>
                      </w:r>
                      <w:r>
                        <w:t xml:space="preserve"> kwartale 202</w:t>
                      </w:r>
                      <w:r w:rsidR="0087357C">
                        <w:t>2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87357C">
                        <w:t>60,3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87357C">
                        <w:t>47,7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87357C">
                        <w:t>71,4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184C3A">
        <w:rPr>
          <w:b/>
          <w:sz w:val="18"/>
        </w:rPr>
        <w:t xml:space="preserve">Wykres 4.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="0087115A" w:rsidRPr="00184C3A">
        <w:rPr>
          <w:b/>
          <w:sz w:val="18"/>
        </w:rPr>
        <w:t>en lokali mieszkalnych w stosunku do 201</w:t>
      </w:r>
      <w:r w:rsidR="00C7541C" w:rsidRPr="00184C3A">
        <w:rPr>
          <w:b/>
          <w:sz w:val="18"/>
        </w:rPr>
        <w:t>5</w:t>
      </w:r>
      <w:r w:rsidR="0087115A" w:rsidRPr="00184C3A">
        <w:rPr>
          <w:b/>
          <w:sz w:val="18"/>
        </w:rPr>
        <w:t xml:space="preserve"> r</w:t>
      </w:r>
      <w:r w:rsidR="00C7541C" w:rsidRPr="00184C3A">
        <w:rPr>
          <w:b/>
          <w:sz w:val="18"/>
        </w:rPr>
        <w:t>.</w:t>
      </w:r>
    </w:p>
    <w:p w14:paraId="2191F2D1" w14:textId="04197435" w:rsidR="00D309D6" w:rsidRDefault="009174B3">
      <w:pPr>
        <w:spacing w:before="0" w:after="160" w:line="259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41F1A784" wp14:editId="5F812305">
            <wp:extent cx="5126990" cy="4450715"/>
            <wp:effectExtent l="0" t="0" r="0" b="6985"/>
            <wp:docPr id="14" name="Obraz 14" descr="Wykres 4 przedstawiający kwartalne zmiany cen lokali mieszkalnych w stosunku do 2015 r.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45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CFE16" w14:textId="2C97A155" w:rsidR="00F352F0" w:rsidRPr="00C72120" w:rsidRDefault="00E940FD" w:rsidP="00854874">
      <w:pPr>
        <w:spacing w:before="240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317A53B6">
                <wp:simplePos x="0" y="0"/>
                <wp:positionH relativeFrom="column">
                  <wp:posOffset>5278120</wp:posOffset>
                </wp:positionH>
                <wp:positionV relativeFrom="paragraph">
                  <wp:posOffset>502920</wp:posOffset>
                </wp:positionV>
                <wp:extent cx="1762125" cy="1793240"/>
                <wp:effectExtent l="0" t="0" r="0" b="0"/>
                <wp:wrapTight wrapText="bothSides">
                  <wp:wrapPolygon edited="0">
                    <wp:start x="701" y="0"/>
                    <wp:lineTo x="701" y="21340"/>
                    <wp:lineTo x="20783" y="21340"/>
                    <wp:lineTo x="20783" y="0"/>
                    <wp:lineTo x="701" y="0"/>
                  </wp:wrapPolygon>
                </wp:wrapTight>
                <wp:docPr id="10" name="Pole tekstowe 6" descr="W 4 kwartale 2021 r. w stosunku do 4 kwartału 2020 r. odnotowano największy wzrost cen lokali mieszkal-nych w województwie war-mińsko-mazurskim (o 15,2%), a najmniejszy wzrost - w województwie lubuskim (o 7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315202F5" w:rsidR="00D309D6" w:rsidRPr="00074DD8" w:rsidRDefault="00AD1D43" w:rsidP="00ED4101">
                            <w:pPr>
                              <w:pStyle w:val="tekstzboku"/>
                            </w:pPr>
                            <w:r w:rsidRPr="00AD1D43">
                              <w:t xml:space="preserve">W </w:t>
                            </w:r>
                            <w:r w:rsidR="0087357C">
                              <w:t>1</w:t>
                            </w:r>
                            <w:r w:rsidRPr="00AD1D43">
                              <w:t xml:space="preserve"> kwartale 202</w:t>
                            </w:r>
                            <w:r w:rsidR="0087357C">
                              <w:t>2</w:t>
                            </w:r>
                            <w:r w:rsidRPr="00AD1D43">
                              <w:t xml:space="preserve"> r. w stosunku do </w:t>
                            </w:r>
                            <w:r w:rsidR="0087357C">
                              <w:t>1</w:t>
                            </w:r>
                            <w:r w:rsidRPr="00AD1D43">
                              <w:t xml:space="preserve"> kwartału 202</w:t>
                            </w:r>
                            <w:r w:rsidR="0087357C">
                              <w:t>1</w:t>
                            </w:r>
                            <w:r w:rsidRPr="00AD1D43">
                              <w:t xml:space="preserve"> r. odnotowano największy wzrost cen lokali mieszkalnych w województwie </w:t>
                            </w:r>
                            <w:r w:rsidR="00174B78">
                              <w:t>zachodniopomorskim</w:t>
                            </w:r>
                            <w:r w:rsidR="0087357C">
                              <w:t xml:space="preserve"> </w:t>
                            </w:r>
                            <w:r w:rsidRPr="00AD1D43">
                              <w:t>(o 1</w:t>
                            </w:r>
                            <w:r w:rsidR="0087357C">
                              <w:t>7,8</w:t>
                            </w:r>
                            <w:r w:rsidRPr="00AD1D43">
                              <w:t xml:space="preserve">%), a najmniejszy wzrost    ̶ w województwie </w:t>
                            </w:r>
                            <w:r w:rsidR="00174B78">
                              <w:t>podkarpack</w:t>
                            </w:r>
                            <w:r w:rsidR="0087357C">
                              <w:t>i</w:t>
                            </w:r>
                            <w:r w:rsidRPr="00AD1D43">
                              <w:t>m (o</w:t>
                            </w:r>
                            <w:r w:rsidR="00174B78">
                              <w:t> </w:t>
                            </w:r>
                            <w:r w:rsidR="0087357C">
                              <w:t>7,3</w:t>
                            </w:r>
                            <w:r w:rsidRPr="00AD1D43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3C9D" id="_x0000_s1029" type="#_x0000_t202" alt="W 4 kwartale 2021 r. w stosunku do 4 kwartału 2020 r. odnotowano największy wzrost cen lokali mieszkal-nych w województwie war-mińsko-mazurskim (o 15,2%), a najmniejszy wzrost - w województwie lubuskim (o 7,6%)" style="position:absolute;margin-left:415.6pt;margin-top:39.6pt;width:138.7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" filled="f" stroked="f">
                <v:textbox>
                  <w:txbxContent>
                    <w:p w14:paraId="690D4656" w14:textId="315202F5" w:rsidR="00D309D6" w:rsidRPr="00074DD8" w:rsidRDefault="00AD1D43" w:rsidP="00ED4101">
                      <w:pPr>
                        <w:pStyle w:val="tekstzboku"/>
                      </w:pPr>
                      <w:r w:rsidRPr="00AD1D43">
                        <w:t xml:space="preserve">W </w:t>
                      </w:r>
                      <w:r w:rsidR="0087357C">
                        <w:t>1</w:t>
                      </w:r>
                      <w:r w:rsidRPr="00AD1D43">
                        <w:t xml:space="preserve"> kwartale 202</w:t>
                      </w:r>
                      <w:r w:rsidR="0087357C">
                        <w:t>2</w:t>
                      </w:r>
                      <w:r w:rsidRPr="00AD1D43">
                        <w:t xml:space="preserve"> r. w stosunku do </w:t>
                      </w:r>
                      <w:r w:rsidR="0087357C">
                        <w:t>1</w:t>
                      </w:r>
                      <w:r w:rsidRPr="00AD1D43">
                        <w:t xml:space="preserve"> kwartału 202</w:t>
                      </w:r>
                      <w:r w:rsidR="0087357C">
                        <w:t>1</w:t>
                      </w:r>
                      <w:r w:rsidRPr="00AD1D43">
                        <w:t xml:space="preserve"> r. odnotowano największy wzrost cen lokali mieszkalnych w województwie </w:t>
                      </w:r>
                      <w:r w:rsidR="00174B78">
                        <w:t>zachodniopomorskim</w:t>
                      </w:r>
                      <w:r w:rsidR="0087357C">
                        <w:t xml:space="preserve"> </w:t>
                      </w:r>
                      <w:r w:rsidRPr="00AD1D43">
                        <w:t>(o 1</w:t>
                      </w:r>
                      <w:r w:rsidR="0087357C">
                        <w:t>7,8</w:t>
                      </w:r>
                      <w:r w:rsidRPr="00AD1D43">
                        <w:t xml:space="preserve">%), a najmniejszy wzrost    ̶ w województwie </w:t>
                      </w:r>
                      <w:r w:rsidR="00174B78">
                        <w:t>podkarpack</w:t>
                      </w:r>
                      <w:r w:rsidR="0087357C">
                        <w:t>i</w:t>
                      </w:r>
                      <w:r w:rsidRPr="00AD1D43">
                        <w:t>m (o</w:t>
                      </w:r>
                      <w:r w:rsidR="00174B78">
                        <w:t> </w:t>
                      </w:r>
                      <w:r w:rsidR="0087357C">
                        <w:t>7,3</w:t>
                      </w:r>
                      <w:r w:rsidRPr="00AD1D43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87357C">
        <w:rPr>
          <w:b/>
          <w:spacing w:val="-2"/>
          <w:szCs w:val="19"/>
          <w:shd w:val="clear" w:color="auto" w:fill="FFFFFF"/>
        </w:rPr>
        <w:t>1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 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87357C">
        <w:rPr>
          <w:b/>
          <w:spacing w:val="-2"/>
          <w:szCs w:val="19"/>
          <w:shd w:val="clear" w:color="auto" w:fill="FFFFFF"/>
        </w:rPr>
        <w:t>2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2F5496" w:themeColor="accent5" w:themeShade="BF"/>
          <w:bottom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przedstawiająca wskaźniki cen lokali mieszkalnych według województw w 1 kwartale 2022 r. w stosunku do 4 kw. 2021 r. i do 1 kw. 2021 r.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1A44D4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19B85735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78A2A724" w:rsidR="00F95B4F" w:rsidRPr="00CB1421" w:rsidRDefault="0087357C" w:rsidP="0087357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1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2</w:t>
            </w:r>
          </w:p>
        </w:tc>
      </w:tr>
      <w:tr w:rsidR="00F95B4F" w:rsidRPr="00CB1421" w14:paraId="36C3EE7D" w14:textId="77777777" w:rsidTr="001A44D4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3B57EAE5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36DB1581" w14:textId="6EA82716" w:rsidR="0018393E" w:rsidRPr="00CB1421" w:rsidRDefault="0087357C" w:rsidP="00C72120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935F55" w:rsidRPr="00CB1421">
              <w:rPr>
                <w:color w:val="000000" w:themeColor="text1"/>
                <w:szCs w:val="19"/>
              </w:rPr>
              <w:t>1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137D2EC4" w:rsidR="0018393E" w:rsidRPr="00CB1421" w:rsidRDefault="00B07D64" w:rsidP="00B07D6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87357C">
              <w:rPr>
                <w:color w:val="000000" w:themeColor="text1"/>
                <w:szCs w:val="19"/>
              </w:rPr>
              <w:t>1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87357C" w:rsidRPr="00F95B4F" w14:paraId="69853D86" w14:textId="77777777" w:rsidTr="001A44D4">
        <w:trPr>
          <w:trHeight w:val="359"/>
        </w:trPr>
        <w:tc>
          <w:tcPr>
            <w:tcW w:w="3494" w:type="dxa"/>
            <w:vAlign w:val="center"/>
          </w:tcPr>
          <w:p w14:paraId="15A0FD17" w14:textId="33C98F82" w:rsidR="0087357C" w:rsidRPr="00CB1421" w:rsidRDefault="0087357C" w:rsidP="0087357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</w:tcPr>
          <w:p w14:paraId="5C1A205D" w14:textId="0F88D854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103,3</w:t>
            </w:r>
          </w:p>
        </w:tc>
        <w:tc>
          <w:tcPr>
            <w:tcW w:w="2296" w:type="dxa"/>
            <w:gridSpan w:val="2"/>
          </w:tcPr>
          <w:p w14:paraId="715874C9" w14:textId="18D1000A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113,6</w:t>
            </w:r>
          </w:p>
        </w:tc>
      </w:tr>
      <w:tr w:rsidR="0087357C" w:rsidRPr="00F95B4F" w14:paraId="4B587F64" w14:textId="77777777" w:rsidTr="001A44D4">
        <w:trPr>
          <w:trHeight w:val="57"/>
        </w:trPr>
        <w:tc>
          <w:tcPr>
            <w:tcW w:w="3494" w:type="dxa"/>
          </w:tcPr>
          <w:p w14:paraId="37963D49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55B35605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105,4</w:t>
            </w:r>
          </w:p>
        </w:tc>
        <w:tc>
          <w:tcPr>
            <w:tcW w:w="2296" w:type="dxa"/>
            <w:gridSpan w:val="2"/>
          </w:tcPr>
          <w:p w14:paraId="09E5AE33" w14:textId="52158BCB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115,6</w:t>
            </w:r>
          </w:p>
        </w:tc>
      </w:tr>
      <w:tr w:rsidR="0087357C" w:rsidRPr="00F95B4F" w14:paraId="10DE9790" w14:textId="77777777" w:rsidTr="001A44D4">
        <w:trPr>
          <w:trHeight w:val="57"/>
        </w:trPr>
        <w:tc>
          <w:tcPr>
            <w:tcW w:w="3494" w:type="dxa"/>
          </w:tcPr>
          <w:p w14:paraId="1D1C0742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74CAE9DC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101,8</w:t>
            </w:r>
          </w:p>
        </w:tc>
        <w:tc>
          <w:tcPr>
            <w:tcW w:w="2296" w:type="dxa"/>
            <w:gridSpan w:val="2"/>
          </w:tcPr>
          <w:p w14:paraId="118AB215" w14:textId="262CC379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107,9</w:t>
            </w:r>
          </w:p>
        </w:tc>
      </w:tr>
      <w:tr w:rsidR="0087357C" w:rsidRPr="00F95B4F" w14:paraId="7722E079" w14:textId="77777777" w:rsidTr="001A44D4">
        <w:trPr>
          <w:trHeight w:val="57"/>
        </w:trPr>
        <w:tc>
          <w:tcPr>
            <w:tcW w:w="3494" w:type="dxa"/>
          </w:tcPr>
          <w:p w14:paraId="4669312D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101B55AC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103,6</w:t>
            </w:r>
          </w:p>
        </w:tc>
        <w:tc>
          <w:tcPr>
            <w:tcW w:w="2296" w:type="dxa"/>
            <w:gridSpan w:val="2"/>
          </w:tcPr>
          <w:p w14:paraId="58956A7B" w14:textId="6F749D37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112,5</w:t>
            </w:r>
          </w:p>
        </w:tc>
      </w:tr>
      <w:tr w:rsidR="0087357C" w:rsidRPr="00F95B4F" w14:paraId="0B547942" w14:textId="77777777" w:rsidTr="001A44D4">
        <w:trPr>
          <w:trHeight w:val="57"/>
        </w:trPr>
        <w:tc>
          <w:tcPr>
            <w:tcW w:w="3494" w:type="dxa"/>
          </w:tcPr>
          <w:p w14:paraId="100A8276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520DFAB8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101,6</w:t>
            </w:r>
          </w:p>
        </w:tc>
        <w:tc>
          <w:tcPr>
            <w:tcW w:w="2296" w:type="dxa"/>
            <w:gridSpan w:val="2"/>
          </w:tcPr>
          <w:p w14:paraId="52E08B7F" w14:textId="40AE0B9D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109,7</w:t>
            </w:r>
          </w:p>
        </w:tc>
      </w:tr>
      <w:tr w:rsidR="0087357C" w:rsidRPr="00F95B4F" w14:paraId="430CA45B" w14:textId="77777777" w:rsidTr="001A44D4">
        <w:trPr>
          <w:trHeight w:val="57"/>
        </w:trPr>
        <w:tc>
          <w:tcPr>
            <w:tcW w:w="3494" w:type="dxa"/>
          </w:tcPr>
          <w:p w14:paraId="42BC7E97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57DE37E5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101,1</w:t>
            </w:r>
          </w:p>
        </w:tc>
        <w:tc>
          <w:tcPr>
            <w:tcW w:w="2296" w:type="dxa"/>
            <w:gridSpan w:val="2"/>
          </w:tcPr>
          <w:p w14:paraId="4D39F22E" w14:textId="0F92DEFF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111,2</w:t>
            </w:r>
          </w:p>
        </w:tc>
      </w:tr>
      <w:tr w:rsidR="0087357C" w:rsidRPr="00F95B4F" w14:paraId="126B8827" w14:textId="77777777" w:rsidTr="001A44D4">
        <w:trPr>
          <w:trHeight w:val="57"/>
        </w:trPr>
        <w:tc>
          <w:tcPr>
            <w:tcW w:w="3494" w:type="dxa"/>
          </w:tcPr>
          <w:p w14:paraId="570A0223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573D3D4B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102,4</w:t>
            </w:r>
          </w:p>
        </w:tc>
        <w:tc>
          <w:tcPr>
            <w:tcW w:w="2296" w:type="dxa"/>
            <w:gridSpan w:val="2"/>
          </w:tcPr>
          <w:p w14:paraId="58A022FF" w14:textId="3F8BEFD4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114,5</w:t>
            </w:r>
          </w:p>
        </w:tc>
      </w:tr>
      <w:tr w:rsidR="0087357C" w:rsidRPr="00F95B4F" w14:paraId="1EEA786D" w14:textId="77777777" w:rsidTr="001A44D4">
        <w:trPr>
          <w:trHeight w:val="57"/>
        </w:trPr>
        <w:tc>
          <w:tcPr>
            <w:tcW w:w="3494" w:type="dxa"/>
          </w:tcPr>
          <w:p w14:paraId="4252E8C7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1C4031BA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103,2</w:t>
            </w:r>
          </w:p>
        </w:tc>
        <w:tc>
          <w:tcPr>
            <w:tcW w:w="2296" w:type="dxa"/>
            <w:gridSpan w:val="2"/>
          </w:tcPr>
          <w:p w14:paraId="320FB048" w14:textId="24DD483C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114,2</w:t>
            </w:r>
          </w:p>
        </w:tc>
      </w:tr>
      <w:tr w:rsidR="0087357C" w:rsidRPr="00F95B4F" w14:paraId="14115158" w14:textId="77777777" w:rsidTr="001A44D4">
        <w:trPr>
          <w:trHeight w:val="57"/>
        </w:trPr>
        <w:tc>
          <w:tcPr>
            <w:tcW w:w="3494" w:type="dxa"/>
          </w:tcPr>
          <w:p w14:paraId="241AB5E8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33DED030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104,7</w:t>
            </w:r>
          </w:p>
        </w:tc>
        <w:tc>
          <w:tcPr>
            <w:tcW w:w="2296" w:type="dxa"/>
            <w:gridSpan w:val="2"/>
          </w:tcPr>
          <w:p w14:paraId="244C0966" w14:textId="51526931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111,7</w:t>
            </w:r>
          </w:p>
        </w:tc>
      </w:tr>
      <w:tr w:rsidR="0087357C" w:rsidRPr="00F95B4F" w14:paraId="1F5A0997" w14:textId="77777777" w:rsidTr="001A44D4">
        <w:trPr>
          <w:trHeight w:val="57"/>
        </w:trPr>
        <w:tc>
          <w:tcPr>
            <w:tcW w:w="3494" w:type="dxa"/>
          </w:tcPr>
          <w:p w14:paraId="776A54CA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7BD4C266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101,8</w:t>
            </w:r>
          </w:p>
        </w:tc>
        <w:tc>
          <w:tcPr>
            <w:tcW w:w="2296" w:type="dxa"/>
            <w:gridSpan w:val="2"/>
          </w:tcPr>
          <w:p w14:paraId="50B3DE0A" w14:textId="30C4A062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107,3</w:t>
            </w:r>
          </w:p>
        </w:tc>
      </w:tr>
      <w:tr w:rsidR="0087357C" w:rsidRPr="00F95B4F" w14:paraId="7109224B" w14:textId="77777777" w:rsidTr="001A44D4">
        <w:trPr>
          <w:trHeight w:val="57"/>
        </w:trPr>
        <w:tc>
          <w:tcPr>
            <w:tcW w:w="3494" w:type="dxa"/>
          </w:tcPr>
          <w:p w14:paraId="5C2EA52B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5C1366F5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103,5</w:t>
            </w:r>
          </w:p>
        </w:tc>
        <w:tc>
          <w:tcPr>
            <w:tcW w:w="2296" w:type="dxa"/>
            <w:gridSpan w:val="2"/>
          </w:tcPr>
          <w:p w14:paraId="3C7F0C56" w14:textId="128465B4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111,0</w:t>
            </w:r>
          </w:p>
        </w:tc>
      </w:tr>
      <w:tr w:rsidR="0087357C" w:rsidRPr="00F95B4F" w14:paraId="5487201E" w14:textId="77777777" w:rsidTr="001A44D4">
        <w:trPr>
          <w:trHeight w:val="57"/>
        </w:trPr>
        <w:tc>
          <w:tcPr>
            <w:tcW w:w="3494" w:type="dxa"/>
          </w:tcPr>
          <w:p w14:paraId="06759C66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7F985FD6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104,0</w:t>
            </w:r>
          </w:p>
        </w:tc>
        <w:tc>
          <w:tcPr>
            <w:tcW w:w="2296" w:type="dxa"/>
            <w:gridSpan w:val="2"/>
          </w:tcPr>
          <w:p w14:paraId="64EF89D2" w14:textId="3588FFF1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113,8</w:t>
            </w:r>
          </w:p>
        </w:tc>
      </w:tr>
      <w:tr w:rsidR="0087357C" w:rsidRPr="00F95B4F" w14:paraId="24F16BEC" w14:textId="77777777" w:rsidTr="001A44D4">
        <w:trPr>
          <w:trHeight w:val="57"/>
        </w:trPr>
        <w:tc>
          <w:tcPr>
            <w:tcW w:w="3494" w:type="dxa"/>
          </w:tcPr>
          <w:p w14:paraId="5EE80F24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2E31E233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102,6</w:t>
            </w:r>
          </w:p>
        </w:tc>
        <w:tc>
          <w:tcPr>
            <w:tcW w:w="2296" w:type="dxa"/>
            <w:gridSpan w:val="2"/>
          </w:tcPr>
          <w:p w14:paraId="2EDB0F94" w14:textId="32340C1B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114,6</w:t>
            </w:r>
          </w:p>
        </w:tc>
      </w:tr>
      <w:tr w:rsidR="0087357C" w:rsidRPr="00F95B4F" w14:paraId="0788DFEC" w14:textId="77777777" w:rsidTr="001A44D4">
        <w:trPr>
          <w:trHeight w:val="57"/>
        </w:trPr>
        <w:tc>
          <w:tcPr>
            <w:tcW w:w="3494" w:type="dxa"/>
          </w:tcPr>
          <w:p w14:paraId="5CC5F754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3F1CE22C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102,8</w:t>
            </w:r>
          </w:p>
        </w:tc>
        <w:tc>
          <w:tcPr>
            <w:tcW w:w="2296" w:type="dxa"/>
            <w:gridSpan w:val="2"/>
          </w:tcPr>
          <w:p w14:paraId="020150E4" w14:textId="549237EA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112,7</w:t>
            </w:r>
          </w:p>
        </w:tc>
      </w:tr>
      <w:tr w:rsidR="0087357C" w:rsidRPr="00F95B4F" w14:paraId="57C742BF" w14:textId="77777777" w:rsidTr="001A44D4">
        <w:trPr>
          <w:trHeight w:val="57"/>
        </w:trPr>
        <w:tc>
          <w:tcPr>
            <w:tcW w:w="3494" w:type="dxa"/>
          </w:tcPr>
          <w:p w14:paraId="290310D8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7DDB836B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101,6</w:t>
            </w:r>
          </w:p>
        </w:tc>
        <w:tc>
          <w:tcPr>
            <w:tcW w:w="2296" w:type="dxa"/>
            <w:gridSpan w:val="2"/>
          </w:tcPr>
          <w:p w14:paraId="1286C885" w14:textId="621CA969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111,6</w:t>
            </w:r>
          </w:p>
        </w:tc>
      </w:tr>
      <w:tr w:rsidR="0087357C" w:rsidRPr="00F95B4F" w14:paraId="308925BE" w14:textId="77777777" w:rsidTr="00F50698">
        <w:trPr>
          <w:trHeight w:val="57"/>
        </w:trPr>
        <w:tc>
          <w:tcPr>
            <w:tcW w:w="3494" w:type="dxa"/>
          </w:tcPr>
          <w:p w14:paraId="12588E94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7B1805CB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102,8</w:t>
            </w:r>
          </w:p>
        </w:tc>
        <w:tc>
          <w:tcPr>
            <w:tcW w:w="2296" w:type="dxa"/>
            <w:gridSpan w:val="2"/>
          </w:tcPr>
          <w:p w14:paraId="5F03D181" w14:textId="0749804C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111,9</w:t>
            </w:r>
          </w:p>
        </w:tc>
      </w:tr>
      <w:tr w:rsidR="0087357C" w:rsidRPr="00F95B4F" w14:paraId="131A1419" w14:textId="77777777" w:rsidTr="001A44D4">
        <w:trPr>
          <w:trHeight w:val="57"/>
        </w:trPr>
        <w:tc>
          <w:tcPr>
            <w:tcW w:w="3494" w:type="dxa"/>
          </w:tcPr>
          <w:p w14:paraId="1879C8BC" w14:textId="77777777" w:rsidR="0087357C" w:rsidRPr="00CB1421" w:rsidRDefault="0087357C" w:rsidP="0087357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001CF370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105,1</w:t>
            </w:r>
          </w:p>
        </w:tc>
        <w:tc>
          <w:tcPr>
            <w:tcW w:w="2296" w:type="dxa"/>
            <w:gridSpan w:val="2"/>
          </w:tcPr>
          <w:p w14:paraId="65CD6149" w14:textId="199D8510" w:rsidR="0087357C" w:rsidRPr="00CB1421" w:rsidRDefault="0087357C" w:rsidP="0087357C">
            <w:pPr>
              <w:jc w:val="right"/>
              <w:rPr>
                <w:szCs w:val="19"/>
              </w:rPr>
            </w:pPr>
            <w:r w:rsidRPr="00723FBC">
              <w:t>117,8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4469D348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B25454F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FE0D159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4ECC21AB" w14:textId="64C99262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14:paraId="5C802B31" w14:textId="08346AE7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5DF5C1DC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81AF9A0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DE74DC2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AE4BE6A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317BE9C1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043B1E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55C9576" w14:textId="77777777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ADB44C7" w14:textId="6BDEA61B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5D2B" w14:textId="6121D2BF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99EE637" wp14:editId="0FF2BD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3238" w14:paraId="0A7FD495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4E40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3E67" w14:textId="13D0AA6E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726E872" wp14:editId="3AB036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2EEBCCDB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AFF77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3A281649" w14:textId="5A19DA74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CDE86DB" wp14:editId="6FE85C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069237CD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67F0A90D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020B4CE9" w14:textId="2D4A7CE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DA643FF" wp14:editId="0E8B49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71A6B1BF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736CF2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D31FC3E" w14:textId="3B94C1D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54DCFF10" wp14:editId="3D31FE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0C88E4CA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22FDDF11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DE670F8" w14:textId="192604C3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2916B7A" wp14:editId="7FD521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3A25FF3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D190" w14:textId="01C733D4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0EAA5143" wp14:editId="21F3566D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73D94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030210FD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0152728F" w14:textId="70F07159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A5578E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530197B7" w14:textId="6D691D88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A5578E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"https://stat.gov.pl/sygnalne/komunikaty-i-obwieszczenia/lista-komunikatow-i-obwieszczen/komunikat-w-sprawie-ceny-1-m2-powierzchni-uzytkowej-budynku-mieszkalnego-za-pierwszy-kwartal-2022-r-,265,34.html" \o "Link do Komunikatu w sprawie ceny 1 m2 powierzchni użytkowej budynku mieszkalnego za I kwartał 2022 r."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7F26280E" w14:textId="3A6E5578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A5578E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"https://stat.gov.pl/obszary-tematyczne/infrastruktura-komunalna-nieruchomosci/nieruchomosci-budynki-infrastruktura-komunalna/obrot-nieruchomosciami-w-2020-roku,4,18.html" \o "Link do publikacji \"Obrót nieruchomościami w 2020 r.\" "</w:instrText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2020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75DB9359" w14:textId="5B609A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14:paraId="03B0BDB0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2E69C242" w14:textId="481FB895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14:paraId="2A4E3618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157E019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1E0F297D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6B76605" w14:textId="6604678C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04D19DD8" w14:textId="62046BE2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78A11AA4" w14:textId="41E0770F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5788081A" w14:textId="06A8919B" w:rsidR="00C041CC" w:rsidRPr="00723E94" w:rsidRDefault="00190617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A5143"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17F73D94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030210FD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152728F" w14:textId="70F07159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5578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530197B7" w14:textId="6D691D88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5578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"https://stat.gov.pl/sygnalne/komunikaty-i-obwieszczenia/lista-komunikatow-i-obwieszczen/komunikat-w-sprawie-ceny-1-m2-powierzchni-uzytkowej-budynku-mieszkalnego-za-pierwszy-kwartal-2022-r-,265,34.html" \o "Link do Komunikatu w sprawie ceny 1 m2 powierzchni użytkowej budynku mieszkalnego za I kwartał 2022 r."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7F26280E" w14:textId="3A6E5578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A5578E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"https://stat.gov.pl/obszary-tematyczne/infrastruktura-komunalna-nieruchomosci/nieruchomosci-budynki-infrastruktura-komunalna/obrot-nieruchomosciami-w-2020-roku,4,18.html" \o "Link do publikacji \"Obrót nieruchomościami w 2020 r.\" "</w:instrText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2020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75DB9359" w14:textId="5B609A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03B0BDB0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69C242" w14:textId="481FB895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Baza Wiedzy (DBW) Ceny</w:t>
                            </w:r>
                          </w:p>
                          <w:p w14:paraId="2A4E3618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157E019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E0F297D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6B76605" w14:textId="6604678C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04D19DD8" w14:textId="62046BE2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78A11AA4" w14:textId="41E0770F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788081A" w14:textId="06A8919B" w:rsidR="00C041CC" w:rsidRPr="00723E94" w:rsidRDefault="00190617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38F6C843" w14:textId="521BF7FF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D8DFE" w14:textId="77777777" w:rsidR="00DC2BF2" w:rsidRDefault="00DC2BF2" w:rsidP="000662E2">
      <w:pPr>
        <w:spacing w:after="0" w:line="240" w:lineRule="auto"/>
      </w:pPr>
      <w:r>
        <w:separator/>
      </w:r>
    </w:p>
  </w:endnote>
  <w:endnote w:type="continuationSeparator" w:id="0">
    <w:p w14:paraId="029AB7C5" w14:textId="77777777" w:rsidR="00DC2BF2" w:rsidRDefault="00DC2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Myriad Web Pro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7F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7F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7F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F8445" w14:textId="77777777" w:rsidR="00DC2BF2" w:rsidRDefault="00DC2BF2" w:rsidP="000662E2">
      <w:pPr>
        <w:spacing w:after="0" w:line="240" w:lineRule="auto"/>
      </w:pPr>
      <w:r>
        <w:separator/>
      </w:r>
    </w:p>
  </w:footnote>
  <w:footnote w:type="continuationSeparator" w:id="0">
    <w:p w14:paraId="156F2C7C" w14:textId="77777777" w:rsidR="00DC2BF2" w:rsidRDefault="00DC2B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64B9F3C4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5.07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7A127DCC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C2CAC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B33E1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91EE1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B33E1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5.07.2022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hYla3T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751B759E" w14:textId="7A127DCC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C2CAC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B33E1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91EE1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B33E1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5989C2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57E610D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4B02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5F3CA1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F08FF2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0AC9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74B78"/>
    <w:rsid w:val="001829BB"/>
    <w:rsid w:val="0018393E"/>
    <w:rsid w:val="00184C3A"/>
    <w:rsid w:val="00190617"/>
    <w:rsid w:val="001951DA"/>
    <w:rsid w:val="001A297A"/>
    <w:rsid w:val="001A3839"/>
    <w:rsid w:val="001A44D4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3B87"/>
    <w:rsid w:val="00865B28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078B3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7A0C"/>
    <w:rsid w:val="00F027BB"/>
    <w:rsid w:val="00F037A4"/>
    <w:rsid w:val="00F111EF"/>
    <w:rsid w:val="00F11DE6"/>
    <w:rsid w:val="00F140E4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59AE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9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wskazniki_cen_lokali_mieszkalnych_w_1_kwartale_2022_roku_informacja_sygnalna.docx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E5B81-82D2-4A79-B618-FF7A1400AA57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8EFA0C02-1A7E-46C9-B6DF-DF675E153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2020-10-01T12:19:00Z</cp:lastPrinted>
  <dcterms:created xsi:type="dcterms:W3CDTF">2022-04-05T10:02:00Z</dcterms:created>
  <dcterms:modified xsi:type="dcterms:W3CDTF">2022-07-01T07:17:00Z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