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1723" w14:textId="2D738098" w:rsidR="00393761" w:rsidRPr="007D605C" w:rsidRDefault="00BD4270" w:rsidP="00F049AB">
      <w:pPr>
        <w:pStyle w:val="Tytuinfomacjisygnalnej"/>
      </w:pPr>
      <w:r w:rsidRPr="0026490D">
        <w:t>Przeciętne zatrudnienie</w:t>
      </w:r>
      <w:r>
        <w:rPr>
          <w:rStyle w:val="Odwoanieprzypisudolnego"/>
        </w:rPr>
        <w:footnoteReference w:id="1"/>
      </w:r>
      <w:r w:rsidRPr="0026490D">
        <w:t xml:space="preserve"> i wynagrodzenie w</w:t>
      </w:r>
      <w:r w:rsidR="005C4137">
        <w:t> sektorze przedsiębiorstw w</w:t>
      </w:r>
      <w:r w:rsidR="003A66AF">
        <w:t xml:space="preserve"> </w:t>
      </w:r>
      <w:r w:rsidR="005C4137">
        <w:t>listopadzie</w:t>
      </w:r>
      <w:r w:rsidR="00B0362E">
        <w:t xml:space="preserve"> </w:t>
      </w:r>
      <w:r>
        <w:t>2022</w:t>
      </w:r>
      <w:r w:rsidRPr="0026490D">
        <w:t xml:space="preserve"> r.</w:t>
      </w:r>
      <w:r w:rsidR="00364AF9" w:rsidRPr="007D605C">
        <w:rPr>
          <w:sz w:val="32"/>
        </w:rPr>
        <w:tab/>
      </w:r>
    </w:p>
    <w:p w14:paraId="35DE4074" w14:textId="77D6EC72" w:rsidR="00DE58F1" w:rsidRPr="006F6EE4" w:rsidRDefault="00000000" w:rsidP="00F049AB">
      <w:pPr>
        <w:pStyle w:val="Lead"/>
        <w:rPr>
          <w:rFonts w:eastAsia="Times New Roman" w:cs="Times New Roman"/>
          <w:bCs/>
          <w:noProof w:val="0"/>
        </w:rPr>
      </w:pPr>
      <w:r>
        <w:rPr>
          <w:color w:val="001D77"/>
        </w:rPr>
        <w:pict w14:anchorId="6A1C2E56">
          <v:roundrect id="Pole tekstowe 2" o:spid="_x0000_s2050" alt="Wzrost o 2,3% rok do roku przeciętnego zatrudnienia w sektorze przedsiębiorstw" style="position:absolute;margin-left:.05pt;margin-top:5.45pt;width:173.55pt;height:91.1pt;z-index:251738112;visibility:visible;mso-wrap-distance-top:3.6pt;mso-wrap-distance-bottom:3.6pt;mso-position-horizontal-relative:margin;mso-width-relative:margin;mso-height-relative:margin" arcsize="10923f" fillcolor="#001d77" stroked="f">
            <v:stroke joinstyle="miter"/>
            <v:textbox style="mso-next-textbox:#Pole tekstowe 2">
              <w:txbxContent>
                <w:p w14:paraId="224E81F2" w14:textId="77777777" w:rsidR="00C86BE2" w:rsidRPr="000430E2" w:rsidRDefault="00C86BE2" w:rsidP="00CB6AD4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</w:pPr>
                  <w:r w:rsidRPr="00F049AB">
                    <w:rPr>
                      <w:rStyle w:val="IkonawskanikaZnak"/>
                    </w:rPr>
                    <w:sym w:font="Wingdings" w:char="F0F1"/>
                  </w:r>
                  <w:r w:rsidRPr="000430E2"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  <w:t xml:space="preserve"> </w:t>
                  </w:r>
                  <w:r w:rsidR="00B0362E">
                    <w:rPr>
                      <w:rStyle w:val="WartowskanikaZnak"/>
                    </w:rPr>
                    <w:t>2,3</w:t>
                  </w:r>
                  <w:r>
                    <w:rPr>
                      <w:rStyle w:val="WartowskanikaZnak"/>
                    </w:rPr>
                    <w:t>%</w:t>
                  </w:r>
                </w:p>
                <w:p w14:paraId="38DBF476" w14:textId="77777777" w:rsidR="00C86BE2" w:rsidRPr="000430E2" w:rsidRDefault="00C86BE2" w:rsidP="000430E2">
                  <w:pPr>
                    <w:spacing w:after="0" w:line="240" w:lineRule="auto"/>
                    <w:rPr>
                      <w:color w:val="FFFFFF"/>
                      <w:sz w:val="20"/>
                      <w:szCs w:val="20"/>
                    </w:rPr>
                  </w:pPr>
                  <w:r w:rsidRPr="000430E2">
                    <w:rPr>
                      <w:sz w:val="20"/>
                      <w:szCs w:val="20"/>
                    </w:rPr>
                    <w:t>Wzrost r/r przeciętnego zatrudnienia w sektorze przedsiębiorstw</w:t>
                  </w:r>
                </w:p>
                <w:p w14:paraId="693E1AA5" w14:textId="77777777" w:rsidR="00C86BE2" w:rsidRPr="007D605C" w:rsidRDefault="00C86BE2" w:rsidP="000430E2">
                  <w:pPr>
                    <w:pStyle w:val="Opiswskanika"/>
                    <w:rPr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roundrect>
        </w:pict>
      </w:r>
      <w:r w:rsidR="00074DD8" w:rsidRPr="00841E07">
        <w:rPr>
          <w:color w:val="001D77"/>
        </w:rPr>
        <w:t xml:space="preserve"> </w:t>
      </w:r>
      <w:r w:rsidR="0081223F" w:rsidRPr="00841E07">
        <w:rPr>
          <w:color w:val="001D77"/>
        </w:rPr>
        <w:br/>
      </w:r>
      <w:r w:rsidR="00B0362E">
        <w:t xml:space="preserve">W </w:t>
      </w:r>
      <w:r w:rsidR="00881C72">
        <w:t>listopadzie</w:t>
      </w:r>
      <w:r w:rsidR="00B0362E">
        <w:t xml:space="preserve"> </w:t>
      </w:r>
      <w:r w:rsidR="00841E07" w:rsidRPr="00841E07">
        <w:t>2022 r. przeciętne za</w:t>
      </w:r>
      <w:r w:rsidR="00841E07">
        <w:t>trudnienie w sektorze</w:t>
      </w:r>
      <w:r w:rsidR="007C588D">
        <w:t xml:space="preserve"> przedsiębiorstw w porównaniu z </w:t>
      </w:r>
      <w:r w:rsidR="00881C72">
        <w:t>listopade</w:t>
      </w:r>
      <w:r w:rsidR="00B0362E">
        <w:t>m</w:t>
      </w:r>
      <w:r w:rsidR="00841E07">
        <w:t xml:space="preserve"> 2021 r. było wyższe o 2,</w:t>
      </w:r>
      <w:r w:rsidR="00B0362E">
        <w:t>3</w:t>
      </w:r>
      <w:r w:rsidR="00841E07">
        <w:t xml:space="preserve">% i wyniosło </w:t>
      </w:r>
      <w:r w:rsidR="00B0362E">
        <w:t>6</w:t>
      </w:r>
      <w:r w:rsidR="00881C72">
        <w:t>507</w:t>
      </w:r>
      <w:r w:rsidR="00B0362E">
        <w:t>,</w:t>
      </w:r>
      <w:r w:rsidR="00881C72">
        <w:t>5</w:t>
      </w:r>
      <w:r w:rsidR="00C05F95">
        <w:t xml:space="preserve"> </w:t>
      </w:r>
      <w:r w:rsidR="00841E07">
        <w:t xml:space="preserve">tys. etatów. </w:t>
      </w:r>
      <w:r w:rsidR="00841E07" w:rsidRPr="00841E07">
        <w:t>W stosunku do poprzednieg</w:t>
      </w:r>
      <w:r w:rsidR="00841E07">
        <w:t xml:space="preserve">o miesiąca przeciętne zatrudnienie </w:t>
      </w:r>
      <w:r w:rsidR="00C05F95">
        <w:t>z</w:t>
      </w:r>
      <w:r w:rsidR="00881C72">
        <w:t>więk</w:t>
      </w:r>
      <w:r w:rsidR="00C05F95">
        <w:t>szyło</w:t>
      </w:r>
      <w:r w:rsidR="00937591">
        <w:t xml:space="preserve"> się</w:t>
      </w:r>
      <w:r w:rsidR="001F3F7A">
        <w:t xml:space="preserve"> minimalnie</w:t>
      </w:r>
      <w:r w:rsidR="009B33BA">
        <w:t xml:space="preserve"> </w:t>
      </w:r>
      <w:r w:rsidR="00E65275">
        <w:t>(</w:t>
      </w:r>
      <w:r w:rsidR="00841E07">
        <w:t>o</w:t>
      </w:r>
      <w:r w:rsidR="009B33BA">
        <w:t> 0</w:t>
      </w:r>
      <w:r w:rsidR="00841E07">
        <w:t>,</w:t>
      </w:r>
      <w:r w:rsidR="00C05F95">
        <w:t>1</w:t>
      </w:r>
      <w:r w:rsidR="00841E07">
        <w:t>%</w:t>
      </w:r>
      <w:r w:rsidR="00E65275">
        <w:t>)</w:t>
      </w:r>
      <w:r w:rsidR="00841E07">
        <w:t xml:space="preserve">. </w:t>
      </w:r>
    </w:p>
    <w:p w14:paraId="2A5B7876" w14:textId="7D838439" w:rsidR="00BD4270" w:rsidRPr="00841E07" w:rsidRDefault="00000000" w:rsidP="00BD4270">
      <w:pPr>
        <w:pStyle w:val="Lead"/>
        <w:rPr>
          <w:rFonts w:eastAsia="Times New Roman" w:cs="Times New Roman"/>
          <w:bCs/>
          <w:noProof w:val="0"/>
        </w:rPr>
      </w:pPr>
      <w:r>
        <w:rPr>
          <w:color w:val="001D77"/>
        </w:rPr>
        <w:pict w14:anchorId="562A9326">
          <v:roundrect id="_x0000_s2057" alt="Wzrost o 13,9% rok do roku przeciętnego miesięcznego wynagrodzenia brutto w sektorze przedsiębiorstw" style="position:absolute;margin-left:.05pt;margin-top:38.75pt;width:173.55pt;height:91pt;z-index:251758592;visibility:visible;mso-wrap-distance-top:3.6pt;mso-wrap-distance-bottom:3.6pt;mso-position-horizontal-relative:margin;mso-width-relative:margin;mso-height-relative:margin" arcsize="10923f" fillcolor="#001d77" stroked="f">
            <v:stroke joinstyle="miter"/>
            <v:textbox style="mso-next-textbox:#_x0000_s2057">
              <w:txbxContent>
                <w:p w14:paraId="72689856" w14:textId="724358A1" w:rsidR="00C86BE2" w:rsidRPr="000430E2" w:rsidRDefault="00C86BE2" w:rsidP="00BD4270">
                  <w:pPr>
                    <w:autoSpaceDE w:val="0"/>
                    <w:autoSpaceDN w:val="0"/>
                    <w:adjustRightInd w:val="0"/>
                    <w:spacing w:before="0" w:after="0" w:line="240" w:lineRule="auto"/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</w:pPr>
                  <w:r w:rsidRPr="00F049AB">
                    <w:rPr>
                      <w:rStyle w:val="IkonawskanikaZnak"/>
                    </w:rPr>
                    <w:sym w:font="Wingdings" w:char="F0F1"/>
                  </w:r>
                  <w:r w:rsidRPr="000430E2">
                    <w:rPr>
                      <w:rFonts w:ascii="Fira Sans SemiBold" w:hAnsi="Fira Sans SemiBold"/>
                      <w:color w:val="FFFFFF" w:themeColor="background1"/>
                      <w:sz w:val="60"/>
                      <w:szCs w:val="60"/>
                    </w:rPr>
                    <w:t xml:space="preserve"> </w:t>
                  </w:r>
                  <w:r>
                    <w:rPr>
                      <w:rStyle w:val="WartowskanikaZnak"/>
                    </w:rPr>
                    <w:t>1</w:t>
                  </w:r>
                  <w:r w:rsidR="00874075">
                    <w:rPr>
                      <w:rStyle w:val="WartowskanikaZnak"/>
                    </w:rPr>
                    <w:t>3</w:t>
                  </w:r>
                  <w:r>
                    <w:rPr>
                      <w:rStyle w:val="WartowskanikaZnak"/>
                    </w:rPr>
                    <w:t>,</w:t>
                  </w:r>
                  <w:r w:rsidR="00874075">
                    <w:rPr>
                      <w:rStyle w:val="WartowskanikaZnak"/>
                    </w:rPr>
                    <w:t>9</w:t>
                  </w:r>
                  <w:r>
                    <w:rPr>
                      <w:rStyle w:val="WartowskanikaZnak"/>
                    </w:rPr>
                    <w:t>%</w:t>
                  </w:r>
                </w:p>
                <w:p w14:paraId="31A90245" w14:textId="77777777" w:rsidR="00C86BE2" w:rsidRPr="000430E2" w:rsidRDefault="00C86BE2" w:rsidP="000430E2">
                  <w:pPr>
                    <w:spacing w:after="0" w:line="240" w:lineRule="auto"/>
                    <w:rPr>
                      <w:color w:val="FFFFFF"/>
                      <w:sz w:val="20"/>
                      <w:szCs w:val="20"/>
                    </w:rPr>
                  </w:pPr>
                  <w:r w:rsidRPr="000430E2">
                    <w:rPr>
                      <w:sz w:val="20"/>
                      <w:szCs w:val="20"/>
                    </w:rPr>
                    <w:t>Wzrost r/r przeciętnego miesięcznego wynagrodzenia brutto w sektorze przedsiębiorstw</w:t>
                  </w:r>
                </w:p>
              </w:txbxContent>
            </v:textbox>
            <w10:wrap type="square" anchorx="margin"/>
          </v:roundrect>
        </w:pict>
      </w:r>
      <w:r w:rsidR="0081223F" w:rsidRPr="00841E07">
        <w:br/>
      </w:r>
      <w:r w:rsidR="00841E07">
        <w:br/>
      </w:r>
      <w:r w:rsidR="0081223F" w:rsidRPr="00841E07">
        <w:br/>
      </w:r>
      <w:r w:rsidR="00841E07" w:rsidRPr="00841E07">
        <w:t>Przeciętne miesięczne wynagro</w:t>
      </w:r>
      <w:r w:rsidR="00841E07">
        <w:t>dzenie w sektorze przedsiębiorstw w</w:t>
      </w:r>
      <w:r w:rsidR="00B0362E">
        <w:t xml:space="preserve"> </w:t>
      </w:r>
      <w:r w:rsidR="009F4081">
        <w:t>listopadzie</w:t>
      </w:r>
      <w:r w:rsidR="00B0362E">
        <w:t xml:space="preserve"> </w:t>
      </w:r>
      <w:r w:rsidR="00E1370A">
        <w:t>2022 r. w </w:t>
      </w:r>
      <w:r w:rsidR="00841E07">
        <w:t>porównaniu z</w:t>
      </w:r>
      <w:r w:rsidR="009B33BA">
        <w:t> </w:t>
      </w:r>
      <w:r w:rsidR="009F4081">
        <w:t>listopade</w:t>
      </w:r>
      <w:r w:rsidR="00B0362E">
        <w:t>m</w:t>
      </w:r>
      <w:r w:rsidR="00E1370A">
        <w:t xml:space="preserve"> 2021 r. było wyższe o </w:t>
      </w:r>
      <w:r w:rsidR="003C5476">
        <w:t>1</w:t>
      </w:r>
      <w:r w:rsidR="009F4081">
        <w:t>3</w:t>
      </w:r>
      <w:r w:rsidR="006462B4">
        <w:t>,</w:t>
      </w:r>
      <w:r w:rsidR="009F4081">
        <w:t>9</w:t>
      </w:r>
      <w:r w:rsidR="00841E07">
        <w:t xml:space="preserve">% i wyniosło </w:t>
      </w:r>
      <w:r w:rsidR="00B0362E">
        <w:t>6</w:t>
      </w:r>
      <w:r w:rsidR="00874075">
        <w:t>85</w:t>
      </w:r>
      <w:r w:rsidR="00B0362E">
        <w:t>7,</w:t>
      </w:r>
      <w:r w:rsidR="00874075">
        <w:t>96</w:t>
      </w:r>
      <w:r w:rsidR="009B33BA">
        <w:t xml:space="preserve"> </w:t>
      </w:r>
      <w:r w:rsidR="00841E07">
        <w:t xml:space="preserve">zł (brutto). </w:t>
      </w:r>
      <w:r w:rsidR="00841E07" w:rsidRPr="00841E07">
        <w:t xml:space="preserve">Względem </w:t>
      </w:r>
      <w:r w:rsidR="00874075">
        <w:t>października</w:t>
      </w:r>
      <w:r w:rsidR="00841E07" w:rsidRPr="00841E07">
        <w:t xml:space="preserve"> 202</w:t>
      </w:r>
      <w:r w:rsidR="009B33BA">
        <w:t>2</w:t>
      </w:r>
      <w:r w:rsidR="00841E07" w:rsidRPr="00841E07">
        <w:t xml:space="preserve"> r. przeciętne</w:t>
      </w:r>
      <w:r w:rsidR="00841E07">
        <w:t xml:space="preserve"> miesięczne wynagrodzenie brutto </w:t>
      </w:r>
      <w:r w:rsidR="00B0362E">
        <w:t>zwięk</w:t>
      </w:r>
      <w:r w:rsidR="00385402">
        <w:t>s</w:t>
      </w:r>
      <w:r w:rsidR="00B0362E">
        <w:t>zyło</w:t>
      </w:r>
      <w:r w:rsidR="00C05F95">
        <w:t xml:space="preserve"> się</w:t>
      </w:r>
      <w:r w:rsidR="009B33BA">
        <w:t xml:space="preserve"> </w:t>
      </w:r>
      <w:r w:rsidR="00841E07">
        <w:t xml:space="preserve">o </w:t>
      </w:r>
      <w:r w:rsidR="00874075">
        <w:t>2</w:t>
      </w:r>
      <w:r w:rsidR="00841E07">
        <w:t>,</w:t>
      </w:r>
      <w:r w:rsidR="00874075">
        <w:t>5</w:t>
      </w:r>
      <w:r w:rsidR="00841E07">
        <w:t xml:space="preserve">%. </w:t>
      </w:r>
    </w:p>
    <w:p w14:paraId="122903F0" w14:textId="77777777" w:rsidR="00E95B8E" w:rsidRPr="00F8556E" w:rsidRDefault="00000000" w:rsidP="00E95B8E">
      <w:pPr>
        <w:pStyle w:val="Nagwek1"/>
        <w:rPr>
          <w:rFonts w:ascii="Fira Sans" w:hAnsi="Fira Sans"/>
          <w:b/>
          <w:szCs w:val="19"/>
        </w:rPr>
      </w:pPr>
      <w:r>
        <w:rPr>
          <w:rFonts w:eastAsia="Calibri"/>
          <w:noProof/>
          <w:lang w:val="en-GB" w:eastAsia="en-GB"/>
        </w:rPr>
        <w:pict w14:anchorId="3A5C06F3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alt="Pole tekstowe: Sektor przedsiębiorstw stanowi część gospodarki narodowej, to znaczy, że dane dotyczą wybranych podmiotów prowadzących działalność gospodarczą" style="position:absolute;margin-left:229.1pt;margin-top:23.35pt;width:135.6pt;height:105.75pt;z-index:-251555840;visibility:visible;mso-wrap-distance-top:3.6pt;mso-wrap-distance-bottom:3.6pt;mso-width-relative:margin;mso-height-relative:margin" wrapcoords="0 0" filled="f" stroked="f">
            <v:textbox style="mso-next-textbox:#_x0000_s2058">
              <w:txbxContent>
                <w:p w14:paraId="248427FE" w14:textId="77777777" w:rsidR="00C86BE2" w:rsidRPr="00705D39" w:rsidRDefault="00C86BE2" w:rsidP="006044B7">
                  <w:pPr>
                    <w:pStyle w:val="tekstzboku"/>
                    <w:spacing w:before="240" w:line="240" w:lineRule="auto"/>
                    <w:rPr>
                      <w:bCs w:val="0"/>
                    </w:rPr>
                  </w:pPr>
                  <w:r w:rsidRPr="00CE4352">
                    <w:rPr>
                      <w:b/>
                    </w:rPr>
                    <w:t>Sektor przedsiębiorstw</w:t>
                  </w:r>
                  <w:r>
                    <w:t xml:space="preserve"> stanowi część gospodarki narodowej, to znaczy, że dane dotyczą wybranych podmiotów prowadzących działalność gospodarczą</w:t>
                  </w:r>
                </w:p>
              </w:txbxContent>
            </v:textbox>
            <w10:wrap type="tight"/>
          </v:shape>
        </w:pict>
      </w:r>
      <w:r w:rsidR="00F8556E" w:rsidRPr="00F8556E">
        <w:rPr>
          <w:rFonts w:ascii="Fira Sans" w:hAnsi="Fira Sans"/>
          <w:b/>
          <w:szCs w:val="19"/>
        </w:rPr>
        <w:br/>
        <w:t>Rynek pracy w sektorze przedsiębiorstw</w:t>
      </w:r>
    </w:p>
    <w:p w14:paraId="4A88C316" w14:textId="289D513B" w:rsidR="00F8556E" w:rsidRDefault="00F8556E" w:rsidP="00F8556E">
      <w:pPr>
        <w:spacing w:line="288" w:lineRule="auto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D</w:t>
      </w:r>
      <w:r w:rsidRPr="00890841">
        <w:rPr>
          <w:rFonts w:eastAsia="Calibri"/>
          <w:shd w:val="clear" w:color="auto" w:fill="FFFFFF"/>
        </w:rPr>
        <w:t>ane odnoszące się do sektora przedsiębiorstw 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prowadzona jest działalność gospodarcz</w:t>
      </w:r>
      <w:r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zaklasyfikowana do </w:t>
      </w:r>
      <w:r w:rsidRPr="004C3D61">
        <w:rPr>
          <w:rFonts w:eastAsia="Calibri"/>
          <w:b/>
          <w:shd w:val="clear" w:color="auto" w:fill="FFFFFF"/>
        </w:rPr>
        <w:t>wybranych rodzajów działalności PKD 2007</w:t>
      </w:r>
      <w:r w:rsidRPr="004C3D61">
        <w:rPr>
          <w:rStyle w:val="Odwoanieprzypisudolnego"/>
          <w:rFonts w:eastAsia="Calibri"/>
          <w:b/>
          <w:shd w:val="clear" w:color="auto" w:fill="FFFFFF"/>
        </w:rPr>
        <w:footnoteReference w:id="2"/>
      </w:r>
      <w:r w:rsidRPr="004C3D61">
        <w:rPr>
          <w:rFonts w:eastAsia="Calibri"/>
          <w:b/>
          <w:shd w:val="clear" w:color="auto" w:fill="FFFFFF"/>
        </w:rPr>
        <w:t xml:space="preserve">, </w:t>
      </w:r>
      <w:r w:rsidR="00DF390C">
        <w:rPr>
          <w:rFonts w:eastAsia="Calibri"/>
          <w:b/>
          <w:shd w:val="clear" w:color="auto" w:fill="FFFFFF"/>
        </w:rPr>
        <w:t>o liczbie pracujących 10 i więcej osób</w:t>
      </w:r>
      <w:r w:rsidRPr="00890841">
        <w:rPr>
          <w:rFonts w:eastAsia="Calibri"/>
          <w:shd w:val="clear" w:color="auto" w:fill="FFFFFF"/>
        </w:rPr>
        <w:t>.</w:t>
      </w:r>
      <w:r>
        <w:rPr>
          <w:rFonts w:eastAsia="Calibri"/>
          <w:shd w:val="clear" w:color="auto" w:fill="FFFFFF"/>
        </w:rPr>
        <w:t xml:space="preserve"> </w:t>
      </w:r>
      <w:r w:rsidRPr="004C3D61">
        <w:rPr>
          <w:rFonts w:eastAsia="Calibri"/>
          <w:shd w:val="clear" w:color="auto" w:fill="FFFFFF"/>
        </w:rPr>
        <w:t>W związku z tym, badanie nie obejmuje m.in.</w:t>
      </w:r>
      <w:r w:rsidRPr="004C3D61">
        <w:rPr>
          <w:i/>
          <w:iCs/>
          <w:color w:val="1F497D"/>
          <w:sz w:val="18"/>
          <w:szCs w:val="18"/>
        </w:rPr>
        <w:t xml:space="preserve"> </w:t>
      </w:r>
      <w:r w:rsidRPr="004C3D61">
        <w:rPr>
          <w:rFonts w:eastAsia="Calibri"/>
          <w:shd w:val="clear" w:color="auto" w:fill="FFFFFF"/>
        </w:rPr>
        <w:t>adm</w:t>
      </w:r>
      <w:r>
        <w:rPr>
          <w:rFonts w:eastAsia="Calibri"/>
          <w:shd w:val="clear" w:color="auto" w:fill="FFFFFF"/>
        </w:rPr>
        <w:t xml:space="preserve">inistracji publicznej, edukacji, </w:t>
      </w:r>
      <w:r w:rsidRPr="004C3D61">
        <w:rPr>
          <w:rFonts w:eastAsia="Calibri"/>
          <w:shd w:val="clear" w:color="auto" w:fill="FFFFFF"/>
        </w:rPr>
        <w:t>opieki zdrowotnej i pomocy społecznej</w:t>
      </w:r>
      <w:r>
        <w:rPr>
          <w:rFonts w:eastAsia="Calibri"/>
          <w:shd w:val="clear" w:color="auto" w:fill="FFFFFF"/>
        </w:rPr>
        <w:t>.</w:t>
      </w:r>
      <w:r w:rsidRPr="00890841">
        <w:rPr>
          <w:rFonts w:eastAsia="Calibri"/>
          <w:shd w:val="clear" w:color="auto" w:fill="FFFFFF"/>
        </w:rPr>
        <w:t xml:space="preserve"> </w:t>
      </w:r>
    </w:p>
    <w:p w14:paraId="7BB105F8" w14:textId="33D6C7AD" w:rsidR="00F8556E" w:rsidRPr="00841E07" w:rsidRDefault="00F8556E" w:rsidP="00E95B03">
      <w:pPr>
        <w:spacing w:before="360" w:line="240" w:lineRule="auto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r w:rsidRPr="00841E07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Tablica 1. Przeciętne zatrudnienie i przeciętne miesięc</w:t>
      </w:r>
      <w:r w:rsidR="00FC604F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zne wynagrodzeni</w:t>
      </w:r>
      <w:r w:rsidR="00B5507D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a</w:t>
      </w:r>
      <w:r w:rsidR="00FC604F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 w sektorze</w:t>
      </w:r>
      <w:r w:rsidR="00FC604F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br/>
      </w:r>
      <w:r w:rsidR="00B0362E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przedsiębiorstw w </w:t>
      </w:r>
      <w:r w:rsidR="00874075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listopadzie</w:t>
      </w:r>
      <w:r w:rsidR="00B0362E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 xml:space="preserve"> </w:t>
      </w:r>
      <w:r w:rsidRPr="00841E07">
        <w:rPr>
          <w:rFonts w:eastAsia="Times New Roman" w:cs="Times New Roman"/>
          <w:b/>
          <w:bCs/>
          <w:color w:val="000000" w:themeColor="text1"/>
          <w:szCs w:val="19"/>
          <w:lang w:eastAsia="pl-PL"/>
        </w:rPr>
        <w:t>2022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993"/>
        <w:gridCol w:w="1417"/>
        <w:gridCol w:w="1134"/>
      </w:tblGrid>
      <w:tr w:rsidR="00DA1CCA" w:rsidRPr="002751A8" w14:paraId="77530EC2" w14:textId="77777777" w:rsidTr="00F72CEE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14:paraId="513EF946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EDC7C5" w14:textId="36E43DEE" w:rsidR="00DA1CCA" w:rsidRPr="00CC690C" w:rsidRDefault="00874075" w:rsidP="00B0362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 w:rsidR="00B529B5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815CC7F" w14:textId="2D40F08A" w:rsidR="00DA1CCA" w:rsidRPr="00CC690C" w:rsidRDefault="00C17358" w:rsidP="00874075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01-</w:t>
            </w:r>
            <w:r w:rsidR="00874075"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 w:rsidR="00B529B5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</w:tr>
      <w:tr w:rsidR="00DA1CCA" w:rsidRPr="002751A8" w14:paraId="38517AC0" w14:textId="77777777" w:rsidTr="00F72CEE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6A1499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A50F9E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54F8AA" w14:textId="0AE6CC4B" w:rsidR="00DA1CCA" w:rsidRPr="00CC690C" w:rsidRDefault="00874075" w:rsidP="00B0362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>22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=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D46A8C" w14:textId="172B31B3" w:rsidR="00DA1CCA" w:rsidRPr="00CC690C" w:rsidRDefault="00874075" w:rsidP="00B0362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2021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</w:t>
            </w:r>
            <w:r w:rsidR="00DA1CCA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=</w:t>
            </w:r>
            <w:r w:rsidR="00DA1CCA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45086010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14:paraId="6D5A3288" w14:textId="1EA0D204" w:rsidR="00DA1CCA" w:rsidRPr="00CC690C" w:rsidRDefault="00DA1CCA" w:rsidP="00874075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01-</w:t>
            </w:r>
            <w:r w:rsidR="00874075"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2021= =100</w:t>
            </w:r>
          </w:p>
        </w:tc>
      </w:tr>
      <w:tr w:rsidR="00DA1CCA" w:rsidRPr="002751A8" w14:paraId="6A1B29AF" w14:textId="77777777" w:rsidTr="00F72CEE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DEEE98" w14:textId="77777777" w:rsidR="00DA1CCA" w:rsidRPr="00CC690C" w:rsidRDefault="00DA1CCA" w:rsidP="00F72CE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. etatów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B7404B4" w14:textId="57A06676" w:rsidR="00DA1CCA" w:rsidRPr="00CC690C" w:rsidRDefault="00B0362E" w:rsidP="00874075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874075">
              <w:rPr>
                <w:rFonts w:ascii="Fira Sans" w:hAnsi="Fira Sans" w:cs="Arial"/>
                <w:color w:val="000000"/>
                <w:sz w:val="16"/>
                <w:szCs w:val="16"/>
              </w:rPr>
              <w:t>507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874075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E52BCD" w14:textId="3959FED9" w:rsidR="00DA1CCA" w:rsidRPr="002E7CC3" w:rsidRDefault="00874075" w:rsidP="00874075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</w:t>
            </w:r>
            <w:r w:rsidR="00C05F95"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CE636F" w14:textId="77777777" w:rsidR="00DA1CCA" w:rsidRPr="00CC690C" w:rsidRDefault="00DA1CCA" w:rsidP="00B0362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</w:t>
            </w:r>
            <w:r w:rsidR="00B0362E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EC9A537" w14:textId="03F4886B" w:rsidR="00DA1CCA" w:rsidRPr="00CC690C" w:rsidRDefault="00B0362E" w:rsidP="00874075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649</w:t>
            </w:r>
            <w:r w:rsidR="00874075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874075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8D40D9E" w14:textId="77777777" w:rsidR="00DA1CCA" w:rsidRPr="00CC690C" w:rsidRDefault="00DA1CCA" w:rsidP="008C6902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</w:t>
            </w:r>
            <w:r w:rsidR="008C6902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</w:tr>
      <w:tr w:rsidR="00DA1CCA" w:rsidRPr="002751A8" w14:paraId="1910F38F" w14:textId="77777777" w:rsidTr="00F72CEE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F1AFCC3" w14:textId="77777777" w:rsidR="00DA1CCA" w:rsidRPr="00CC690C" w:rsidRDefault="00DA1CCA" w:rsidP="00B5507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Przeciętne wynagrodze</w:t>
            </w:r>
            <w:r w:rsidR="00B5507D">
              <w:rPr>
                <w:rFonts w:ascii="Fira Sans" w:hAnsi="Fira Sans" w:cs="Arial"/>
                <w:color w:val="000000"/>
                <w:sz w:val="16"/>
                <w:szCs w:val="16"/>
              </w:rPr>
              <w:t>nia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5F84AE" w14:textId="60585412" w:rsidR="00DA1CCA" w:rsidRPr="00CC690C" w:rsidRDefault="00B0362E" w:rsidP="001B154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71D7C3" w14:textId="69C587F2" w:rsidR="00DA1CCA" w:rsidRPr="00CC690C" w:rsidRDefault="00B0362E" w:rsidP="001B154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 w:rsidR="00C05F95"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6F116E" w14:textId="2241D798" w:rsidR="00DA1CCA" w:rsidRPr="00CC690C" w:rsidRDefault="00C05F95" w:rsidP="001B154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B0362E"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21FC8EA4" w14:textId="17752298" w:rsidR="00DA1CCA" w:rsidRPr="00CC690C" w:rsidRDefault="00B0362E" w:rsidP="001B154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94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0F8EFB5" w14:textId="282E8156" w:rsidR="00DA1CCA" w:rsidRPr="00CC690C" w:rsidRDefault="00AD22EC" w:rsidP="001B154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426A32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8C6902">
              <w:rPr>
                <w:rFonts w:ascii="Fira Sans" w:hAnsi="Fira Sans" w:cs="Arial"/>
                <w:color w:val="000000"/>
                <w:sz w:val="16"/>
                <w:szCs w:val="16"/>
              </w:rPr>
              <w:t>3,</w:t>
            </w:r>
            <w:r w:rsidR="001B1543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  <w:tr w:rsidR="00DA1CCA" w:rsidRPr="002751A8" w14:paraId="2E62BDEA" w14:textId="77777777" w:rsidTr="00F72CEE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5C71B7" w14:textId="77777777" w:rsidR="00DA1CCA" w:rsidRPr="00CC690C" w:rsidRDefault="00DA1CCA" w:rsidP="00F72CE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835F3D" w14:textId="28650CF0" w:rsidR="00DA1CCA" w:rsidRPr="00CC690C" w:rsidRDefault="00B0362E" w:rsidP="0047047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85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E94DE6" w14:textId="5E2330A5" w:rsidR="00DA1CCA" w:rsidRPr="00CC690C" w:rsidRDefault="00B0362E" w:rsidP="0047047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5E46DF" w14:textId="54B154D9" w:rsidR="00DA1CCA" w:rsidRPr="00CC690C" w:rsidRDefault="00B0362E" w:rsidP="0047047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14:paraId="25D1BC72" w14:textId="399EE057" w:rsidR="00DA1CCA" w:rsidRPr="00CC690C" w:rsidRDefault="00B0362E" w:rsidP="0047047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93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7A371663" w14:textId="41FE46F2" w:rsidR="00DA1CCA" w:rsidRPr="00CC690C" w:rsidRDefault="00AD22EC" w:rsidP="0047047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</w:t>
            </w:r>
            <w:r w:rsidR="008C6902">
              <w:rPr>
                <w:rFonts w:ascii="Fira Sans" w:hAnsi="Fira Sans" w:cs="Arial"/>
                <w:color w:val="000000"/>
                <w:sz w:val="16"/>
                <w:szCs w:val="16"/>
              </w:rPr>
              <w:t>3,</w:t>
            </w:r>
            <w:r w:rsidR="0047047C">
              <w:rPr>
                <w:rFonts w:ascii="Fira Sans" w:hAnsi="Fira Sans" w:cs="Arial"/>
                <w:color w:val="000000"/>
                <w:sz w:val="16"/>
                <w:szCs w:val="16"/>
              </w:rPr>
              <w:t>4</w:t>
            </w:r>
          </w:p>
        </w:tc>
      </w:tr>
    </w:tbl>
    <w:p w14:paraId="1D1C8DDB" w14:textId="77777777" w:rsidR="00B07A14" w:rsidRDefault="00B07A14" w:rsidP="005A3892">
      <w:pPr>
        <w:spacing w:line="288" w:lineRule="auto"/>
        <w:rPr>
          <w:rFonts w:eastAsia="Calibri"/>
          <w:shd w:val="clear" w:color="auto" w:fill="FFFFFF"/>
        </w:rPr>
      </w:pPr>
    </w:p>
    <w:p w14:paraId="6B7AC7D9" w14:textId="308DEE66" w:rsidR="00E46E44" w:rsidRDefault="00B0362E" w:rsidP="005A3892">
      <w:pPr>
        <w:spacing w:line="288" w:lineRule="auto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lastRenderedPageBreak/>
        <w:t xml:space="preserve">W </w:t>
      </w:r>
      <w:r w:rsidR="00B07BD9">
        <w:rPr>
          <w:rFonts w:eastAsia="Calibri"/>
          <w:shd w:val="clear" w:color="auto" w:fill="FFFFFF"/>
        </w:rPr>
        <w:t>listopadzie</w:t>
      </w:r>
      <w:r>
        <w:rPr>
          <w:rFonts w:eastAsia="Calibri"/>
          <w:shd w:val="clear" w:color="auto" w:fill="FFFFFF"/>
        </w:rPr>
        <w:t xml:space="preserve"> </w:t>
      </w:r>
      <w:r w:rsidR="00EB46DB">
        <w:rPr>
          <w:rFonts w:eastAsia="Calibri"/>
          <w:shd w:val="clear" w:color="auto" w:fill="FFFFFF"/>
        </w:rPr>
        <w:t xml:space="preserve">w porównaniu z </w:t>
      </w:r>
      <w:r w:rsidR="00B07BD9">
        <w:rPr>
          <w:rFonts w:eastAsia="Calibri"/>
          <w:shd w:val="clear" w:color="auto" w:fill="FFFFFF"/>
        </w:rPr>
        <w:t>październik</w:t>
      </w:r>
      <w:r>
        <w:rPr>
          <w:rFonts w:eastAsia="Calibri"/>
          <w:shd w:val="clear" w:color="auto" w:fill="FFFFFF"/>
        </w:rPr>
        <w:t>iem</w:t>
      </w:r>
      <w:r w:rsidR="00EB46DB">
        <w:rPr>
          <w:rFonts w:eastAsia="Calibri"/>
          <w:shd w:val="clear" w:color="auto" w:fill="FFFFFF"/>
        </w:rPr>
        <w:t xml:space="preserve"> </w:t>
      </w:r>
      <w:r w:rsidR="00CB13DD">
        <w:rPr>
          <w:rFonts w:eastAsia="Calibri"/>
          <w:shd w:val="clear" w:color="auto" w:fill="FFFFFF"/>
        </w:rPr>
        <w:t xml:space="preserve">2022 r. </w:t>
      </w:r>
      <w:r w:rsidR="00CB13DD" w:rsidRPr="006F44E3">
        <w:rPr>
          <w:rFonts w:eastAsia="Calibri"/>
          <w:b/>
          <w:shd w:val="clear" w:color="auto" w:fill="FFFFFF"/>
        </w:rPr>
        <w:t>przeciętne zatrudnienie w sektorze przedsiębiorstw</w:t>
      </w:r>
      <w:r w:rsidR="00CB13DD">
        <w:rPr>
          <w:rFonts w:eastAsia="Calibri"/>
          <w:shd w:val="clear" w:color="auto" w:fill="FFFFFF"/>
        </w:rPr>
        <w:t xml:space="preserve"> </w:t>
      </w:r>
      <w:r w:rsidR="00925A80">
        <w:rPr>
          <w:rFonts w:eastAsia="Calibri"/>
          <w:shd w:val="clear" w:color="auto" w:fill="FFFFFF"/>
        </w:rPr>
        <w:t>z</w:t>
      </w:r>
      <w:r w:rsidR="00B07BD9">
        <w:rPr>
          <w:rFonts w:eastAsia="Calibri"/>
          <w:shd w:val="clear" w:color="auto" w:fill="FFFFFF"/>
        </w:rPr>
        <w:t>więk</w:t>
      </w:r>
      <w:r w:rsidR="00925A80">
        <w:rPr>
          <w:rFonts w:eastAsia="Calibri"/>
          <w:shd w:val="clear" w:color="auto" w:fill="FFFFFF"/>
        </w:rPr>
        <w:t>szyło</w:t>
      </w:r>
      <w:r w:rsidR="00CB13DD">
        <w:rPr>
          <w:rFonts w:eastAsia="Calibri"/>
          <w:shd w:val="clear" w:color="auto" w:fill="FFFFFF"/>
        </w:rPr>
        <w:t xml:space="preserve"> się minimalnie </w:t>
      </w:r>
      <w:r w:rsidR="00860400">
        <w:rPr>
          <w:rFonts w:eastAsia="Calibri"/>
          <w:shd w:val="clear" w:color="auto" w:fill="FFFFFF"/>
        </w:rPr>
        <w:t>(</w:t>
      </w:r>
      <w:r w:rsidR="00CB13DD">
        <w:rPr>
          <w:rFonts w:eastAsia="Calibri"/>
          <w:shd w:val="clear" w:color="auto" w:fill="FFFFFF"/>
        </w:rPr>
        <w:t>o 0,</w:t>
      </w:r>
      <w:r w:rsidR="00925A80">
        <w:rPr>
          <w:rFonts w:eastAsia="Calibri"/>
          <w:shd w:val="clear" w:color="auto" w:fill="FFFFFF"/>
        </w:rPr>
        <w:t>1</w:t>
      </w:r>
      <w:r w:rsidR="00CB13DD">
        <w:rPr>
          <w:rFonts w:eastAsia="Calibri"/>
          <w:shd w:val="clear" w:color="auto" w:fill="FFFFFF"/>
        </w:rPr>
        <w:t>%</w:t>
      </w:r>
      <w:r w:rsidR="00860400">
        <w:rPr>
          <w:rFonts w:eastAsia="Calibri"/>
          <w:shd w:val="clear" w:color="auto" w:fill="FFFFFF"/>
        </w:rPr>
        <w:t>)</w:t>
      </w:r>
      <w:r>
        <w:rPr>
          <w:rFonts w:eastAsia="Calibri"/>
          <w:shd w:val="clear" w:color="auto" w:fill="FFFFFF"/>
        </w:rPr>
        <w:t xml:space="preserve"> – analogiczn</w:t>
      </w:r>
      <w:r w:rsidR="0036305A">
        <w:rPr>
          <w:rFonts w:eastAsia="Calibri"/>
          <w:shd w:val="clear" w:color="auto" w:fill="FFFFFF"/>
        </w:rPr>
        <w:t>ie</w:t>
      </w:r>
      <w:r>
        <w:rPr>
          <w:rFonts w:eastAsia="Calibri"/>
          <w:shd w:val="clear" w:color="auto" w:fill="FFFFFF"/>
        </w:rPr>
        <w:t xml:space="preserve"> </w:t>
      </w:r>
      <w:r w:rsidR="00917BA3">
        <w:rPr>
          <w:rFonts w:eastAsia="Calibri"/>
          <w:shd w:val="clear" w:color="auto" w:fill="FFFFFF"/>
        </w:rPr>
        <w:t xml:space="preserve">jak </w:t>
      </w:r>
      <w:r>
        <w:rPr>
          <w:rFonts w:eastAsia="Calibri"/>
          <w:shd w:val="clear" w:color="auto" w:fill="FFFFFF"/>
        </w:rPr>
        <w:t>w poprzednim miesiącu.</w:t>
      </w:r>
      <w:r w:rsidR="00B62B07">
        <w:rPr>
          <w:rFonts w:eastAsia="Calibri"/>
          <w:shd w:val="clear" w:color="auto" w:fill="FFFFFF"/>
        </w:rPr>
        <w:t xml:space="preserve"> </w:t>
      </w:r>
      <w:r w:rsidR="00692F7B">
        <w:rPr>
          <w:rFonts w:eastAsia="Calibri"/>
          <w:shd w:val="clear" w:color="auto" w:fill="FFFFFF"/>
        </w:rPr>
        <w:t>Niewielki wzrost przeciętnego zatrudnienia w listopadzie 2022 r. był wynikiem m.in. przyjęć w jednostkach</w:t>
      </w:r>
      <w:r>
        <w:rPr>
          <w:rFonts w:eastAsia="Calibri"/>
          <w:shd w:val="clear" w:color="auto" w:fill="FFFFFF"/>
        </w:rPr>
        <w:t>.</w:t>
      </w:r>
    </w:p>
    <w:p w14:paraId="6051BFFF" w14:textId="4CC69D74" w:rsidR="004563EB" w:rsidRDefault="004563EB" w:rsidP="005A3892">
      <w:pPr>
        <w:spacing w:line="288" w:lineRule="auto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Porównując </w:t>
      </w:r>
      <w:r w:rsidR="00CA2071">
        <w:rPr>
          <w:rFonts w:eastAsia="Calibri"/>
          <w:shd w:val="clear" w:color="auto" w:fill="FFFFFF"/>
        </w:rPr>
        <w:t>listopad</w:t>
      </w:r>
      <w:r>
        <w:rPr>
          <w:rFonts w:eastAsia="Calibri"/>
          <w:shd w:val="clear" w:color="auto" w:fill="FFFFFF"/>
        </w:rPr>
        <w:t xml:space="preserve"> 2022 r. do </w:t>
      </w:r>
      <w:r w:rsidR="00CA2071">
        <w:rPr>
          <w:rFonts w:eastAsia="Calibri"/>
          <w:shd w:val="clear" w:color="auto" w:fill="FFFFFF"/>
        </w:rPr>
        <w:t>listopad</w:t>
      </w:r>
      <w:r w:rsidR="00917BA3">
        <w:rPr>
          <w:rFonts w:eastAsia="Calibri"/>
          <w:shd w:val="clear" w:color="auto" w:fill="FFFFFF"/>
        </w:rPr>
        <w:t>a</w:t>
      </w:r>
      <w:r>
        <w:rPr>
          <w:rFonts w:eastAsia="Calibri"/>
          <w:shd w:val="clear" w:color="auto" w:fill="FFFFFF"/>
        </w:rPr>
        <w:t xml:space="preserve"> 2021 r., przeciętne zatrudnienie w sektorze przedsiębiorstw zwiększyło się o 2,</w:t>
      </w:r>
      <w:r w:rsidR="0051372A">
        <w:rPr>
          <w:rFonts w:eastAsia="Calibri"/>
          <w:shd w:val="clear" w:color="auto" w:fill="FFFFFF"/>
        </w:rPr>
        <w:t>3</w:t>
      </w:r>
      <w:r w:rsidR="00860400">
        <w:rPr>
          <w:rFonts w:eastAsia="Calibri"/>
          <w:shd w:val="clear" w:color="auto" w:fill="FFFFFF"/>
        </w:rPr>
        <w:t>%</w:t>
      </w:r>
      <w:r w:rsidR="0068056D">
        <w:rPr>
          <w:rFonts w:eastAsia="Calibri"/>
          <w:shd w:val="clear" w:color="auto" w:fill="FFFFFF"/>
        </w:rPr>
        <w:t xml:space="preserve">, podczas gdy w </w:t>
      </w:r>
      <w:r w:rsidR="00CA2071">
        <w:rPr>
          <w:rFonts w:eastAsia="Calibri"/>
          <w:shd w:val="clear" w:color="auto" w:fill="FFFFFF"/>
        </w:rPr>
        <w:t>listopadzie</w:t>
      </w:r>
      <w:r w:rsidR="0068056D">
        <w:rPr>
          <w:rFonts w:eastAsia="Calibri"/>
          <w:shd w:val="clear" w:color="auto" w:fill="FFFFFF"/>
        </w:rPr>
        <w:t xml:space="preserve"> </w:t>
      </w:r>
      <w:r>
        <w:rPr>
          <w:rFonts w:eastAsia="Calibri"/>
          <w:shd w:val="clear" w:color="auto" w:fill="FFFFFF"/>
        </w:rPr>
        <w:t xml:space="preserve">2021 r. </w:t>
      </w:r>
      <w:r w:rsidR="006041BC">
        <w:t xml:space="preserve">odnotowany w skali roku wzrost </w:t>
      </w:r>
      <w:r w:rsidR="000D327B">
        <w:t xml:space="preserve">był </w:t>
      </w:r>
      <w:r w:rsidR="003F0CC7">
        <w:t>niższy</w:t>
      </w:r>
      <w:r w:rsidR="000D327B">
        <w:t xml:space="preserve"> i </w:t>
      </w:r>
      <w:r w:rsidR="005E0694">
        <w:t>wyniósł</w:t>
      </w:r>
      <w:r w:rsidR="006041BC">
        <w:t xml:space="preserve"> </w:t>
      </w:r>
      <w:r w:rsidR="0018508B">
        <w:t>0</w:t>
      </w:r>
      <w:r w:rsidR="00EB46DB">
        <w:rPr>
          <w:rFonts w:eastAsia="Calibri"/>
          <w:shd w:val="clear" w:color="auto" w:fill="FFFFFF"/>
        </w:rPr>
        <w:t>,</w:t>
      </w:r>
      <w:r w:rsidR="00CA2071">
        <w:rPr>
          <w:rFonts w:eastAsia="Calibri"/>
          <w:shd w:val="clear" w:color="auto" w:fill="FFFFFF"/>
        </w:rPr>
        <w:t>7</w:t>
      </w:r>
      <w:r>
        <w:rPr>
          <w:rFonts w:eastAsia="Calibri"/>
          <w:shd w:val="clear" w:color="auto" w:fill="FFFFFF"/>
        </w:rPr>
        <w:t>%.</w:t>
      </w:r>
    </w:p>
    <w:p w14:paraId="3B3F96B1" w14:textId="5ABBB7D2" w:rsidR="001D1EEB" w:rsidRDefault="005A3892" w:rsidP="00C27431">
      <w:pPr>
        <w:pStyle w:val="Tytuwykresu0"/>
        <w:spacing w:line="288" w:lineRule="auto"/>
        <w:rPr>
          <w:rFonts w:ascii="Fira Sans" w:hAnsi="Fira Sans"/>
          <w:b w:val="0"/>
          <w:bCs w:val="0"/>
          <w:noProof w:val="0"/>
          <w:szCs w:val="19"/>
        </w:rPr>
      </w:pPr>
      <w:r w:rsidRPr="009A4233">
        <w:rPr>
          <w:rFonts w:ascii="Fira Sans" w:hAnsi="Fira Sans"/>
        </w:rPr>
        <w:t>Wykres 1. Przeciętne zatrudnienie w sektorze przedsiębiorstw</w:t>
      </w:r>
      <w:r w:rsidR="003F4401" w:rsidRPr="003F4401">
        <w:t xml:space="preserve"> </w:t>
      </w:r>
      <w:r w:rsidR="00871D53">
        <w:drawing>
          <wp:anchor distT="0" distB="0" distL="114300" distR="114300" simplePos="0" relativeHeight="251768832" behindDoc="0" locked="1" layoutInCell="1" allowOverlap="1" wp14:anchorId="1029695D" wp14:editId="295948E5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5122545" cy="315658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431">
        <w:br/>
      </w:r>
      <w:r w:rsidR="00FC269E">
        <w:rPr>
          <w:rFonts w:ascii="Fira Sans" w:hAnsi="Fira Sans"/>
          <w:b w:val="0"/>
          <w:bCs w:val="0"/>
          <w:noProof w:val="0"/>
          <w:szCs w:val="19"/>
        </w:rPr>
        <w:br/>
      </w:r>
      <w:r w:rsidR="00D25A05" w:rsidRPr="00C27431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W związku z zaistniałą sytuacją epidemiczną i jej wpływem na rynek pracy, </w:t>
      </w:r>
      <w:r w:rsidR="00917BA3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w 2020 roku obserwowano znaczące spadki w przeciętnym zatrudnieniu w sektorze przedsiębiorstw. W kolejnym roku przeciętne zatrudnienie ulegało niewielkim wahaniom, jednakże dopiero w 2022 roku powróciło do wartości </w:t>
      </w:r>
      <w:r w:rsidR="00917BA3" w:rsidRPr="00C27431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odnotowywanych na początku 2020 r. </w:t>
      </w:r>
      <w:r w:rsidR="00917BA3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W </w:t>
      </w:r>
      <w:r w:rsidR="00484EEF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listopadzie</w:t>
      </w:r>
      <w:r w:rsidR="00917BA3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4B5CE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2022 r. w </w:t>
      </w:r>
      <w:r w:rsidR="003D2F16" w:rsidRPr="00C27431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porównaniu z </w:t>
      </w:r>
      <w:r w:rsidR="00484EEF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październikiem</w:t>
      </w:r>
      <w:r w:rsidR="003D2F16" w:rsidRPr="00C27431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2022 r. przeciętne zatrudnienie </w:t>
      </w:r>
      <w:r w:rsidR="00C75D34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z</w:t>
      </w:r>
      <w:r w:rsidR="00484EEF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więk</w:t>
      </w:r>
      <w:r w:rsidR="00C75D34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szyło</w:t>
      </w:r>
      <w:r w:rsidR="003D2F16" w:rsidRPr="00C27431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się o </w:t>
      </w:r>
      <w:r w:rsidR="000603BD" w:rsidRPr="00C27431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ok. </w:t>
      </w:r>
      <w:r w:rsidR="00484EEF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6</w:t>
      </w:r>
      <w:r w:rsidR="0018508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484EEF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6</w:t>
      </w:r>
      <w:r w:rsidR="00921C4F" w:rsidRPr="00C27431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tys. etatów.</w:t>
      </w:r>
      <w:r w:rsidR="00966417">
        <w:rPr>
          <w:rFonts w:ascii="Fira Sans" w:hAnsi="Fira Sans"/>
          <w:b w:val="0"/>
          <w:bCs w:val="0"/>
          <w:noProof w:val="0"/>
          <w:szCs w:val="19"/>
        </w:rPr>
        <w:t xml:space="preserve"> </w:t>
      </w:r>
    </w:p>
    <w:p w14:paraId="1184E436" w14:textId="4ADCB678" w:rsidR="000D5A55" w:rsidRPr="001C6F3D" w:rsidRDefault="00000000" w:rsidP="000D5A55">
      <w:pPr>
        <w:spacing w:line="288" w:lineRule="auto"/>
        <w:rPr>
          <w:szCs w:val="19"/>
        </w:rPr>
      </w:pPr>
      <w:r>
        <w:rPr>
          <w:noProof/>
          <w:szCs w:val="19"/>
          <w:lang w:eastAsia="pl-PL"/>
        </w:rPr>
        <w:pict w14:anchorId="0751C7C7">
          <v:shape id="_x0000_s2059" type="#_x0000_t202" alt="Pole tekstowe: Przeciętne miesięczne wynagrodzenie brutto w sektorze przedsiębiorstw obejmuje wynagrodzenie zasadnicze oraz dodatkowe składowe wynagrodzeń, m.in. premie, nagrody, wynagrodzenie za płacę w godzinach nadliczbowych oraz odprawy emerytalne " style="position:absolute;margin-left:412.15pt;margin-top:-15.5pt;width:135.85pt;height:142.5pt;z-index:-251551744;visibility:visible;mso-wrap-distance-top:3.6pt;mso-wrap-distance-bottom:3.6pt;mso-width-relative:margin;mso-height-relative:margin" wrapcoords="0 0" filled="f" stroked="f">
            <v:textbox style="mso-next-textbox:#_x0000_s2059">
              <w:txbxContent>
                <w:p w14:paraId="5CE038FD" w14:textId="77777777" w:rsidR="00C86BE2" w:rsidRPr="00FD5ADA" w:rsidRDefault="00C86BE2" w:rsidP="00702B55">
                  <w:pPr>
                    <w:pStyle w:val="tekstzboku"/>
                    <w:spacing w:before="240"/>
                    <w:rPr>
                      <w:bCs w:val="0"/>
                    </w:rPr>
                  </w:pPr>
                  <w:r>
                    <w:rPr>
                      <w:bCs w:val="0"/>
                    </w:rPr>
                    <w:t xml:space="preserve">Przeciętne miesięczne wynagrodzenia brutto w sektorze przedsiębiorstw obejmują wynagrodzenie zasadnicze oraz dodatkowe składowe wynagrodzeń, m.in. premie, nagrody, wynagrodzenie za płacę w godzinach nadliczbowych oraz odprawy emerytalne </w:t>
                  </w:r>
                </w:p>
              </w:txbxContent>
            </v:textbox>
            <w10:wrap type="tight"/>
          </v:shape>
        </w:pict>
      </w:r>
      <w:r w:rsidR="000D5A55">
        <w:rPr>
          <w:szCs w:val="19"/>
        </w:rPr>
        <w:t xml:space="preserve">W </w:t>
      </w:r>
      <w:r w:rsidR="005E76C9">
        <w:rPr>
          <w:szCs w:val="19"/>
        </w:rPr>
        <w:t>listopadzie</w:t>
      </w:r>
      <w:r w:rsidR="000D5A55">
        <w:rPr>
          <w:szCs w:val="19"/>
        </w:rPr>
        <w:t xml:space="preserve"> </w:t>
      </w:r>
      <w:r w:rsidR="00AF4474">
        <w:rPr>
          <w:szCs w:val="19"/>
        </w:rPr>
        <w:t>202</w:t>
      </w:r>
      <w:r w:rsidR="004C13CA">
        <w:rPr>
          <w:szCs w:val="19"/>
        </w:rPr>
        <w:t>2</w:t>
      </w:r>
      <w:r w:rsidR="00AF4474">
        <w:rPr>
          <w:szCs w:val="19"/>
        </w:rPr>
        <w:t xml:space="preserve"> r. </w:t>
      </w:r>
      <w:r w:rsidR="00AF4474" w:rsidRPr="00330124">
        <w:rPr>
          <w:b/>
          <w:szCs w:val="19"/>
        </w:rPr>
        <w:t>przeciętne miesięczne wynagrodzenie brutto w sektorze przedsiębiorstw</w:t>
      </w:r>
      <w:r w:rsidR="00AF4474">
        <w:rPr>
          <w:b/>
          <w:szCs w:val="19"/>
        </w:rPr>
        <w:t xml:space="preserve"> </w:t>
      </w:r>
      <w:r w:rsidR="000D5A55" w:rsidRPr="0051372A">
        <w:rPr>
          <w:szCs w:val="19"/>
        </w:rPr>
        <w:t>zw</w:t>
      </w:r>
      <w:r w:rsidR="000D5A55">
        <w:rPr>
          <w:szCs w:val="19"/>
        </w:rPr>
        <w:t>iększyło</w:t>
      </w:r>
      <w:r w:rsidR="00AF4474">
        <w:rPr>
          <w:szCs w:val="19"/>
        </w:rPr>
        <w:t xml:space="preserve"> się </w:t>
      </w:r>
      <w:r w:rsidR="00CB13DD">
        <w:rPr>
          <w:szCs w:val="19"/>
        </w:rPr>
        <w:t>w stosunku do</w:t>
      </w:r>
      <w:r w:rsidR="00AF4474">
        <w:rPr>
          <w:szCs w:val="19"/>
        </w:rPr>
        <w:t xml:space="preserve"> </w:t>
      </w:r>
      <w:r w:rsidR="005E76C9">
        <w:rPr>
          <w:szCs w:val="19"/>
        </w:rPr>
        <w:t>października</w:t>
      </w:r>
      <w:r w:rsidR="00AF4474">
        <w:rPr>
          <w:szCs w:val="19"/>
        </w:rPr>
        <w:t xml:space="preserve"> 202</w:t>
      </w:r>
      <w:r w:rsidR="00921C4F">
        <w:rPr>
          <w:szCs w:val="19"/>
        </w:rPr>
        <w:t>2</w:t>
      </w:r>
      <w:r w:rsidR="00AF4474">
        <w:rPr>
          <w:szCs w:val="19"/>
        </w:rPr>
        <w:t xml:space="preserve"> r. o </w:t>
      </w:r>
      <w:r w:rsidR="005E76C9">
        <w:rPr>
          <w:szCs w:val="19"/>
        </w:rPr>
        <w:t>2</w:t>
      </w:r>
      <w:r w:rsidR="003D2F16">
        <w:rPr>
          <w:szCs w:val="19"/>
        </w:rPr>
        <w:t>,</w:t>
      </w:r>
      <w:r w:rsidR="005E76C9">
        <w:rPr>
          <w:szCs w:val="19"/>
        </w:rPr>
        <w:t>5</w:t>
      </w:r>
      <w:r w:rsidR="000D5A55">
        <w:rPr>
          <w:szCs w:val="19"/>
        </w:rPr>
        <w:t xml:space="preserve">%, podczas gdy w </w:t>
      </w:r>
      <w:r w:rsidR="005E76C9">
        <w:rPr>
          <w:szCs w:val="19"/>
        </w:rPr>
        <w:t>listopadzie</w:t>
      </w:r>
      <w:r w:rsidR="000D5A55">
        <w:rPr>
          <w:szCs w:val="19"/>
        </w:rPr>
        <w:t xml:space="preserve"> </w:t>
      </w:r>
      <w:r w:rsidR="00AF4474">
        <w:rPr>
          <w:szCs w:val="19"/>
        </w:rPr>
        <w:t>202</w:t>
      </w:r>
      <w:r w:rsidR="004C13CA">
        <w:rPr>
          <w:szCs w:val="19"/>
        </w:rPr>
        <w:t>1</w:t>
      </w:r>
      <w:r w:rsidR="00AF4474">
        <w:rPr>
          <w:szCs w:val="19"/>
        </w:rPr>
        <w:t xml:space="preserve"> r. </w:t>
      </w:r>
      <w:r w:rsidR="00AB689E">
        <w:rPr>
          <w:szCs w:val="19"/>
        </w:rPr>
        <w:t>w porównaniu do</w:t>
      </w:r>
      <w:r w:rsidR="00AF4474">
        <w:rPr>
          <w:szCs w:val="19"/>
        </w:rPr>
        <w:t xml:space="preserve"> </w:t>
      </w:r>
      <w:r w:rsidR="00D64096">
        <w:rPr>
          <w:szCs w:val="19"/>
        </w:rPr>
        <w:t>październik</w:t>
      </w:r>
      <w:r w:rsidR="000D5A55">
        <w:rPr>
          <w:szCs w:val="19"/>
        </w:rPr>
        <w:t>a</w:t>
      </w:r>
      <w:r w:rsidR="00AF4474">
        <w:rPr>
          <w:szCs w:val="19"/>
        </w:rPr>
        <w:t xml:space="preserve"> 202</w:t>
      </w:r>
      <w:r w:rsidR="00DC101F">
        <w:rPr>
          <w:szCs w:val="19"/>
        </w:rPr>
        <w:t>1</w:t>
      </w:r>
      <w:r w:rsidR="004C13CA">
        <w:rPr>
          <w:szCs w:val="19"/>
        </w:rPr>
        <w:t xml:space="preserve"> r.</w:t>
      </w:r>
      <w:r w:rsidR="00F62065">
        <w:rPr>
          <w:szCs w:val="19"/>
        </w:rPr>
        <w:t xml:space="preserve"> </w:t>
      </w:r>
      <w:r w:rsidR="006B2BFE" w:rsidRPr="001C6F3D">
        <w:rPr>
          <w:szCs w:val="19"/>
        </w:rPr>
        <w:t>wzrost wyniósł 1,8%</w:t>
      </w:r>
      <w:r w:rsidR="000D5A55" w:rsidRPr="001C6F3D">
        <w:rPr>
          <w:szCs w:val="19"/>
        </w:rPr>
        <w:t>.</w:t>
      </w:r>
      <w:r w:rsidR="00FC03C3" w:rsidRPr="001C6F3D">
        <w:rPr>
          <w:szCs w:val="19"/>
        </w:rPr>
        <w:t xml:space="preserve"> </w:t>
      </w:r>
    </w:p>
    <w:p w14:paraId="3233B247" w14:textId="66B23C03" w:rsidR="00F473C5" w:rsidRDefault="000D5A55" w:rsidP="000D5A55">
      <w:pPr>
        <w:spacing w:line="288" w:lineRule="auto"/>
        <w:rPr>
          <w:szCs w:val="19"/>
        </w:rPr>
      </w:pPr>
      <w:r>
        <w:rPr>
          <w:szCs w:val="19"/>
        </w:rPr>
        <w:t xml:space="preserve">Wzrost </w:t>
      </w:r>
      <w:r w:rsidR="007B195C">
        <w:rPr>
          <w:szCs w:val="19"/>
        </w:rPr>
        <w:t xml:space="preserve">przeciętnych </w:t>
      </w:r>
      <w:r>
        <w:rPr>
          <w:szCs w:val="19"/>
        </w:rPr>
        <w:t xml:space="preserve">wynagrodzeń w </w:t>
      </w:r>
      <w:r w:rsidR="00D64096">
        <w:rPr>
          <w:szCs w:val="19"/>
        </w:rPr>
        <w:t>listopadzie</w:t>
      </w:r>
      <w:r w:rsidR="0051372A">
        <w:rPr>
          <w:szCs w:val="19"/>
        </w:rPr>
        <w:t xml:space="preserve"> </w:t>
      </w:r>
      <w:r w:rsidR="00FC03C3">
        <w:rPr>
          <w:szCs w:val="19"/>
        </w:rPr>
        <w:t xml:space="preserve">2022 r. względem </w:t>
      </w:r>
      <w:r w:rsidR="00D64096">
        <w:rPr>
          <w:szCs w:val="19"/>
        </w:rPr>
        <w:t>października</w:t>
      </w:r>
      <w:r w:rsidR="00FC03C3">
        <w:rPr>
          <w:szCs w:val="19"/>
        </w:rPr>
        <w:t xml:space="preserve"> 2022 r</w:t>
      </w:r>
      <w:r w:rsidR="00FC03C3" w:rsidRPr="007A6A12">
        <w:rPr>
          <w:szCs w:val="19"/>
        </w:rPr>
        <w:t>.</w:t>
      </w:r>
      <w:r w:rsidR="00E86EE7" w:rsidRPr="007A6A12">
        <w:rPr>
          <w:szCs w:val="19"/>
        </w:rPr>
        <w:t xml:space="preserve"> </w:t>
      </w:r>
      <w:r w:rsidR="00FC03C3" w:rsidRPr="007A6A12">
        <w:rPr>
          <w:szCs w:val="19"/>
        </w:rPr>
        <w:t>spowodowan</w:t>
      </w:r>
      <w:r w:rsidRPr="007A6A12">
        <w:rPr>
          <w:szCs w:val="19"/>
        </w:rPr>
        <w:t>y</w:t>
      </w:r>
      <w:r w:rsidR="00FC03C3">
        <w:rPr>
          <w:szCs w:val="19"/>
        </w:rPr>
        <w:t xml:space="preserve"> był wypłatami</w:t>
      </w:r>
      <w:r w:rsidR="00EF40B0">
        <w:rPr>
          <w:szCs w:val="19"/>
        </w:rPr>
        <w:t xml:space="preserve"> </w:t>
      </w:r>
      <w:r w:rsidR="0018508B">
        <w:rPr>
          <w:szCs w:val="19"/>
        </w:rPr>
        <w:t xml:space="preserve">m.in. </w:t>
      </w:r>
      <w:r w:rsidR="00FC03C3">
        <w:rPr>
          <w:szCs w:val="19"/>
        </w:rPr>
        <w:t xml:space="preserve">premii </w:t>
      </w:r>
      <w:r w:rsidR="00FC03C3" w:rsidRPr="003B1881">
        <w:rPr>
          <w:szCs w:val="19"/>
        </w:rPr>
        <w:t>kwartalnych</w:t>
      </w:r>
      <w:r w:rsidR="00563415">
        <w:rPr>
          <w:szCs w:val="19"/>
        </w:rPr>
        <w:t xml:space="preserve">, </w:t>
      </w:r>
      <w:r w:rsidR="00017850">
        <w:rPr>
          <w:szCs w:val="19"/>
        </w:rPr>
        <w:t>świątecznych, nagród z okazji Dnia Górnika, nagród rocznych</w:t>
      </w:r>
      <w:r w:rsidR="003F0CC7" w:rsidRPr="00E82BDC">
        <w:rPr>
          <w:szCs w:val="19"/>
        </w:rPr>
        <w:t>,</w:t>
      </w:r>
      <w:r w:rsidR="00F2181A" w:rsidRPr="00E82BDC">
        <w:rPr>
          <w:szCs w:val="19"/>
        </w:rPr>
        <w:t xml:space="preserve"> </w:t>
      </w:r>
      <w:r w:rsidR="00C86BE2" w:rsidRPr="00017850">
        <w:rPr>
          <w:szCs w:val="19"/>
        </w:rPr>
        <w:t xml:space="preserve">a także </w:t>
      </w:r>
      <w:r w:rsidR="007C1C02" w:rsidRPr="00017850">
        <w:rPr>
          <w:szCs w:val="19"/>
        </w:rPr>
        <w:t>podwyż</w:t>
      </w:r>
      <w:r w:rsidR="00017850">
        <w:rPr>
          <w:szCs w:val="19"/>
        </w:rPr>
        <w:t>k</w:t>
      </w:r>
      <w:r w:rsidR="00017850" w:rsidRPr="00017850">
        <w:rPr>
          <w:szCs w:val="19"/>
        </w:rPr>
        <w:t>ami</w:t>
      </w:r>
      <w:r w:rsidR="007C1C02" w:rsidRPr="00017850">
        <w:rPr>
          <w:szCs w:val="19"/>
        </w:rPr>
        <w:t xml:space="preserve"> wynagrodzeń</w:t>
      </w:r>
      <w:r w:rsidR="00C22A23">
        <w:rPr>
          <w:szCs w:val="19"/>
        </w:rPr>
        <w:t>,</w:t>
      </w:r>
      <w:r w:rsidR="007C1C02" w:rsidRPr="00017850">
        <w:rPr>
          <w:szCs w:val="19"/>
        </w:rPr>
        <w:t xml:space="preserve"> wypłat</w:t>
      </w:r>
      <w:r w:rsidR="00017850" w:rsidRPr="00017850">
        <w:rPr>
          <w:szCs w:val="19"/>
        </w:rPr>
        <w:t>ami</w:t>
      </w:r>
      <w:r w:rsidR="007C1C02" w:rsidRPr="00017850">
        <w:rPr>
          <w:szCs w:val="19"/>
        </w:rPr>
        <w:t xml:space="preserve"> premii z powodu inflacji</w:t>
      </w:r>
      <w:r w:rsidR="00275064" w:rsidRPr="00017850">
        <w:rPr>
          <w:szCs w:val="19"/>
        </w:rPr>
        <w:t xml:space="preserve"> </w:t>
      </w:r>
      <w:r w:rsidR="00C22A23">
        <w:rPr>
          <w:szCs w:val="19"/>
        </w:rPr>
        <w:t xml:space="preserve">oraz </w:t>
      </w:r>
      <w:r w:rsidR="00F83212">
        <w:rPr>
          <w:szCs w:val="19"/>
        </w:rPr>
        <w:t xml:space="preserve">rozliczenia wynagrodzeń za pracę w godzinach nadliczbowych </w:t>
      </w:r>
      <w:r w:rsidR="00FC03C3" w:rsidRPr="00017850">
        <w:rPr>
          <w:szCs w:val="19"/>
        </w:rPr>
        <w:t xml:space="preserve">(które obok wynagrodzeń zasadniczych </w:t>
      </w:r>
      <w:r w:rsidR="00DC101F" w:rsidRPr="00017850">
        <w:rPr>
          <w:szCs w:val="19"/>
        </w:rPr>
        <w:t>także</w:t>
      </w:r>
      <w:r w:rsidR="00FC03C3" w:rsidRPr="00017850">
        <w:rPr>
          <w:szCs w:val="19"/>
        </w:rPr>
        <w:t xml:space="preserve"> zaliczane są do składników wynagrodzeń</w:t>
      </w:r>
      <w:r w:rsidR="00FC03C3" w:rsidRPr="00017850">
        <w:rPr>
          <w:rStyle w:val="Odwoanieprzypisudolnego"/>
          <w:szCs w:val="19"/>
        </w:rPr>
        <w:footnoteReference w:id="3"/>
      </w:r>
      <w:r w:rsidR="00FC03C3" w:rsidRPr="00017850">
        <w:rPr>
          <w:szCs w:val="19"/>
        </w:rPr>
        <w:t>)</w:t>
      </w:r>
      <w:r w:rsidR="00EF40B0" w:rsidRPr="00017850">
        <w:rPr>
          <w:szCs w:val="19"/>
        </w:rPr>
        <w:t>.</w:t>
      </w:r>
      <w:r w:rsidR="007C1C02">
        <w:rPr>
          <w:szCs w:val="19"/>
        </w:rPr>
        <w:t xml:space="preserve"> </w:t>
      </w:r>
      <w:r w:rsidR="00691194">
        <w:t>Wzrost</w:t>
      </w:r>
      <w:r w:rsidR="00BD59F5">
        <w:t xml:space="preserve"> przeciętnych</w:t>
      </w:r>
      <w:r w:rsidR="00D67253">
        <w:t xml:space="preserve"> miesięczn</w:t>
      </w:r>
      <w:r w:rsidR="00BD59F5">
        <w:t>ych</w:t>
      </w:r>
      <w:r w:rsidR="00D67253">
        <w:t xml:space="preserve"> wynagro</w:t>
      </w:r>
      <w:r w:rsidR="00BD59F5">
        <w:t>dzeń</w:t>
      </w:r>
      <w:r w:rsidR="00D67253">
        <w:t xml:space="preserve"> brutto odnotowano </w:t>
      </w:r>
      <w:r w:rsidR="006B2BFE">
        <w:t>w większości</w:t>
      </w:r>
      <w:r w:rsidR="0057602B">
        <w:t xml:space="preserve"> sekcj</w:t>
      </w:r>
      <w:r w:rsidR="006B2BFE">
        <w:t>i</w:t>
      </w:r>
      <w:r w:rsidR="0057602B">
        <w:t xml:space="preserve"> PKD 2007, z czego największy</w:t>
      </w:r>
      <w:r w:rsidR="00691194">
        <w:t xml:space="preserve"> w</w:t>
      </w:r>
      <w:r w:rsidR="0057602B">
        <w:t xml:space="preserve"> </w:t>
      </w:r>
      <w:r w:rsidR="00691194">
        <w:rPr>
          <w:szCs w:val="19"/>
        </w:rPr>
        <w:t xml:space="preserve">sekcji </w:t>
      </w:r>
      <w:r w:rsidR="006B2BFE">
        <w:t>„Górnictwo i wydobywanie”</w:t>
      </w:r>
      <w:r w:rsidR="006B2BFE">
        <w:rPr>
          <w:szCs w:val="19"/>
        </w:rPr>
        <w:t xml:space="preserve"> </w:t>
      </w:r>
      <w:r w:rsidR="00691194">
        <w:rPr>
          <w:szCs w:val="19"/>
        </w:rPr>
        <w:t>(o 6</w:t>
      </w:r>
      <w:r w:rsidR="006B2BFE">
        <w:rPr>
          <w:szCs w:val="19"/>
        </w:rPr>
        <w:t>4</w:t>
      </w:r>
      <w:r w:rsidR="00691194">
        <w:rPr>
          <w:szCs w:val="19"/>
        </w:rPr>
        <w:t>,</w:t>
      </w:r>
      <w:r w:rsidR="006B2BFE">
        <w:rPr>
          <w:szCs w:val="19"/>
        </w:rPr>
        <w:t>3</w:t>
      </w:r>
      <w:r w:rsidR="00691194">
        <w:rPr>
          <w:szCs w:val="19"/>
        </w:rPr>
        <w:t xml:space="preserve">%), gdzie wynagrodzenia zwiększyły się do </w:t>
      </w:r>
      <w:r w:rsidR="006B2BFE">
        <w:rPr>
          <w:szCs w:val="19"/>
        </w:rPr>
        <w:t>14178</w:t>
      </w:r>
      <w:r w:rsidR="00691194">
        <w:rPr>
          <w:szCs w:val="19"/>
        </w:rPr>
        <w:t>,</w:t>
      </w:r>
      <w:r w:rsidR="00F002A4">
        <w:rPr>
          <w:szCs w:val="19"/>
        </w:rPr>
        <w:t>21</w:t>
      </w:r>
      <w:r w:rsidR="00691194">
        <w:rPr>
          <w:szCs w:val="19"/>
        </w:rPr>
        <w:t xml:space="preserve"> zł (miesiąc wcześniej wyniosły </w:t>
      </w:r>
      <w:r w:rsidR="00F002A4">
        <w:rPr>
          <w:szCs w:val="19"/>
        </w:rPr>
        <w:t>8627,87</w:t>
      </w:r>
      <w:r w:rsidR="00691194">
        <w:rPr>
          <w:szCs w:val="19"/>
        </w:rPr>
        <w:t xml:space="preserve"> zł) oraz </w:t>
      </w:r>
      <w:r w:rsidR="00C86BE2">
        <w:t>w </w:t>
      </w:r>
      <w:r w:rsidR="00D67253">
        <w:t xml:space="preserve">sekcji </w:t>
      </w:r>
      <w:r w:rsidR="006B2BFE">
        <w:rPr>
          <w:szCs w:val="19"/>
        </w:rPr>
        <w:t>„</w:t>
      </w:r>
      <w:r w:rsidR="006B2BFE">
        <w:t>Wytwarzanie i </w:t>
      </w:r>
      <w:r w:rsidR="006B2BFE" w:rsidRPr="00D67253">
        <w:t>zaopatrywanie w energię elektryczną, gaz, parę wodną i gorącą wodę</w:t>
      </w:r>
      <w:r w:rsidR="006B2BFE">
        <w:t xml:space="preserve">” </w:t>
      </w:r>
      <w:r w:rsidR="00C75D34">
        <w:t xml:space="preserve">(o </w:t>
      </w:r>
      <w:r w:rsidR="00F002A4">
        <w:t>1</w:t>
      </w:r>
      <w:r w:rsidR="00691194">
        <w:t>5</w:t>
      </w:r>
      <w:r w:rsidR="00C75D34">
        <w:t>,6%)</w:t>
      </w:r>
      <w:r w:rsidR="002A2733">
        <w:t xml:space="preserve">, gdzie wynagrodzenia wyniosły </w:t>
      </w:r>
      <w:r w:rsidR="00691194">
        <w:t>104</w:t>
      </w:r>
      <w:r w:rsidR="00F002A4">
        <w:t>31,53</w:t>
      </w:r>
      <w:r w:rsidR="002A2733">
        <w:t xml:space="preserve"> zł (miesiąc wcześniej</w:t>
      </w:r>
      <w:r w:rsidR="00C75D34">
        <w:t xml:space="preserve"> </w:t>
      </w:r>
      <w:r w:rsidR="00691194">
        <w:t>9</w:t>
      </w:r>
      <w:r w:rsidR="00F002A4">
        <w:t>027</w:t>
      </w:r>
      <w:r w:rsidR="00691194">
        <w:t>,</w:t>
      </w:r>
      <w:r w:rsidR="00F002A4">
        <w:t>18</w:t>
      </w:r>
      <w:r w:rsidR="00691194">
        <w:t xml:space="preserve"> zł).</w:t>
      </w:r>
    </w:p>
    <w:p w14:paraId="044B0C4A" w14:textId="2BF9E232" w:rsidR="00AF4474" w:rsidRDefault="00AF4474" w:rsidP="00BD59F5">
      <w:pPr>
        <w:spacing w:beforeLines="120" w:before="288" w:afterLines="120" w:after="288" w:line="288" w:lineRule="auto"/>
        <w:rPr>
          <w:szCs w:val="19"/>
        </w:rPr>
      </w:pPr>
      <w:r>
        <w:rPr>
          <w:szCs w:val="19"/>
        </w:rPr>
        <w:lastRenderedPageBreak/>
        <w:t xml:space="preserve">W skali roku </w:t>
      </w:r>
      <w:r w:rsidRPr="00D033A8">
        <w:rPr>
          <w:szCs w:val="19"/>
        </w:rPr>
        <w:t>(</w:t>
      </w:r>
      <w:r w:rsidR="00D64096">
        <w:rPr>
          <w:szCs w:val="19"/>
        </w:rPr>
        <w:t>listopad</w:t>
      </w:r>
      <w:r w:rsidRPr="00D033A8">
        <w:rPr>
          <w:szCs w:val="19"/>
        </w:rPr>
        <w:t xml:space="preserve"> </w:t>
      </w:r>
      <w:r>
        <w:rPr>
          <w:szCs w:val="19"/>
        </w:rPr>
        <w:t>202</w:t>
      </w:r>
      <w:r w:rsidR="004C13CA">
        <w:rPr>
          <w:szCs w:val="19"/>
        </w:rPr>
        <w:t>2</w:t>
      </w:r>
      <w:r w:rsidRPr="00D033A8">
        <w:rPr>
          <w:szCs w:val="19"/>
        </w:rPr>
        <w:t xml:space="preserve"> r. do </w:t>
      </w:r>
      <w:r w:rsidR="00D64096">
        <w:rPr>
          <w:szCs w:val="19"/>
        </w:rPr>
        <w:t>listopada</w:t>
      </w:r>
      <w:r>
        <w:rPr>
          <w:szCs w:val="19"/>
        </w:rPr>
        <w:t xml:space="preserve"> 202</w:t>
      </w:r>
      <w:r w:rsidR="004C13CA">
        <w:rPr>
          <w:szCs w:val="19"/>
        </w:rPr>
        <w:t>1</w:t>
      </w:r>
      <w:r w:rsidRPr="00D033A8">
        <w:rPr>
          <w:szCs w:val="19"/>
        </w:rPr>
        <w:t xml:space="preserve"> r.) przeciętne miesięczne wynagrodzeni</w:t>
      </w:r>
      <w:r w:rsidR="00C83C40">
        <w:rPr>
          <w:szCs w:val="19"/>
        </w:rPr>
        <w:t>e</w:t>
      </w:r>
      <w:r w:rsidRPr="00D033A8">
        <w:rPr>
          <w:szCs w:val="19"/>
        </w:rPr>
        <w:t xml:space="preserve"> </w:t>
      </w:r>
      <w:r>
        <w:rPr>
          <w:szCs w:val="19"/>
        </w:rPr>
        <w:t xml:space="preserve">brutto </w:t>
      </w:r>
      <w:r w:rsidRPr="00D033A8">
        <w:rPr>
          <w:szCs w:val="19"/>
        </w:rPr>
        <w:t>wzrosło o</w:t>
      </w:r>
      <w:r w:rsidR="00F9239F">
        <w:rPr>
          <w:szCs w:val="19"/>
        </w:rPr>
        <w:t xml:space="preserve"> </w:t>
      </w:r>
      <w:r w:rsidR="00C14111">
        <w:rPr>
          <w:szCs w:val="19"/>
        </w:rPr>
        <w:t>1</w:t>
      </w:r>
      <w:r w:rsidR="00D64096">
        <w:rPr>
          <w:szCs w:val="19"/>
        </w:rPr>
        <w:t>3</w:t>
      </w:r>
      <w:r w:rsidR="008D144B">
        <w:rPr>
          <w:szCs w:val="19"/>
        </w:rPr>
        <w:t>,</w:t>
      </w:r>
      <w:r w:rsidR="00D64096">
        <w:rPr>
          <w:szCs w:val="19"/>
        </w:rPr>
        <w:t>9</w:t>
      </w:r>
      <w:r w:rsidR="00F9239F">
        <w:rPr>
          <w:szCs w:val="19"/>
        </w:rPr>
        <w:t>%</w:t>
      </w:r>
      <w:r>
        <w:rPr>
          <w:szCs w:val="19"/>
        </w:rPr>
        <w:t>. Przed rokiem (</w:t>
      </w:r>
      <w:r w:rsidR="00D64096">
        <w:rPr>
          <w:szCs w:val="19"/>
        </w:rPr>
        <w:t>listopad</w:t>
      </w:r>
      <w:r>
        <w:rPr>
          <w:szCs w:val="19"/>
        </w:rPr>
        <w:t xml:space="preserve"> 202</w:t>
      </w:r>
      <w:r w:rsidR="004C13CA">
        <w:rPr>
          <w:szCs w:val="19"/>
        </w:rPr>
        <w:t>1</w:t>
      </w:r>
      <w:r>
        <w:rPr>
          <w:szCs w:val="19"/>
        </w:rPr>
        <w:t xml:space="preserve"> r. do </w:t>
      </w:r>
      <w:r w:rsidR="00D64096">
        <w:rPr>
          <w:szCs w:val="19"/>
        </w:rPr>
        <w:t>listopad</w:t>
      </w:r>
      <w:r w:rsidR="00691194">
        <w:rPr>
          <w:szCs w:val="19"/>
        </w:rPr>
        <w:t>a</w:t>
      </w:r>
      <w:r w:rsidR="008D6239">
        <w:rPr>
          <w:szCs w:val="19"/>
        </w:rPr>
        <w:t xml:space="preserve"> </w:t>
      </w:r>
      <w:r w:rsidR="004C13CA">
        <w:rPr>
          <w:szCs w:val="19"/>
        </w:rPr>
        <w:t>2020</w:t>
      </w:r>
      <w:r>
        <w:rPr>
          <w:szCs w:val="19"/>
        </w:rPr>
        <w:t xml:space="preserve"> r.) odnotowano dynamikę wzrostu</w:t>
      </w:r>
      <w:r w:rsidR="00944463">
        <w:rPr>
          <w:szCs w:val="19"/>
        </w:rPr>
        <w:t xml:space="preserve"> </w:t>
      </w:r>
      <w:r w:rsidR="00502E07">
        <w:rPr>
          <w:szCs w:val="19"/>
        </w:rPr>
        <w:t>przeciętnej</w:t>
      </w:r>
      <w:r w:rsidR="00D574C5">
        <w:rPr>
          <w:szCs w:val="19"/>
        </w:rPr>
        <w:t xml:space="preserve"> płac</w:t>
      </w:r>
      <w:r w:rsidR="00502E07">
        <w:rPr>
          <w:szCs w:val="19"/>
        </w:rPr>
        <w:t>y</w:t>
      </w:r>
      <w:r>
        <w:rPr>
          <w:szCs w:val="19"/>
        </w:rPr>
        <w:t xml:space="preserve"> na poziomie </w:t>
      </w:r>
      <w:r w:rsidR="00D64096">
        <w:rPr>
          <w:szCs w:val="19"/>
        </w:rPr>
        <w:t>9</w:t>
      </w:r>
      <w:r w:rsidR="008D6239">
        <w:rPr>
          <w:szCs w:val="19"/>
        </w:rPr>
        <w:t>,</w:t>
      </w:r>
      <w:r w:rsidR="00D64096">
        <w:rPr>
          <w:szCs w:val="19"/>
        </w:rPr>
        <w:t>8</w:t>
      </w:r>
      <w:r w:rsidR="00864A37">
        <w:rPr>
          <w:szCs w:val="19"/>
        </w:rPr>
        <w:t>%</w:t>
      </w:r>
      <w:r>
        <w:rPr>
          <w:szCs w:val="19"/>
        </w:rPr>
        <w:t xml:space="preserve">. </w:t>
      </w:r>
    </w:p>
    <w:p w14:paraId="4E2312BA" w14:textId="720106D4" w:rsidR="00622187" w:rsidRPr="009A4233" w:rsidRDefault="00000000" w:rsidP="00966C9A">
      <w:pPr>
        <w:pStyle w:val="Tytuwykresu0"/>
        <w:rPr>
          <w:rFonts w:ascii="Fira Sans" w:hAnsi="Fira Sans"/>
        </w:rPr>
      </w:pPr>
      <w:r>
        <w:rPr>
          <w:rFonts w:ascii="Fira Sans" w:hAnsi="Fira Sans"/>
          <w:szCs w:val="19"/>
        </w:rPr>
        <w:pict w14:anchorId="6769C767">
          <v:shape id="_x0000_s2060" type="#_x0000_t202" alt="Pole tekstowe: W 2022 r. ustawowe minimalne wynagrodzenie za pracę wzrosło do 3010 zł, tj. o 7,5% względem roku poprzedniego, kiedy to wynosiło 2800 zł, co miało też wpływ na zmiany przeciętnych miesięcznych wynagrodzeń w sektorze przedsiębiorstw  " style="position:absolute;margin-left:412.15pt;margin-top:53.25pt;width:135.85pt;height:136.15pt;z-index:-251548672;visibility:visible;mso-wrap-distance-top:3.6pt;mso-wrap-distance-bottom:3.6pt;mso-width-relative:margin;mso-height-relative:margin" wrapcoords="0 0" filled="f" stroked="f">
            <v:textbox style="mso-next-textbox:#_x0000_s2060">
              <w:txbxContent>
                <w:p w14:paraId="43076563" w14:textId="77777777" w:rsidR="00C86BE2" w:rsidRPr="00FD5ADA" w:rsidRDefault="00C86BE2" w:rsidP="00342880">
                  <w:pPr>
                    <w:pStyle w:val="tekstzboku"/>
                    <w:rPr>
                      <w:bCs w:val="0"/>
                    </w:rPr>
                  </w:pPr>
                  <w:r>
                    <w:rPr>
                      <w:bCs w:val="0"/>
                    </w:rPr>
                    <w:t xml:space="preserve">W 2022 r. ustawowe minimalne wynagrodzenie za pracę wzrosło do 3010 zł, tj. o 7,5% względem roku poprzedniego, kiedy to wynosiło 2800 zł, co miało też wpływ na zmiany przeciętnych miesięcznych wynagrodzeń brutto w sektorze przedsiębiorstw </w:t>
                  </w:r>
                </w:p>
              </w:txbxContent>
            </v:textbox>
            <w10:wrap type="tight"/>
          </v:shape>
        </w:pict>
      </w:r>
      <w:r w:rsidR="009D2045" w:rsidRPr="009A4233">
        <w:rPr>
          <w:rFonts w:ascii="Fira Sans" w:hAnsi="Fira Sans"/>
        </w:rPr>
        <w:t>Wykres 2</w:t>
      </w:r>
      <w:r w:rsidR="00B16871" w:rsidRPr="009A4233">
        <w:rPr>
          <w:rFonts w:ascii="Fira Sans" w:hAnsi="Fira Sans"/>
        </w:rPr>
        <w:t xml:space="preserve">. </w:t>
      </w:r>
      <w:r w:rsidR="009D2045" w:rsidRPr="009A4233">
        <w:rPr>
          <w:rFonts w:ascii="Fira Sans" w:hAnsi="Fira Sans"/>
        </w:rPr>
        <w:t>Prz</w:t>
      </w:r>
      <w:r w:rsidR="00B5507D" w:rsidRPr="009A4233">
        <w:rPr>
          <w:rFonts w:ascii="Fira Sans" w:hAnsi="Fira Sans"/>
        </w:rPr>
        <w:t>eciętne miesięczne wynagrodzenia</w:t>
      </w:r>
      <w:r w:rsidR="009D2045" w:rsidRPr="009A4233">
        <w:rPr>
          <w:rFonts w:ascii="Fira Sans" w:hAnsi="Fira Sans"/>
        </w:rPr>
        <w:t xml:space="preserve"> brutto w sektorze przedsiębiorstw</w:t>
      </w:r>
      <w:r w:rsidR="00916F5A" w:rsidRPr="009A4233">
        <w:rPr>
          <w:rFonts w:ascii="Fira Sans" w:hAnsi="Fira Sans"/>
        </w:rPr>
        <w:t xml:space="preserve"> </w:t>
      </w:r>
      <w:r w:rsidR="00622187" w:rsidRPr="009A4233">
        <w:rPr>
          <w:rFonts w:ascii="Fira Sans" w:hAnsi="Fira Sans"/>
        </w:rPr>
        <w:t xml:space="preserve"> </w:t>
      </w:r>
      <w:r w:rsidR="008B3A00" w:rsidRPr="009A4233">
        <w:rPr>
          <w:rFonts w:ascii="Fira Sans" w:hAnsi="Fira Sans"/>
        </w:rPr>
        <w:drawing>
          <wp:anchor distT="0" distB="0" distL="114300" distR="114300" simplePos="0" relativeHeight="251769856" behindDoc="0" locked="1" layoutInCell="1" allowOverlap="1" wp14:anchorId="5005FE43" wp14:editId="19324B2F">
            <wp:simplePos x="0" y="0"/>
            <wp:positionH relativeFrom="column">
              <wp:posOffset>0</wp:posOffset>
            </wp:positionH>
            <wp:positionV relativeFrom="paragraph">
              <wp:posOffset>396875</wp:posOffset>
            </wp:positionV>
            <wp:extent cx="5122545" cy="2969895"/>
            <wp:effectExtent l="0" t="0" r="0" b="0"/>
            <wp:wrapTopAndBottom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24AFA" w14:textId="65E5827D" w:rsidR="00D4395C" w:rsidRDefault="00621FEA" w:rsidP="00FC269E">
      <w:pPr>
        <w:pStyle w:val="Tytuwykresu0"/>
        <w:spacing w:line="288" w:lineRule="auto"/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</w:pPr>
      <w:r>
        <w:rPr>
          <w:rFonts w:ascii="Fira Sans" w:eastAsiaTheme="minorHAnsi" w:hAnsi="Fira Sans" w:cstheme="minorBidi"/>
          <w:b w:val="0"/>
          <w:bCs w:val="0"/>
          <w:szCs w:val="19"/>
        </w:rPr>
        <w:t xml:space="preserve">Narastająco w </w:t>
      </w:r>
      <w:r w:rsidR="00FF7047">
        <w:rPr>
          <w:rFonts w:ascii="Fira Sans" w:eastAsiaTheme="minorHAnsi" w:hAnsi="Fira Sans" w:cstheme="minorBidi"/>
          <w:b w:val="0"/>
          <w:bCs w:val="0"/>
          <w:szCs w:val="19"/>
        </w:rPr>
        <w:t xml:space="preserve">okresie </w:t>
      </w:r>
      <w:r w:rsidR="00D64096">
        <w:rPr>
          <w:rFonts w:ascii="Fira Sans" w:eastAsiaTheme="minorHAnsi" w:hAnsi="Fira Sans" w:cstheme="minorBidi"/>
          <w:b w:val="0"/>
          <w:bCs w:val="0"/>
          <w:szCs w:val="19"/>
        </w:rPr>
        <w:t>jedenastu</w:t>
      </w:r>
      <w:r w:rsidR="00FF7047">
        <w:rPr>
          <w:rFonts w:ascii="Fira Sans" w:eastAsiaTheme="minorHAnsi" w:hAnsi="Fira Sans" w:cstheme="minorBidi"/>
          <w:b w:val="0"/>
          <w:bCs w:val="0"/>
          <w:szCs w:val="19"/>
        </w:rPr>
        <w:t xml:space="preserve"> </w:t>
      </w:r>
      <w:r>
        <w:rPr>
          <w:rFonts w:ascii="Fira Sans" w:eastAsiaTheme="minorHAnsi" w:hAnsi="Fira Sans" w:cstheme="minorBidi"/>
          <w:b w:val="0"/>
          <w:bCs w:val="0"/>
          <w:szCs w:val="19"/>
        </w:rPr>
        <w:t>miesięcy 2022 r. przeciętne miesięczne</w:t>
      </w:r>
      <w:r w:rsidR="00B5507D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wynagrodzenia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brut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to w sektorze przedsiębiorstw w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stosunku do 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analogicznego okresu </w:t>
      </w:r>
      <w:r w:rsidR="004C13CA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2021 r. </w:t>
      </w:r>
      <w:r w:rsidR="00B5507D" w:rsidRPr="006A61D3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wzrosły</w:t>
      </w:r>
      <w:r w:rsidR="00342880" w:rsidRPr="006A61D3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we wszystkich sekcjach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PKD 2007 od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2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 w sekcji „</w:t>
      </w:r>
      <w:r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Pozostała działalność usługowa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”</w:t>
      </w:r>
      <w:r w:rsidR="00FC4C72">
        <w:rPr>
          <w:rStyle w:val="Odwoanieprzypisudolnego"/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footnoteReference w:id="4"/>
      </w:r>
      <w:r w:rsidR="00D2149C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do 2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3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4</w:t>
      </w:r>
      <w:r w:rsidR="00FB0F4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w</w:t>
      </w:r>
      <w:r w:rsidR="00385402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 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sekcji „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Transport i gospodarka magazynowa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”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, co dało ogółem wzrost w </w:t>
      </w:r>
      <w:r w:rsidR="00AA6AB2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sektorze przedsiębiorstw o 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</w:t>
      </w:r>
      <w:r w:rsidR="006571EE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3</w:t>
      </w:r>
      <w:r w:rsidR="00CD0E7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4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%.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Najwyższą przeciętną płacę brutto w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sektorze przedsiębiorstw w 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okresie narastającym o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dnotowano w sekcji „Informacja i komunikacja” w wysokości </w:t>
      </w:r>
      <w:r w:rsidR="006571EE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112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62</w:t>
      </w:r>
      <w:r w:rsidR="006571EE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68</w:t>
      </w:r>
      <w:r w:rsidR="00214354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zł (wzrost o 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</w:t>
      </w:r>
      <w:r w:rsidR="00D2149C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2,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7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% względem analogicznego 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okresu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roku poprzedniego), zaś najniższą w sekcji „Zakwaterowanie i gastronomia” na poziomie </w:t>
      </w:r>
      <w:r w:rsidR="006571EE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4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72</w:t>
      </w:r>
      <w:r w:rsidR="006C0A6F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4</w:t>
      </w:r>
      <w:r w:rsidR="006571EE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33</w:t>
      </w:r>
      <w:r w:rsidR="00FF704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zł (pomimo wzrostu w odniesieniu do </w:t>
      </w:r>
      <w:r w:rsidR="0021642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sytuacji sprzed roku</w:t>
      </w:r>
      <w:r w:rsidR="00D33834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 </w:t>
      </w:r>
      <w:r w:rsidR="002B74D2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 xml:space="preserve">o </w:t>
      </w:r>
      <w:r w:rsidR="002A2733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1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2</w:t>
      </w:r>
      <w:r w:rsidR="008D144B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,</w:t>
      </w:r>
      <w:r w:rsidR="00EC4518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6</w:t>
      </w:r>
      <w:r w:rsidR="00342880" w:rsidRPr="00622187">
        <w:rPr>
          <w:rFonts w:ascii="Fira Sans" w:eastAsiaTheme="minorHAnsi" w:hAnsi="Fira Sans" w:cstheme="minorBidi"/>
          <w:b w:val="0"/>
          <w:bCs w:val="0"/>
          <w:noProof w:val="0"/>
          <w:szCs w:val="19"/>
          <w:lang w:eastAsia="en-US"/>
        </w:rPr>
        <w:t>%).</w:t>
      </w:r>
    </w:p>
    <w:p w14:paraId="315337C1" w14:textId="77777777" w:rsidR="00D4395C" w:rsidRDefault="00D4395C">
      <w:pPr>
        <w:spacing w:before="0" w:after="160" w:line="259" w:lineRule="auto"/>
        <w:rPr>
          <w:szCs w:val="19"/>
        </w:rPr>
      </w:pPr>
      <w:r>
        <w:rPr>
          <w:b/>
          <w:bCs/>
          <w:szCs w:val="19"/>
        </w:rPr>
        <w:br w:type="page"/>
      </w:r>
    </w:p>
    <w:p w14:paraId="608EC645" w14:textId="77777777" w:rsidR="00401025" w:rsidRPr="006C22A4" w:rsidRDefault="00401025" w:rsidP="00401025">
      <w:pPr>
        <w:pStyle w:val="Nagwek1"/>
        <w:rPr>
          <w:rFonts w:ascii="Fira Sans" w:hAnsi="Fira Sans"/>
          <w:b/>
          <w:szCs w:val="19"/>
        </w:rPr>
      </w:pPr>
      <w:r w:rsidRPr="006C22A4">
        <w:rPr>
          <w:rFonts w:ascii="Fira Sans" w:hAnsi="Fira Sans"/>
          <w:b/>
          <w:szCs w:val="19"/>
        </w:rPr>
        <w:lastRenderedPageBreak/>
        <w:t>Wyjaśnienia metodologiczne</w:t>
      </w:r>
    </w:p>
    <w:p w14:paraId="60593921" w14:textId="77777777" w:rsidR="00401025" w:rsidRDefault="00401025" w:rsidP="00401025">
      <w:pPr>
        <w:spacing w:line="288" w:lineRule="auto"/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 xml:space="preserve">Sektor przedsiębiorstw dotyczy podmiotów, </w:t>
      </w:r>
      <w:r w:rsidR="004C226E">
        <w:rPr>
          <w:rFonts w:eastAsia="Calibri"/>
          <w:b/>
          <w:szCs w:val="19"/>
          <w:shd w:val="clear" w:color="auto" w:fill="FFFFFF"/>
        </w:rPr>
        <w:t>o liczbie pracujących 10 i więcej osób</w:t>
      </w:r>
      <w:r w:rsidRPr="009118C4">
        <w:rPr>
          <w:rFonts w:eastAsia="Calibri"/>
          <w:b/>
          <w:szCs w:val="19"/>
          <w:shd w:val="clear" w:color="auto" w:fill="FFFFFF"/>
        </w:rPr>
        <w:t>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>
        <w:rPr>
          <w:szCs w:val="19"/>
        </w:rPr>
        <w:t xml:space="preserve"> </w:t>
      </w:r>
      <w:r w:rsidRPr="00330312">
        <w:rPr>
          <w:szCs w:val="19"/>
        </w:rPr>
        <w:t>wodach morskich; górnictwa i wydobywania; przetwórstwa przemysłowego; wytwarzania i</w:t>
      </w:r>
      <w:r>
        <w:rPr>
          <w:szCs w:val="19"/>
        </w:rPr>
        <w:t xml:space="preserve"> </w:t>
      </w:r>
      <w:r w:rsidRPr="00330312">
        <w:rPr>
          <w:szCs w:val="19"/>
        </w:rPr>
        <w:t>zaopatrywania w energię elektryczną,</w:t>
      </w:r>
      <w:r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>
        <w:rPr>
          <w:szCs w:val="19"/>
        </w:rPr>
        <w:softHyphen/>
      </w:r>
      <w:r w:rsidRPr="00330312">
        <w:rPr>
          <w:szCs w:val="19"/>
        </w:rPr>
        <w:t>trze do układów klimatyzacyjnych; dostawy wody; gospodarowania ściekami i odpadami oraz działalności związanej z</w:t>
      </w:r>
      <w:r>
        <w:rPr>
          <w:szCs w:val="19"/>
        </w:rPr>
        <w:t> </w:t>
      </w:r>
      <w:r w:rsidRPr="00330312">
        <w:rPr>
          <w:szCs w:val="19"/>
        </w:rPr>
        <w:t xml:space="preserve">rekultywacją; </w:t>
      </w:r>
      <w:r>
        <w:rPr>
          <w:szCs w:val="19"/>
        </w:rPr>
        <w:t xml:space="preserve">budownictwa; handlu hurtowego i </w:t>
      </w:r>
      <w:r w:rsidRPr="00330312">
        <w:rPr>
          <w:szCs w:val="19"/>
        </w:rPr>
        <w:t>detalicznego; naprawy pojazdów samochodowych, włączając moto</w:t>
      </w:r>
      <w:r>
        <w:rPr>
          <w:szCs w:val="19"/>
        </w:rPr>
        <w:t xml:space="preserve">cykle; transportu i </w:t>
      </w:r>
      <w:r w:rsidRPr="00330312">
        <w:rPr>
          <w:szCs w:val="19"/>
        </w:rPr>
        <w:t>gospodarki magazy</w:t>
      </w:r>
      <w:r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>
        <w:rPr>
          <w:szCs w:val="19"/>
        </w:rPr>
        <w:t> </w:t>
      </w:r>
      <w:r w:rsidRPr="00330312">
        <w:rPr>
          <w:szCs w:val="19"/>
        </w:rPr>
        <w:t>usługami gastro</w:t>
      </w:r>
      <w:r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>
        <w:rPr>
          <w:szCs w:val="19"/>
        </w:rPr>
        <w:t xml:space="preserve">ości profesjonalnej, naukowej i technicznej; działalności w </w:t>
      </w:r>
      <w:r w:rsidRPr="00330312">
        <w:rPr>
          <w:szCs w:val="19"/>
        </w:rPr>
        <w:t>zakresie usług administrowania i działalności wspie</w:t>
      </w:r>
      <w:r>
        <w:rPr>
          <w:szCs w:val="19"/>
        </w:rPr>
        <w:softHyphen/>
      </w:r>
      <w:r w:rsidRPr="00330312">
        <w:rPr>
          <w:szCs w:val="19"/>
        </w:rPr>
        <w:t>rają</w:t>
      </w:r>
      <w:r>
        <w:rPr>
          <w:szCs w:val="19"/>
        </w:rPr>
        <w:t xml:space="preserve">cej; działalności związanej z </w:t>
      </w:r>
      <w:r w:rsidRPr="00330312">
        <w:rPr>
          <w:szCs w:val="19"/>
        </w:rPr>
        <w:t>kultur</w:t>
      </w:r>
      <w:r>
        <w:rPr>
          <w:szCs w:val="19"/>
        </w:rPr>
        <w:t>ą, rozrywką i </w:t>
      </w:r>
      <w:r w:rsidRPr="00330312">
        <w:rPr>
          <w:szCs w:val="19"/>
        </w:rPr>
        <w:t>rekreacją; naprawy i konserwacji komputerów i</w:t>
      </w:r>
      <w:r>
        <w:rPr>
          <w:szCs w:val="19"/>
        </w:rPr>
        <w:t xml:space="preserve"> </w:t>
      </w:r>
      <w:r w:rsidRPr="00330312">
        <w:rPr>
          <w:szCs w:val="19"/>
        </w:rPr>
        <w:t>artykułów użytku osobistego i domowego; pozostałej indywidualnej działalności usługowej.</w:t>
      </w:r>
    </w:p>
    <w:p w14:paraId="59F18EB0" w14:textId="77777777" w:rsidR="00384AC5" w:rsidRDefault="00384AC5" w:rsidP="00401025">
      <w:pPr>
        <w:spacing w:line="288" w:lineRule="auto"/>
        <w:rPr>
          <w:szCs w:val="19"/>
        </w:rPr>
      </w:pPr>
      <w:r w:rsidRPr="00890841">
        <w:rPr>
          <w:rFonts w:eastAsia="Calibri"/>
          <w:shd w:val="clear" w:color="auto" w:fill="FFFFFF"/>
        </w:rPr>
        <w:t>Źródłem danych jest „</w:t>
      </w:r>
      <w:r w:rsidRPr="00890841">
        <w:t>Meldu</w:t>
      </w:r>
      <w:r>
        <w:t>nek o działalności gospo</w:t>
      </w:r>
      <w:r>
        <w:softHyphen/>
        <w:t>darczej</w:t>
      </w:r>
      <w:r w:rsidRPr="00055513">
        <w:t>” (DG</w:t>
      </w:r>
      <w:r>
        <w:noBreakHyphen/>
      </w:r>
      <w:r w:rsidRPr="00055513">
        <w:t>1).</w:t>
      </w:r>
      <w:r>
        <w:t xml:space="preserve"> W</w:t>
      </w:r>
      <w:r>
        <w:rPr>
          <w:rFonts w:eastAsia="Calibri"/>
          <w:shd w:val="clear" w:color="auto" w:fill="FFFFFF"/>
        </w:rPr>
        <w:t> </w:t>
      </w:r>
      <w:r w:rsidRPr="00882F42">
        <w:rPr>
          <w:rFonts w:eastAsia="Calibri"/>
          <w:shd w:val="clear" w:color="auto" w:fill="FFFFFF"/>
        </w:rPr>
        <w:t xml:space="preserve">ramach tego </w:t>
      </w:r>
      <w:r w:rsidRPr="00055513">
        <w:rPr>
          <w:rFonts w:eastAsia="Calibri"/>
          <w:shd w:val="clear" w:color="auto" w:fill="FFFFFF"/>
        </w:rPr>
        <w:t>sprawoz</w:t>
      </w:r>
      <w:r>
        <w:rPr>
          <w:rFonts w:eastAsia="Calibri"/>
          <w:shd w:val="clear" w:color="auto" w:fill="FFFFFF"/>
        </w:rPr>
        <w:softHyphen/>
      </w:r>
      <w:r w:rsidRPr="00055513">
        <w:rPr>
          <w:rFonts w:eastAsia="Calibri"/>
          <w:shd w:val="clear" w:color="auto" w:fill="FFFFFF"/>
        </w:rPr>
        <w:t>dania</w:t>
      </w:r>
      <w:r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Pr="00A73209">
        <w:rPr>
          <w:rFonts w:eastAsia="Calibri"/>
          <w:shd w:val="clear" w:color="auto" w:fill="FFFFFF"/>
        </w:rPr>
        <w:t>osób</w:t>
      </w:r>
      <w:r w:rsidRPr="00882F42">
        <w:rPr>
          <w:rFonts w:eastAsia="Calibri"/>
          <w:shd w:val="clear" w:color="auto" w:fill="FFFFFF"/>
        </w:rPr>
        <w:t xml:space="preserve"> badan</w:t>
      </w:r>
      <w:r>
        <w:rPr>
          <w:rFonts w:eastAsia="Calibri"/>
          <w:shd w:val="clear" w:color="auto" w:fill="FFFFFF"/>
        </w:rPr>
        <w:t>e są metodą pełną, a pod</w:t>
      </w:r>
      <w:r>
        <w:rPr>
          <w:rFonts w:eastAsia="Calibri"/>
          <w:shd w:val="clear" w:color="auto" w:fill="FFFFFF"/>
        </w:rPr>
        <w:softHyphen/>
        <w:t>mioty o </w:t>
      </w:r>
      <w:r w:rsidRPr="00882F42">
        <w:rPr>
          <w:rFonts w:eastAsia="Calibri"/>
          <w:shd w:val="clear" w:color="auto" w:fill="FFFFFF"/>
        </w:rPr>
        <w:t xml:space="preserve">liczbie pracujących od 10 do </w:t>
      </w:r>
      <w:r w:rsidRPr="0001330D">
        <w:rPr>
          <w:rFonts w:eastAsia="Calibri"/>
          <w:shd w:val="clear" w:color="auto" w:fill="FFFFFF"/>
        </w:rPr>
        <w:t>49 osób - m</w:t>
      </w:r>
      <w:r>
        <w:rPr>
          <w:rFonts w:eastAsia="Calibri"/>
          <w:shd w:val="clear" w:color="auto" w:fill="FFFFFF"/>
        </w:rPr>
        <w:t>e</w:t>
      </w:r>
      <w:r w:rsidRPr="0001330D">
        <w:rPr>
          <w:rFonts w:eastAsia="Calibri"/>
          <w:shd w:val="clear" w:color="auto" w:fill="FFFFFF"/>
        </w:rPr>
        <w:t>todą reprezentacyjną</w:t>
      </w:r>
      <w:r w:rsidRPr="0001330D">
        <w:rPr>
          <w:rFonts w:eastAsia="Calibri"/>
          <w:vertAlign w:val="superscript"/>
        </w:rPr>
        <w:footnoteReference w:id="5"/>
      </w:r>
    </w:p>
    <w:p w14:paraId="22FBDEC4" w14:textId="77777777" w:rsidR="00401025" w:rsidRDefault="00401025" w:rsidP="00401025">
      <w:pPr>
        <w:spacing w:line="288" w:lineRule="auto"/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- szczegółowy zakres </w:t>
      </w:r>
      <w:proofErr w:type="spellStart"/>
      <w:r>
        <w:rPr>
          <w:szCs w:val="19"/>
        </w:rPr>
        <w:t>wyłączeń</w:t>
      </w:r>
      <w:proofErr w:type="spellEnd"/>
      <w:r>
        <w:rPr>
          <w:szCs w:val="19"/>
        </w:rPr>
        <w:t xml:space="preserve"> z opisem metod obliczania zmiennych z rynku pracy znajduje się m.in. w objaśnieniach do formularza DG</w:t>
      </w:r>
      <w:r w:rsidR="00850985">
        <w:rPr>
          <w:szCs w:val="19"/>
        </w:rPr>
        <w:t>-</w:t>
      </w:r>
      <w:r>
        <w:rPr>
          <w:szCs w:val="19"/>
        </w:rPr>
        <w:t>1</w:t>
      </w:r>
      <w:r w:rsidRPr="00D7719E">
        <w:rPr>
          <w:vertAlign w:val="superscript"/>
        </w:rPr>
        <w:footnoteReference w:id="6"/>
      </w:r>
      <w:r>
        <w:rPr>
          <w:szCs w:val="19"/>
        </w:rPr>
        <w:t xml:space="preserve">. </w:t>
      </w:r>
    </w:p>
    <w:p w14:paraId="339DBD1A" w14:textId="77777777" w:rsidR="00401025" w:rsidRDefault="00401025" w:rsidP="00401025">
      <w:pPr>
        <w:spacing w:line="288" w:lineRule="auto"/>
        <w:rPr>
          <w:szCs w:val="19"/>
        </w:r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>
        <w:rPr>
          <w:szCs w:val="19"/>
        </w:rPr>
        <w:t>sytuacji</w:t>
      </w:r>
      <w:r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>
        <w:rPr>
          <w:szCs w:val="19"/>
        </w:rPr>
        <w:t>.</w:t>
      </w:r>
    </w:p>
    <w:p w14:paraId="456C5541" w14:textId="77777777" w:rsidR="00401025" w:rsidRDefault="00401025" w:rsidP="00401025">
      <w:pPr>
        <w:spacing w:line="288" w:lineRule="auto"/>
        <w:rPr>
          <w:szCs w:val="19"/>
        </w:rPr>
      </w:pPr>
    </w:p>
    <w:p w14:paraId="680F6B0A" w14:textId="77777777" w:rsidR="00694AF0" w:rsidRPr="009D2045" w:rsidRDefault="00694AF0" w:rsidP="00E76D26">
      <w:pPr>
        <w:rPr>
          <w:sz w:val="18"/>
        </w:rPr>
      </w:pPr>
    </w:p>
    <w:p w14:paraId="328A42F7" w14:textId="77777777" w:rsidR="00DA331D" w:rsidRPr="009D2045" w:rsidRDefault="00DA331D" w:rsidP="00DA331D">
      <w:pPr>
        <w:spacing w:before="360"/>
        <w:rPr>
          <w:sz w:val="18"/>
        </w:rPr>
        <w:sectPr w:rsidR="00DA331D" w:rsidRPr="009D204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3D623257" w14:textId="77777777" w:rsidTr="00B84C43">
        <w:trPr>
          <w:trHeight w:val="1626"/>
        </w:trPr>
        <w:tc>
          <w:tcPr>
            <w:tcW w:w="4926" w:type="dxa"/>
          </w:tcPr>
          <w:p w14:paraId="7D37B985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DD52192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1025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5475BA6D" w14:textId="77777777" w:rsidR="00DE2400" w:rsidRPr="009F7498" w:rsidRDefault="00DE2400" w:rsidP="004C13C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F7498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401025" w:rsidRPr="009F7498">
              <w:rPr>
                <w:b/>
                <w:sz w:val="20"/>
                <w:szCs w:val="20"/>
                <w:lang w:val="fi-FI"/>
              </w:rPr>
              <w:t>Agnieszka Zgierska</w:t>
            </w:r>
          </w:p>
          <w:p w14:paraId="437DC003" w14:textId="77777777" w:rsidR="00DE2400" w:rsidRPr="00AB24E4" w:rsidRDefault="00DE2400" w:rsidP="0040102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40102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40102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30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40102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15</w:t>
            </w:r>
          </w:p>
        </w:tc>
        <w:tc>
          <w:tcPr>
            <w:tcW w:w="4927" w:type="dxa"/>
          </w:tcPr>
          <w:p w14:paraId="4A3C19D1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EB741E3" w14:textId="77777777" w:rsidR="00DE2400" w:rsidRPr="004A1D19" w:rsidRDefault="00DE2400" w:rsidP="004C13CA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7678EEF" w14:textId="77777777" w:rsidR="00DE2400" w:rsidRPr="004A1D19" w:rsidRDefault="00DE2400" w:rsidP="004C13CA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AE34F33" w14:textId="77777777" w:rsidR="00DE2400" w:rsidRDefault="00DE2400" w:rsidP="004C13CA">
            <w:pPr>
              <w:rPr>
                <w:sz w:val="18"/>
              </w:rPr>
            </w:pPr>
          </w:p>
        </w:tc>
      </w:tr>
      <w:tr w:rsidR="00DE2400" w14:paraId="4326EA98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7B321323" w14:textId="77777777" w:rsidR="00DE2400" w:rsidRPr="00C91687" w:rsidRDefault="00DE2400" w:rsidP="004C13C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B151642" w14:textId="77777777" w:rsidR="00DE2400" w:rsidRPr="00C91687" w:rsidRDefault="00DE2400" w:rsidP="004C13CA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303B53A" w14:textId="77777777" w:rsidR="00DE2400" w:rsidRPr="00F05FC7" w:rsidRDefault="00DE2400" w:rsidP="004C13CA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04C1DFB" w14:textId="77777777" w:rsidR="00DE2400" w:rsidRDefault="00DE2400" w:rsidP="004C13C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38740E1A" wp14:editId="574DD9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7A164E28" w14:textId="77777777" w:rsidTr="00B84C43">
        <w:trPr>
          <w:trHeight w:val="418"/>
        </w:trPr>
        <w:tc>
          <w:tcPr>
            <w:tcW w:w="4926" w:type="dxa"/>
            <w:vMerge/>
          </w:tcPr>
          <w:p w14:paraId="4702B3D7" w14:textId="77777777" w:rsidR="00DE2400" w:rsidRPr="00C91687" w:rsidRDefault="00DE2400" w:rsidP="004C13CA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DBA2B27" w14:textId="77777777" w:rsidR="00DE2400" w:rsidRDefault="00531873" w:rsidP="004C13C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9A3C14" wp14:editId="17FFA82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073878F0" w14:textId="77777777" w:rsidTr="00B84C43">
        <w:trPr>
          <w:trHeight w:val="476"/>
        </w:trPr>
        <w:tc>
          <w:tcPr>
            <w:tcW w:w="4926" w:type="dxa"/>
            <w:vMerge/>
          </w:tcPr>
          <w:p w14:paraId="44C15050" w14:textId="77777777" w:rsidR="00DE2400" w:rsidRPr="00C91687" w:rsidRDefault="00DE2400" w:rsidP="004C13C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732E999" w14:textId="77777777" w:rsidR="00DE2400" w:rsidRDefault="00531873" w:rsidP="004C13C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45E3A92E" wp14:editId="49DE139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22C80B93" w14:textId="77777777" w:rsidTr="00B84C43">
        <w:trPr>
          <w:trHeight w:val="426"/>
        </w:trPr>
        <w:tc>
          <w:tcPr>
            <w:tcW w:w="4926" w:type="dxa"/>
          </w:tcPr>
          <w:p w14:paraId="1C844750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9B07D6A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67A26570" wp14:editId="5C1A74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6712B8A9" w14:textId="77777777" w:rsidTr="00B84C43">
        <w:trPr>
          <w:trHeight w:val="504"/>
        </w:trPr>
        <w:tc>
          <w:tcPr>
            <w:tcW w:w="4926" w:type="dxa"/>
          </w:tcPr>
          <w:p w14:paraId="6F70C57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554A5D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7E025A29" wp14:editId="3B49DE3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225E1902" w14:textId="77777777" w:rsidTr="00B84C43">
        <w:trPr>
          <w:trHeight w:val="1546"/>
        </w:trPr>
        <w:tc>
          <w:tcPr>
            <w:tcW w:w="4926" w:type="dxa"/>
          </w:tcPr>
          <w:p w14:paraId="5443144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C6E667A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1BDEBF9F" wp14:editId="4B69EFD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1873" w:rsidRPr="002A259B" w14:paraId="6E3FAAA0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EF22E88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BEFD1D9" w14:textId="77777777" w:rsidR="006A3C5F" w:rsidRPr="006A3C5F" w:rsidRDefault="00000000" w:rsidP="006A3C5F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3" w:history="1">
              <w:r w:rsidR="006A3C5F" w:rsidRPr="006A3C5F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Obszar tematyczny: Pracujący. Zatrudnieni. Wynagrodzenia. Koszty pracy</w:t>
              </w:r>
            </w:hyperlink>
            <w:r w:rsidR="006A3C5F" w:rsidRPr="006A3C5F">
              <w:rPr>
                <w:rStyle w:val="Hipercze"/>
                <w:rFonts w:ascii="Fira Sans" w:eastAsiaTheme="minorHAnsi" w:hAnsi="Fira Sans"/>
                <w:sz w:val="19"/>
                <w:szCs w:val="22"/>
              </w:rPr>
              <w:t xml:space="preserve"> </w:t>
            </w:r>
          </w:p>
          <w:p w14:paraId="3A5265BF" w14:textId="4D656115" w:rsidR="006A3C5F" w:rsidRPr="006A3C5F" w:rsidRDefault="00000000" w:rsidP="006A3C5F">
            <w:pPr>
              <w:pStyle w:val="Nagwek2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4" w:history="1">
              <w:r w:rsidR="006A3C5F" w:rsidRPr="006571EE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Zatrudnienie i wynagrodzenia w gospodarce narodowej w</w:t>
              </w:r>
              <w:r w:rsidR="00A04035" w:rsidRPr="006571EE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 xml:space="preserve"> pierwszym </w:t>
              </w:r>
              <w:r w:rsidR="006571EE" w:rsidRPr="006571EE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półroczu</w:t>
              </w:r>
              <w:r w:rsidR="00A04035" w:rsidRPr="006571EE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 xml:space="preserve"> 2022</w:t>
              </w:r>
              <w:r w:rsidR="006A3C5F" w:rsidRPr="006571EE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 xml:space="preserve"> roku</w:t>
              </w:r>
            </w:hyperlink>
          </w:p>
          <w:p w14:paraId="06162A3B" w14:textId="77777777" w:rsidR="006A3C5F" w:rsidRPr="006A3C5F" w:rsidRDefault="00000000" w:rsidP="006A3C5F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5" w:history="1">
              <w:r w:rsidR="006A3C5F" w:rsidRPr="003715B1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Struktura wynagrodzeń według zawodów w październiku 20</w:t>
              </w:r>
              <w:r w:rsidR="005B48C0" w:rsidRPr="003715B1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20</w:t>
              </w:r>
              <w:r w:rsidR="006A3C5F" w:rsidRPr="003715B1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 xml:space="preserve"> r.</w:t>
              </w:r>
            </w:hyperlink>
          </w:p>
          <w:p w14:paraId="1B5EC4BF" w14:textId="77777777" w:rsidR="006A3C5F" w:rsidRPr="006A3C5F" w:rsidRDefault="00000000" w:rsidP="006A3C5F">
            <w:pPr>
              <w:rPr>
                <w:rStyle w:val="Hipercze"/>
              </w:rPr>
            </w:pPr>
            <w:hyperlink r:id="rId26" w:history="1">
              <w:r w:rsidR="006A3C5F" w:rsidRPr="006A3C5F">
                <w:rPr>
                  <w:rStyle w:val="Hipercze"/>
                </w:rPr>
                <w:t>Zeszyt metodologiczny Pracujący w gospodarce narodowej</w:t>
              </w:r>
            </w:hyperlink>
          </w:p>
          <w:p w14:paraId="1DAE866A" w14:textId="77777777" w:rsidR="006A3C5F" w:rsidRPr="00E9755A" w:rsidRDefault="00000000" w:rsidP="006A3C5F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hyperlink r:id="rId27" w:history="1">
              <w:r w:rsidR="006A3C5F" w:rsidRPr="006A3C5F">
                <w:rPr>
                  <w:rStyle w:val="Hipercze"/>
                </w:rPr>
                <w:t>Zeszyt metodologiczny Wynagrodzenia w gospodarce narodowej</w:t>
              </w:r>
            </w:hyperlink>
          </w:p>
          <w:p w14:paraId="4B675EBC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7AA1E0C" w14:textId="77777777" w:rsidR="002A259B" w:rsidRPr="002A259B" w:rsidRDefault="00000000" w:rsidP="002A259B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8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Baza BDL – temat rynek pracy</w:t>
              </w:r>
            </w:hyperlink>
          </w:p>
          <w:p w14:paraId="344FA4B3" w14:textId="77777777" w:rsidR="002A259B" w:rsidRPr="002A259B" w:rsidRDefault="00000000" w:rsidP="002A259B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29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Baza BDM – temat rynek pracy</w:t>
              </w:r>
            </w:hyperlink>
          </w:p>
          <w:p w14:paraId="6E6E47E8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7C98A2B" w14:textId="77777777" w:rsidR="0058301E" w:rsidRPr="0058301E" w:rsidRDefault="00000000" w:rsidP="002A259B">
            <w:pPr>
              <w:pStyle w:val="Nagwek2"/>
              <w:spacing w:before="120" w:after="120"/>
              <w:outlineLvl w:val="1"/>
              <w:rPr>
                <w:rFonts w:ascii="Fira Sans" w:hAnsi="Fira Sans"/>
                <w:sz w:val="19"/>
                <w:szCs w:val="19"/>
              </w:rPr>
            </w:pPr>
            <w:hyperlink r:id="rId30" w:history="1">
              <w:r w:rsidR="0058301E" w:rsidRPr="0058301E">
                <w:rPr>
                  <w:rStyle w:val="Hipercze"/>
                  <w:rFonts w:ascii="Fira Sans" w:hAnsi="Fira Sans" w:cstheme="majorBidi"/>
                  <w:sz w:val="19"/>
                  <w:szCs w:val="19"/>
                </w:rPr>
                <w:t>Sektor przedsiębiorstw w statystyce rynku pracy i wynagrodzeń</w:t>
              </w:r>
            </w:hyperlink>
          </w:p>
          <w:p w14:paraId="29C642E7" w14:textId="77777777" w:rsidR="002A259B" w:rsidRPr="002A259B" w:rsidRDefault="00000000" w:rsidP="002A259B">
            <w:pPr>
              <w:pStyle w:val="Nagwek2"/>
              <w:spacing w:before="120" w:after="120"/>
              <w:outlineLvl w:val="1"/>
              <w:rPr>
                <w:rStyle w:val="Hipercze"/>
                <w:rFonts w:ascii="Fira Sans" w:eastAsiaTheme="minorHAnsi" w:hAnsi="Fira Sans"/>
                <w:sz w:val="19"/>
                <w:szCs w:val="22"/>
              </w:rPr>
            </w:pPr>
            <w:hyperlink r:id="rId31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Przeciętne zatrudnienie</w:t>
              </w:r>
            </w:hyperlink>
          </w:p>
          <w:p w14:paraId="360162FF" w14:textId="77777777" w:rsidR="00531873" w:rsidRPr="00BA1B10" w:rsidRDefault="00000000" w:rsidP="00BA1B10">
            <w:pPr>
              <w:pStyle w:val="Nagwek2"/>
              <w:spacing w:before="120" w:after="120"/>
              <w:outlineLvl w:val="1"/>
              <w:rPr>
                <w:rFonts w:ascii="Fira Sans" w:eastAsiaTheme="minorHAnsi" w:hAnsi="Fira Sans" w:cs="Times New Roman"/>
                <w:color w:val="0000FF"/>
                <w:sz w:val="19"/>
                <w:szCs w:val="22"/>
                <w:u w:val="single"/>
              </w:rPr>
            </w:pPr>
            <w:hyperlink r:id="rId32" w:history="1">
              <w:r w:rsidR="002A259B" w:rsidRPr="002A259B">
                <w:rPr>
                  <w:rStyle w:val="Hipercze"/>
                  <w:rFonts w:ascii="Fira Sans" w:eastAsiaTheme="minorHAnsi" w:hAnsi="Fira Sans"/>
                  <w:sz w:val="19"/>
                  <w:szCs w:val="22"/>
                </w:rPr>
                <w:t>Wynagrodzenia do obliczania przeciętnego miesięcznego wynagrodzenia</w:t>
              </w:r>
            </w:hyperlink>
          </w:p>
        </w:tc>
      </w:tr>
    </w:tbl>
    <w:p w14:paraId="1B819BBC" w14:textId="77777777" w:rsidR="000470AA" w:rsidRPr="002A259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2A259B" w14:paraId="4967410A" w14:textId="77777777" w:rsidTr="00E23337">
        <w:trPr>
          <w:trHeight w:val="1912"/>
        </w:trPr>
        <w:tc>
          <w:tcPr>
            <w:tcW w:w="4379" w:type="dxa"/>
          </w:tcPr>
          <w:p w14:paraId="56404C7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7BC18063" w14:textId="77777777" w:rsidR="000470AA" w:rsidRPr="002A259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936E5D7" w14:textId="77777777" w:rsidR="00D261A2" w:rsidRPr="002A259B" w:rsidRDefault="00D261A2" w:rsidP="005260FC">
      <w:pPr>
        <w:rPr>
          <w:sz w:val="18"/>
        </w:rPr>
      </w:pPr>
    </w:p>
    <w:sectPr w:rsidR="00D261A2" w:rsidRPr="002A259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2534" w14:textId="77777777" w:rsidR="00AE3F29" w:rsidRDefault="00AE3F29" w:rsidP="000662E2">
      <w:pPr>
        <w:spacing w:after="0" w:line="240" w:lineRule="auto"/>
      </w:pPr>
      <w:r>
        <w:separator/>
      </w:r>
    </w:p>
  </w:endnote>
  <w:endnote w:type="continuationSeparator" w:id="0">
    <w:p w14:paraId="6B5C5D89" w14:textId="77777777" w:rsidR="00AE3F29" w:rsidRDefault="00AE3F2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 Semi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Content>
      <w:p w14:paraId="758D498D" w14:textId="77777777" w:rsidR="00C86BE2" w:rsidRDefault="005A3FED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4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Content>
      <w:p w14:paraId="6B832EF2" w14:textId="77777777" w:rsidR="00C86BE2" w:rsidRDefault="005A3FED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4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Content>
      <w:p w14:paraId="20F934A8" w14:textId="77777777" w:rsidR="00C86BE2" w:rsidRDefault="005A3FED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42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9E81" w14:textId="77777777" w:rsidR="00AE3F29" w:rsidRDefault="00AE3F29" w:rsidP="000662E2">
      <w:pPr>
        <w:spacing w:after="0" w:line="240" w:lineRule="auto"/>
      </w:pPr>
      <w:r>
        <w:separator/>
      </w:r>
    </w:p>
  </w:footnote>
  <w:footnote w:type="continuationSeparator" w:id="0">
    <w:p w14:paraId="4F5B8F1E" w14:textId="77777777" w:rsidR="00AE3F29" w:rsidRDefault="00AE3F29" w:rsidP="000662E2">
      <w:pPr>
        <w:spacing w:after="0" w:line="240" w:lineRule="auto"/>
      </w:pPr>
      <w:r>
        <w:continuationSeparator/>
      </w:r>
    </w:p>
  </w:footnote>
  <w:footnote w:id="1">
    <w:p w14:paraId="51707DE4" w14:textId="77777777" w:rsidR="00C86BE2" w:rsidRPr="00526041" w:rsidRDefault="00C86BE2" w:rsidP="00976E2C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BD4270">
        <w:rPr>
          <w:sz w:val="19"/>
          <w:szCs w:val="19"/>
        </w:rPr>
        <w:t>Przeciętne zatrudnienie po przeliczeniu wymiarów etatów osób niepełnozatrudnionych na pełne etaty.</w:t>
      </w:r>
    </w:p>
  </w:footnote>
  <w:footnote w:id="2">
    <w:p w14:paraId="639A7755" w14:textId="77777777" w:rsidR="00C86BE2" w:rsidRPr="00F8556E" w:rsidRDefault="00C86BE2" w:rsidP="00976E2C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F8556E">
        <w:rPr>
          <w:sz w:val="19"/>
          <w:szCs w:val="19"/>
        </w:rPr>
        <w:t xml:space="preserve">Opis działalności zaliczanych do sektora przedsiębiorstw zamieszczono na str. </w:t>
      </w:r>
      <w:r>
        <w:rPr>
          <w:sz w:val="19"/>
          <w:szCs w:val="19"/>
        </w:rPr>
        <w:t>4</w:t>
      </w:r>
      <w:r w:rsidRPr="00F8556E">
        <w:rPr>
          <w:sz w:val="19"/>
          <w:szCs w:val="19"/>
        </w:rPr>
        <w:t>.</w:t>
      </w:r>
    </w:p>
  </w:footnote>
  <w:footnote w:id="3">
    <w:p w14:paraId="37E0DA1C" w14:textId="77777777" w:rsidR="00C86BE2" w:rsidRPr="00FC269E" w:rsidRDefault="00C86BE2" w:rsidP="00FC03C3">
      <w:pPr>
        <w:pStyle w:val="Tekstprzypisudolnego"/>
        <w:spacing w:before="0"/>
        <w:rPr>
          <w:sz w:val="19"/>
          <w:szCs w:val="19"/>
        </w:rPr>
      </w:pPr>
      <w:r w:rsidRPr="00FC269E">
        <w:rPr>
          <w:rStyle w:val="Odwoanieprzypisudolnego"/>
          <w:sz w:val="19"/>
          <w:szCs w:val="19"/>
        </w:rPr>
        <w:footnoteRef/>
      </w:r>
      <w:r w:rsidRPr="00FC269E">
        <w:rPr>
          <w:sz w:val="19"/>
          <w:szCs w:val="19"/>
        </w:rPr>
        <w:t xml:space="preserve"> Załącznik do objaśnień sprawozdawczości z zatrudnienia i wynagrodzeń: </w:t>
      </w:r>
      <w:hyperlink r:id="rId1" w:history="1">
        <w:r w:rsidRPr="00FC269E">
          <w:rPr>
            <w:rStyle w:val="Hipercze"/>
            <w:sz w:val="19"/>
            <w:szCs w:val="19"/>
          </w:rPr>
          <w:t>http://form.stat.gov.pl/formularze/2020/objasnienia/zalacznik_do_objasnien.pdf</w:t>
        </w:r>
      </w:hyperlink>
      <w:r w:rsidRPr="00FC269E">
        <w:rPr>
          <w:sz w:val="19"/>
          <w:szCs w:val="19"/>
        </w:rPr>
        <w:t xml:space="preserve">. </w:t>
      </w:r>
    </w:p>
  </w:footnote>
  <w:footnote w:id="4">
    <w:p w14:paraId="481C4308" w14:textId="77777777" w:rsidR="00FC4C72" w:rsidRDefault="00FC4C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269E">
        <w:rPr>
          <w:sz w:val="19"/>
          <w:szCs w:val="19"/>
        </w:rPr>
        <w:t xml:space="preserve">W ramach sektora przedsiębiorstw, sekcja ta nie bada </w:t>
      </w:r>
      <w:r w:rsidRPr="00FC269E">
        <w:rPr>
          <w:rFonts w:cs="Arial"/>
          <w:sz w:val="19"/>
          <w:szCs w:val="19"/>
        </w:rPr>
        <w:t>działalności „Działalność organizacji członkowskich” (dział 94).</w:t>
      </w:r>
    </w:p>
  </w:footnote>
  <w:footnote w:id="5">
    <w:p w14:paraId="7F446218" w14:textId="77777777" w:rsidR="00C86BE2" w:rsidRPr="00AF195C" w:rsidRDefault="00C86BE2" w:rsidP="00FC269E">
      <w:pPr>
        <w:pStyle w:val="Tekstprzypisudolnego"/>
        <w:rPr>
          <w:sz w:val="19"/>
          <w:szCs w:val="19"/>
        </w:rPr>
      </w:pPr>
      <w:r w:rsidRPr="00AF195C">
        <w:rPr>
          <w:rStyle w:val="Odwoanieprzypisudolnego"/>
          <w:sz w:val="19"/>
          <w:szCs w:val="19"/>
        </w:rPr>
        <w:footnoteRef/>
      </w:r>
      <w:r w:rsidRPr="00AF195C">
        <w:rPr>
          <w:rStyle w:val="Odwoanieprzypisudolnego"/>
          <w:sz w:val="19"/>
          <w:szCs w:val="19"/>
        </w:rPr>
        <w:t xml:space="preserve"> </w:t>
      </w:r>
      <w:r w:rsidRPr="00AF195C">
        <w:rPr>
          <w:rFonts w:eastAsia="Calibri"/>
          <w:sz w:val="19"/>
          <w:szCs w:val="19"/>
          <w:shd w:val="clear" w:color="auto" w:fill="FFFFFF"/>
        </w:rPr>
        <w:t>Zeszyt Metodologiczny Meldunek o działalności gospodarczej przedsiębiorstw:</w:t>
      </w:r>
      <w:r w:rsidRPr="00AF195C">
        <w:rPr>
          <w:sz w:val="19"/>
          <w:szCs w:val="19"/>
        </w:rPr>
        <w:t xml:space="preserve"> </w:t>
      </w:r>
      <w:hyperlink r:id="rId2" w:history="1">
        <w:r w:rsidRPr="00AF195C">
          <w:rPr>
            <w:rStyle w:val="Hipercze"/>
            <w:sz w:val="19"/>
            <w:szCs w:val="19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Pr="00AF195C">
        <w:rPr>
          <w:sz w:val="19"/>
          <w:szCs w:val="19"/>
        </w:rPr>
        <w:t xml:space="preserve">. </w:t>
      </w:r>
    </w:p>
  </w:footnote>
  <w:footnote w:id="6">
    <w:p w14:paraId="7D742AE6" w14:textId="77777777" w:rsidR="00C86BE2" w:rsidRPr="00AA0352" w:rsidRDefault="00C86BE2" w:rsidP="00AA0352">
      <w:pPr>
        <w:rPr>
          <w:color w:val="1F497D"/>
        </w:rPr>
      </w:pPr>
      <w:r w:rsidRPr="00AF195C">
        <w:rPr>
          <w:rStyle w:val="Odwoanieprzypisudolnego"/>
          <w:szCs w:val="19"/>
        </w:rPr>
        <w:footnoteRef/>
      </w:r>
      <w:r w:rsidRPr="00AF195C">
        <w:rPr>
          <w:szCs w:val="19"/>
        </w:rPr>
        <w:t xml:space="preserve"> Formularz badania DG-1 wraz z objaśnieniami: </w:t>
      </w:r>
      <w:hyperlink r:id="rId3" w:history="1">
        <w:r>
          <w:rPr>
            <w:rStyle w:val="Hipercze"/>
          </w:rPr>
          <w:t>http://form.stat.gov.pl/formularze/2022/passive/DG-1.pdf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1050" w14:textId="77777777" w:rsidR="00C86BE2" w:rsidRDefault="00000000">
    <w:pPr>
      <w:pStyle w:val="Nagwek"/>
    </w:pPr>
    <w:r>
      <w:rPr>
        <w:noProof/>
        <w:lang w:eastAsia="pl-PL"/>
      </w:rPr>
      <w:pict w14:anchorId="55455A2D">
        <v:rect id="Prostokąt 12" o:spid="_x0000_s1028" style="position:absolute;margin-left:411.2pt;margin-top:-322.85pt;width:147.4pt;height:1803.55pt;z-index:-25164288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<w10:wrap type="tight"/>
        </v:rect>
      </w:pict>
    </w:r>
  </w:p>
  <w:p w14:paraId="4C6CC21A" w14:textId="77777777" w:rsidR="00C86BE2" w:rsidRDefault="00C86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E550" w14:textId="77777777" w:rsidR="00C86BE2" w:rsidRDefault="00C86BE2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A1429E" wp14:editId="2585922C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 i logo Narodowego Spisu Powszechnego Ludności i Mieszkań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1045759C">
        <v:shape id="Schemat blokowy: opóźnienie 6" o:spid="_x0000_s1027" alt="Informacja sygnalna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14:paraId="0342F167" w14:textId="77777777" w:rsidR="00C86BE2" w:rsidRPr="003C6C8D" w:rsidRDefault="00C86BE2" w:rsidP="005D2F6B">
                <w:pPr>
                  <w:spacing w:before="0" w:after="0" w:line="240" w:lineRule="auto"/>
                  <w:ind w:left="227"/>
                  <w:jc w:val="center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 w:rsidR="00000000">
      <w:rPr>
        <w:noProof/>
        <w:lang w:eastAsia="pl-PL"/>
      </w:rPr>
      <w:pict w14:anchorId="53BD8A0F">
        <v:rect id="Prostokąt 10" o:spid="_x0000_s1026" alt="Data publikacji: 19.08.2022 r." style="position:absolute;margin-left:411.1pt;margin-top:40.3pt;width:147.4pt;height:1803.55pt;z-index:-251650048;visibility:visible;mso-position-horizontal-relative:text;mso-position-vertical-relative:text;mso-width-relative:margin;mso-height-relative:margin;v-text-anchor:middle" wrapcoords="-110 0 -110 21591 21600 21591 21600 0 -110 0" fillcolor="#f2f2f2" stroked="f" strokeweight="1pt">
          <w10:wrap type="tight"/>
        </v:rect>
      </w:pic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2989DBC5" w14:textId="77777777" w:rsidR="00C86BE2" w:rsidRDefault="00C86BE2">
    <w:pPr>
      <w:pStyle w:val="Nagwek"/>
      <w:rPr>
        <w:noProof/>
        <w:lang w:eastAsia="pl-PL"/>
      </w:rPr>
    </w:pPr>
  </w:p>
  <w:p w14:paraId="28C0E6C4" w14:textId="77777777" w:rsidR="00C86BE2" w:rsidRDefault="00C86BE2">
    <w:pPr>
      <w:pStyle w:val="Nagwek"/>
      <w:rPr>
        <w:noProof/>
        <w:lang w:eastAsia="pl-PL"/>
      </w:rPr>
    </w:pPr>
  </w:p>
  <w:p w14:paraId="0B61AAA6" w14:textId="77777777" w:rsidR="00C86BE2" w:rsidRDefault="00000000">
    <w:pPr>
      <w:pStyle w:val="Nagwek"/>
      <w:rPr>
        <w:noProof/>
        <w:lang w:eastAsia="pl-PL"/>
      </w:rPr>
    </w:pPr>
    <w:r>
      <w:rPr>
        <w:noProof/>
        <w:lang w:eastAsia="pl-PL"/>
      </w:rPr>
      <w:pict w14:anchorId="2966379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Data publikacji informacji sygnalnej: 20.12.2022 r. " style="position:absolute;margin-left:416.4pt;margin-top:20.95pt;width:112.8pt;height:26.5pt;z-index:251669504;visibility:visible;mso-wrap-distance-top:3.6pt;mso-wrap-distance-bottom:3.6pt;mso-width-relative:margin;mso-height-relative:margin" filled="f" stroked="f">
          <v:textbox style="mso-next-textbox:#_x0000_s1025">
            <w:txbxContent>
              <w:p w14:paraId="6DE6D63A" w14:textId="62CC9E97" w:rsidR="00C86BE2" w:rsidRPr="00A01B40" w:rsidRDefault="00B0362E" w:rsidP="00F049AB">
                <w:pPr>
                  <w:pStyle w:val="Datainformacjisygnalnej"/>
                </w:pPr>
                <w:r>
                  <w:t>20.1</w:t>
                </w:r>
                <w:r w:rsidR="00881C72">
                  <w:t>2</w:t>
                </w:r>
                <w:r w:rsidR="00C86BE2">
                  <w:t>.2022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62E7" w14:textId="77777777" w:rsidR="00C86BE2" w:rsidRDefault="00C86BE2">
    <w:pPr>
      <w:pStyle w:val="Nagwek"/>
    </w:pPr>
  </w:p>
  <w:p w14:paraId="1A252085" w14:textId="77777777" w:rsidR="00C86BE2" w:rsidRDefault="00C86B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23.65pt;height:124.65pt;visibility:visible;mso-wrap-style:square" o:bullet="t">
        <v:imagedata r:id="rId1" o:title=""/>
      </v:shape>
    </w:pict>
  </w:numPicBullet>
  <w:numPicBullet w:numPicBulletId="1">
    <w:pict>
      <v:shape id="_x0000_i1065" type="#_x0000_t75" style="width:123.65pt;height:124.6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 w16cid:durableId="1041856125">
    <w:abstractNumId w:val="4"/>
  </w:num>
  <w:num w:numId="2" w16cid:durableId="32391713">
    <w:abstractNumId w:val="1"/>
  </w:num>
  <w:num w:numId="3" w16cid:durableId="71314776">
    <w:abstractNumId w:val="2"/>
  </w:num>
  <w:num w:numId="4" w16cid:durableId="149664577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47661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430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EF9"/>
    <w:rsid w:val="00003437"/>
    <w:rsid w:val="0000709F"/>
    <w:rsid w:val="00007F4D"/>
    <w:rsid w:val="000108B8"/>
    <w:rsid w:val="00010FA8"/>
    <w:rsid w:val="000152F5"/>
    <w:rsid w:val="00017850"/>
    <w:rsid w:val="00025423"/>
    <w:rsid w:val="00027E60"/>
    <w:rsid w:val="000430E2"/>
    <w:rsid w:val="0004582E"/>
    <w:rsid w:val="000470AA"/>
    <w:rsid w:val="000536AE"/>
    <w:rsid w:val="00057CA1"/>
    <w:rsid w:val="000603BD"/>
    <w:rsid w:val="000632F5"/>
    <w:rsid w:val="000634E6"/>
    <w:rsid w:val="000647A9"/>
    <w:rsid w:val="000662E2"/>
    <w:rsid w:val="00066883"/>
    <w:rsid w:val="00071B39"/>
    <w:rsid w:val="000738BB"/>
    <w:rsid w:val="00074DD8"/>
    <w:rsid w:val="00075759"/>
    <w:rsid w:val="000806F7"/>
    <w:rsid w:val="00085684"/>
    <w:rsid w:val="00085854"/>
    <w:rsid w:val="00087433"/>
    <w:rsid w:val="00093B81"/>
    <w:rsid w:val="00097840"/>
    <w:rsid w:val="000B0727"/>
    <w:rsid w:val="000B5D11"/>
    <w:rsid w:val="000C0A1C"/>
    <w:rsid w:val="000C135D"/>
    <w:rsid w:val="000C6F95"/>
    <w:rsid w:val="000D1D43"/>
    <w:rsid w:val="000D225C"/>
    <w:rsid w:val="000D22A0"/>
    <w:rsid w:val="000D2A5C"/>
    <w:rsid w:val="000D327B"/>
    <w:rsid w:val="000D39F0"/>
    <w:rsid w:val="000D5A55"/>
    <w:rsid w:val="000E0918"/>
    <w:rsid w:val="000E2D8A"/>
    <w:rsid w:val="000E79A9"/>
    <w:rsid w:val="000F369E"/>
    <w:rsid w:val="001011C3"/>
    <w:rsid w:val="00101FDB"/>
    <w:rsid w:val="0010436D"/>
    <w:rsid w:val="00106DA3"/>
    <w:rsid w:val="00110214"/>
    <w:rsid w:val="00110D87"/>
    <w:rsid w:val="00112399"/>
    <w:rsid w:val="00114DB9"/>
    <w:rsid w:val="00116087"/>
    <w:rsid w:val="00117711"/>
    <w:rsid w:val="00130296"/>
    <w:rsid w:val="00133F59"/>
    <w:rsid w:val="00134145"/>
    <w:rsid w:val="00136736"/>
    <w:rsid w:val="00136740"/>
    <w:rsid w:val="00136D67"/>
    <w:rsid w:val="001423B6"/>
    <w:rsid w:val="001437F1"/>
    <w:rsid w:val="001448A7"/>
    <w:rsid w:val="00145219"/>
    <w:rsid w:val="00146621"/>
    <w:rsid w:val="0015207F"/>
    <w:rsid w:val="001602D4"/>
    <w:rsid w:val="001617E3"/>
    <w:rsid w:val="00162325"/>
    <w:rsid w:val="00165263"/>
    <w:rsid w:val="00166702"/>
    <w:rsid w:val="0018508B"/>
    <w:rsid w:val="00186BCE"/>
    <w:rsid w:val="00191E86"/>
    <w:rsid w:val="001951DA"/>
    <w:rsid w:val="00196E7D"/>
    <w:rsid w:val="001A4323"/>
    <w:rsid w:val="001B053D"/>
    <w:rsid w:val="001B07BE"/>
    <w:rsid w:val="001B1543"/>
    <w:rsid w:val="001B2885"/>
    <w:rsid w:val="001C3269"/>
    <w:rsid w:val="001C6F3D"/>
    <w:rsid w:val="001D19B6"/>
    <w:rsid w:val="001D1DB4"/>
    <w:rsid w:val="001D1EEB"/>
    <w:rsid w:val="001D23F1"/>
    <w:rsid w:val="001D25F9"/>
    <w:rsid w:val="001D61ED"/>
    <w:rsid w:val="001D74F3"/>
    <w:rsid w:val="001E5B2D"/>
    <w:rsid w:val="001E6B58"/>
    <w:rsid w:val="001F05E6"/>
    <w:rsid w:val="001F3F7A"/>
    <w:rsid w:val="002013C9"/>
    <w:rsid w:val="0020156C"/>
    <w:rsid w:val="00214354"/>
    <w:rsid w:val="00216428"/>
    <w:rsid w:val="00216634"/>
    <w:rsid w:val="00237274"/>
    <w:rsid w:val="0024299D"/>
    <w:rsid w:val="00242D31"/>
    <w:rsid w:val="002466E4"/>
    <w:rsid w:val="00251EAD"/>
    <w:rsid w:val="0025481E"/>
    <w:rsid w:val="002574F9"/>
    <w:rsid w:val="00262B61"/>
    <w:rsid w:val="00262CC6"/>
    <w:rsid w:val="00263C8F"/>
    <w:rsid w:val="00263E08"/>
    <w:rsid w:val="00266B78"/>
    <w:rsid w:val="00273894"/>
    <w:rsid w:val="00275064"/>
    <w:rsid w:val="00276811"/>
    <w:rsid w:val="00282699"/>
    <w:rsid w:val="0028647C"/>
    <w:rsid w:val="002915FF"/>
    <w:rsid w:val="002926DF"/>
    <w:rsid w:val="00296697"/>
    <w:rsid w:val="002A1A80"/>
    <w:rsid w:val="002A259B"/>
    <w:rsid w:val="002A2733"/>
    <w:rsid w:val="002B0472"/>
    <w:rsid w:val="002B526C"/>
    <w:rsid w:val="002B6B12"/>
    <w:rsid w:val="002B74D2"/>
    <w:rsid w:val="002C21F0"/>
    <w:rsid w:val="002D01DF"/>
    <w:rsid w:val="002D5E8E"/>
    <w:rsid w:val="002E2F28"/>
    <w:rsid w:val="002E35E3"/>
    <w:rsid w:val="002E3EB3"/>
    <w:rsid w:val="002E6140"/>
    <w:rsid w:val="002E6985"/>
    <w:rsid w:val="002E71B6"/>
    <w:rsid w:val="002F35F6"/>
    <w:rsid w:val="002F77C8"/>
    <w:rsid w:val="00301D55"/>
    <w:rsid w:val="00304F22"/>
    <w:rsid w:val="00306C7C"/>
    <w:rsid w:val="003116AE"/>
    <w:rsid w:val="00312354"/>
    <w:rsid w:val="003132CC"/>
    <w:rsid w:val="003137AD"/>
    <w:rsid w:val="00314F86"/>
    <w:rsid w:val="00317F4D"/>
    <w:rsid w:val="00322EDD"/>
    <w:rsid w:val="003309FA"/>
    <w:rsid w:val="00332320"/>
    <w:rsid w:val="00333803"/>
    <w:rsid w:val="00342880"/>
    <w:rsid w:val="00342EA9"/>
    <w:rsid w:val="00344410"/>
    <w:rsid w:val="00347BF8"/>
    <w:rsid w:val="00347D72"/>
    <w:rsid w:val="00351A27"/>
    <w:rsid w:val="00353F45"/>
    <w:rsid w:val="00357611"/>
    <w:rsid w:val="0036305A"/>
    <w:rsid w:val="0036432A"/>
    <w:rsid w:val="00364AF9"/>
    <w:rsid w:val="00367237"/>
    <w:rsid w:val="0037077F"/>
    <w:rsid w:val="003715B1"/>
    <w:rsid w:val="00372411"/>
    <w:rsid w:val="00373882"/>
    <w:rsid w:val="00373BD9"/>
    <w:rsid w:val="00382DC3"/>
    <w:rsid w:val="003843DB"/>
    <w:rsid w:val="00384AC5"/>
    <w:rsid w:val="00385402"/>
    <w:rsid w:val="003864E8"/>
    <w:rsid w:val="0039360C"/>
    <w:rsid w:val="00393761"/>
    <w:rsid w:val="00394E26"/>
    <w:rsid w:val="00396691"/>
    <w:rsid w:val="00397D18"/>
    <w:rsid w:val="003A1B36"/>
    <w:rsid w:val="003A45E4"/>
    <w:rsid w:val="003A66AF"/>
    <w:rsid w:val="003B1454"/>
    <w:rsid w:val="003B1881"/>
    <w:rsid w:val="003B18B6"/>
    <w:rsid w:val="003B217C"/>
    <w:rsid w:val="003B341E"/>
    <w:rsid w:val="003B7E38"/>
    <w:rsid w:val="003C161B"/>
    <w:rsid w:val="003C28E0"/>
    <w:rsid w:val="003C5476"/>
    <w:rsid w:val="003C59E0"/>
    <w:rsid w:val="003C6C8D"/>
    <w:rsid w:val="003D082A"/>
    <w:rsid w:val="003D2656"/>
    <w:rsid w:val="003D2F16"/>
    <w:rsid w:val="003D4F95"/>
    <w:rsid w:val="003D5F42"/>
    <w:rsid w:val="003D60A9"/>
    <w:rsid w:val="003E4367"/>
    <w:rsid w:val="003E6748"/>
    <w:rsid w:val="003F0CC7"/>
    <w:rsid w:val="003F4401"/>
    <w:rsid w:val="003F4C97"/>
    <w:rsid w:val="003F666D"/>
    <w:rsid w:val="003F7FE6"/>
    <w:rsid w:val="00400193"/>
    <w:rsid w:val="00401025"/>
    <w:rsid w:val="00402BB5"/>
    <w:rsid w:val="00412414"/>
    <w:rsid w:val="00412A17"/>
    <w:rsid w:val="00416EAF"/>
    <w:rsid w:val="00420CB2"/>
    <w:rsid w:val="0042129B"/>
    <w:rsid w:val="004212E7"/>
    <w:rsid w:val="00423C88"/>
    <w:rsid w:val="0042446D"/>
    <w:rsid w:val="0042625F"/>
    <w:rsid w:val="00426A32"/>
    <w:rsid w:val="0042746D"/>
    <w:rsid w:val="00427BF8"/>
    <w:rsid w:val="004315EF"/>
    <w:rsid w:val="00431C02"/>
    <w:rsid w:val="00437395"/>
    <w:rsid w:val="00445047"/>
    <w:rsid w:val="00446749"/>
    <w:rsid w:val="00453EB7"/>
    <w:rsid w:val="004563EB"/>
    <w:rsid w:val="0045712B"/>
    <w:rsid w:val="004636E8"/>
    <w:rsid w:val="00463E39"/>
    <w:rsid w:val="004657FC"/>
    <w:rsid w:val="004667DB"/>
    <w:rsid w:val="0047047C"/>
    <w:rsid w:val="00471929"/>
    <w:rsid w:val="004733F6"/>
    <w:rsid w:val="00474E69"/>
    <w:rsid w:val="00475EA2"/>
    <w:rsid w:val="00476601"/>
    <w:rsid w:val="00483E9F"/>
    <w:rsid w:val="00484EEF"/>
    <w:rsid w:val="00485A2C"/>
    <w:rsid w:val="00485A88"/>
    <w:rsid w:val="0049621B"/>
    <w:rsid w:val="004A1CC1"/>
    <w:rsid w:val="004A1D19"/>
    <w:rsid w:val="004B0F11"/>
    <w:rsid w:val="004B5CE8"/>
    <w:rsid w:val="004C074E"/>
    <w:rsid w:val="004C13CA"/>
    <w:rsid w:val="004C1895"/>
    <w:rsid w:val="004C226E"/>
    <w:rsid w:val="004C6D40"/>
    <w:rsid w:val="004E2637"/>
    <w:rsid w:val="004E6AA8"/>
    <w:rsid w:val="004E7D29"/>
    <w:rsid w:val="004F0C3C"/>
    <w:rsid w:val="004F2280"/>
    <w:rsid w:val="004F23BB"/>
    <w:rsid w:val="004F63FC"/>
    <w:rsid w:val="00502E07"/>
    <w:rsid w:val="00505004"/>
    <w:rsid w:val="00505654"/>
    <w:rsid w:val="00505894"/>
    <w:rsid w:val="00505A92"/>
    <w:rsid w:val="00507E4A"/>
    <w:rsid w:val="00511821"/>
    <w:rsid w:val="0051372A"/>
    <w:rsid w:val="005140D0"/>
    <w:rsid w:val="005154AB"/>
    <w:rsid w:val="005203F1"/>
    <w:rsid w:val="00521BC3"/>
    <w:rsid w:val="005260FC"/>
    <w:rsid w:val="00531873"/>
    <w:rsid w:val="00533632"/>
    <w:rsid w:val="00534013"/>
    <w:rsid w:val="00540C5C"/>
    <w:rsid w:val="00541E6E"/>
    <w:rsid w:val="0054251F"/>
    <w:rsid w:val="005520D8"/>
    <w:rsid w:val="00552CAB"/>
    <w:rsid w:val="00555CFB"/>
    <w:rsid w:val="00556ADB"/>
    <w:rsid w:val="00556CF1"/>
    <w:rsid w:val="00562A2F"/>
    <w:rsid w:val="00563415"/>
    <w:rsid w:val="00566289"/>
    <w:rsid w:val="0057602B"/>
    <w:rsid w:val="005762A7"/>
    <w:rsid w:val="00580E86"/>
    <w:rsid w:val="0058301E"/>
    <w:rsid w:val="00587CEE"/>
    <w:rsid w:val="00590636"/>
    <w:rsid w:val="005916D7"/>
    <w:rsid w:val="00592E36"/>
    <w:rsid w:val="0059427F"/>
    <w:rsid w:val="005A3892"/>
    <w:rsid w:val="005A3FED"/>
    <w:rsid w:val="005A44E4"/>
    <w:rsid w:val="005A698C"/>
    <w:rsid w:val="005B48C0"/>
    <w:rsid w:val="005C0CAC"/>
    <w:rsid w:val="005C31C9"/>
    <w:rsid w:val="005C4137"/>
    <w:rsid w:val="005D062E"/>
    <w:rsid w:val="005D2F6B"/>
    <w:rsid w:val="005E0694"/>
    <w:rsid w:val="005E0799"/>
    <w:rsid w:val="005E10F9"/>
    <w:rsid w:val="005E1200"/>
    <w:rsid w:val="005E376E"/>
    <w:rsid w:val="005E3E88"/>
    <w:rsid w:val="005E76C9"/>
    <w:rsid w:val="005F45EE"/>
    <w:rsid w:val="005F5A80"/>
    <w:rsid w:val="006041BC"/>
    <w:rsid w:val="006044B7"/>
    <w:rsid w:val="006044FF"/>
    <w:rsid w:val="006063A8"/>
    <w:rsid w:val="00607CC5"/>
    <w:rsid w:val="00610DCE"/>
    <w:rsid w:val="0061179B"/>
    <w:rsid w:val="006125F9"/>
    <w:rsid w:val="006151EB"/>
    <w:rsid w:val="00621F26"/>
    <w:rsid w:val="00621FEA"/>
    <w:rsid w:val="00622187"/>
    <w:rsid w:val="00622C74"/>
    <w:rsid w:val="006232E5"/>
    <w:rsid w:val="00627176"/>
    <w:rsid w:val="00627A41"/>
    <w:rsid w:val="00633014"/>
    <w:rsid w:val="0063437B"/>
    <w:rsid w:val="006348EB"/>
    <w:rsid w:val="00635A9B"/>
    <w:rsid w:val="0064017E"/>
    <w:rsid w:val="006462B4"/>
    <w:rsid w:val="00654BB6"/>
    <w:rsid w:val="006571EE"/>
    <w:rsid w:val="006673CA"/>
    <w:rsid w:val="00670682"/>
    <w:rsid w:val="00672D0C"/>
    <w:rsid w:val="00673C26"/>
    <w:rsid w:val="00674DE5"/>
    <w:rsid w:val="00677ACA"/>
    <w:rsid w:val="0068056D"/>
    <w:rsid w:val="006812AF"/>
    <w:rsid w:val="0068327D"/>
    <w:rsid w:val="00691194"/>
    <w:rsid w:val="00691534"/>
    <w:rsid w:val="00691623"/>
    <w:rsid w:val="0069227C"/>
    <w:rsid w:val="00692F7B"/>
    <w:rsid w:val="00693880"/>
    <w:rsid w:val="00694AF0"/>
    <w:rsid w:val="006A3C5F"/>
    <w:rsid w:val="006A4686"/>
    <w:rsid w:val="006A61D3"/>
    <w:rsid w:val="006B075F"/>
    <w:rsid w:val="006B0E9E"/>
    <w:rsid w:val="006B2BFE"/>
    <w:rsid w:val="006B486D"/>
    <w:rsid w:val="006B5AE4"/>
    <w:rsid w:val="006B669B"/>
    <w:rsid w:val="006C0A6F"/>
    <w:rsid w:val="006C22A4"/>
    <w:rsid w:val="006C77A8"/>
    <w:rsid w:val="006D1507"/>
    <w:rsid w:val="006D4054"/>
    <w:rsid w:val="006D6616"/>
    <w:rsid w:val="006E02EC"/>
    <w:rsid w:val="006E3C4F"/>
    <w:rsid w:val="006E571E"/>
    <w:rsid w:val="006E61FE"/>
    <w:rsid w:val="006E6F41"/>
    <w:rsid w:val="006E73E6"/>
    <w:rsid w:val="006F2A22"/>
    <w:rsid w:val="006F535B"/>
    <w:rsid w:val="006F6EE4"/>
    <w:rsid w:val="00702B55"/>
    <w:rsid w:val="007122D2"/>
    <w:rsid w:val="0071711F"/>
    <w:rsid w:val="00717EB6"/>
    <w:rsid w:val="007211B1"/>
    <w:rsid w:val="00724338"/>
    <w:rsid w:val="00726DEA"/>
    <w:rsid w:val="007277DA"/>
    <w:rsid w:val="007302EF"/>
    <w:rsid w:val="0073093C"/>
    <w:rsid w:val="00731D27"/>
    <w:rsid w:val="00737A7A"/>
    <w:rsid w:val="00745875"/>
    <w:rsid w:val="00746187"/>
    <w:rsid w:val="0076254F"/>
    <w:rsid w:val="00764D7E"/>
    <w:rsid w:val="00777A04"/>
    <w:rsid w:val="007801F5"/>
    <w:rsid w:val="00783CA4"/>
    <w:rsid w:val="007842FB"/>
    <w:rsid w:val="00786124"/>
    <w:rsid w:val="00794BAE"/>
    <w:rsid w:val="0079514B"/>
    <w:rsid w:val="00795252"/>
    <w:rsid w:val="00795F7C"/>
    <w:rsid w:val="007A2DC1"/>
    <w:rsid w:val="007A4647"/>
    <w:rsid w:val="007A6A12"/>
    <w:rsid w:val="007B195C"/>
    <w:rsid w:val="007C1C02"/>
    <w:rsid w:val="007C37F3"/>
    <w:rsid w:val="007C588D"/>
    <w:rsid w:val="007C7D79"/>
    <w:rsid w:val="007D0869"/>
    <w:rsid w:val="007D14C4"/>
    <w:rsid w:val="007D3319"/>
    <w:rsid w:val="007D335D"/>
    <w:rsid w:val="007D4A26"/>
    <w:rsid w:val="007D605C"/>
    <w:rsid w:val="007E3314"/>
    <w:rsid w:val="007E3514"/>
    <w:rsid w:val="007E4B03"/>
    <w:rsid w:val="007F2275"/>
    <w:rsid w:val="007F324B"/>
    <w:rsid w:val="007F473A"/>
    <w:rsid w:val="007F4B7E"/>
    <w:rsid w:val="007F4D2C"/>
    <w:rsid w:val="00801FEA"/>
    <w:rsid w:val="0080553C"/>
    <w:rsid w:val="00805B46"/>
    <w:rsid w:val="00805DB4"/>
    <w:rsid w:val="00811105"/>
    <w:rsid w:val="0081223F"/>
    <w:rsid w:val="00821A00"/>
    <w:rsid w:val="00823593"/>
    <w:rsid w:val="00825DC2"/>
    <w:rsid w:val="00833CB0"/>
    <w:rsid w:val="00834AD3"/>
    <w:rsid w:val="008418E2"/>
    <w:rsid w:val="00841E07"/>
    <w:rsid w:val="00843795"/>
    <w:rsid w:val="00847A41"/>
    <w:rsid w:val="00847F0F"/>
    <w:rsid w:val="00850985"/>
    <w:rsid w:val="00852448"/>
    <w:rsid w:val="00855C86"/>
    <w:rsid w:val="00860400"/>
    <w:rsid w:val="00862780"/>
    <w:rsid w:val="00864A37"/>
    <w:rsid w:val="00864B25"/>
    <w:rsid w:val="00871D53"/>
    <w:rsid w:val="00874075"/>
    <w:rsid w:val="00877F6C"/>
    <w:rsid w:val="00881C72"/>
    <w:rsid w:val="0088258A"/>
    <w:rsid w:val="00884E39"/>
    <w:rsid w:val="00886332"/>
    <w:rsid w:val="008925F0"/>
    <w:rsid w:val="00892B2D"/>
    <w:rsid w:val="0089448A"/>
    <w:rsid w:val="00897877"/>
    <w:rsid w:val="008A0244"/>
    <w:rsid w:val="008A0E73"/>
    <w:rsid w:val="008A26D9"/>
    <w:rsid w:val="008A5FBB"/>
    <w:rsid w:val="008A7B5B"/>
    <w:rsid w:val="008B12D2"/>
    <w:rsid w:val="008B1F95"/>
    <w:rsid w:val="008B3A00"/>
    <w:rsid w:val="008B6D0A"/>
    <w:rsid w:val="008B6E76"/>
    <w:rsid w:val="008C0C29"/>
    <w:rsid w:val="008C6902"/>
    <w:rsid w:val="008D02DA"/>
    <w:rsid w:val="008D05CF"/>
    <w:rsid w:val="008D144B"/>
    <w:rsid w:val="008D2BF1"/>
    <w:rsid w:val="008D6239"/>
    <w:rsid w:val="008D76BC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16F5A"/>
    <w:rsid w:val="00917BA3"/>
    <w:rsid w:val="00920AAE"/>
    <w:rsid w:val="00921C4F"/>
    <w:rsid w:val="009227A6"/>
    <w:rsid w:val="00925A80"/>
    <w:rsid w:val="009324E5"/>
    <w:rsid w:val="00933EC1"/>
    <w:rsid w:val="009371C7"/>
    <w:rsid w:val="00937591"/>
    <w:rsid w:val="00944463"/>
    <w:rsid w:val="009446AD"/>
    <w:rsid w:val="00945E39"/>
    <w:rsid w:val="00950EBE"/>
    <w:rsid w:val="009530DB"/>
    <w:rsid w:val="00953676"/>
    <w:rsid w:val="00956F30"/>
    <w:rsid w:val="00960BC9"/>
    <w:rsid w:val="00966417"/>
    <w:rsid w:val="00966754"/>
    <w:rsid w:val="00966902"/>
    <w:rsid w:val="00966C9A"/>
    <w:rsid w:val="009705EE"/>
    <w:rsid w:val="009739DD"/>
    <w:rsid w:val="00976E2C"/>
    <w:rsid w:val="00977927"/>
    <w:rsid w:val="0098135C"/>
    <w:rsid w:val="0098156A"/>
    <w:rsid w:val="00991BAC"/>
    <w:rsid w:val="00992458"/>
    <w:rsid w:val="0099757D"/>
    <w:rsid w:val="009977C9"/>
    <w:rsid w:val="009A3C5B"/>
    <w:rsid w:val="009A4233"/>
    <w:rsid w:val="009A6EA0"/>
    <w:rsid w:val="009B0DAE"/>
    <w:rsid w:val="009B2061"/>
    <w:rsid w:val="009B33BA"/>
    <w:rsid w:val="009B7A09"/>
    <w:rsid w:val="009C1335"/>
    <w:rsid w:val="009C1AB2"/>
    <w:rsid w:val="009C217E"/>
    <w:rsid w:val="009C7251"/>
    <w:rsid w:val="009D2045"/>
    <w:rsid w:val="009E0545"/>
    <w:rsid w:val="009E2E91"/>
    <w:rsid w:val="009F2346"/>
    <w:rsid w:val="009F4081"/>
    <w:rsid w:val="009F5B61"/>
    <w:rsid w:val="009F6C62"/>
    <w:rsid w:val="009F7498"/>
    <w:rsid w:val="00A01B40"/>
    <w:rsid w:val="00A04035"/>
    <w:rsid w:val="00A071E9"/>
    <w:rsid w:val="00A139F5"/>
    <w:rsid w:val="00A301A5"/>
    <w:rsid w:val="00A314F8"/>
    <w:rsid w:val="00A32E16"/>
    <w:rsid w:val="00A365F4"/>
    <w:rsid w:val="00A36A08"/>
    <w:rsid w:val="00A3790D"/>
    <w:rsid w:val="00A426E7"/>
    <w:rsid w:val="00A47D80"/>
    <w:rsid w:val="00A53132"/>
    <w:rsid w:val="00A563F2"/>
    <w:rsid w:val="00A566E8"/>
    <w:rsid w:val="00A618CF"/>
    <w:rsid w:val="00A66347"/>
    <w:rsid w:val="00A711CD"/>
    <w:rsid w:val="00A810F9"/>
    <w:rsid w:val="00A82D31"/>
    <w:rsid w:val="00A85E7E"/>
    <w:rsid w:val="00A86ECC"/>
    <w:rsid w:val="00A86FCC"/>
    <w:rsid w:val="00A87C32"/>
    <w:rsid w:val="00A90A6D"/>
    <w:rsid w:val="00A971E5"/>
    <w:rsid w:val="00AA0352"/>
    <w:rsid w:val="00AA0D1B"/>
    <w:rsid w:val="00AA6AB2"/>
    <w:rsid w:val="00AA710D"/>
    <w:rsid w:val="00AB096C"/>
    <w:rsid w:val="00AB3EDB"/>
    <w:rsid w:val="00AB586C"/>
    <w:rsid w:val="00AB64F3"/>
    <w:rsid w:val="00AB689E"/>
    <w:rsid w:val="00AB6D25"/>
    <w:rsid w:val="00AC3959"/>
    <w:rsid w:val="00AC710C"/>
    <w:rsid w:val="00AD0E56"/>
    <w:rsid w:val="00AD22EC"/>
    <w:rsid w:val="00AE229B"/>
    <w:rsid w:val="00AE2D4B"/>
    <w:rsid w:val="00AE3F29"/>
    <w:rsid w:val="00AE4DEB"/>
    <w:rsid w:val="00AE4F99"/>
    <w:rsid w:val="00AF195C"/>
    <w:rsid w:val="00AF3BD0"/>
    <w:rsid w:val="00AF4474"/>
    <w:rsid w:val="00B0362E"/>
    <w:rsid w:val="00B04680"/>
    <w:rsid w:val="00B07A14"/>
    <w:rsid w:val="00B07BD9"/>
    <w:rsid w:val="00B11B69"/>
    <w:rsid w:val="00B11D83"/>
    <w:rsid w:val="00B139DF"/>
    <w:rsid w:val="00B14952"/>
    <w:rsid w:val="00B16871"/>
    <w:rsid w:val="00B25B45"/>
    <w:rsid w:val="00B31E5A"/>
    <w:rsid w:val="00B40648"/>
    <w:rsid w:val="00B47359"/>
    <w:rsid w:val="00B4771D"/>
    <w:rsid w:val="00B529B5"/>
    <w:rsid w:val="00B52B19"/>
    <w:rsid w:val="00B5507D"/>
    <w:rsid w:val="00B62B07"/>
    <w:rsid w:val="00B653AB"/>
    <w:rsid w:val="00B65F9E"/>
    <w:rsid w:val="00B66B19"/>
    <w:rsid w:val="00B7386E"/>
    <w:rsid w:val="00B77942"/>
    <w:rsid w:val="00B826AB"/>
    <w:rsid w:val="00B84C43"/>
    <w:rsid w:val="00B85614"/>
    <w:rsid w:val="00B914E9"/>
    <w:rsid w:val="00B956EE"/>
    <w:rsid w:val="00BA1B10"/>
    <w:rsid w:val="00BA2BA1"/>
    <w:rsid w:val="00BA3447"/>
    <w:rsid w:val="00BA3562"/>
    <w:rsid w:val="00BA52FE"/>
    <w:rsid w:val="00BA6658"/>
    <w:rsid w:val="00BB0BF6"/>
    <w:rsid w:val="00BB4F09"/>
    <w:rsid w:val="00BB54B5"/>
    <w:rsid w:val="00BB7140"/>
    <w:rsid w:val="00BD4270"/>
    <w:rsid w:val="00BD4E33"/>
    <w:rsid w:val="00BD59F5"/>
    <w:rsid w:val="00BE3776"/>
    <w:rsid w:val="00BE6B81"/>
    <w:rsid w:val="00BF44FD"/>
    <w:rsid w:val="00C030DE"/>
    <w:rsid w:val="00C051A8"/>
    <w:rsid w:val="00C05F95"/>
    <w:rsid w:val="00C1286A"/>
    <w:rsid w:val="00C1410F"/>
    <w:rsid w:val="00C14111"/>
    <w:rsid w:val="00C17358"/>
    <w:rsid w:val="00C2045B"/>
    <w:rsid w:val="00C20FEB"/>
    <w:rsid w:val="00C22105"/>
    <w:rsid w:val="00C22A23"/>
    <w:rsid w:val="00C244B6"/>
    <w:rsid w:val="00C24DA8"/>
    <w:rsid w:val="00C27431"/>
    <w:rsid w:val="00C27BF1"/>
    <w:rsid w:val="00C3702F"/>
    <w:rsid w:val="00C44E83"/>
    <w:rsid w:val="00C4500A"/>
    <w:rsid w:val="00C62238"/>
    <w:rsid w:val="00C6295A"/>
    <w:rsid w:val="00C63274"/>
    <w:rsid w:val="00C64A37"/>
    <w:rsid w:val="00C65CD2"/>
    <w:rsid w:val="00C7158E"/>
    <w:rsid w:val="00C7250B"/>
    <w:rsid w:val="00C7346B"/>
    <w:rsid w:val="00C75D34"/>
    <w:rsid w:val="00C77C0E"/>
    <w:rsid w:val="00C83C40"/>
    <w:rsid w:val="00C84AD3"/>
    <w:rsid w:val="00C86BE2"/>
    <w:rsid w:val="00C872D6"/>
    <w:rsid w:val="00C8766C"/>
    <w:rsid w:val="00C91687"/>
    <w:rsid w:val="00C924A8"/>
    <w:rsid w:val="00C945FE"/>
    <w:rsid w:val="00C96FAA"/>
    <w:rsid w:val="00C97A04"/>
    <w:rsid w:val="00CA0206"/>
    <w:rsid w:val="00CA107B"/>
    <w:rsid w:val="00CA2071"/>
    <w:rsid w:val="00CA4442"/>
    <w:rsid w:val="00CA484D"/>
    <w:rsid w:val="00CA4FB6"/>
    <w:rsid w:val="00CB13DD"/>
    <w:rsid w:val="00CB2F90"/>
    <w:rsid w:val="00CB6AD4"/>
    <w:rsid w:val="00CC739E"/>
    <w:rsid w:val="00CD0E77"/>
    <w:rsid w:val="00CD1EBB"/>
    <w:rsid w:val="00CD28CF"/>
    <w:rsid w:val="00CD58B7"/>
    <w:rsid w:val="00CD7967"/>
    <w:rsid w:val="00CF18EE"/>
    <w:rsid w:val="00CF2622"/>
    <w:rsid w:val="00CF30BD"/>
    <w:rsid w:val="00CF4099"/>
    <w:rsid w:val="00D00796"/>
    <w:rsid w:val="00D03312"/>
    <w:rsid w:val="00D11EE2"/>
    <w:rsid w:val="00D13A03"/>
    <w:rsid w:val="00D13C9D"/>
    <w:rsid w:val="00D209DC"/>
    <w:rsid w:val="00D2149C"/>
    <w:rsid w:val="00D2512F"/>
    <w:rsid w:val="00D25A05"/>
    <w:rsid w:val="00D261A2"/>
    <w:rsid w:val="00D33834"/>
    <w:rsid w:val="00D4395C"/>
    <w:rsid w:val="00D47641"/>
    <w:rsid w:val="00D574C5"/>
    <w:rsid w:val="00D616D2"/>
    <w:rsid w:val="00D622BB"/>
    <w:rsid w:val="00D63B5F"/>
    <w:rsid w:val="00D64096"/>
    <w:rsid w:val="00D650DC"/>
    <w:rsid w:val="00D67253"/>
    <w:rsid w:val="00D70EF7"/>
    <w:rsid w:val="00D749C7"/>
    <w:rsid w:val="00D8397C"/>
    <w:rsid w:val="00D901E5"/>
    <w:rsid w:val="00D94EED"/>
    <w:rsid w:val="00D95E91"/>
    <w:rsid w:val="00D96026"/>
    <w:rsid w:val="00D972F6"/>
    <w:rsid w:val="00DA1CCA"/>
    <w:rsid w:val="00DA331D"/>
    <w:rsid w:val="00DA7C1C"/>
    <w:rsid w:val="00DB147A"/>
    <w:rsid w:val="00DB1B7A"/>
    <w:rsid w:val="00DB3213"/>
    <w:rsid w:val="00DB706E"/>
    <w:rsid w:val="00DC101F"/>
    <w:rsid w:val="00DC54BB"/>
    <w:rsid w:val="00DC6708"/>
    <w:rsid w:val="00DD011A"/>
    <w:rsid w:val="00DD5BDD"/>
    <w:rsid w:val="00DE2400"/>
    <w:rsid w:val="00DE57B0"/>
    <w:rsid w:val="00DE58F1"/>
    <w:rsid w:val="00DE6B58"/>
    <w:rsid w:val="00DF390C"/>
    <w:rsid w:val="00DF5814"/>
    <w:rsid w:val="00DF5E32"/>
    <w:rsid w:val="00E01436"/>
    <w:rsid w:val="00E024CF"/>
    <w:rsid w:val="00E03E79"/>
    <w:rsid w:val="00E045BD"/>
    <w:rsid w:val="00E04D6C"/>
    <w:rsid w:val="00E06B72"/>
    <w:rsid w:val="00E1370A"/>
    <w:rsid w:val="00E15F00"/>
    <w:rsid w:val="00E17B77"/>
    <w:rsid w:val="00E20EC1"/>
    <w:rsid w:val="00E231AB"/>
    <w:rsid w:val="00E23337"/>
    <w:rsid w:val="00E23F3E"/>
    <w:rsid w:val="00E259EA"/>
    <w:rsid w:val="00E25D33"/>
    <w:rsid w:val="00E31DBD"/>
    <w:rsid w:val="00E32061"/>
    <w:rsid w:val="00E33F48"/>
    <w:rsid w:val="00E36B2A"/>
    <w:rsid w:val="00E42D27"/>
    <w:rsid w:val="00E42FF9"/>
    <w:rsid w:val="00E43E2C"/>
    <w:rsid w:val="00E44790"/>
    <w:rsid w:val="00E45162"/>
    <w:rsid w:val="00E463B1"/>
    <w:rsid w:val="00E46E44"/>
    <w:rsid w:val="00E4714C"/>
    <w:rsid w:val="00E5178D"/>
    <w:rsid w:val="00E51AEB"/>
    <w:rsid w:val="00E522A7"/>
    <w:rsid w:val="00E5349E"/>
    <w:rsid w:val="00E53692"/>
    <w:rsid w:val="00E54452"/>
    <w:rsid w:val="00E5465E"/>
    <w:rsid w:val="00E635B8"/>
    <w:rsid w:val="00E63B0C"/>
    <w:rsid w:val="00E65275"/>
    <w:rsid w:val="00E664C5"/>
    <w:rsid w:val="00E671A2"/>
    <w:rsid w:val="00E676EF"/>
    <w:rsid w:val="00E76D26"/>
    <w:rsid w:val="00E76EE5"/>
    <w:rsid w:val="00E82BDC"/>
    <w:rsid w:val="00E86EE7"/>
    <w:rsid w:val="00E95036"/>
    <w:rsid w:val="00E95B03"/>
    <w:rsid w:val="00E95B8E"/>
    <w:rsid w:val="00EA1AF5"/>
    <w:rsid w:val="00EB1390"/>
    <w:rsid w:val="00EB2C71"/>
    <w:rsid w:val="00EB3333"/>
    <w:rsid w:val="00EB4340"/>
    <w:rsid w:val="00EB46DB"/>
    <w:rsid w:val="00EB556D"/>
    <w:rsid w:val="00EB5A7D"/>
    <w:rsid w:val="00EB68BA"/>
    <w:rsid w:val="00EC4518"/>
    <w:rsid w:val="00ED55C0"/>
    <w:rsid w:val="00ED682B"/>
    <w:rsid w:val="00EE41D5"/>
    <w:rsid w:val="00EE6C92"/>
    <w:rsid w:val="00EF00C6"/>
    <w:rsid w:val="00EF40B0"/>
    <w:rsid w:val="00EF44A5"/>
    <w:rsid w:val="00F002A4"/>
    <w:rsid w:val="00F0166F"/>
    <w:rsid w:val="00F037A4"/>
    <w:rsid w:val="00F049AB"/>
    <w:rsid w:val="00F142DB"/>
    <w:rsid w:val="00F163B5"/>
    <w:rsid w:val="00F2181A"/>
    <w:rsid w:val="00F24FE6"/>
    <w:rsid w:val="00F27C8F"/>
    <w:rsid w:val="00F304D9"/>
    <w:rsid w:val="00F3206B"/>
    <w:rsid w:val="00F32749"/>
    <w:rsid w:val="00F37172"/>
    <w:rsid w:val="00F403A6"/>
    <w:rsid w:val="00F43ED9"/>
    <w:rsid w:val="00F4477E"/>
    <w:rsid w:val="00F46269"/>
    <w:rsid w:val="00F469BB"/>
    <w:rsid w:val="00F473C5"/>
    <w:rsid w:val="00F51D10"/>
    <w:rsid w:val="00F54E89"/>
    <w:rsid w:val="00F60BA8"/>
    <w:rsid w:val="00F62065"/>
    <w:rsid w:val="00F67D8F"/>
    <w:rsid w:val="00F72CEE"/>
    <w:rsid w:val="00F802BE"/>
    <w:rsid w:val="00F80E93"/>
    <w:rsid w:val="00F83212"/>
    <w:rsid w:val="00F85384"/>
    <w:rsid w:val="00F8556E"/>
    <w:rsid w:val="00F86024"/>
    <w:rsid w:val="00F8611A"/>
    <w:rsid w:val="00F86813"/>
    <w:rsid w:val="00F9239F"/>
    <w:rsid w:val="00F935B3"/>
    <w:rsid w:val="00F94C21"/>
    <w:rsid w:val="00FA2917"/>
    <w:rsid w:val="00FA34FC"/>
    <w:rsid w:val="00FA5128"/>
    <w:rsid w:val="00FB0F48"/>
    <w:rsid w:val="00FB42D4"/>
    <w:rsid w:val="00FB5906"/>
    <w:rsid w:val="00FB762F"/>
    <w:rsid w:val="00FC03C3"/>
    <w:rsid w:val="00FC22C0"/>
    <w:rsid w:val="00FC269E"/>
    <w:rsid w:val="00FC2AED"/>
    <w:rsid w:val="00FC4C72"/>
    <w:rsid w:val="00FC604F"/>
    <w:rsid w:val="00FD08AE"/>
    <w:rsid w:val="00FD5EA7"/>
    <w:rsid w:val="00FE36CF"/>
    <w:rsid w:val="00FF0246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09F74391"/>
  <w15:docId w15:val="{4D2277E7-6477-4350-8CEF-9E06024B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A4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rynek-pracy/pracujacy-zatrudnieni-wynagrodzenia-koszty-pracy/struktura-wynagrodzen-wedlug-zawodow-w-pazdzierniku-2020-roku,4,10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ynek-pracy/pracujacy-zatrudnieni-wynagrodzenia-koszty-pracy/zatrudnienie-i-wynagrodzenia-w-gospodarce-narodowej-w-pierwszym-polroczu-2022-roku,1,47.html" TargetMode="External"/><Relationship Id="rId32" Type="http://schemas.openxmlformats.org/officeDocument/2006/relationships/hyperlink" Target="https://stat.gov.pl/metainformacje/slownik-pojec/pojecia-stosowane-w-statystyce-publicznej/742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rynek-pracy/pracujacy-zatrudnieni-wynagrodzenia-koszty-pracy/" TargetMode="External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37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0" Type="http://schemas.openxmlformats.org/officeDocument/2006/relationships/hyperlink" Target="https://stat.gov.pl/metainformacje/slownik-pojec/pojecia-stosowane-w-statystyce-publicznej/4618,pojecie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2/passive/DG-1.pdf" TargetMode="External"/><Relationship Id="rId2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Relationship Id="rId1" Type="http://schemas.openxmlformats.org/officeDocument/2006/relationships/hyperlink" Target="http://form.stat.gov.pl/formularze/2020/objasnienia/zalacznik_do_objasnie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134E-2"/>
          <c:y val="8.6234567901234668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osia'!$B$91:$C$125</c:f>
              <c:multiLvlStrCache>
                <c:ptCount val="35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'gl wykres z dod osia'!$D$26:$D$60</c:f>
              <c:numCache>
                <c:formatCode>0.0</c:formatCode>
                <c:ptCount val="35"/>
                <c:pt idx="0">
                  <c:v>6440.9</c:v>
                </c:pt>
                <c:pt idx="1">
                  <c:v>6445.9</c:v>
                </c:pt>
                <c:pt idx="2">
                  <c:v>6411.7</c:v>
                </c:pt>
                <c:pt idx="3">
                  <c:v>6258.8</c:v>
                </c:pt>
                <c:pt idx="4">
                  <c:v>6173.9</c:v>
                </c:pt>
                <c:pt idx="5">
                  <c:v>6185.8</c:v>
                </c:pt>
                <c:pt idx="6">
                  <c:v>6252</c:v>
                </c:pt>
                <c:pt idx="7">
                  <c:v>6295</c:v>
                </c:pt>
                <c:pt idx="8">
                  <c:v>6312.4</c:v>
                </c:pt>
                <c:pt idx="9">
                  <c:v>6318.3</c:v>
                </c:pt>
                <c:pt idx="10">
                  <c:v>6318.9</c:v>
                </c:pt>
                <c:pt idx="11">
                  <c:v>6329</c:v>
                </c:pt>
                <c:pt idx="12">
                  <c:v>6314.1</c:v>
                </c:pt>
                <c:pt idx="13">
                  <c:v>6334</c:v>
                </c:pt>
                <c:pt idx="14">
                  <c:v>6330.3</c:v>
                </c:pt>
                <c:pt idx="15">
                  <c:v>6316.9</c:v>
                </c:pt>
                <c:pt idx="16">
                  <c:v>6338.5</c:v>
                </c:pt>
                <c:pt idx="17">
                  <c:v>6359.3</c:v>
                </c:pt>
                <c:pt idx="18">
                  <c:v>6361.7</c:v>
                </c:pt>
                <c:pt idx="19">
                  <c:v>6352</c:v>
                </c:pt>
                <c:pt idx="20">
                  <c:v>6347.2</c:v>
                </c:pt>
                <c:pt idx="21">
                  <c:v>6351.1</c:v>
                </c:pt>
                <c:pt idx="22">
                  <c:v>6363.7</c:v>
                </c:pt>
                <c:pt idx="23">
                  <c:v>6361.6</c:v>
                </c:pt>
                <c:pt idx="24">
                  <c:v>6459.8</c:v>
                </c:pt>
                <c:pt idx="25">
                  <c:v>6474.9</c:v>
                </c:pt>
                <c:pt idx="26">
                  <c:v>6484.9</c:v>
                </c:pt>
                <c:pt idx="27">
                  <c:v>6496.6</c:v>
                </c:pt>
                <c:pt idx="28">
                  <c:v>6491.6</c:v>
                </c:pt>
                <c:pt idx="29">
                  <c:v>6496.7</c:v>
                </c:pt>
                <c:pt idx="30">
                  <c:v>6508.3</c:v>
                </c:pt>
                <c:pt idx="31">
                  <c:v>6502.6</c:v>
                </c:pt>
                <c:pt idx="32">
                  <c:v>6493.8</c:v>
                </c:pt>
                <c:pt idx="33">
                  <c:v>6500.9</c:v>
                </c:pt>
                <c:pt idx="34">
                  <c:v>6507.5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E2-4AFF-B2C3-BC05376429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26825600"/>
        <c:axId val="1926834848"/>
      </c:barChart>
      <c:lineChart>
        <c:grouping val="standard"/>
        <c:varyColors val="0"/>
        <c:ser>
          <c:idx val="1"/>
          <c:order val="1"/>
          <c:tx>
            <c:strRef>
              <c:f>'gl wykres z dod osia'!$D$66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osia'!$C$91:$C$125</c:f>
              <c:strCache>
                <c:ptCount val="35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  <c:pt idx="24">
                  <c:v>01</c:v>
                </c:pt>
                <c:pt idx="25">
                  <c:v>02</c:v>
                </c:pt>
                <c:pt idx="26">
                  <c:v>03</c:v>
                </c:pt>
                <c:pt idx="27">
                  <c:v>04</c:v>
                </c:pt>
                <c:pt idx="28">
                  <c:v>05</c:v>
                </c:pt>
                <c:pt idx="29">
                  <c:v>06</c:v>
                </c:pt>
                <c:pt idx="30">
                  <c:v>07</c:v>
                </c:pt>
                <c:pt idx="31">
                  <c:v>08</c:v>
                </c:pt>
                <c:pt idx="32">
                  <c:v>09</c:v>
                </c:pt>
                <c:pt idx="33">
                  <c:v>10</c:v>
                </c:pt>
                <c:pt idx="34">
                  <c:v>11</c:v>
                </c:pt>
              </c:strCache>
            </c:strRef>
          </c:cat>
          <c:val>
            <c:numRef>
              <c:f>'gl wykres z dod osia'!$D$91:$D$125</c:f>
              <c:numCache>
                <c:formatCode>0.0</c:formatCode>
                <c:ptCount val="35"/>
                <c:pt idx="0">
                  <c:v>101.1</c:v>
                </c:pt>
                <c:pt idx="1">
                  <c:v>101.1</c:v>
                </c:pt>
                <c:pt idx="2">
                  <c:v>100.3</c:v>
                </c:pt>
                <c:pt idx="3">
                  <c:v>97.9</c:v>
                </c:pt>
                <c:pt idx="4">
                  <c:v>96.8</c:v>
                </c:pt>
                <c:pt idx="5">
                  <c:v>96.7</c:v>
                </c:pt>
                <c:pt idx="6">
                  <c:v>97.7</c:v>
                </c:pt>
                <c:pt idx="7">
                  <c:v>98.5</c:v>
                </c:pt>
                <c:pt idx="8">
                  <c:v>98.8</c:v>
                </c:pt>
                <c:pt idx="9">
                  <c:v>99</c:v>
                </c:pt>
                <c:pt idx="10" formatCode="0.00">
                  <c:v>98.8</c:v>
                </c:pt>
                <c:pt idx="11" formatCode="0.00">
                  <c:v>99</c:v>
                </c:pt>
                <c:pt idx="12" formatCode="0.00">
                  <c:v>98</c:v>
                </c:pt>
                <c:pt idx="13" formatCode="0.00">
                  <c:v>98.3</c:v>
                </c:pt>
                <c:pt idx="14" formatCode="0.00">
                  <c:v>98.7</c:v>
                </c:pt>
                <c:pt idx="15" formatCode="0.00">
                  <c:v>100.9</c:v>
                </c:pt>
                <c:pt idx="16" formatCode="0.00">
                  <c:v>102.7</c:v>
                </c:pt>
                <c:pt idx="17" formatCode="0.00">
                  <c:v>102.8</c:v>
                </c:pt>
                <c:pt idx="18" formatCode="General">
                  <c:v>101.8</c:v>
                </c:pt>
                <c:pt idx="19" formatCode="General">
                  <c:v>100.9</c:v>
                </c:pt>
                <c:pt idx="20" formatCode="General">
                  <c:v>100.6</c:v>
                </c:pt>
                <c:pt idx="21" formatCode="General">
                  <c:v>100.5</c:v>
                </c:pt>
                <c:pt idx="22" formatCode="General">
                  <c:v>100.7</c:v>
                </c:pt>
                <c:pt idx="23" formatCode="General">
                  <c:v>100.5</c:v>
                </c:pt>
                <c:pt idx="24" formatCode="General">
                  <c:v>102.3</c:v>
                </c:pt>
                <c:pt idx="25" formatCode="General">
                  <c:v>102.2</c:v>
                </c:pt>
                <c:pt idx="26" formatCode="General">
                  <c:v>102.4</c:v>
                </c:pt>
                <c:pt idx="27" formatCode="General">
                  <c:v>102.8</c:v>
                </c:pt>
                <c:pt idx="28" formatCode="General">
                  <c:v>102.4</c:v>
                </c:pt>
                <c:pt idx="29" formatCode="General">
                  <c:v>102.2</c:v>
                </c:pt>
                <c:pt idx="30" formatCode="General">
                  <c:v>102.3</c:v>
                </c:pt>
                <c:pt idx="31" formatCode="General">
                  <c:v>102.4</c:v>
                </c:pt>
                <c:pt idx="32" formatCode="General">
                  <c:v>102.3</c:v>
                </c:pt>
                <c:pt idx="33" formatCode="General">
                  <c:v>102.4</c:v>
                </c:pt>
                <c:pt idx="34" formatCode="General">
                  <c:v>102.3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E2-4AFF-B2C3-BC05376429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6826144"/>
        <c:axId val="1926831040"/>
      </c:lineChart>
      <c:catAx>
        <c:axId val="192682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926834848"/>
        <c:crosses val="autoZero"/>
        <c:auto val="1"/>
        <c:lblAlgn val="ctr"/>
        <c:lblOffset val="100"/>
        <c:noMultiLvlLbl val="0"/>
      </c:catAx>
      <c:valAx>
        <c:axId val="1926834848"/>
        <c:scaling>
          <c:orientation val="minMax"/>
          <c:max val="6750"/>
          <c:min val="4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238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926825600"/>
        <c:crosses val="autoZero"/>
        <c:crossBetween val="between"/>
        <c:majorUnit val="250"/>
      </c:valAx>
      <c:valAx>
        <c:axId val="1926831040"/>
        <c:scaling>
          <c:orientation val="minMax"/>
          <c:max val="130"/>
          <c:min val="7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926826144"/>
        <c:crosses val="max"/>
        <c:crossBetween val="between"/>
        <c:majorUnit val="5"/>
      </c:valAx>
      <c:catAx>
        <c:axId val="1926826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9268310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717724295247762E-2"/>
          <c:y val="0.87979753086420065"/>
          <c:w val="0.87600226059507547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175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osia'!$B$91:$C$125</c:f>
              <c:multiLvlStrCache>
                <c:ptCount val="35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  <c:pt idx="27">
                    <c:v>04</c:v>
                  </c:pt>
                  <c:pt idx="28">
                    <c:v>05</c:v>
                  </c:pt>
                  <c:pt idx="29">
                    <c:v>06</c:v>
                  </c:pt>
                  <c:pt idx="30">
                    <c:v>07</c:v>
                  </c:pt>
                  <c:pt idx="31">
                    <c:v>08</c:v>
                  </c:pt>
                  <c:pt idx="32">
                    <c:v>09</c:v>
                  </c:pt>
                  <c:pt idx="33">
                    <c:v>10</c:v>
                  </c:pt>
                  <c:pt idx="34">
                    <c:v>11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'wykres wynagrodzenie glowny'!$D$27:$D$61</c:f>
              <c:numCache>
                <c:formatCode>0.00</c:formatCode>
                <c:ptCount val="35"/>
                <c:pt idx="0">
                  <c:v>5282.8</c:v>
                </c:pt>
                <c:pt idx="1">
                  <c:v>5330.48</c:v>
                </c:pt>
                <c:pt idx="2">
                  <c:v>5489.21</c:v>
                </c:pt>
                <c:pt idx="3">
                  <c:v>5285.01</c:v>
                </c:pt>
                <c:pt idx="4">
                  <c:v>5119.9399999999996</c:v>
                </c:pt>
                <c:pt idx="5">
                  <c:v>5286</c:v>
                </c:pt>
                <c:pt idx="6">
                  <c:v>5381.65</c:v>
                </c:pt>
                <c:pt idx="7">
                  <c:v>5337.65</c:v>
                </c:pt>
                <c:pt idx="8">
                  <c:v>5371.56</c:v>
                </c:pt>
                <c:pt idx="9">
                  <c:v>5458.88</c:v>
                </c:pt>
                <c:pt idx="10">
                  <c:v>5484.07</c:v>
                </c:pt>
                <c:pt idx="11">
                  <c:v>5973.75</c:v>
                </c:pt>
                <c:pt idx="12">
                  <c:v>5536.8</c:v>
                </c:pt>
                <c:pt idx="13">
                  <c:v>5568.82</c:v>
                </c:pt>
                <c:pt idx="14">
                  <c:v>5929.05</c:v>
                </c:pt>
                <c:pt idx="15">
                  <c:v>5805.72</c:v>
                </c:pt>
                <c:pt idx="16">
                  <c:v>5637.34</c:v>
                </c:pt>
                <c:pt idx="17">
                  <c:v>5802.42</c:v>
                </c:pt>
                <c:pt idx="18">
                  <c:v>5851.87</c:v>
                </c:pt>
                <c:pt idx="19">
                  <c:v>5843.75</c:v>
                </c:pt>
                <c:pt idx="20">
                  <c:v>5841.16</c:v>
                </c:pt>
                <c:pt idx="21">
                  <c:v>5917.15</c:v>
                </c:pt>
                <c:pt idx="22">
                  <c:v>6022.49</c:v>
                </c:pt>
                <c:pt idx="23">
                  <c:v>6644.39</c:v>
                </c:pt>
                <c:pt idx="24">
                  <c:v>6064.24</c:v>
                </c:pt>
                <c:pt idx="25">
                  <c:v>6220.04</c:v>
                </c:pt>
                <c:pt idx="26">
                  <c:v>6665.64</c:v>
                </c:pt>
                <c:pt idx="27">
                  <c:v>6626.95</c:v>
                </c:pt>
                <c:pt idx="28">
                  <c:v>6399.59</c:v>
                </c:pt>
                <c:pt idx="29">
                  <c:v>6554.87</c:v>
                </c:pt>
                <c:pt idx="30">
                  <c:v>6778.63</c:v>
                </c:pt>
                <c:pt idx="31">
                  <c:v>6583.03</c:v>
                </c:pt>
                <c:pt idx="32">
                  <c:v>6687.81</c:v>
                </c:pt>
                <c:pt idx="33">
                  <c:v>6687.92</c:v>
                </c:pt>
                <c:pt idx="34">
                  <c:v>6857.9569865209269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FD-4A90-9B76-C324363A34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26835392"/>
        <c:axId val="1926829952"/>
      </c:lineChart>
      <c:catAx>
        <c:axId val="192683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926829952"/>
        <c:crosses val="autoZero"/>
        <c:auto val="1"/>
        <c:lblAlgn val="ctr"/>
        <c:lblOffset val="100"/>
        <c:noMultiLvlLbl val="0"/>
      </c:catAx>
      <c:valAx>
        <c:axId val="1926829952"/>
        <c:scaling>
          <c:orientation val="minMax"/>
          <c:min val="4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251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926835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B1F35B5-3052-42CF-8865-2108F270FF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Przeciętne zatrudnienie i wynagrodzenie w sektorze przedsiębiorstw w listopadzie 2022 roku</dc:title>
  <dc:subject>Przeciętne zatrudnienie i wynagrodzenie w sektorze przedsiębiorstw</dc:subject>
  <dc:creator>Główny Urząd Statystyczny</dc:creator>
  <cp:keywords>płace; zarobki; pracujący; zatrudnieni; wynagrodzenie</cp:keywords>
  <cp:lastPrinted>2022-10-17T09:52:00Z</cp:lastPrinted>
  <dcterms:created xsi:type="dcterms:W3CDTF">2022-12-20T07:35:00Z</dcterms:created>
  <dcterms:modified xsi:type="dcterms:W3CDTF">2022-12-20T07:35:00Z</dcterms:modified>
  <cp:category>Pracujący; Zatrudnieni; Wynagrodzenia;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