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605C" w:rsidRDefault="00BD4270" w:rsidP="00F049AB">
      <w:pPr>
        <w:pStyle w:val="Tytuinfomacjisygnalnej"/>
      </w:pPr>
      <w:bookmarkStart w:id="0" w:name="_GoBack"/>
      <w:bookmarkEnd w:id="0"/>
      <w:r w:rsidRPr="0026490D">
        <w:t>Przeciętne zatrudnienie</w:t>
      </w:r>
      <w:r>
        <w:rPr>
          <w:rStyle w:val="Odwoanieprzypisudolnego"/>
        </w:rPr>
        <w:footnoteReference w:id="1"/>
      </w:r>
      <w:r w:rsidRPr="0026490D">
        <w:t xml:space="preserve"> i wynagrodzenie w</w:t>
      </w:r>
      <w:r>
        <w:t xml:space="preserve"> sektorze przedsiębiorstw w </w:t>
      </w:r>
      <w:r w:rsidR="009B33BA">
        <w:t>lutym</w:t>
      </w:r>
      <w:r>
        <w:t xml:space="preserve"> 2022</w:t>
      </w:r>
      <w:r w:rsidRPr="0026490D">
        <w:t xml:space="preserve"> r.</w:t>
      </w:r>
      <w:r w:rsidR="00364AF9" w:rsidRPr="007D605C">
        <w:rPr>
          <w:sz w:val="32"/>
        </w:rPr>
        <w:tab/>
      </w:r>
    </w:p>
    <w:p w:rsidR="00DE58F1" w:rsidRPr="006F6EE4" w:rsidRDefault="00A93E4D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>
          <v:roundrect id="Pole tekstowe 2" o:spid="_x0000_s1026" alt="Wzrost o 2,2% rok do roku przeciętnego zatrudnienia w sektorze przedsiębiorstw" style="position:absolute;margin-left:.05pt;margin-top:5.45pt;width:173.55pt;height:91.1pt;z-index:25173811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Pole tekstowe 2">
              <w:txbxContent>
                <w:p w:rsidR="00621FEA" w:rsidRPr="000430E2" w:rsidRDefault="00621FEA" w:rsidP="00CB6AD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2,2%</w:t>
                  </w:r>
                </w:p>
                <w:p w:rsidR="00621FEA" w:rsidRPr="000430E2" w:rsidRDefault="00621FE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zatrudnienia w sektorze przedsiębiorstw</w:t>
                  </w:r>
                </w:p>
                <w:p w:rsidR="00621FEA" w:rsidRPr="007D605C" w:rsidRDefault="00621FEA" w:rsidP="000430E2">
                  <w:pPr>
                    <w:pStyle w:val="Opiswskanika"/>
                    <w:rPr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roundrect>
        </w:pict>
      </w:r>
      <w:r w:rsidR="00074DD8" w:rsidRPr="00841E07">
        <w:rPr>
          <w:color w:val="001D77"/>
        </w:rPr>
        <w:t xml:space="preserve"> </w:t>
      </w:r>
      <w:r w:rsidR="0081223F" w:rsidRPr="00841E07">
        <w:rPr>
          <w:color w:val="001D77"/>
        </w:rPr>
        <w:br/>
      </w:r>
      <w:r w:rsidR="00841E07" w:rsidRPr="00841E07">
        <w:t xml:space="preserve">W </w:t>
      </w:r>
      <w:r w:rsidR="009B33BA">
        <w:t>lutym</w:t>
      </w:r>
      <w:r w:rsidR="00841E07" w:rsidRPr="00841E07">
        <w:t xml:space="preserve"> 2022 r. przeciętne za</w:t>
      </w:r>
      <w:r w:rsidR="00841E07">
        <w:t xml:space="preserve">trudnienie w sektorze przedsiębiorstw w porównaniu z </w:t>
      </w:r>
      <w:r w:rsidR="009B33BA">
        <w:t>lutym</w:t>
      </w:r>
      <w:r w:rsidR="00841E07">
        <w:t xml:space="preserve"> 2021 r. było wyższe o 2,</w:t>
      </w:r>
      <w:r w:rsidR="009B33BA">
        <w:t>2</w:t>
      </w:r>
      <w:r w:rsidR="00841E07">
        <w:t>% i wyniosło 64</w:t>
      </w:r>
      <w:r w:rsidR="009B33BA">
        <w:t>74,9</w:t>
      </w:r>
      <w:r w:rsidR="00841E07">
        <w:t xml:space="preserve"> tys. etatów. </w:t>
      </w:r>
      <w:r w:rsidR="00841E07" w:rsidRPr="00841E07">
        <w:t>W stosunku do poprzednieg</w:t>
      </w:r>
      <w:r w:rsidR="00841E07">
        <w:t xml:space="preserve">o miesiąca przeciętne zatrudnienie </w:t>
      </w:r>
      <w:r w:rsidR="009B33BA">
        <w:t xml:space="preserve">minimalnie </w:t>
      </w:r>
      <w:r w:rsidR="00841E07">
        <w:t xml:space="preserve">wzrosło </w:t>
      </w:r>
      <w:r w:rsidR="00E65275">
        <w:t>(</w:t>
      </w:r>
      <w:r w:rsidR="00841E07">
        <w:t>o</w:t>
      </w:r>
      <w:r w:rsidR="009B33BA">
        <w:t> 0</w:t>
      </w:r>
      <w:r w:rsidR="00841E07">
        <w:t>,</w:t>
      </w:r>
      <w:r w:rsidR="009B33BA">
        <w:t>2</w:t>
      </w:r>
      <w:r w:rsidR="00841E07">
        <w:t>%</w:t>
      </w:r>
      <w:r w:rsidR="00E65275">
        <w:t>)</w:t>
      </w:r>
      <w:r w:rsidR="00841E07">
        <w:t xml:space="preserve">. </w:t>
      </w:r>
    </w:p>
    <w:p w:rsidR="00BD4270" w:rsidRPr="00841E07" w:rsidRDefault="00A93E4D" w:rsidP="00BD4270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>
          <v:roundrect id="_x0000_s1033" alt="Wzrost o 11,7% rok do roku przeciętnego miesięcznego wynagrodzenia brutto w sektorze przedsiębiorstw" style="position:absolute;margin-left:.05pt;margin-top:38.75pt;width:173.55pt;height:91pt;z-index:25175859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_x0000_s1033">
              <w:txbxContent>
                <w:p w:rsidR="00621FEA" w:rsidRPr="000430E2" w:rsidRDefault="00621FEA" w:rsidP="00BD4270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11,7%</w:t>
                  </w:r>
                </w:p>
                <w:p w:rsidR="00621FEA" w:rsidRPr="000430E2" w:rsidRDefault="00621FE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miesięcznego wynagrodzenia brutto w sektorze przedsiębiorstw</w:t>
                  </w:r>
                </w:p>
              </w:txbxContent>
            </v:textbox>
            <w10:wrap type="square" anchorx="margin"/>
          </v:roundrect>
        </w:pict>
      </w:r>
      <w:r w:rsidR="0081223F" w:rsidRPr="00841E07">
        <w:br/>
      </w:r>
      <w:r w:rsidR="00841E07">
        <w:br/>
      </w:r>
      <w:r w:rsidR="0081223F" w:rsidRPr="00841E07">
        <w:br/>
      </w:r>
      <w:r w:rsidR="00841E07" w:rsidRPr="00841E07">
        <w:t>Przeciętne miesięczne wynagro</w:t>
      </w:r>
      <w:r w:rsidR="00841E07">
        <w:t xml:space="preserve">dzenie w sektorze przedsiębiorstw w </w:t>
      </w:r>
      <w:r w:rsidR="009B33BA">
        <w:t>lutym</w:t>
      </w:r>
      <w:r w:rsidR="00841E07">
        <w:t xml:space="preserve"> 2022 r. w porównaniu z</w:t>
      </w:r>
      <w:r w:rsidR="009B33BA">
        <w:t> lutym</w:t>
      </w:r>
      <w:r w:rsidR="00841E07">
        <w:t xml:space="preserve"> 2021 r. było wyższe o </w:t>
      </w:r>
      <w:r w:rsidR="003C5476">
        <w:t>11</w:t>
      </w:r>
      <w:r w:rsidR="009B33BA">
        <w:t>,7</w:t>
      </w:r>
      <w:r w:rsidR="00841E07">
        <w:t xml:space="preserve">% i wyniosło </w:t>
      </w:r>
      <w:r w:rsidR="009B33BA">
        <w:t xml:space="preserve">6220,04 </w:t>
      </w:r>
      <w:r w:rsidR="00841E07">
        <w:t xml:space="preserve">zł (brutto). </w:t>
      </w:r>
      <w:r w:rsidR="00841E07" w:rsidRPr="00841E07">
        <w:t xml:space="preserve">Względem </w:t>
      </w:r>
      <w:r w:rsidR="009B33BA">
        <w:t>stycznia</w:t>
      </w:r>
      <w:r w:rsidR="00841E07" w:rsidRPr="00841E07">
        <w:t xml:space="preserve"> 202</w:t>
      </w:r>
      <w:r w:rsidR="009B33BA">
        <w:t>2</w:t>
      </w:r>
      <w:r w:rsidR="00841E07" w:rsidRPr="00841E07">
        <w:t xml:space="preserve"> r. przeciętne</w:t>
      </w:r>
      <w:r w:rsidR="00841E07">
        <w:t xml:space="preserve"> miesięczne wynagrodzenie brutto </w:t>
      </w:r>
      <w:r w:rsidR="009B33BA">
        <w:t xml:space="preserve">wzrosło </w:t>
      </w:r>
      <w:r w:rsidR="00841E07">
        <w:t xml:space="preserve">o </w:t>
      </w:r>
      <w:r w:rsidR="009B33BA">
        <w:t>2</w:t>
      </w:r>
      <w:r w:rsidR="00841E07">
        <w:t>,</w:t>
      </w:r>
      <w:r w:rsidR="009B33BA">
        <w:t>6</w:t>
      </w:r>
      <w:r w:rsidR="00841E07">
        <w:t xml:space="preserve">%. </w:t>
      </w:r>
    </w:p>
    <w:p w:rsidR="00E95B8E" w:rsidRPr="00F8556E" w:rsidRDefault="00A93E4D" w:rsidP="00E95B8E">
      <w:pPr>
        <w:pStyle w:val="Nagwek1"/>
        <w:rPr>
          <w:rFonts w:ascii="Fira Sans" w:hAnsi="Fira Sans"/>
          <w:b/>
          <w:szCs w:val="19"/>
        </w:rPr>
      </w:pPr>
      <w:r>
        <w:rPr>
          <w:rFonts w:eastAsia="Calibri"/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alt="Pole tekstowe: Sektor przedsiębiorstw stanowi część gospodarki narodowej, to znaczy, że dane dotyczą wybranych podmiotów prowadzących działalność gospodarczą" style="position:absolute;margin-left:229.1pt;margin-top:23.35pt;width:135.6pt;height:105.75pt;z-index:-251555840;visibility:visible;mso-wrap-distance-top:3.6pt;mso-wrap-distance-bottom:3.6pt;mso-width-relative:margin;mso-height-relative:margin" wrapcoords="0 0" filled="f" stroked="f">
            <v:textbox style="mso-next-textbox:#_x0000_s1034">
              <w:txbxContent>
                <w:p w:rsidR="00621FEA" w:rsidRPr="00705D39" w:rsidRDefault="00621FEA" w:rsidP="006044B7">
                  <w:pPr>
                    <w:pStyle w:val="tekstzboku"/>
                    <w:spacing w:before="240" w:line="240" w:lineRule="auto"/>
                    <w:rPr>
                      <w:bCs w:val="0"/>
                    </w:rPr>
                  </w:pPr>
                  <w:r w:rsidRPr="00CE4352">
                    <w:rPr>
                      <w:b/>
                    </w:rPr>
                    <w:t>Sektor przedsiębiorstw</w:t>
                  </w:r>
                  <w:r>
                    <w:t xml:space="preserve"> stanowi część gospodarki narodowej, to znaczy, że dane dotyczą wybranych podmiotów prowadzących działalność gospodarczą</w:t>
                  </w:r>
                </w:p>
              </w:txbxContent>
            </v:textbox>
            <w10:wrap type="tight"/>
          </v:shape>
        </w:pict>
      </w:r>
      <w:r w:rsidR="00F8556E" w:rsidRPr="00F8556E">
        <w:rPr>
          <w:rFonts w:ascii="Fira Sans" w:hAnsi="Fira Sans"/>
          <w:b/>
          <w:szCs w:val="19"/>
        </w:rPr>
        <w:br/>
        <w:t>Rynek pracy w sektorze przedsiębiorstw</w:t>
      </w:r>
    </w:p>
    <w:p w:rsidR="00F8556E" w:rsidRDefault="00F8556E" w:rsidP="00F8556E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D</w:t>
      </w:r>
      <w:r w:rsidRPr="00890841">
        <w:rPr>
          <w:rFonts w:eastAsia="Calibri"/>
          <w:shd w:val="clear" w:color="auto" w:fill="FFFFFF"/>
        </w:rPr>
        <w:t>ane odnoszące się do sektora przedsiębiorstw dotyczą podmiotów, w których</w:t>
      </w:r>
      <w:r w:rsidRPr="004F7579">
        <w:rPr>
          <w:rFonts w:eastAsia="Calibri"/>
          <w:shd w:val="clear" w:color="auto" w:fill="FFFFFF"/>
        </w:rPr>
        <w:t xml:space="preserve"> </w:t>
      </w:r>
      <w:r w:rsidRPr="00890841">
        <w:rPr>
          <w:rFonts w:eastAsia="Calibri"/>
          <w:shd w:val="clear" w:color="auto" w:fill="FFFFFF"/>
        </w:rPr>
        <w:t>prowadzona jest działalność gospodarcz</w:t>
      </w:r>
      <w:r>
        <w:rPr>
          <w:rFonts w:eastAsia="Calibri"/>
          <w:shd w:val="clear" w:color="auto" w:fill="FFFFFF"/>
        </w:rPr>
        <w:t>a</w:t>
      </w:r>
      <w:r w:rsidRPr="00890841">
        <w:rPr>
          <w:rFonts w:eastAsia="Calibri"/>
          <w:shd w:val="clear" w:color="auto" w:fill="FFFFFF"/>
        </w:rPr>
        <w:t xml:space="preserve"> zaklasyfikowana do </w:t>
      </w:r>
      <w:r w:rsidRPr="004C3D61">
        <w:rPr>
          <w:rFonts w:eastAsia="Calibri"/>
          <w:b/>
          <w:shd w:val="clear" w:color="auto" w:fill="FFFFFF"/>
        </w:rPr>
        <w:t>wybranych rodzajów działalności PKD 2007</w:t>
      </w:r>
      <w:r w:rsidRPr="004C3D61">
        <w:rPr>
          <w:rStyle w:val="Odwoanieprzypisudolnego"/>
          <w:rFonts w:eastAsia="Calibri"/>
          <w:b/>
          <w:shd w:val="clear" w:color="auto" w:fill="FFFFFF"/>
        </w:rPr>
        <w:footnoteReference w:id="2"/>
      </w:r>
      <w:r w:rsidRPr="004C3D61">
        <w:rPr>
          <w:rFonts w:eastAsia="Calibri"/>
          <w:b/>
          <w:shd w:val="clear" w:color="auto" w:fill="FFFFFF"/>
        </w:rPr>
        <w:t xml:space="preserve">, </w:t>
      </w:r>
      <w:r w:rsidR="00DF390C">
        <w:rPr>
          <w:rFonts w:eastAsia="Calibri"/>
          <w:b/>
          <w:shd w:val="clear" w:color="auto" w:fill="FFFFFF"/>
        </w:rPr>
        <w:t>o liczbie pracujących 10 i więcej osób</w:t>
      </w:r>
      <w:r w:rsidRPr="00890841">
        <w:rPr>
          <w:rFonts w:eastAsia="Calibri"/>
          <w:shd w:val="clear" w:color="auto" w:fill="FFFFFF"/>
        </w:rPr>
        <w:t>.</w:t>
      </w:r>
      <w:r>
        <w:rPr>
          <w:rFonts w:eastAsia="Calibri"/>
          <w:shd w:val="clear" w:color="auto" w:fill="FFFFFF"/>
        </w:rPr>
        <w:t xml:space="preserve"> </w:t>
      </w:r>
      <w:r w:rsidRPr="004C3D61">
        <w:rPr>
          <w:rFonts w:eastAsia="Calibri"/>
          <w:shd w:val="clear" w:color="auto" w:fill="FFFFFF"/>
        </w:rPr>
        <w:t>W związku z tym, badanie nie obejmuje, m.in.</w:t>
      </w:r>
      <w:r w:rsidRPr="004C3D61">
        <w:rPr>
          <w:i/>
          <w:iCs/>
          <w:color w:val="1F497D"/>
          <w:sz w:val="18"/>
          <w:szCs w:val="18"/>
        </w:rPr>
        <w:t xml:space="preserve"> </w:t>
      </w:r>
      <w:r w:rsidRPr="004C3D61">
        <w:rPr>
          <w:rFonts w:eastAsia="Calibri"/>
          <w:shd w:val="clear" w:color="auto" w:fill="FFFFFF"/>
        </w:rPr>
        <w:t>adm</w:t>
      </w:r>
      <w:r>
        <w:rPr>
          <w:rFonts w:eastAsia="Calibri"/>
          <w:shd w:val="clear" w:color="auto" w:fill="FFFFFF"/>
        </w:rPr>
        <w:t xml:space="preserve">inistracji publicznej, edukacji, </w:t>
      </w:r>
      <w:r w:rsidRPr="004C3D61">
        <w:rPr>
          <w:rFonts w:eastAsia="Calibri"/>
          <w:shd w:val="clear" w:color="auto" w:fill="FFFFFF"/>
        </w:rPr>
        <w:t>opieki zdrowotnej i pomocy społecznej</w:t>
      </w:r>
      <w:r>
        <w:rPr>
          <w:rFonts w:eastAsia="Calibri"/>
          <w:shd w:val="clear" w:color="auto" w:fill="FFFFFF"/>
        </w:rPr>
        <w:t>.</w:t>
      </w:r>
      <w:r w:rsidRPr="00890841">
        <w:rPr>
          <w:rFonts w:eastAsia="Calibri"/>
          <w:shd w:val="clear" w:color="auto" w:fill="FFFFFF"/>
        </w:rPr>
        <w:t xml:space="preserve"> </w:t>
      </w:r>
    </w:p>
    <w:p w:rsidR="00F8556E" w:rsidRPr="00841E07" w:rsidRDefault="00F8556E" w:rsidP="00E95B03">
      <w:pPr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1. Przeciętne zatrudnienie i przeciętne miesięc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zne wynagrodzeni</w:t>
      </w:r>
      <w:r w:rsidR="00B5507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a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sektorze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br/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przedsiębiorstw w </w:t>
      </w:r>
      <w:r w:rsidR="009B33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lutym</w:t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r.</w:t>
      </w:r>
    </w:p>
    <w:tbl>
      <w:tblPr>
        <w:tblW w:w="80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134"/>
        <w:gridCol w:w="993"/>
        <w:gridCol w:w="1417"/>
        <w:gridCol w:w="1134"/>
      </w:tblGrid>
      <w:tr w:rsidR="00DA1CCA" w:rsidRPr="002751A8" w:rsidTr="00F72CEE">
        <w:trPr>
          <w:trHeight w:val="558"/>
        </w:trPr>
        <w:tc>
          <w:tcPr>
            <w:tcW w:w="1985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544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B529B5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B529B5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01-02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DA1CCA" w:rsidRPr="002751A8" w:rsidTr="00F72CEE">
        <w:trPr>
          <w:trHeight w:val="791"/>
        </w:trPr>
        <w:tc>
          <w:tcPr>
            <w:tcW w:w="1985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DA1CCA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01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02 2021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:rsidR="00DA1CCA" w:rsidRPr="00CC690C" w:rsidRDefault="00DA1CCA" w:rsidP="00DA1CCA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01-02 2021= =100</w:t>
            </w:r>
          </w:p>
        </w:tc>
      </w:tr>
      <w:tr w:rsidR="00DA1CCA" w:rsidRPr="002751A8" w:rsidTr="00F72CEE">
        <w:trPr>
          <w:trHeight w:val="574"/>
        </w:trPr>
        <w:tc>
          <w:tcPr>
            <w:tcW w:w="198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/>
                <w:color w:val="000000"/>
                <w:sz w:val="16"/>
                <w:szCs w:val="16"/>
              </w:rPr>
              <w:t>Przeciętne zatrudnienie w tys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>. etatów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DA1CC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6474,9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2E7CC3" w:rsidRDefault="00DA1CCA" w:rsidP="00DA1CC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4E7D2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4E7D29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6463,5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102,1</w:t>
            </w:r>
          </w:p>
        </w:tc>
      </w:tr>
      <w:tr w:rsidR="00DA1CCA" w:rsidRPr="002751A8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B5507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</w:t>
            </w:r>
            <w:r w:rsidR="00B5507D">
              <w:rPr>
                <w:rFonts w:ascii="Fira Sans" w:hAnsi="Fira Sans" w:cs="Arial"/>
                <w:color w:val="000000"/>
                <w:sz w:val="16"/>
                <w:szCs w:val="16"/>
              </w:rPr>
              <w:t>nia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ogółem (brutto) 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6220,04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6156,62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DA1CCA" w:rsidRPr="00CC690C" w:rsidRDefault="00AD22EC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110,9</w:t>
            </w:r>
          </w:p>
        </w:tc>
      </w:tr>
      <w:tr w:rsidR="00DA1CCA" w:rsidRPr="002751A8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6220,02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6156,58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:rsidR="00DA1CCA" w:rsidRPr="00CC690C" w:rsidRDefault="00AD22EC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110,9</w:t>
            </w:r>
          </w:p>
        </w:tc>
      </w:tr>
    </w:tbl>
    <w:p w:rsidR="00B07A14" w:rsidRDefault="00B07A14" w:rsidP="005A3892">
      <w:pPr>
        <w:spacing w:line="288" w:lineRule="auto"/>
        <w:rPr>
          <w:rFonts w:eastAsia="Calibri"/>
          <w:shd w:val="clear" w:color="auto" w:fill="FFFFFF"/>
        </w:rPr>
      </w:pPr>
    </w:p>
    <w:p w:rsidR="00E46E44" w:rsidRDefault="00CB13DD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lastRenderedPageBreak/>
        <w:t xml:space="preserve">W lutym w porównaniu ze styczniem 2022 r. </w:t>
      </w:r>
      <w:r w:rsidRPr="006F44E3">
        <w:rPr>
          <w:rFonts w:eastAsia="Calibri"/>
          <w:b/>
          <w:shd w:val="clear" w:color="auto" w:fill="FFFFFF"/>
        </w:rPr>
        <w:t>przeciętne zatrudnienie w sektorze przedsiębiorstw</w:t>
      </w:r>
      <w:r>
        <w:rPr>
          <w:rFonts w:eastAsia="Calibri"/>
          <w:shd w:val="clear" w:color="auto" w:fill="FFFFFF"/>
        </w:rPr>
        <w:t xml:space="preserve"> zwiększyło się tylko minimalnie, o 0,2%. </w:t>
      </w:r>
      <w:r w:rsidR="00F72CEE">
        <w:rPr>
          <w:rFonts w:eastAsia="Calibri"/>
          <w:shd w:val="clear" w:color="auto" w:fill="FFFFFF"/>
        </w:rPr>
        <w:t>Podobny wzrost był widoczny także w lutym</w:t>
      </w:r>
      <w:r w:rsidR="00EB68BA">
        <w:rPr>
          <w:rFonts w:eastAsia="Calibri"/>
          <w:shd w:val="clear" w:color="auto" w:fill="FFFFFF"/>
        </w:rPr>
        <w:t xml:space="preserve"> 2021 r. </w:t>
      </w:r>
      <w:r w:rsidR="00FC03C3">
        <w:rPr>
          <w:rFonts w:eastAsia="Calibri"/>
          <w:shd w:val="clear" w:color="auto" w:fill="FFFFFF"/>
        </w:rPr>
        <w:t>względem</w:t>
      </w:r>
      <w:r w:rsidR="00F72CEE">
        <w:rPr>
          <w:rFonts w:eastAsia="Calibri"/>
          <w:shd w:val="clear" w:color="auto" w:fill="FFFFFF"/>
        </w:rPr>
        <w:t xml:space="preserve"> stycznia</w:t>
      </w:r>
      <w:r w:rsidR="00476601">
        <w:rPr>
          <w:rFonts w:eastAsia="Calibri"/>
          <w:shd w:val="clear" w:color="auto" w:fill="FFFFFF"/>
        </w:rPr>
        <w:t xml:space="preserve"> 2021 r. i wyniósł </w:t>
      </w:r>
      <w:r w:rsidR="00921C4F">
        <w:rPr>
          <w:rFonts w:eastAsia="Calibri"/>
          <w:shd w:val="clear" w:color="auto" w:fill="FFFFFF"/>
        </w:rPr>
        <w:t xml:space="preserve">0,3%. </w:t>
      </w:r>
      <w:r w:rsidR="00FC03C3">
        <w:rPr>
          <w:rFonts w:eastAsia="Calibri"/>
          <w:shd w:val="clear" w:color="auto" w:fill="FFFFFF"/>
        </w:rPr>
        <w:t>Zwiększenie</w:t>
      </w:r>
      <w:r w:rsidR="00E46E44">
        <w:rPr>
          <w:rFonts w:eastAsia="Calibri"/>
          <w:shd w:val="clear" w:color="auto" w:fill="FFFFFF"/>
        </w:rPr>
        <w:t xml:space="preserve"> przeciętn</w:t>
      </w:r>
      <w:r w:rsidR="006F6EE4">
        <w:rPr>
          <w:rFonts w:eastAsia="Calibri"/>
          <w:shd w:val="clear" w:color="auto" w:fill="FFFFFF"/>
        </w:rPr>
        <w:t>ego zatrudnienia w styczniu 2022</w:t>
      </w:r>
      <w:r w:rsidR="00AF195C">
        <w:rPr>
          <w:rFonts w:eastAsia="Calibri"/>
          <w:shd w:val="clear" w:color="auto" w:fill="FFFFFF"/>
        </w:rPr>
        <w:t xml:space="preserve"> r. był</w:t>
      </w:r>
      <w:r w:rsidR="00FC03C3">
        <w:rPr>
          <w:rFonts w:eastAsia="Calibri"/>
          <w:shd w:val="clear" w:color="auto" w:fill="FFFFFF"/>
        </w:rPr>
        <w:t>o</w:t>
      </w:r>
      <w:r w:rsidR="00AF195C">
        <w:rPr>
          <w:rFonts w:eastAsia="Calibri"/>
          <w:shd w:val="clear" w:color="auto" w:fill="FFFFFF"/>
        </w:rPr>
        <w:t xml:space="preserve"> wynikiem</w:t>
      </w:r>
      <w:r w:rsidR="00E46E44">
        <w:rPr>
          <w:rFonts w:eastAsia="Calibri"/>
          <w:shd w:val="clear" w:color="auto" w:fill="FFFFFF"/>
        </w:rPr>
        <w:t xml:space="preserve"> m.in. </w:t>
      </w:r>
      <w:r w:rsidR="00DC101F">
        <w:rPr>
          <w:rFonts w:eastAsia="Calibri"/>
          <w:shd w:val="clear" w:color="auto" w:fill="FFFFFF"/>
        </w:rPr>
        <w:t xml:space="preserve">przyjęć </w:t>
      </w:r>
      <w:r w:rsidR="00921C4F">
        <w:rPr>
          <w:rFonts w:eastAsia="Calibri"/>
          <w:shd w:val="clear" w:color="auto" w:fill="FFFFFF"/>
        </w:rPr>
        <w:t xml:space="preserve">w jednostkach, w tym także </w:t>
      </w:r>
      <w:r w:rsidR="00E36B2A">
        <w:rPr>
          <w:rFonts w:eastAsia="Calibri"/>
          <w:shd w:val="clear" w:color="auto" w:fill="FFFFFF"/>
        </w:rPr>
        <w:t>zatrudniania</w:t>
      </w:r>
      <w:r w:rsidR="00921C4F">
        <w:rPr>
          <w:rFonts w:eastAsia="Calibri"/>
          <w:shd w:val="clear" w:color="auto" w:fill="FFFFFF"/>
        </w:rPr>
        <w:t xml:space="preserve"> pracowników sezonowych</w:t>
      </w:r>
      <w:r w:rsidR="00E95B03">
        <w:rPr>
          <w:rFonts w:eastAsia="Calibri"/>
          <w:shd w:val="clear" w:color="auto" w:fill="FFFFFF"/>
        </w:rPr>
        <w:t>.</w:t>
      </w:r>
    </w:p>
    <w:p w:rsidR="004563EB" w:rsidRDefault="004563EB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Porównując luty 2022 r. do lutego 2021 r., przeciętne zatrudnienie w sektorze przedsiębiorstw zwiększyło się o 2,2%, podczas gdy w lutym 2021 r. względem lutego 2020 r. odnotowano jego spadek o 1,7%.</w:t>
      </w:r>
    </w:p>
    <w:p w:rsidR="001D1EEB" w:rsidRDefault="005A3892" w:rsidP="005A3892">
      <w:pPr>
        <w:pStyle w:val="Tytuwykresu0"/>
      </w:pPr>
      <w:r w:rsidRPr="005A3892">
        <w:t>Wykres 1. Przeciętne zatrudnienie w sektorze pr</w:t>
      </w:r>
      <w:r>
        <w:t>zedsiębiorstw</w:t>
      </w:r>
    </w:p>
    <w:p w:rsidR="001D1EEB" w:rsidRDefault="00FC269E" w:rsidP="00251EAD">
      <w:pPr>
        <w:pStyle w:val="Tytuwykresu0"/>
        <w:spacing w:before="120" w:line="288" w:lineRule="auto"/>
        <w:rPr>
          <w:rFonts w:ascii="Fira Sans" w:hAnsi="Fira Sans"/>
          <w:b w:val="0"/>
          <w:bCs w:val="0"/>
          <w:noProof w:val="0"/>
          <w:szCs w:val="19"/>
        </w:rPr>
      </w:pPr>
      <w:r>
        <w:rPr>
          <w:rFonts w:ascii="Fira Sans" w:hAnsi="Fira Sans"/>
          <w:b w:val="0"/>
          <w:bCs w:val="0"/>
          <w:noProof w:val="0"/>
          <w:szCs w:val="19"/>
        </w:rPr>
        <w:br/>
      </w:r>
      <w:r w:rsidR="00027E60" w:rsidRPr="00027E60">
        <w:rPr>
          <w:rFonts w:ascii="Fira Sans" w:hAnsi="Fira Sans"/>
          <w:b w:val="0"/>
          <w:bCs w:val="0"/>
          <w:szCs w:val="19"/>
        </w:rPr>
        <w:drawing>
          <wp:anchor distT="0" distB="0" distL="114300" distR="114300" simplePos="0" relativeHeight="251768832" behindDoc="0" locked="1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40640</wp:posOffset>
            </wp:positionV>
            <wp:extent cx="5113020" cy="3157220"/>
            <wp:effectExtent l="1905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D25A05" w:rsidRPr="00A711CD">
        <w:rPr>
          <w:rFonts w:ascii="Fira Sans" w:hAnsi="Fira Sans"/>
          <w:b w:val="0"/>
          <w:bCs w:val="0"/>
          <w:noProof w:val="0"/>
          <w:szCs w:val="19"/>
        </w:rPr>
        <w:t>W związku z zaistniałą sytuacją</w:t>
      </w:r>
      <w:r w:rsidR="00D25A05" w:rsidRPr="00841E07">
        <w:rPr>
          <w:rFonts w:ascii="Fira Sans" w:hAnsi="Fira Sans"/>
          <w:b w:val="0"/>
          <w:bCs w:val="0"/>
          <w:noProof w:val="0"/>
          <w:szCs w:val="19"/>
        </w:rPr>
        <w:t xml:space="preserve"> epidemiczną i jej wpływem na rynek pracy, od marca do maja 2020 r. odnotowywano spadek przeciętnego zatrudnienia w sektorze przedsiębiorstw miesiąc do miesiąca, natomiast od czerwca 2020 r. do grudnia 2020 r. zaobserwowano jego wzrost. W 2021 roku przeciętne zatrudnienie ulegało niewielkim zmianom, jednak </w:t>
      </w:r>
      <w:r w:rsidR="00966417">
        <w:rPr>
          <w:rFonts w:ascii="Fira Sans" w:hAnsi="Fira Sans"/>
          <w:b w:val="0"/>
          <w:bCs w:val="0"/>
          <w:noProof w:val="0"/>
          <w:szCs w:val="19"/>
        </w:rPr>
        <w:t>do grudnia 2021 r.</w:t>
      </w:r>
      <w:r w:rsidR="00D25A05" w:rsidRPr="00841E07">
        <w:rPr>
          <w:rFonts w:ascii="Fira Sans" w:hAnsi="Fira Sans"/>
          <w:b w:val="0"/>
          <w:bCs w:val="0"/>
          <w:noProof w:val="0"/>
          <w:szCs w:val="19"/>
        </w:rPr>
        <w:t xml:space="preserve"> nie powróciło do wartości odnotowywanych na początku 2020 r. </w:t>
      </w:r>
      <w:r w:rsidR="00CB13DD">
        <w:rPr>
          <w:rFonts w:ascii="Fira Sans" w:hAnsi="Fira Sans"/>
          <w:b w:val="0"/>
          <w:bCs w:val="0"/>
          <w:noProof w:val="0"/>
          <w:szCs w:val="19"/>
        </w:rPr>
        <w:t>Zarówno w styczniu</w:t>
      </w:r>
      <w:r w:rsidR="00AB689E">
        <w:rPr>
          <w:rFonts w:ascii="Fira Sans" w:hAnsi="Fira Sans"/>
          <w:b w:val="0"/>
          <w:bCs w:val="0"/>
          <w:noProof w:val="0"/>
          <w:szCs w:val="19"/>
        </w:rPr>
        <w:t>,</w:t>
      </w:r>
      <w:r w:rsidR="00CB13DD">
        <w:rPr>
          <w:rFonts w:ascii="Fira Sans" w:hAnsi="Fira Sans"/>
          <w:b w:val="0"/>
          <w:bCs w:val="0"/>
          <w:noProof w:val="0"/>
          <w:szCs w:val="19"/>
        </w:rPr>
        <w:t xml:space="preserve"> jak i w lutym</w:t>
      </w:r>
      <w:r w:rsidR="009F2346">
        <w:rPr>
          <w:rFonts w:ascii="Fira Sans" w:hAnsi="Fira Sans"/>
          <w:b w:val="0"/>
          <w:bCs w:val="0"/>
          <w:noProof w:val="0"/>
          <w:szCs w:val="19"/>
        </w:rPr>
        <w:t xml:space="preserve"> 2022 r.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CB13DD">
        <w:rPr>
          <w:rFonts w:ascii="Fira Sans" w:hAnsi="Fira Sans"/>
          <w:b w:val="0"/>
          <w:bCs w:val="0"/>
          <w:noProof w:val="0"/>
          <w:szCs w:val="19"/>
        </w:rPr>
        <w:t>widoczny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9F2346">
        <w:rPr>
          <w:rFonts w:ascii="Fira Sans" w:hAnsi="Fira Sans"/>
          <w:b w:val="0"/>
          <w:bCs w:val="0"/>
          <w:noProof w:val="0"/>
          <w:szCs w:val="19"/>
        </w:rPr>
        <w:t>był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wzrost przeciętnego zatrudnienia względem poprzedniego miesiąca,</w:t>
      </w:r>
      <w:r w:rsidR="00CB13DD">
        <w:rPr>
          <w:rFonts w:ascii="Fira Sans" w:hAnsi="Fira Sans"/>
          <w:b w:val="0"/>
          <w:bCs w:val="0"/>
          <w:noProof w:val="0"/>
          <w:szCs w:val="19"/>
        </w:rPr>
        <w:t xml:space="preserve"> przy czym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w lutym 2022 r. </w:t>
      </w:r>
      <w:r w:rsidR="009F2346">
        <w:rPr>
          <w:rFonts w:ascii="Fira Sans" w:hAnsi="Fira Sans"/>
          <w:b w:val="0"/>
          <w:bCs w:val="0"/>
          <w:noProof w:val="0"/>
          <w:szCs w:val="19"/>
        </w:rPr>
        <w:t>w porównaniu do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stycznia 2022 r. przeciętne zatrudnienie zwiększyło się o ok. 15 tys. etatów.</w:t>
      </w:r>
      <w:r w:rsidR="00966417">
        <w:rPr>
          <w:rFonts w:ascii="Fira Sans" w:hAnsi="Fira Sans"/>
          <w:b w:val="0"/>
          <w:bCs w:val="0"/>
          <w:noProof w:val="0"/>
          <w:szCs w:val="19"/>
        </w:rPr>
        <w:t xml:space="preserve"> </w:t>
      </w:r>
    </w:p>
    <w:p w:rsidR="00FC03C3" w:rsidRDefault="00A93E4D" w:rsidP="00251EAD">
      <w:pPr>
        <w:spacing w:line="288" w:lineRule="auto"/>
        <w:rPr>
          <w:szCs w:val="19"/>
        </w:rPr>
      </w:pPr>
      <w:r>
        <w:rPr>
          <w:noProof/>
          <w:szCs w:val="19"/>
          <w:lang w:eastAsia="pl-PL"/>
        </w:rPr>
        <w:pict>
          <v:shape id="_x0000_s1035" type="#_x0000_t202" alt="Pole tekstowe: Przeciętne miesięczne wynagrodzenie brutto w sektorze przedsiębiorstw obejmuje wynagrodzenie zasadnicze oraz dodatkowe składowe wynagrodzeń, m.in. premie, nagrody, wynagrodzenie za płacę w godzinach nadliczbowych oraz odprawy emerytalne " style="position:absolute;margin-left:412.15pt;margin-top:-15.5pt;width:135.85pt;height:142.5pt;z-index:-251551744;visibility:visible;mso-wrap-distance-top:3.6pt;mso-wrap-distance-bottom:3.6pt;mso-width-relative:margin;mso-height-relative:margin" wrapcoords="0 0" filled="f" stroked="f">
            <v:textbox style="mso-next-textbox:#_x0000_s1035">
              <w:txbxContent>
                <w:p w:rsidR="00621FEA" w:rsidRPr="00FD5ADA" w:rsidRDefault="00621FEA" w:rsidP="00702B55">
                  <w:pPr>
                    <w:pStyle w:val="tekstzboku"/>
                    <w:spacing w:before="240"/>
                    <w:rPr>
                      <w:bCs w:val="0"/>
                    </w:rPr>
                  </w:pPr>
                  <w:r>
                    <w:rPr>
                      <w:bCs w:val="0"/>
                    </w:rPr>
                    <w:t>Przeciętne miesięczne wynagrodzeni</w:t>
                  </w:r>
                  <w:r w:rsidR="00B5507D">
                    <w:rPr>
                      <w:bCs w:val="0"/>
                    </w:rPr>
                    <w:t>a</w:t>
                  </w:r>
                  <w:r>
                    <w:rPr>
                      <w:bCs w:val="0"/>
                    </w:rPr>
                    <w:t xml:space="preserve"> brutto w sektorze przedsiębiorstw obejmuje wynagrodzenie zasadnicze oraz dodatkowe składowe wynagrodzeń, m.in. premie, nagrody, wynagrodzenie za płacę w godzinach nadliczbowych oraz odprawy emerytalne </w:t>
                  </w:r>
                </w:p>
              </w:txbxContent>
            </v:textbox>
            <w10:wrap type="tight"/>
          </v:shape>
        </w:pict>
      </w:r>
      <w:r w:rsidR="00AF4474">
        <w:rPr>
          <w:szCs w:val="19"/>
        </w:rPr>
        <w:t xml:space="preserve">W </w:t>
      </w:r>
      <w:r w:rsidR="00921C4F">
        <w:rPr>
          <w:szCs w:val="19"/>
        </w:rPr>
        <w:t>lutym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2</w:t>
      </w:r>
      <w:r w:rsidR="00AF4474">
        <w:rPr>
          <w:szCs w:val="19"/>
        </w:rPr>
        <w:t xml:space="preserve"> r. </w:t>
      </w:r>
      <w:r w:rsidR="00AF4474" w:rsidRPr="00330124">
        <w:rPr>
          <w:b/>
          <w:szCs w:val="19"/>
        </w:rPr>
        <w:t>przeciętne miesięczne wynagrodzenie brutto w sektorze przedsiębiorstw</w:t>
      </w:r>
      <w:r w:rsidR="00AF4474">
        <w:rPr>
          <w:b/>
          <w:szCs w:val="19"/>
        </w:rPr>
        <w:t xml:space="preserve"> </w:t>
      </w:r>
      <w:r w:rsidR="00921C4F">
        <w:rPr>
          <w:szCs w:val="19"/>
        </w:rPr>
        <w:t>zwiększyło</w:t>
      </w:r>
      <w:r w:rsidR="00AF4474">
        <w:rPr>
          <w:szCs w:val="19"/>
        </w:rPr>
        <w:t xml:space="preserve"> się </w:t>
      </w:r>
      <w:r w:rsidR="00CB13DD">
        <w:rPr>
          <w:szCs w:val="19"/>
        </w:rPr>
        <w:t>w stosunku do</w:t>
      </w:r>
      <w:r w:rsidR="00AF4474">
        <w:rPr>
          <w:szCs w:val="19"/>
        </w:rPr>
        <w:t xml:space="preserve"> </w:t>
      </w:r>
      <w:r w:rsidR="00921C4F">
        <w:rPr>
          <w:szCs w:val="19"/>
        </w:rPr>
        <w:t>stycznia</w:t>
      </w:r>
      <w:r w:rsidR="00AF4474">
        <w:rPr>
          <w:szCs w:val="19"/>
        </w:rPr>
        <w:t xml:space="preserve"> 202</w:t>
      </w:r>
      <w:r w:rsidR="00921C4F">
        <w:rPr>
          <w:szCs w:val="19"/>
        </w:rPr>
        <w:t>2</w:t>
      </w:r>
      <w:r w:rsidR="00AF4474">
        <w:rPr>
          <w:szCs w:val="19"/>
        </w:rPr>
        <w:t xml:space="preserve"> r. o </w:t>
      </w:r>
      <w:r w:rsidR="00FC03C3">
        <w:rPr>
          <w:szCs w:val="19"/>
        </w:rPr>
        <w:t>2</w:t>
      </w:r>
      <w:r w:rsidR="004C13CA">
        <w:rPr>
          <w:szCs w:val="19"/>
        </w:rPr>
        <w:t>,</w:t>
      </w:r>
      <w:r w:rsidR="00FC03C3">
        <w:rPr>
          <w:szCs w:val="19"/>
        </w:rPr>
        <w:t>6</w:t>
      </w:r>
      <w:r w:rsidR="00AF4474">
        <w:rPr>
          <w:szCs w:val="19"/>
        </w:rPr>
        <w:t xml:space="preserve">%, podczas gdy w </w:t>
      </w:r>
      <w:r w:rsidR="00FC03C3">
        <w:rPr>
          <w:szCs w:val="19"/>
        </w:rPr>
        <w:t>lutym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1</w:t>
      </w:r>
      <w:r w:rsidR="00AF4474">
        <w:rPr>
          <w:szCs w:val="19"/>
        </w:rPr>
        <w:t xml:space="preserve"> r. </w:t>
      </w:r>
      <w:r w:rsidR="00AB689E">
        <w:rPr>
          <w:szCs w:val="19"/>
        </w:rPr>
        <w:t>w porównaniu do</w:t>
      </w:r>
      <w:r w:rsidR="00AF4474">
        <w:rPr>
          <w:szCs w:val="19"/>
        </w:rPr>
        <w:t xml:space="preserve"> </w:t>
      </w:r>
      <w:r w:rsidR="00FC03C3">
        <w:rPr>
          <w:szCs w:val="19"/>
        </w:rPr>
        <w:t>stycznia</w:t>
      </w:r>
      <w:r w:rsidR="00AF4474">
        <w:rPr>
          <w:szCs w:val="19"/>
        </w:rPr>
        <w:t xml:space="preserve"> 202</w:t>
      </w:r>
      <w:r w:rsidR="00DC101F">
        <w:rPr>
          <w:szCs w:val="19"/>
        </w:rPr>
        <w:t>1</w:t>
      </w:r>
      <w:r w:rsidR="004C13CA">
        <w:rPr>
          <w:szCs w:val="19"/>
        </w:rPr>
        <w:t xml:space="preserve"> r.</w:t>
      </w:r>
      <w:r w:rsidR="00F62065">
        <w:rPr>
          <w:szCs w:val="19"/>
        </w:rPr>
        <w:t xml:space="preserve"> </w:t>
      </w:r>
      <w:r w:rsidR="004C13CA">
        <w:rPr>
          <w:szCs w:val="19"/>
        </w:rPr>
        <w:t xml:space="preserve">płace zanotowały </w:t>
      </w:r>
      <w:r w:rsidR="00FC03C3">
        <w:rPr>
          <w:szCs w:val="19"/>
        </w:rPr>
        <w:t>mniejszy wzrost,</w:t>
      </w:r>
      <w:r w:rsidR="00CB13DD">
        <w:rPr>
          <w:szCs w:val="19"/>
        </w:rPr>
        <w:t xml:space="preserve"> </w:t>
      </w:r>
      <w:r w:rsidR="004C13CA">
        <w:rPr>
          <w:szCs w:val="19"/>
        </w:rPr>
        <w:t xml:space="preserve">o </w:t>
      </w:r>
      <w:r w:rsidR="00FC03C3">
        <w:rPr>
          <w:szCs w:val="19"/>
        </w:rPr>
        <w:t xml:space="preserve">0,6%. </w:t>
      </w:r>
    </w:p>
    <w:p w:rsidR="00FC03C3" w:rsidRDefault="00FC03C3" w:rsidP="00251EAD">
      <w:pPr>
        <w:spacing w:line="288" w:lineRule="auto"/>
        <w:rPr>
          <w:szCs w:val="19"/>
        </w:rPr>
      </w:pPr>
      <w:r>
        <w:rPr>
          <w:szCs w:val="19"/>
        </w:rPr>
        <w:t>Wzrost wynagrodzeń w lutym 2022 r. względem stycznia 2022 r.</w:t>
      </w:r>
      <w:r w:rsidR="00E86EE7">
        <w:rPr>
          <w:szCs w:val="19"/>
        </w:rPr>
        <w:t xml:space="preserve"> </w:t>
      </w:r>
      <w:r>
        <w:rPr>
          <w:szCs w:val="19"/>
        </w:rPr>
        <w:t xml:space="preserve">spowodowany był m.in. wypłatami premii dodatkowych, kwartalnych, półrocznych, nagród rocznych, </w:t>
      </w:r>
      <w:r w:rsidR="00E86EE7">
        <w:rPr>
          <w:szCs w:val="19"/>
        </w:rPr>
        <w:t>podwyższeniem wynagrodzeń</w:t>
      </w:r>
      <w:r>
        <w:rPr>
          <w:szCs w:val="19"/>
        </w:rPr>
        <w:t>, w tym także związanych z pakietem mobilności,</w:t>
      </w:r>
      <w:r w:rsidR="00DC101F">
        <w:rPr>
          <w:szCs w:val="19"/>
        </w:rPr>
        <w:t xml:space="preserve"> jak również</w:t>
      </w:r>
      <w:r>
        <w:rPr>
          <w:szCs w:val="19"/>
        </w:rPr>
        <w:t xml:space="preserve"> rozliczenia wynagrodzeń za pracę w godzinach nadliczbowych</w:t>
      </w:r>
      <w:r w:rsidR="00B529B5">
        <w:rPr>
          <w:szCs w:val="19"/>
        </w:rPr>
        <w:t xml:space="preserve"> </w:t>
      </w:r>
      <w:r w:rsidRPr="002D6BA5">
        <w:rPr>
          <w:szCs w:val="19"/>
        </w:rPr>
        <w:t xml:space="preserve">(które obok wynagrodzeń zasadniczych </w:t>
      </w:r>
      <w:r w:rsidR="00DC101F">
        <w:rPr>
          <w:szCs w:val="19"/>
        </w:rPr>
        <w:t>także</w:t>
      </w:r>
      <w:r w:rsidRPr="002D6BA5">
        <w:rPr>
          <w:szCs w:val="19"/>
        </w:rPr>
        <w:t xml:space="preserve"> zaliczane są do składników wynagrodzeń</w:t>
      </w:r>
      <w:r w:rsidRPr="002D6BA5">
        <w:rPr>
          <w:rStyle w:val="Odwoanieprzypisudolnego"/>
          <w:szCs w:val="19"/>
        </w:rPr>
        <w:footnoteReference w:id="3"/>
      </w:r>
      <w:r>
        <w:rPr>
          <w:szCs w:val="19"/>
        </w:rPr>
        <w:t xml:space="preserve">). Najwyższy wzrost wynagrodzeń </w:t>
      </w:r>
      <w:r w:rsidR="00E20EC1">
        <w:rPr>
          <w:szCs w:val="19"/>
        </w:rPr>
        <w:t>w porównaniu do</w:t>
      </w:r>
      <w:r>
        <w:rPr>
          <w:szCs w:val="19"/>
        </w:rPr>
        <w:t xml:space="preserve"> poprzedniego miesiąca odnotowano w sekcji </w:t>
      </w:r>
      <w:r w:rsidR="00E86EE7">
        <w:rPr>
          <w:szCs w:val="19"/>
        </w:rPr>
        <w:t>„Górnictwo i wydobywanie” (o 36,1%), gdzie wynagrodzenia wyniosły 10571,51 zł (miesiąc wcześniej 7768,7</w:t>
      </w:r>
      <w:r w:rsidR="00B529B5">
        <w:rPr>
          <w:szCs w:val="19"/>
        </w:rPr>
        <w:t>3</w:t>
      </w:r>
      <w:r w:rsidR="00E86EE7">
        <w:rPr>
          <w:szCs w:val="19"/>
        </w:rPr>
        <w:t xml:space="preserve"> zł) oraz „</w:t>
      </w:r>
      <w:r w:rsidR="00E86EE7" w:rsidRPr="00AF4474">
        <w:t>Wytwarzanie i zaopatrywanie w energię elektryczną, gaz, parę wodną i gorącą wodę</w:t>
      </w:r>
      <w:r w:rsidR="00E86EE7">
        <w:t>” (o 9,2%), gdzie przeciętn</w:t>
      </w:r>
      <w:r w:rsidR="00B5507D">
        <w:t>e</w:t>
      </w:r>
      <w:r w:rsidR="00E86EE7">
        <w:t xml:space="preserve"> płac</w:t>
      </w:r>
      <w:r w:rsidR="00B5507D">
        <w:t>e</w:t>
      </w:r>
      <w:r w:rsidR="00E86EE7">
        <w:t xml:space="preserve"> brutto wyniosł</w:t>
      </w:r>
      <w:r w:rsidR="00B5507D">
        <w:t>y</w:t>
      </w:r>
      <w:r w:rsidR="00E86EE7">
        <w:t xml:space="preserve"> </w:t>
      </w:r>
      <w:r w:rsidR="00AB096C">
        <w:t>9536,43 zł (miesiąc wcześniej 8735,60 zł). Spadek przeciętnego miesięcznego wyna</w:t>
      </w:r>
      <w:r w:rsidR="00AB096C">
        <w:lastRenderedPageBreak/>
        <w:t>grodzenia brutto odnotowano w sekcji „</w:t>
      </w:r>
      <w:r>
        <w:rPr>
          <w:szCs w:val="19"/>
        </w:rPr>
        <w:t>Rolnictwo, leśnictwo, łowiec</w:t>
      </w:r>
      <w:r>
        <w:rPr>
          <w:szCs w:val="19"/>
        </w:rPr>
        <w:softHyphen/>
        <w:t>two i rybactwo”</w:t>
      </w:r>
      <w:r>
        <w:rPr>
          <w:rStyle w:val="Odwoanieprzypisudolnego"/>
          <w:szCs w:val="19"/>
        </w:rPr>
        <w:footnoteReference w:id="4"/>
      </w:r>
      <w:r w:rsidR="002D5E8E">
        <w:rPr>
          <w:szCs w:val="19"/>
        </w:rPr>
        <w:t xml:space="preserve"> (o </w:t>
      </w:r>
      <w:r w:rsidR="00AB096C">
        <w:rPr>
          <w:szCs w:val="19"/>
        </w:rPr>
        <w:t>9,6%</w:t>
      </w:r>
      <w:r>
        <w:rPr>
          <w:szCs w:val="19"/>
        </w:rPr>
        <w:t xml:space="preserve">), gdzie wynagrodzenia wyniosły </w:t>
      </w:r>
      <w:r w:rsidR="00AB096C">
        <w:rPr>
          <w:szCs w:val="19"/>
        </w:rPr>
        <w:t>7241,19</w:t>
      </w:r>
      <w:r>
        <w:rPr>
          <w:szCs w:val="19"/>
        </w:rPr>
        <w:t xml:space="preserve"> zł (miesiąc wcześniej </w:t>
      </w:r>
      <w:r w:rsidR="00AB096C">
        <w:rPr>
          <w:szCs w:val="19"/>
        </w:rPr>
        <w:t xml:space="preserve">8010,16 </w:t>
      </w:r>
      <w:r>
        <w:rPr>
          <w:szCs w:val="19"/>
        </w:rPr>
        <w:t>zł)</w:t>
      </w:r>
      <w:r w:rsidR="00AB096C">
        <w:rPr>
          <w:szCs w:val="19"/>
        </w:rPr>
        <w:t xml:space="preserve"> oraz</w:t>
      </w:r>
      <w:r w:rsidR="002D5E8E">
        <w:rPr>
          <w:szCs w:val="19"/>
        </w:rPr>
        <w:t xml:space="preserve"> w sekcji </w:t>
      </w:r>
      <w:r>
        <w:rPr>
          <w:szCs w:val="19"/>
        </w:rPr>
        <w:t xml:space="preserve">„Działalność związana z kulturą, rozrywką i rekreacją” (o </w:t>
      </w:r>
      <w:r w:rsidR="002D5E8E">
        <w:rPr>
          <w:szCs w:val="19"/>
        </w:rPr>
        <w:t>1,4</w:t>
      </w:r>
      <w:r>
        <w:rPr>
          <w:szCs w:val="19"/>
        </w:rPr>
        <w:t xml:space="preserve">%), gdzie wynagrodzenia </w:t>
      </w:r>
      <w:r w:rsidR="002D5E8E">
        <w:rPr>
          <w:szCs w:val="19"/>
        </w:rPr>
        <w:t xml:space="preserve">zmniejszyły się </w:t>
      </w:r>
      <w:r>
        <w:rPr>
          <w:szCs w:val="19"/>
        </w:rPr>
        <w:t xml:space="preserve">do </w:t>
      </w:r>
      <w:r w:rsidR="002D5E8E">
        <w:rPr>
          <w:szCs w:val="19"/>
        </w:rPr>
        <w:t>5265,38</w:t>
      </w:r>
      <w:r>
        <w:rPr>
          <w:szCs w:val="19"/>
        </w:rPr>
        <w:t xml:space="preserve"> zł (miesiąc wcześniej wyniosły </w:t>
      </w:r>
      <w:r w:rsidR="002D5E8E">
        <w:rPr>
          <w:szCs w:val="19"/>
        </w:rPr>
        <w:t>5338,20 zł</w:t>
      </w:r>
      <w:r>
        <w:rPr>
          <w:szCs w:val="19"/>
        </w:rPr>
        <w:t>).</w:t>
      </w:r>
    </w:p>
    <w:p w:rsidR="00AF4474" w:rsidRDefault="00AF4474" w:rsidP="00B07A14">
      <w:pPr>
        <w:spacing w:beforeLines="120" w:before="288" w:afterLines="120" w:after="288" w:line="288" w:lineRule="auto"/>
        <w:rPr>
          <w:szCs w:val="19"/>
        </w:rPr>
      </w:pPr>
      <w:r>
        <w:rPr>
          <w:szCs w:val="19"/>
        </w:rPr>
        <w:t xml:space="preserve">W skali roku </w:t>
      </w:r>
      <w:r w:rsidRPr="00D033A8">
        <w:rPr>
          <w:szCs w:val="19"/>
        </w:rPr>
        <w:t>(</w:t>
      </w:r>
      <w:r w:rsidR="00F9239F">
        <w:rPr>
          <w:szCs w:val="19"/>
        </w:rPr>
        <w:t>luty</w:t>
      </w:r>
      <w:r w:rsidRPr="00D033A8">
        <w:rPr>
          <w:szCs w:val="19"/>
        </w:rPr>
        <w:t xml:space="preserve"> </w:t>
      </w:r>
      <w:r>
        <w:rPr>
          <w:szCs w:val="19"/>
        </w:rPr>
        <w:t>202</w:t>
      </w:r>
      <w:r w:rsidR="004C13CA">
        <w:rPr>
          <w:szCs w:val="19"/>
        </w:rPr>
        <w:t>2</w:t>
      </w:r>
      <w:r w:rsidRPr="00D033A8">
        <w:rPr>
          <w:szCs w:val="19"/>
        </w:rPr>
        <w:t xml:space="preserve"> r. do </w:t>
      </w:r>
      <w:r w:rsidR="00F9239F">
        <w:rPr>
          <w:szCs w:val="19"/>
        </w:rPr>
        <w:t>lutego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 w:rsidRPr="00D033A8">
        <w:rPr>
          <w:szCs w:val="19"/>
        </w:rPr>
        <w:t xml:space="preserve"> r.) przeciętne miesięczne wynagrodzeni</w:t>
      </w:r>
      <w:r w:rsidR="00C83C40">
        <w:rPr>
          <w:szCs w:val="19"/>
        </w:rPr>
        <w:t>e</w:t>
      </w:r>
      <w:r w:rsidRPr="00D033A8">
        <w:rPr>
          <w:szCs w:val="19"/>
        </w:rPr>
        <w:t xml:space="preserve"> </w:t>
      </w:r>
      <w:r>
        <w:rPr>
          <w:szCs w:val="19"/>
        </w:rPr>
        <w:t xml:space="preserve">brutto </w:t>
      </w:r>
      <w:r w:rsidRPr="00D033A8">
        <w:rPr>
          <w:szCs w:val="19"/>
        </w:rPr>
        <w:t>wzrosło o</w:t>
      </w:r>
      <w:r w:rsidR="00F9239F">
        <w:rPr>
          <w:szCs w:val="19"/>
        </w:rPr>
        <w:t xml:space="preserve"> </w:t>
      </w:r>
      <w:r w:rsidR="00C14111">
        <w:rPr>
          <w:szCs w:val="19"/>
        </w:rPr>
        <w:t>11,7</w:t>
      </w:r>
      <w:r w:rsidR="00F9239F">
        <w:rPr>
          <w:szCs w:val="19"/>
        </w:rPr>
        <w:t>%</w:t>
      </w:r>
      <w:r>
        <w:rPr>
          <w:szCs w:val="19"/>
        </w:rPr>
        <w:t>. Przed rokiem (</w:t>
      </w:r>
      <w:r w:rsidR="00F9239F">
        <w:rPr>
          <w:szCs w:val="19"/>
        </w:rPr>
        <w:t>luty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>
        <w:rPr>
          <w:szCs w:val="19"/>
        </w:rPr>
        <w:t xml:space="preserve"> r. do </w:t>
      </w:r>
      <w:r w:rsidR="00F9239F">
        <w:rPr>
          <w:szCs w:val="19"/>
        </w:rPr>
        <w:t>lutego</w:t>
      </w:r>
      <w:r>
        <w:rPr>
          <w:szCs w:val="19"/>
        </w:rPr>
        <w:t xml:space="preserve"> </w:t>
      </w:r>
      <w:r w:rsidR="004C13CA">
        <w:rPr>
          <w:szCs w:val="19"/>
        </w:rPr>
        <w:t>2020</w:t>
      </w:r>
      <w:r>
        <w:rPr>
          <w:szCs w:val="19"/>
        </w:rPr>
        <w:t xml:space="preserve"> r.) odnotowano dynamikę wzrostu</w:t>
      </w:r>
      <w:r w:rsidR="00944463">
        <w:rPr>
          <w:szCs w:val="19"/>
        </w:rPr>
        <w:t xml:space="preserve"> </w:t>
      </w:r>
      <w:r w:rsidR="00D574C5">
        <w:rPr>
          <w:szCs w:val="19"/>
        </w:rPr>
        <w:t>przeciętnych płac</w:t>
      </w:r>
      <w:r>
        <w:rPr>
          <w:szCs w:val="19"/>
        </w:rPr>
        <w:t xml:space="preserve"> na poziomie </w:t>
      </w:r>
      <w:r w:rsidR="004C13CA">
        <w:rPr>
          <w:szCs w:val="19"/>
        </w:rPr>
        <w:t>4</w:t>
      </w:r>
      <w:r>
        <w:rPr>
          <w:szCs w:val="19"/>
        </w:rPr>
        <w:t>,</w:t>
      </w:r>
      <w:r w:rsidR="00C14111">
        <w:rPr>
          <w:szCs w:val="19"/>
        </w:rPr>
        <w:t>5</w:t>
      </w:r>
      <w:r>
        <w:rPr>
          <w:szCs w:val="19"/>
        </w:rPr>
        <w:t xml:space="preserve">%. </w:t>
      </w:r>
    </w:p>
    <w:p w:rsidR="00622187" w:rsidRDefault="00A93E4D" w:rsidP="00966C9A">
      <w:pPr>
        <w:pStyle w:val="Tytuwykresu0"/>
      </w:pPr>
      <w:r>
        <w:rPr>
          <w:szCs w:val="19"/>
        </w:rPr>
        <w:pict>
          <v:shape id="_x0000_s1036" type="#_x0000_t202" alt="Pole tekstowe: W 2022 r. ustawowe minimalne wynagrodzenie za pracę wzrosło do 3010 zł, tj. o 7,5% wzglę-dem roku poprzedniego, kiedy to wynosiło 2800 zł " style="position:absolute;margin-left:412.15pt;margin-top:53.25pt;width:135.85pt;height:109.35pt;z-index:-251548672;visibility:visible;mso-wrap-distance-top:3.6pt;mso-wrap-distance-bottom:3.6pt;mso-width-relative:margin;mso-height-relative:margin" wrapcoords="0 0" filled="f" stroked="f">
            <v:textbox style="mso-next-textbox:#_x0000_s1036">
              <w:txbxContent>
                <w:p w:rsidR="00621FEA" w:rsidRPr="00FD5ADA" w:rsidRDefault="00621FEA" w:rsidP="00342880">
                  <w:pPr>
                    <w:pStyle w:val="tekstzboku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W 2022 r. </w:t>
                  </w:r>
                  <w:r w:rsidR="006B075F">
                    <w:rPr>
                      <w:bCs w:val="0"/>
                    </w:rPr>
                    <w:t xml:space="preserve">ustawowe </w:t>
                  </w:r>
                  <w:r>
                    <w:rPr>
                      <w:bCs w:val="0"/>
                    </w:rPr>
                    <w:t xml:space="preserve">minimalne wynagrodzenie za pracę wzrosło do 3010 zł, tj. o 7,5% względem roku poprzedniego, kiedy to wynosiło 2800 zł </w:t>
                  </w:r>
                </w:p>
              </w:txbxContent>
            </v:textbox>
            <w10:wrap type="tight"/>
          </v:shape>
        </w:pict>
      </w:r>
      <w:r w:rsidR="009D2045" w:rsidRPr="009D2045">
        <w:t>Wykres 2</w:t>
      </w:r>
      <w:r w:rsidR="00B16871" w:rsidRPr="009D2045">
        <w:t xml:space="preserve">. </w:t>
      </w:r>
      <w:r w:rsidR="009D2045" w:rsidRPr="009D2045">
        <w:t>Prz</w:t>
      </w:r>
      <w:r w:rsidR="00B5507D">
        <w:t>eciętne miesięczne wynagrodzenia</w:t>
      </w:r>
      <w:r w:rsidR="009D2045" w:rsidRPr="009D2045">
        <w:t xml:space="preserve"> </w:t>
      </w:r>
      <w:r w:rsidR="009D2045">
        <w:t xml:space="preserve">brutto </w:t>
      </w:r>
      <w:r w:rsidR="009D2045" w:rsidRPr="009D2045">
        <w:t>w</w:t>
      </w:r>
      <w:r w:rsidR="009D2045">
        <w:t xml:space="preserve"> sektorze przedsiębiorstw</w:t>
      </w:r>
      <w:r w:rsidR="00622187" w:rsidRPr="00622187">
        <w:t xml:space="preserve"> </w:t>
      </w:r>
    </w:p>
    <w:p w:rsidR="003E6748" w:rsidRDefault="00FC269E" w:rsidP="00FC269E">
      <w:pPr>
        <w:pStyle w:val="Tytuwykresu0"/>
        <w:spacing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269E">
        <w:drawing>
          <wp:anchor distT="0" distB="0" distL="114300" distR="114300" simplePos="0" relativeHeight="251769856" behindDoc="0" locked="1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13335</wp:posOffset>
            </wp:positionV>
            <wp:extent cx="5121910" cy="2967355"/>
            <wp:effectExtent l="19050" t="0" r="0" b="0"/>
            <wp:wrapTopAndBottom/>
            <wp:docPr id="4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21FEA">
        <w:rPr>
          <w:rFonts w:ascii="Fira Sans" w:eastAsiaTheme="minorHAnsi" w:hAnsi="Fira Sans" w:cstheme="minorBidi"/>
          <w:b w:val="0"/>
          <w:bCs w:val="0"/>
          <w:szCs w:val="19"/>
        </w:rPr>
        <w:t>Narastająco w okresie dwóch miesięcy 2022 r. przeciętne miesięczne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wynagrodzenia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brut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to w sektorze przedsiębiorstw w</w:t>
      </w:r>
      <w:r w:rsidR="00621FE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stosunku do </w:t>
      </w:r>
      <w:r w:rsidR="00621FE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analogicznego okresu w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2021 r. 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wzrosły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we wszystkich sekcjach PKD 2007 od</w:t>
      </w:r>
      <w:r w:rsidR="00621FE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7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621FE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 sekcji „</w:t>
      </w:r>
      <w:r w:rsidR="00621FE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Pozostała działalność usługowa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 w:rsidR="00621FEA">
        <w:rPr>
          <w:rStyle w:val="Odwoanieprzypisudolnego"/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footnoteReference w:id="5"/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do 1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</w:t>
      </w:r>
      <w:r w:rsidR="00621FE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sekcji „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Zakwaterowanie i gastronomia”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co dało ogółem wzrost w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sektorze przedsiębiorstw 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10,9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%. Najwyższą przeciętną płacę brutto w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sektorze przedsiębiorstw w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okresie narastającym o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dnotowano w sekcji „Informacja i komunikacja” w wysokości 10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623,93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(wzrost 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,2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 względem analogicznego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okresu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roku poprzedniego), zaś najniższą w sekcji „Zakwaterowanie i gastronomia” na poziomie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4473,</w:t>
      </w:r>
      <w:r w:rsidR="00B529B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13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(pomimo wzrostu w odniesieniu do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sytuacji sprzed roku</w:t>
      </w:r>
      <w:r w:rsidR="00D338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15,4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</w:p>
    <w:p w:rsidR="00401025" w:rsidRPr="006C22A4" w:rsidRDefault="00401025" w:rsidP="00401025">
      <w:pPr>
        <w:pStyle w:val="Nagwek1"/>
        <w:rPr>
          <w:rFonts w:ascii="Fira Sans" w:hAnsi="Fira Sans"/>
          <w:b/>
          <w:szCs w:val="19"/>
        </w:rPr>
      </w:pPr>
      <w:r w:rsidRPr="006C22A4">
        <w:rPr>
          <w:rFonts w:ascii="Fira Sans" w:hAnsi="Fira Sans"/>
          <w:b/>
          <w:szCs w:val="19"/>
        </w:rPr>
        <w:t>Wyjaśnienia metodologiczne</w:t>
      </w:r>
    </w:p>
    <w:p w:rsidR="00401025" w:rsidRDefault="00401025" w:rsidP="00401025">
      <w:pPr>
        <w:spacing w:line="288" w:lineRule="auto"/>
        <w:rPr>
          <w:szCs w:val="19"/>
        </w:rPr>
      </w:pPr>
      <w:r w:rsidRPr="009118C4">
        <w:rPr>
          <w:rFonts w:eastAsia="Calibri"/>
          <w:b/>
          <w:szCs w:val="19"/>
          <w:shd w:val="clear" w:color="auto" w:fill="FFFFFF"/>
        </w:rPr>
        <w:t xml:space="preserve">Sektor przedsiębiorstw dotyczy podmiotów, </w:t>
      </w:r>
      <w:r w:rsidR="004C226E">
        <w:rPr>
          <w:rFonts w:eastAsia="Calibri"/>
          <w:b/>
          <w:szCs w:val="19"/>
          <w:shd w:val="clear" w:color="auto" w:fill="FFFFFF"/>
        </w:rPr>
        <w:t>o liczbie osób pracujących 10 i więcej osób</w:t>
      </w:r>
      <w:r w:rsidRPr="009118C4">
        <w:rPr>
          <w:rFonts w:eastAsia="Calibri"/>
          <w:b/>
          <w:szCs w:val="19"/>
          <w:shd w:val="clear" w:color="auto" w:fill="FFFFFF"/>
        </w:rPr>
        <w:t>, prowadzących działalność gospodarczą w zakresie:</w:t>
      </w:r>
      <w:r w:rsidRPr="009118C4">
        <w:rPr>
          <w:rFonts w:eastAsia="Calibri"/>
          <w:szCs w:val="19"/>
          <w:shd w:val="clear" w:color="auto" w:fill="FFFFFF"/>
        </w:rPr>
        <w:t xml:space="preserve"> leśnictwa i pozyskiwania drewna; </w:t>
      </w:r>
      <w:r w:rsidRPr="00330312">
        <w:rPr>
          <w:szCs w:val="19"/>
        </w:rPr>
        <w:t>rybołówstwa w</w:t>
      </w:r>
      <w:r>
        <w:rPr>
          <w:szCs w:val="19"/>
        </w:rPr>
        <w:t xml:space="preserve"> </w:t>
      </w:r>
      <w:r w:rsidRPr="00330312">
        <w:rPr>
          <w:szCs w:val="19"/>
        </w:rPr>
        <w:t>wodach morskich; górnictwa i wydobywania; przetwórstwa przemysłowego; wytwarzania i</w:t>
      </w:r>
      <w:r>
        <w:rPr>
          <w:szCs w:val="19"/>
        </w:rPr>
        <w:t xml:space="preserve"> </w:t>
      </w:r>
      <w:r w:rsidRPr="00330312">
        <w:rPr>
          <w:szCs w:val="19"/>
        </w:rPr>
        <w:t>zaopatrywania w energię elektryczną,</w:t>
      </w:r>
      <w:r>
        <w:rPr>
          <w:szCs w:val="19"/>
        </w:rPr>
        <w:t xml:space="preserve"> gaz, parę wodną, gorącą wodę i </w:t>
      </w:r>
      <w:r w:rsidRPr="00330312">
        <w:rPr>
          <w:szCs w:val="19"/>
        </w:rPr>
        <w:t>powie</w:t>
      </w:r>
      <w:r>
        <w:rPr>
          <w:szCs w:val="19"/>
        </w:rPr>
        <w:softHyphen/>
      </w:r>
      <w:r w:rsidRPr="00330312">
        <w:rPr>
          <w:szCs w:val="19"/>
        </w:rPr>
        <w:t>trze do układów klimatyzacyjnych; dostawy wody; gospodarowania ściekami i odpadami oraz działalności związanej z</w:t>
      </w:r>
      <w:r>
        <w:rPr>
          <w:szCs w:val="19"/>
        </w:rPr>
        <w:t> </w:t>
      </w:r>
      <w:r w:rsidRPr="00330312">
        <w:rPr>
          <w:szCs w:val="19"/>
        </w:rPr>
        <w:t xml:space="preserve">rekultywacją; </w:t>
      </w:r>
      <w:r>
        <w:rPr>
          <w:szCs w:val="19"/>
        </w:rPr>
        <w:t xml:space="preserve">budownictwa; handlu hurtowego i </w:t>
      </w:r>
      <w:r w:rsidRPr="00330312">
        <w:rPr>
          <w:szCs w:val="19"/>
        </w:rPr>
        <w:t>detalicznego; naprawy pojazdów samochodowych, włączając moto</w:t>
      </w:r>
      <w:r>
        <w:rPr>
          <w:szCs w:val="19"/>
        </w:rPr>
        <w:t xml:space="preserve">cykle; transportu i </w:t>
      </w:r>
      <w:r w:rsidRPr="00330312">
        <w:rPr>
          <w:szCs w:val="19"/>
        </w:rPr>
        <w:t>gospodarki magazy</w:t>
      </w:r>
      <w:r>
        <w:rPr>
          <w:szCs w:val="19"/>
        </w:rPr>
        <w:softHyphen/>
      </w:r>
      <w:r w:rsidRPr="00330312">
        <w:rPr>
          <w:szCs w:val="19"/>
        </w:rPr>
        <w:t>nowej; działalności związanej z zakwaterowaniem i</w:t>
      </w:r>
      <w:r>
        <w:rPr>
          <w:szCs w:val="19"/>
        </w:rPr>
        <w:t> </w:t>
      </w:r>
      <w:r w:rsidRPr="00330312">
        <w:rPr>
          <w:szCs w:val="19"/>
        </w:rPr>
        <w:t>usługami gastro</w:t>
      </w:r>
      <w:r>
        <w:rPr>
          <w:szCs w:val="19"/>
        </w:rPr>
        <w:t>nomicznymi; informacji i </w:t>
      </w:r>
      <w:r w:rsidRPr="00330312">
        <w:rPr>
          <w:szCs w:val="19"/>
        </w:rPr>
        <w:t xml:space="preserve">komunikacji; działalności związanej z obsługą rynku nieruchomości; działalności prawniczej, </w:t>
      </w:r>
      <w:r w:rsidRPr="00330312">
        <w:rPr>
          <w:szCs w:val="19"/>
        </w:rPr>
        <w:lastRenderedPageBreak/>
        <w:t>rachunkowo</w:t>
      </w:r>
      <w:r w:rsidRPr="00C7754E">
        <w:rPr>
          <w:sz w:val="16"/>
          <w:szCs w:val="16"/>
        </w:rPr>
        <w:t>-</w:t>
      </w:r>
      <w:r w:rsidRPr="00330312">
        <w:rPr>
          <w:szCs w:val="19"/>
        </w:rPr>
        <w:t>księgowej i doradztwa podatkowego, działalności firm centralnych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(head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offices); doradztwa związanego z zarządzaniem; działalności w zakresie architektury i inżynierii; badań i analiz technicznych; reklamy, badania rynku i opinii publicznej; pozostałej działaln</w:t>
      </w:r>
      <w:r>
        <w:rPr>
          <w:szCs w:val="19"/>
        </w:rPr>
        <w:t xml:space="preserve">ości profesjonalnej, naukowej i technicznej; działalności w </w:t>
      </w:r>
      <w:r w:rsidRPr="00330312">
        <w:rPr>
          <w:szCs w:val="19"/>
        </w:rPr>
        <w:t>zakresie usług administrowania i działalności wspie</w:t>
      </w:r>
      <w:r>
        <w:rPr>
          <w:szCs w:val="19"/>
        </w:rPr>
        <w:softHyphen/>
      </w:r>
      <w:r w:rsidRPr="00330312">
        <w:rPr>
          <w:szCs w:val="19"/>
        </w:rPr>
        <w:t>rają</w:t>
      </w:r>
      <w:r>
        <w:rPr>
          <w:szCs w:val="19"/>
        </w:rPr>
        <w:t xml:space="preserve">cej; działalności związanej z </w:t>
      </w:r>
      <w:r w:rsidRPr="00330312">
        <w:rPr>
          <w:szCs w:val="19"/>
        </w:rPr>
        <w:t>kultur</w:t>
      </w:r>
      <w:r>
        <w:rPr>
          <w:szCs w:val="19"/>
        </w:rPr>
        <w:t>ą, rozrywką i </w:t>
      </w:r>
      <w:r w:rsidRPr="00330312">
        <w:rPr>
          <w:szCs w:val="19"/>
        </w:rPr>
        <w:t>rekreacją; naprawy i konserwacji komputerów i</w:t>
      </w:r>
      <w:r>
        <w:rPr>
          <w:szCs w:val="19"/>
        </w:rPr>
        <w:t xml:space="preserve"> </w:t>
      </w:r>
      <w:r w:rsidRPr="00330312">
        <w:rPr>
          <w:szCs w:val="19"/>
        </w:rPr>
        <w:t>artykułów użytku osobistego i domowego; pozostałej indywidualnej działalności usługowej.</w:t>
      </w:r>
    </w:p>
    <w:p w:rsidR="00384AC5" w:rsidRDefault="00384AC5" w:rsidP="00401025">
      <w:pPr>
        <w:spacing w:line="288" w:lineRule="auto"/>
        <w:rPr>
          <w:szCs w:val="19"/>
        </w:rPr>
      </w:pPr>
      <w:r w:rsidRPr="00890841">
        <w:rPr>
          <w:rFonts w:eastAsia="Calibri"/>
          <w:shd w:val="clear" w:color="auto" w:fill="FFFFFF"/>
        </w:rPr>
        <w:t>Źródłem danych jest „</w:t>
      </w:r>
      <w:r w:rsidRPr="00890841">
        <w:t>Meldu</w:t>
      </w:r>
      <w:r>
        <w:t>nek o działalności gospo</w:t>
      </w:r>
      <w:r>
        <w:softHyphen/>
        <w:t>darczej</w:t>
      </w:r>
      <w:r w:rsidRPr="00055513">
        <w:t>” (DG</w:t>
      </w:r>
      <w:r>
        <w:noBreakHyphen/>
      </w:r>
      <w:r w:rsidRPr="00055513">
        <w:t>1).</w:t>
      </w:r>
      <w:r>
        <w:t xml:space="preserve"> W</w:t>
      </w:r>
      <w:r>
        <w:rPr>
          <w:rFonts w:eastAsia="Calibri"/>
          <w:shd w:val="clear" w:color="auto" w:fill="FFFFFF"/>
        </w:rPr>
        <w:t> </w:t>
      </w:r>
      <w:r w:rsidRPr="00882F42">
        <w:rPr>
          <w:rFonts w:eastAsia="Calibri"/>
          <w:shd w:val="clear" w:color="auto" w:fill="FFFFFF"/>
        </w:rPr>
        <w:t xml:space="preserve">ramach tego </w:t>
      </w:r>
      <w:r w:rsidRPr="00055513">
        <w:rPr>
          <w:rFonts w:eastAsia="Calibri"/>
          <w:shd w:val="clear" w:color="auto" w:fill="FFFFFF"/>
        </w:rPr>
        <w:t>sprawoz</w:t>
      </w:r>
      <w:r>
        <w:rPr>
          <w:rFonts w:eastAsia="Calibri"/>
          <w:shd w:val="clear" w:color="auto" w:fill="FFFFFF"/>
        </w:rPr>
        <w:softHyphen/>
      </w:r>
      <w:r w:rsidRPr="00055513">
        <w:rPr>
          <w:rFonts w:eastAsia="Calibri"/>
          <w:shd w:val="clear" w:color="auto" w:fill="FFFFFF"/>
        </w:rPr>
        <w:t>dania</w:t>
      </w:r>
      <w:r w:rsidRPr="00882F42">
        <w:rPr>
          <w:rFonts w:eastAsia="Calibri"/>
          <w:shd w:val="clear" w:color="auto" w:fill="FFFFFF"/>
        </w:rPr>
        <w:t xml:space="preserve">, podmioty o liczbie pracujących 50 lub więcej </w:t>
      </w:r>
      <w:r w:rsidRPr="00A73209">
        <w:rPr>
          <w:rFonts w:eastAsia="Calibri"/>
          <w:shd w:val="clear" w:color="auto" w:fill="FFFFFF"/>
        </w:rPr>
        <w:t>osób</w:t>
      </w:r>
      <w:r w:rsidRPr="00882F42">
        <w:rPr>
          <w:rFonts w:eastAsia="Calibri"/>
          <w:shd w:val="clear" w:color="auto" w:fill="FFFFFF"/>
        </w:rPr>
        <w:t xml:space="preserve"> badan</w:t>
      </w:r>
      <w:r>
        <w:rPr>
          <w:rFonts w:eastAsia="Calibri"/>
          <w:shd w:val="clear" w:color="auto" w:fill="FFFFFF"/>
        </w:rPr>
        <w:t>e są metodą pełną, a pod</w:t>
      </w:r>
      <w:r>
        <w:rPr>
          <w:rFonts w:eastAsia="Calibri"/>
          <w:shd w:val="clear" w:color="auto" w:fill="FFFFFF"/>
        </w:rPr>
        <w:softHyphen/>
        <w:t>mioty o </w:t>
      </w:r>
      <w:r w:rsidRPr="00882F42">
        <w:rPr>
          <w:rFonts w:eastAsia="Calibri"/>
          <w:shd w:val="clear" w:color="auto" w:fill="FFFFFF"/>
        </w:rPr>
        <w:t xml:space="preserve">liczbie pracujących od 10 do </w:t>
      </w:r>
      <w:r w:rsidRPr="0001330D">
        <w:rPr>
          <w:rFonts w:eastAsia="Calibri"/>
          <w:shd w:val="clear" w:color="auto" w:fill="FFFFFF"/>
        </w:rPr>
        <w:t>49 osób - m</w:t>
      </w:r>
      <w:r>
        <w:rPr>
          <w:rFonts w:eastAsia="Calibri"/>
          <w:shd w:val="clear" w:color="auto" w:fill="FFFFFF"/>
        </w:rPr>
        <w:t>e</w:t>
      </w:r>
      <w:r w:rsidRPr="0001330D">
        <w:rPr>
          <w:rFonts w:eastAsia="Calibri"/>
          <w:shd w:val="clear" w:color="auto" w:fill="FFFFFF"/>
        </w:rPr>
        <w:t>todą reprezentacyjną</w:t>
      </w:r>
      <w:r w:rsidRPr="0001330D">
        <w:rPr>
          <w:rFonts w:eastAsia="Calibri"/>
          <w:vertAlign w:val="superscript"/>
        </w:rPr>
        <w:footnoteReference w:id="6"/>
      </w:r>
    </w:p>
    <w:p w:rsidR="00401025" w:rsidRDefault="00401025" w:rsidP="00401025">
      <w:pPr>
        <w:spacing w:line="288" w:lineRule="auto"/>
        <w:rPr>
          <w:szCs w:val="19"/>
        </w:rPr>
      </w:pPr>
      <w:r>
        <w:rPr>
          <w:szCs w:val="19"/>
        </w:rPr>
        <w:t>Dane z rynku pracy na formularzu badania DG-1 nie obejmują osób zatrudnionych na podstawie umowy zlecenia i umowy o dzieło - szczegółowy zakres wyłączeń z opisem metod obliczania zmiennych z rynku pracy znajduje się m.in. w objaśnieniach do formularza DG</w:t>
      </w:r>
      <w:r w:rsidR="00850985">
        <w:rPr>
          <w:szCs w:val="19"/>
        </w:rPr>
        <w:t>-</w:t>
      </w:r>
      <w:r>
        <w:rPr>
          <w:szCs w:val="19"/>
        </w:rPr>
        <w:t>1</w:t>
      </w:r>
      <w:r w:rsidRPr="00D7719E">
        <w:rPr>
          <w:vertAlign w:val="superscript"/>
        </w:rPr>
        <w:footnoteReference w:id="7"/>
      </w:r>
      <w:r>
        <w:rPr>
          <w:szCs w:val="19"/>
        </w:rPr>
        <w:t xml:space="preserve">. </w:t>
      </w:r>
    </w:p>
    <w:p w:rsidR="00401025" w:rsidRDefault="00401025" w:rsidP="00401025">
      <w:pPr>
        <w:spacing w:line="288" w:lineRule="auto"/>
        <w:rPr>
          <w:szCs w:val="19"/>
        </w:rPr>
      </w:pPr>
      <w:r w:rsidRPr="00F30B2F">
        <w:rPr>
          <w:szCs w:val="19"/>
        </w:rPr>
        <w:t>Ze względu na krótki termin w jakim jednostki dostarczają dane w ramach badania na formularzu DG-1, prezentowane wyniki mają charakter wstępny</w:t>
      </w:r>
      <w:r w:rsidRPr="00012AA5">
        <w:rPr>
          <w:szCs w:val="19"/>
        </w:rPr>
        <w:t xml:space="preserve">. W przypadku braku pełnej ewidencji na dzień sporządzania sprawozdania dopuszcza się wykazywanie danych szacunkowych, zaś w </w:t>
      </w:r>
      <w:r>
        <w:rPr>
          <w:szCs w:val="19"/>
        </w:rPr>
        <w:t>sytuacji</w:t>
      </w:r>
      <w:r w:rsidRPr="00012AA5">
        <w:rPr>
          <w:szCs w:val="19"/>
        </w:rPr>
        <w:t xml:space="preserve"> konieczności skorygowania danych wykazanych w poprzednich okresach, zmiany uwzględnia się wyłącznie w danych narastających</w:t>
      </w:r>
      <w:r>
        <w:rPr>
          <w:szCs w:val="19"/>
        </w:rPr>
        <w:t>.</w:t>
      </w:r>
    </w:p>
    <w:p w:rsidR="00401025" w:rsidRDefault="00401025" w:rsidP="00401025">
      <w:pPr>
        <w:spacing w:line="288" w:lineRule="auto"/>
        <w:rPr>
          <w:szCs w:val="19"/>
        </w:rPr>
      </w:pPr>
    </w:p>
    <w:p w:rsidR="00694AF0" w:rsidRPr="009D2045" w:rsidRDefault="00694AF0" w:rsidP="00E76D26">
      <w:pPr>
        <w:rPr>
          <w:sz w:val="18"/>
        </w:rPr>
      </w:pPr>
    </w:p>
    <w:p w:rsidR="00DA331D" w:rsidRPr="009D2045" w:rsidRDefault="00DA331D" w:rsidP="00DA331D">
      <w:pPr>
        <w:spacing w:before="360"/>
        <w:rPr>
          <w:sz w:val="18"/>
        </w:rPr>
        <w:sectPr w:rsidR="00DA331D" w:rsidRPr="009D20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1025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:rsidR="00DE2400" w:rsidRPr="00DE2400" w:rsidRDefault="00DE2400" w:rsidP="004C13CA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401025">
              <w:rPr>
                <w:b/>
                <w:lang w:val="fi-FI"/>
              </w:rPr>
              <w:t>Agnieszka Zgierska</w:t>
            </w:r>
          </w:p>
          <w:p w:rsidR="00DE2400" w:rsidRPr="00AB24E4" w:rsidRDefault="00DE2400" w:rsidP="0040102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4C13CA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4C13C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C13C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4C13CA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2A259B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A3C5F" w:rsidRPr="006A3C5F" w:rsidRDefault="00A93E4D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3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Obszar tematyczny: Pracujący. Zatrudnieni. Wynagrodzenia. Koszty pracy</w:t>
              </w:r>
            </w:hyperlink>
            <w:r w:rsidR="006A3C5F" w:rsidRPr="006A3C5F">
              <w:rPr>
                <w:rStyle w:val="Hipercze"/>
                <w:rFonts w:ascii="Fira Sans" w:eastAsiaTheme="minorHAnsi" w:hAnsi="Fira Sans"/>
                <w:sz w:val="19"/>
                <w:szCs w:val="22"/>
              </w:rPr>
              <w:t xml:space="preserve"> </w:t>
            </w:r>
          </w:p>
          <w:p w:rsidR="006A3C5F" w:rsidRPr="006A3C5F" w:rsidRDefault="00A93E4D" w:rsidP="006A3C5F">
            <w:pPr>
              <w:pStyle w:val="Nagwek2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4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Zatrudnienie i wynagrodzenia w gospodarce narodowej w I-III kwartale 2021 roku</w:t>
              </w:r>
            </w:hyperlink>
          </w:p>
          <w:p w:rsidR="006A3C5F" w:rsidRPr="006A3C5F" w:rsidRDefault="00A93E4D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5" w:history="1"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Struktura wynagrodzeń według zawodów w październiku 20</w:t>
              </w:r>
              <w:r w:rsidR="005B48C0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20</w:t>
              </w:r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r.</w:t>
              </w:r>
            </w:hyperlink>
          </w:p>
          <w:p w:rsidR="006A3C5F" w:rsidRPr="006A3C5F" w:rsidRDefault="00A93E4D" w:rsidP="006A3C5F">
            <w:pPr>
              <w:rPr>
                <w:rStyle w:val="Hipercze"/>
              </w:rPr>
            </w:pPr>
            <w:hyperlink r:id="rId26" w:history="1">
              <w:r w:rsidR="006A3C5F" w:rsidRPr="006A3C5F">
                <w:rPr>
                  <w:rStyle w:val="Hipercze"/>
                </w:rPr>
                <w:t>Zeszyt metodologiczny Pracujący w gospodarce narodowej</w:t>
              </w:r>
            </w:hyperlink>
          </w:p>
          <w:p w:rsidR="006A3C5F" w:rsidRPr="00E9755A" w:rsidRDefault="00A93E4D" w:rsidP="006A3C5F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7" w:history="1">
              <w:r w:rsidR="006A3C5F" w:rsidRPr="006A3C5F">
                <w:rPr>
                  <w:rStyle w:val="Hipercze"/>
                </w:rPr>
                <w:t>Zeszyt metodologiczny Wynagrodzenia w gospodarce narodowej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2A259B" w:rsidRPr="002A259B" w:rsidRDefault="00A93E4D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8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BDL – temat rynek pracy</w:t>
              </w:r>
            </w:hyperlink>
          </w:p>
          <w:p w:rsidR="002A259B" w:rsidRPr="002A259B" w:rsidRDefault="00A93E4D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9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BDM – temat rynek pracy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2A259B" w:rsidRPr="002A259B" w:rsidRDefault="00A93E4D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0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Przeciętne zatrudnienie</w:t>
              </w:r>
            </w:hyperlink>
          </w:p>
          <w:p w:rsidR="002A259B" w:rsidRPr="002A259B" w:rsidRDefault="00A93E4D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1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Wynagrodzenia do obliczania przeciętnego miesięcznego wynagrodzenia</w:t>
              </w:r>
            </w:hyperlink>
          </w:p>
          <w:p w:rsidR="00531873" w:rsidRPr="002A259B" w:rsidRDefault="00531873" w:rsidP="00531873">
            <w:pPr>
              <w:rPr>
                <w:rStyle w:val="Hipercze"/>
              </w:rPr>
            </w:pPr>
          </w:p>
          <w:p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2A259B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0470AA" w:rsidRPr="002A259B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2A25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D261A2" w:rsidRPr="002A259B" w:rsidRDefault="00D261A2" w:rsidP="005260FC">
      <w:pPr>
        <w:rPr>
          <w:sz w:val="18"/>
        </w:rPr>
      </w:pPr>
    </w:p>
    <w:sectPr w:rsidR="00D261A2" w:rsidRPr="002A259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E4D" w:rsidRDefault="00A93E4D" w:rsidP="000662E2">
      <w:pPr>
        <w:spacing w:after="0" w:line="240" w:lineRule="auto"/>
      </w:pPr>
      <w:r>
        <w:separator/>
      </w:r>
    </w:p>
  </w:endnote>
  <w:endnote w:type="continuationSeparator" w:id="0">
    <w:p w:rsidR="00A93E4D" w:rsidRDefault="00A93E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908671E-0643-4F86-8BEC-8A58D01515C1}"/>
    <w:embedBold r:id="rId2" w:fontKey="{EAF8D547-B2AB-443F-8F50-9A0C088B1EE0}"/>
    <w:embedItalic r:id="rId3" w:fontKey="{83B994CF-FFDB-41C2-AA0F-C56DF6E0FA8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C220323-9B5E-439F-A9AE-41EC4CC497B5}"/>
    <w:embedBold r:id="rId5" w:fontKey="{A16CAFD0-E2FC-4752-BA09-6587611C8511}"/>
    <w:embedItalic r:id="rId6" w:fontKey="{E375AF34-79EC-4440-943A-0E8F014337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26B9F4D-8880-4B47-8511-1789DCFC3C50}"/>
    <w:embedBold r:id="rId8" w:fontKey="{DC8F63C3-D862-4B75-B8E3-5BFECD95FE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CFC4BD0-F61B-45BE-A8B7-7EE312AF586B}"/>
    <w:embedItalic r:id="rId10" w:fontKey="{DAA21B28-1497-4494-A4EC-337DFA420DE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7D0AB03-9E7D-4330-9A92-E64449D3BEB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DDE0674-5A91-4EAE-90AA-ED190A35ED3E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075C9718-ECD9-439A-BD56-09F260D0459A}"/>
    <w:embedBold r:id="rId14" w:fontKey="{5750FFE7-1FDB-481E-9451-362E16A287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621FEA" w:rsidRDefault="00A93E4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A19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621FEA" w:rsidRDefault="00A93E4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A19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621FEA" w:rsidRDefault="00A93E4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A19A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E4D" w:rsidRDefault="00A93E4D" w:rsidP="000662E2">
      <w:pPr>
        <w:spacing w:after="0" w:line="240" w:lineRule="auto"/>
      </w:pPr>
      <w:r>
        <w:separator/>
      </w:r>
    </w:p>
  </w:footnote>
  <w:footnote w:type="continuationSeparator" w:id="0">
    <w:p w:rsidR="00A93E4D" w:rsidRDefault="00A93E4D" w:rsidP="000662E2">
      <w:pPr>
        <w:spacing w:after="0" w:line="240" w:lineRule="auto"/>
      </w:pPr>
      <w:r>
        <w:continuationSeparator/>
      </w:r>
    </w:p>
  </w:footnote>
  <w:footnote w:id="1">
    <w:p w:rsidR="00621FEA" w:rsidRPr="00526041" w:rsidRDefault="00621FEA" w:rsidP="00976E2C">
      <w:pPr>
        <w:pStyle w:val="Tekstprzypisudolnego"/>
      </w:pPr>
      <w:r w:rsidRPr="006E448C">
        <w:rPr>
          <w:rStyle w:val="Odwoanieprzypisudolnego"/>
        </w:rPr>
        <w:footnoteRef/>
      </w:r>
      <w:r w:rsidRPr="006E448C">
        <w:t xml:space="preserve"> </w:t>
      </w:r>
      <w:r w:rsidRPr="00BD4270"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:rsidR="00621FEA" w:rsidRPr="00F8556E" w:rsidRDefault="00621FEA" w:rsidP="00976E2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F8556E">
        <w:rPr>
          <w:sz w:val="19"/>
          <w:szCs w:val="19"/>
        </w:rPr>
        <w:t xml:space="preserve">Opis działalności zaliczanych do sektora przedsiębiorstw zamieszczono na str. </w:t>
      </w:r>
      <w:r w:rsidR="006151EB">
        <w:rPr>
          <w:sz w:val="19"/>
          <w:szCs w:val="19"/>
        </w:rPr>
        <w:t>3</w:t>
      </w:r>
      <w:r w:rsidRPr="00F8556E">
        <w:rPr>
          <w:sz w:val="19"/>
          <w:szCs w:val="19"/>
        </w:rPr>
        <w:t>.</w:t>
      </w:r>
    </w:p>
  </w:footnote>
  <w:footnote w:id="3">
    <w:p w:rsidR="00621FEA" w:rsidRPr="00FC269E" w:rsidRDefault="00621FEA" w:rsidP="00FC03C3">
      <w:pPr>
        <w:pStyle w:val="Tekstprzypisudolnego"/>
        <w:spacing w:before="0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Załącznik do objaśnień sprawozdawczości z zatrudnienia i wynagrodzeń: </w:t>
      </w:r>
      <w:hyperlink r:id="rId1" w:history="1">
        <w:r w:rsidRPr="00FC269E">
          <w:rPr>
            <w:rStyle w:val="Hipercze"/>
            <w:sz w:val="19"/>
            <w:szCs w:val="19"/>
          </w:rPr>
          <w:t>http://form.stat.gov.pl/formularze/2020/objasnienia/zalacznik_do_objasnien.pdf</w:t>
        </w:r>
      </w:hyperlink>
      <w:r w:rsidRPr="00FC269E">
        <w:rPr>
          <w:sz w:val="19"/>
          <w:szCs w:val="19"/>
        </w:rPr>
        <w:t xml:space="preserve">. </w:t>
      </w:r>
    </w:p>
  </w:footnote>
  <w:footnote w:id="4">
    <w:p w:rsidR="00621FEA" w:rsidRPr="00FC269E" w:rsidRDefault="00621FEA" w:rsidP="00FC269E">
      <w:pPr>
        <w:pStyle w:val="Tekstprzypisudolnego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</w:t>
      </w:r>
      <w:r w:rsidRPr="00FC269E">
        <w:rPr>
          <w:rFonts w:cs="Arial"/>
          <w:sz w:val="19"/>
          <w:szCs w:val="19"/>
        </w:rPr>
        <w:t>W ramach sektora przedsiębiorstw, sekcja ta obejmuje tylko działalność „Leśnictwo i pozyskiwanie drewna” (dział 02) oraz „Rybołówstwo w wodach morskich” (klasa 03.11).</w:t>
      </w:r>
    </w:p>
  </w:footnote>
  <w:footnote w:id="5">
    <w:p w:rsidR="00621FEA" w:rsidRPr="00621FEA" w:rsidRDefault="00621FEA" w:rsidP="00FC269E">
      <w:pPr>
        <w:pStyle w:val="Tekstprzypisudolnego"/>
        <w:rPr>
          <w:sz w:val="16"/>
          <w:szCs w:val="16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W ramach sektora przedsiębiorstw, sekcja ta nie bada </w:t>
      </w:r>
      <w:r w:rsidRPr="00FC269E">
        <w:rPr>
          <w:rFonts w:cs="Arial"/>
          <w:sz w:val="19"/>
          <w:szCs w:val="19"/>
        </w:rPr>
        <w:t>działalności „Działalność organizacji członkowskich” (dział 94).</w:t>
      </w:r>
    </w:p>
  </w:footnote>
  <w:footnote w:id="6">
    <w:p w:rsidR="00621FEA" w:rsidRPr="00AF195C" w:rsidRDefault="00621FEA" w:rsidP="00FC269E">
      <w:pPr>
        <w:pStyle w:val="Tekstprzypisudolnego"/>
        <w:rPr>
          <w:sz w:val="19"/>
          <w:szCs w:val="19"/>
        </w:rPr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rStyle w:val="Odwoanieprzypisudolnego"/>
          <w:sz w:val="19"/>
          <w:szCs w:val="19"/>
        </w:rPr>
        <w:t xml:space="preserve"> </w:t>
      </w:r>
      <w:r w:rsidRPr="00AF195C">
        <w:rPr>
          <w:rFonts w:eastAsia="Calibri"/>
          <w:sz w:val="19"/>
          <w:szCs w:val="19"/>
          <w:shd w:val="clear" w:color="auto" w:fill="FFFFFF"/>
        </w:rPr>
        <w:t>Zeszyt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 xml:space="preserve">. </w:t>
      </w:r>
    </w:p>
  </w:footnote>
  <w:footnote w:id="7">
    <w:p w:rsidR="00621FEA" w:rsidRPr="00F3548B" w:rsidRDefault="00621FEA" w:rsidP="00FC269E">
      <w:pPr>
        <w:pStyle w:val="Tekstprzypisudolnego"/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sz w:val="19"/>
          <w:szCs w:val="19"/>
        </w:rPr>
        <w:t xml:space="preserve"> Formularz badania DG-1 wraz z objaśnieniami: </w:t>
      </w:r>
      <w:hyperlink r:id="rId3" w:history="1">
        <w:r w:rsidRPr="00AF195C">
          <w:rPr>
            <w:rStyle w:val="Hipercze"/>
            <w:sz w:val="19"/>
            <w:szCs w:val="19"/>
          </w:rPr>
          <w:t>http://form.stat.gov.pl/formularze/2020/passive/DG-1.pdf</w:t>
        </w:r>
      </w:hyperlink>
      <w:r w:rsidRPr="00970F58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FEA" w:rsidRDefault="00A93E4D">
    <w:pPr>
      <w:pStyle w:val="Nagwek"/>
    </w:pPr>
    <w:r>
      <w:rPr>
        <w:noProof/>
        <w:lang w:eastAsia="pl-PL"/>
      </w:rPr>
      <w:pict>
        <v:rect id="Prostokąt 12" o:spid="_x0000_s2052" style="position:absolute;margin-left:411.2pt;margin-top:-322.85pt;width:147.4pt;height:1803.55pt;z-index:-2516428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<w10:wrap type="tight"/>
        </v:rect>
      </w:pict>
    </w:r>
  </w:p>
  <w:p w:rsidR="00621FEA" w:rsidRDefault="00621FE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FEA" w:rsidRDefault="00621FE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93E4D">
      <w:rPr>
        <w:noProof/>
        <w:lang w:eastAsia="pl-PL"/>
      </w:rPr>
      <w:pict>
        <v:shape id="Schemat blokowy: opóźnienie 6" o:spid="_x0000_s2051" alt="Informacja sygnalna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21FEA" w:rsidRPr="003C6C8D" w:rsidRDefault="00621FEA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A93E4D"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621FEA" w:rsidRDefault="00621FEA">
    <w:pPr>
      <w:pStyle w:val="Nagwek"/>
      <w:rPr>
        <w:noProof/>
        <w:lang w:eastAsia="pl-PL"/>
      </w:rPr>
    </w:pPr>
  </w:p>
  <w:p w:rsidR="00621FEA" w:rsidRDefault="00621FEA">
    <w:pPr>
      <w:pStyle w:val="Nagwek"/>
      <w:rPr>
        <w:noProof/>
        <w:lang w:eastAsia="pl-PL"/>
      </w:rPr>
    </w:pPr>
  </w:p>
  <w:p w:rsidR="00621FEA" w:rsidRDefault="00A93E4D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Data publikacji informacji sygnalnej: 18.03.2022 r. " style="position:absolute;margin-left:416.4pt;margin-top:20.95pt;width:112.8pt;height:26.5pt;z-index:251669504;visibility:visible;mso-wrap-distance-top:3.6pt;mso-wrap-distance-bottom:3.6pt;mso-width-relative:margin;mso-height-relative:margin" filled="f" stroked="f">
          <v:textbox style="mso-next-textbox:#_x0000_s2049">
            <w:txbxContent>
              <w:p w:rsidR="00621FEA" w:rsidRPr="00A01B40" w:rsidRDefault="00621FEA" w:rsidP="00F049AB">
                <w:pPr>
                  <w:pStyle w:val="Datainformacjisygnalnej"/>
                </w:pPr>
                <w:r>
                  <w:t>18.03.2022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FEA" w:rsidRDefault="00621FEA">
    <w:pPr>
      <w:pStyle w:val="Nagwek"/>
    </w:pPr>
  </w:p>
  <w:p w:rsidR="00621FEA" w:rsidRDefault="00621FE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07F4D"/>
    <w:rsid w:val="000108B8"/>
    <w:rsid w:val="000152F5"/>
    <w:rsid w:val="00025423"/>
    <w:rsid w:val="00027E60"/>
    <w:rsid w:val="000430E2"/>
    <w:rsid w:val="0004582E"/>
    <w:rsid w:val="000470AA"/>
    <w:rsid w:val="00057CA1"/>
    <w:rsid w:val="000632F5"/>
    <w:rsid w:val="000647A9"/>
    <w:rsid w:val="000662E2"/>
    <w:rsid w:val="00066883"/>
    <w:rsid w:val="00071B39"/>
    <w:rsid w:val="00074DD8"/>
    <w:rsid w:val="00075759"/>
    <w:rsid w:val="000806F7"/>
    <w:rsid w:val="00085684"/>
    <w:rsid w:val="00087433"/>
    <w:rsid w:val="00093B81"/>
    <w:rsid w:val="00097840"/>
    <w:rsid w:val="000B0727"/>
    <w:rsid w:val="000B5D11"/>
    <w:rsid w:val="000C135D"/>
    <w:rsid w:val="000D1D43"/>
    <w:rsid w:val="000D225C"/>
    <w:rsid w:val="000D2A5C"/>
    <w:rsid w:val="000D39F0"/>
    <w:rsid w:val="000E0918"/>
    <w:rsid w:val="000E79A9"/>
    <w:rsid w:val="000F369E"/>
    <w:rsid w:val="001011C3"/>
    <w:rsid w:val="00101FDB"/>
    <w:rsid w:val="00106DA3"/>
    <w:rsid w:val="00110214"/>
    <w:rsid w:val="00110D87"/>
    <w:rsid w:val="00112399"/>
    <w:rsid w:val="00114DB9"/>
    <w:rsid w:val="00116087"/>
    <w:rsid w:val="00117711"/>
    <w:rsid w:val="00130296"/>
    <w:rsid w:val="00133F59"/>
    <w:rsid w:val="00134145"/>
    <w:rsid w:val="00136736"/>
    <w:rsid w:val="00136740"/>
    <w:rsid w:val="00136D67"/>
    <w:rsid w:val="001423B6"/>
    <w:rsid w:val="001437F1"/>
    <w:rsid w:val="001448A7"/>
    <w:rsid w:val="00146621"/>
    <w:rsid w:val="001617E3"/>
    <w:rsid w:val="00162325"/>
    <w:rsid w:val="00166702"/>
    <w:rsid w:val="001951DA"/>
    <w:rsid w:val="00196E7D"/>
    <w:rsid w:val="001A4323"/>
    <w:rsid w:val="001B053D"/>
    <w:rsid w:val="001C3269"/>
    <w:rsid w:val="001D19B6"/>
    <w:rsid w:val="001D1DB4"/>
    <w:rsid w:val="001D1EEB"/>
    <w:rsid w:val="001D23F1"/>
    <w:rsid w:val="001D25F9"/>
    <w:rsid w:val="001D61ED"/>
    <w:rsid w:val="001E5B2D"/>
    <w:rsid w:val="0020156C"/>
    <w:rsid w:val="00216428"/>
    <w:rsid w:val="00216634"/>
    <w:rsid w:val="00242D31"/>
    <w:rsid w:val="002466E4"/>
    <w:rsid w:val="00251EAD"/>
    <w:rsid w:val="0025481E"/>
    <w:rsid w:val="002574F9"/>
    <w:rsid w:val="00262B61"/>
    <w:rsid w:val="00262CC6"/>
    <w:rsid w:val="00263C8F"/>
    <w:rsid w:val="00263E08"/>
    <w:rsid w:val="00276811"/>
    <w:rsid w:val="00282699"/>
    <w:rsid w:val="002926DF"/>
    <w:rsid w:val="00296697"/>
    <w:rsid w:val="002A259B"/>
    <w:rsid w:val="002B0472"/>
    <w:rsid w:val="002B6B12"/>
    <w:rsid w:val="002B74D2"/>
    <w:rsid w:val="002C21F0"/>
    <w:rsid w:val="002D01DF"/>
    <w:rsid w:val="002D5E8E"/>
    <w:rsid w:val="002E3EB3"/>
    <w:rsid w:val="002E6140"/>
    <w:rsid w:val="002E6985"/>
    <w:rsid w:val="002E71B6"/>
    <w:rsid w:val="002F35F6"/>
    <w:rsid w:val="002F77C8"/>
    <w:rsid w:val="00301D55"/>
    <w:rsid w:val="00304F22"/>
    <w:rsid w:val="00306C7C"/>
    <w:rsid w:val="003116AE"/>
    <w:rsid w:val="00312354"/>
    <w:rsid w:val="003132CC"/>
    <w:rsid w:val="003137AD"/>
    <w:rsid w:val="00314F86"/>
    <w:rsid w:val="00317F4D"/>
    <w:rsid w:val="00322EDD"/>
    <w:rsid w:val="003309FA"/>
    <w:rsid w:val="00332320"/>
    <w:rsid w:val="00333803"/>
    <w:rsid w:val="00342880"/>
    <w:rsid w:val="00347D72"/>
    <w:rsid w:val="00351A27"/>
    <w:rsid w:val="00353F45"/>
    <w:rsid w:val="00357611"/>
    <w:rsid w:val="0036432A"/>
    <w:rsid w:val="00364AF9"/>
    <w:rsid w:val="00367237"/>
    <w:rsid w:val="0037077F"/>
    <w:rsid w:val="003715B1"/>
    <w:rsid w:val="00372411"/>
    <w:rsid w:val="00373882"/>
    <w:rsid w:val="00382DC3"/>
    <w:rsid w:val="003843DB"/>
    <w:rsid w:val="00384AC5"/>
    <w:rsid w:val="00393761"/>
    <w:rsid w:val="00394E26"/>
    <w:rsid w:val="00396691"/>
    <w:rsid w:val="00397D18"/>
    <w:rsid w:val="003A1B36"/>
    <w:rsid w:val="003B1454"/>
    <w:rsid w:val="003B18B6"/>
    <w:rsid w:val="003C161B"/>
    <w:rsid w:val="003C5476"/>
    <w:rsid w:val="003C59E0"/>
    <w:rsid w:val="003C6C8D"/>
    <w:rsid w:val="003D082A"/>
    <w:rsid w:val="003D2656"/>
    <w:rsid w:val="003D4F95"/>
    <w:rsid w:val="003D5F42"/>
    <w:rsid w:val="003D60A9"/>
    <w:rsid w:val="003E4367"/>
    <w:rsid w:val="003E6748"/>
    <w:rsid w:val="003F4C97"/>
    <w:rsid w:val="003F666D"/>
    <w:rsid w:val="003F7FE6"/>
    <w:rsid w:val="00400193"/>
    <w:rsid w:val="00401025"/>
    <w:rsid w:val="00412A17"/>
    <w:rsid w:val="00416EAF"/>
    <w:rsid w:val="004212E7"/>
    <w:rsid w:val="00423C88"/>
    <w:rsid w:val="0042446D"/>
    <w:rsid w:val="0042625F"/>
    <w:rsid w:val="0042746D"/>
    <w:rsid w:val="00427BF8"/>
    <w:rsid w:val="004315EF"/>
    <w:rsid w:val="00431C02"/>
    <w:rsid w:val="00437395"/>
    <w:rsid w:val="00445047"/>
    <w:rsid w:val="00446749"/>
    <w:rsid w:val="00453EB7"/>
    <w:rsid w:val="004563EB"/>
    <w:rsid w:val="00463E39"/>
    <w:rsid w:val="004657FC"/>
    <w:rsid w:val="004667DB"/>
    <w:rsid w:val="004733F6"/>
    <w:rsid w:val="00474E69"/>
    <w:rsid w:val="00476601"/>
    <w:rsid w:val="00483E9F"/>
    <w:rsid w:val="00485A2C"/>
    <w:rsid w:val="00485A88"/>
    <w:rsid w:val="0049621B"/>
    <w:rsid w:val="004A19A1"/>
    <w:rsid w:val="004A1D19"/>
    <w:rsid w:val="004C074E"/>
    <w:rsid w:val="004C13CA"/>
    <w:rsid w:val="004C1895"/>
    <w:rsid w:val="004C226E"/>
    <w:rsid w:val="004C6D40"/>
    <w:rsid w:val="004E2637"/>
    <w:rsid w:val="004E6AA8"/>
    <w:rsid w:val="004E7D29"/>
    <w:rsid w:val="004F0C3C"/>
    <w:rsid w:val="004F2280"/>
    <w:rsid w:val="004F23BB"/>
    <w:rsid w:val="004F63FC"/>
    <w:rsid w:val="00505654"/>
    <w:rsid w:val="00505A92"/>
    <w:rsid w:val="005140D0"/>
    <w:rsid w:val="005154AB"/>
    <w:rsid w:val="005203F1"/>
    <w:rsid w:val="00521BC3"/>
    <w:rsid w:val="005260FC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7CEE"/>
    <w:rsid w:val="005916D7"/>
    <w:rsid w:val="00592E36"/>
    <w:rsid w:val="0059427F"/>
    <w:rsid w:val="005A3892"/>
    <w:rsid w:val="005A698C"/>
    <w:rsid w:val="005B48C0"/>
    <w:rsid w:val="005C0CAC"/>
    <w:rsid w:val="005D062E"/>
    <w:rsid w:val="005D2F6B"/>
    <w:rsid w:val="005E0799"/>
    <w:rsid w:val="005E10F9"/>
    <w:rsid w:val="005E1200"/>
    <w:rsid w:val="005E376E"/>
    <w:rsid w:val="005E3E88"/>
    <w:rsid w:val="005F45EE"/>
    <w:rsid w:val="005F5A80"/>
    <w:rsid w:val="006044B7"/>
    <w:rsid w:val="006044FF"/>
    <w:rsid w:val="00607CC5"/>
    <w:rsid w:val="0061179B"/>
    <w:rsid w:val="006125F9"/>
    <w:rsid w:val="006151EB"/>
    <w:rsid w:val="00621F26"/>
    <w:rsid w:val="00621FEA"/>
    <w:rsid w:val="00622187"/>
    <w:rsid w:val="00622C74"/>
    <w:rsid w:val="006232E5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227C"/>
    <w:rsid w:val="00693880"/>
    <w:rsid w:val="00694AF0"/>
    <w:rsid w:val="006A3C5F"/>
    <w:rsid w:val="006A4686"/>
    <w:rsid w:val="006B075F"/>
    <w:rsid w:val="006B0E9E"/>
    <w:rsid w:val="006B486D"/>
    <w:rsid w:val="006B5AE4"/>
    <w:rsid w:val="006B669B"/>
    <w:rsid w:val="006C22A4"/>
    <w:rsid w:val="006C77A8"/>
    <w:rsid w:val="006D1507"/>
    <w:rsid w:val="006D4054"/>
    <w:rsid w:val="006E02EC"/>
    <w:rsid w:val="006E3C4F"/>
    <w:rsid w:val="006E571E"/>
    <w:rsid w:val="006E6F41"/>
    <w:rsid w:val="006E73E6"/>
    <w:rsid w:val="006F535B"/>
    <w:rsid w:val="006F6EE4"/>
    <w:rsid w:val="00702B55"/>
    <w:rsid w:val="0071711F"/>
    <w:rsid w:val="007211B1"/>
    <w:rsid w:val="007277DA"/>
    <w:rsid w:val="0073093C"/>
    <w:rsid w:val="00731D27"/>
    <w:rsid w:val="00746187"/>
    <w:rsid w:val="0076254F"/>
    <w:rsid w:val="00777A04"/>
    <w:rsid w:val="007801F5"/>
    <w:rsid w:val="00783CA4"/>
    <w:rsid w:val="007842FB"/>
    <w:rsid w:val="00786124"/>
    <w:rsid w:val="00794BAE"/>
    <w:rsid w:val="0079514B"/>
    <w:rsid w:val="00795252"/>
    <w:rsid w:val="00795F7C"/>
    <w:rsid w:val="007A2DC1"/>
    <w:rsid w:val="007A4647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B7E"/>
    <w:rsid w:val="007F4D2C"/>
    <w:rsid w:val="0080553C"/>
    <w:rsid w:val="00805B46"/>
    <w:rsid w:val="00805DB4"/>
    <w:rsid w:val="0081223F"/>
    <w:rsid w:val="00821A00"/>
    <w:rsid w:val="00823593"/>
    <w:rsid w:val="00825DC2"/>
    <w:rsid w:val="00834AD3"/>
    <w:rsid w:val="00841E07"/>
    <w:rsid w:val="00843795"/>
    <w:rsid w:val="00847A41"/>
    <w:rsid w:val="00847F0F"/>
    <w:rsid w:val="00850985"/>
    <w:rsid w:val="00852448"/>
    <w:rsid w:val="00877F6C"/>
    <w:rsid w:val="0088258A"/>
    <w:rsid w:val="00886332"/>
    <w:rsid w:val="008925F0"/>
    <w:rsid w:val="0089448A"/>
    <w:rsid w:val="00897877"/>
    <w:rsid w:val="008A0244"/>
    <w:rsid w:val="008A0E73"/>
    <w:rsid w:val="008A26D9"/>
    <w:rsid w:val="008A7B5B"/>
    <w:rsid w:val="008B12D2"/>
    <w:rsid w:val="008B6D0A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1C4F"/>
    <w:rsid w:val="009227A6"/>
    <w:rsid w:val="00933EC1"/>
    <w:rsid w:val="009371C7"/>
    <w:rsid w:val="00944463"/>
    <w:rsid w:val="009446AD"/>
    <w:rsid w:val="009530DB"/>
    <w:rsid w:val="00953676"/>
    <w:rsid w:val="00956F30"/>
    <w:rsid w:val="00960BC9"/>
    <w:rsid w:val="00966417"/>
    <w:rsid w:val="00966C9A"/>
    <w:rsid w:val="009705EE"/>
    <w:rsid w:val="009739DD"/>
    <w:rsid w:val="00976E2C"/>
    <w:rsid w:val="00977927"/>
    <w:rsid w:val="0098135C"/>
    <w:rsid w:val="0098156A"/>
    <w:rsid w:val="00991BAC"/>
    <w:rsid w:val="00992458"/>
    <w:rsid w:val="0099757D"/>
    <w:rsid w:val="009A3C5B"/>
    <w:rsid w:val="009A6EA0"/>
    <w:rsid w:val="009B2061"/>
    <w:rsid w:val="009B33BA"/>
    <w:rsid w:val="009B7A09"/>
    <w:rsid w:val="009C1335"/>
    <w:rsid w:val="009C1AB2"/>
    <w:rsid w:val="009C217E"/>
    <w:rsid w:val="009C7251"/>
    <w:rsid w:val="009D2045"/>
    <w:rsid w:val="009E2E91"/>
    <w:rsid w:val="009F2346"/>
    <w:rsid w:val="009F5B61"/>
    <w:rsid w:val="009F6C62"/>
    <w:rsid w:val="00A01B40"/>
    <w:rsid w:val="00A139F5"/>
    <w:rsid w:val="00A301A5"/>
    <w:rsid w:val="00A314F8"/>
    <w:rsid w:val="00A32E16"/>
    <w:rsid w:val="00A365F4"/>
    <w:rsid w:val="00A36A08"/>
    <w:rsid w:val="00A3790D"/>
    <w:rsid w:val="00A47D80"/>
    <w:rsid w:val="00A53132"/>
    <w:rsid w:val="00A563F2"/>
    <w:rsid w:val="00A566E8"/>
    <w:rsid w:val="00A618CF"/>
    <w:rsid w:val="00A66347"/>
    <w:rsid w:val="00A711CD"/>
    <w:rsid w:val="00A810F9"/>
    <w:rsid w:val="00A82D31"/>
    <w:rsid w:val="00A85E7E"/>
    <w:rsid w:val="00A86ECC"/>
    <w:rsid w:val="00A86FCC"/>
    <w:rsid w:val="00A90A6D"/>
    <w:rsid w:val="00A93E4D"/>
    <w:rsid w:val="00A971E5"/>
    <w:rsid w:val="00AA710D"/>
    <w:rsid w:val="00AB096C"/>
    <w:rsid w:val="00AB3EDB"/>
    <w:rsid w:val="00AB64F3"/>
    <w:rsid w:val="00AB689E"/>
    <w:rsid w:val="00AB6D25"/>
    <w:rsid w:val="00AD0E56"/>
    <w:rsid w:val="00AD22EC"/>
    <w:rsid w:val="00AE229B"/>
    <w:rsid w:val="00AE2D4B"/>
    <w:rsid w:val="00AE4DEB"/>
    <w:rsid w:val="00AE4F99"/>
    <w:rsid w:val="00AF195C"/>
    <w:rsid w:val="00AF3BD0"/>
    <w:rsid w:val="00AF4474"/>
    <w:rsid w:val="00B07A14"/>
    <w:rsid w:val="00B11B69"/>
    <w:rsid w:val="00B14952"/>
    <w:rsid w:val="00B16871"/>
    <w:rsid w:val="00B25B45"/>
    <w:rsid w:val="00B31E5A"/>
    <w:rsid w:val="00B47359"/>
    <w:rsid w:val="00B529B5"/>
    <w:rsid w:val="00B5507D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270"/>
    <w:rsid w:val="00BD4E33"/>
    <w:rsid w:val="00C030DE"/>
    <w:rsid w:val="00C051A8"/>
    <w:rsid w:val="00C1410F"/>
    <w:rsid w:val="00C14111"/>
    <w:rsid w:val="00C2045B"/>
    <w:rsid w:val="00C22105"/>
    <w:rsid w:val="00C244B6"/>
    <w:rsid w:val="00C24DA8"/>
    <w:rsid w:val="00C27BF1"/>
    <w:rsid w:val="00C3702F"/>
    <w:rsid w:val="00C44E83"/>
    <w:rsid w:val="00C4500A"/>
    <w:rsid w:val="00C62238"/>
    <w:rsid w:val="00C6295A"/>
    <w:rsid w:val="00C63274"/>
    <w:rsid w:val="00C64A37"/>
    <w:rsid w:val="00C65CD2"/>
    <w:rsid w:val="00C7158E"/>
    <w:rsid w:val="00C7250B"/>
    <w:rsid w:val="00C7346B"/>
    <w:rsid w:val="00C77C0E"/>
    <w:rsid w:val="00C83C40"/>
    <w:rsid w:val="00C91687"/>
    <w:rsid w:val="00C924A8"/>
    <w:rsid w:val="00C945FE"/>
    <w:rsid w:val="00C96FAA"/>
    <w:rsid w:val="00C97A04"/>
    <w:rsid w:val="00CA107B"/>
    <w:rsid w:val="00CA484D"/>
    <w:rsid w:val="00CA4FB6"/>
    <w:rsid w:val="00CB13DD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3312"/>
    <w:rsid w:val="00D13C9D"/>
    <w:rsid w:val="00D2512F"/>
    <w:rsid w:val="00D25A05"/>
    <w:rsid w:val="00D261A2"/>
    <w:rsid w:val="00D33834"/>
    <w:rsid w:val="00D574C5"/>
    <w:rsid w:val="00D616D2"/>
    <w:rsid w:val="00D622BB"/>
    <w:rsid w:val="00D63B5F"/>
    <w:rsid w:val="00D650DC"/>
    <w:rsid w:val="00D70EF7"/>
    <w:rsid w:val="00D8397C"/>
    <w:rsid w:val="00D94EED"/>
    <w:rsid w:val="00D96026"/>
    <w:rsid w:val="00D972F6"/>
    <w:rsid w:val="00DA1CCA"/>
    <w:rsid w:val="00DA331D"/>
    <w:rsid w:val="00DA7C1C"/>
    <w:rsid w:val="00DB147A"/>
    <w:rsid w:val="00DB1B7A"/>
    <w:rsid w:val="00DB706E"/>
    <w:rsid w:val="00DC101F"/>
    <w:rsid w:val="00DC54BB"/>
    <w:rsid w:val="00DC6708"/>
    <w:rsid w:val="00DD011A"/>
    <w:rsid w:val="00DD5BDD"/>
    <w:rsid w:val="00DE2400"/>
    <w:rsid w:val="00DE58F1"/>
    <w:rsid w:val="00DE6B58"/>
    <w:rsid w:val="00DF390C"/>
    <w:rsid w:val="00DF5E32"/>
    <w:rsid w:val="00E01436"/>
    <w:rsid w:val="00E03E79"/>
    <w:rsid w:val="00E045BD"/>
    <w:rsid w:val="00E04D6C"/>
    <w:rsid w:val="00E06B72"/>
    <w:rsid w:val="00E17B77"/>
    <w:rsid w:val="00E20EC1"/>
    <w:rsid w:val="00E231AB"/>
    <w:rsid w:val="00E23337"/>
    <w:rsid w:val="00E23F3E"/>
    <w:rsid w:val="00E259EA"/>
    <w:rsid w:val="00E25D33"/>
    <w:rsid w:val="00E31DBD"/>
    <w:rsid w:val="00E32061"/>
    <w:rsid w:val="00E33F48"/>
    <w:rsid w:val="00E36B2A"/>
    <w:rsid w:val="00E42FF9"/>
    <w:rsid w:val="00E43E2C"/>
    <w:rsid w:val="00E44790"/>
    <w:rsid w:val="00E45162"/>
    <w:rsid w:val="00E463B1"/>
    <w:rsid w:val="00E46E44"/>
    <w:rsid w:val="00E4714C"/>
    <w:rsid w:val="00E5178D"/>
    <w:rsid w:val="00E51AEB"/>
    <w:rsid w:val="00E522A7"/>
    <w:rsid w:val="00E5349E"/>
    <w:rsid w:val="00E54452"/>
    <w:rsid w:val="00E63B0C"/>
    <w:rsid w:val="00E65275"/>
    <w:rsid w:val="00E664C5"/>
    <w:rsid w:val="00E671A2"/>
    <w:rsid w:val="00E76D26"/>
    <w:rsid w:val="00E76EE5"/>
    <w:rsid w:val="00E86EE7"/>
    <w:rsid w:val="00E95036"/>
    <w:rsid w:val="00E95B03"/>
    <w:rsid w:val="00E95B8E"/>
    <w:rsid w:val="00EA1AF5"/>
    <w:rsid w:val="00EB1390"/>
    <w:rsid w:val="00EB2C71"/>
    <w:rsid w:val="00EB3333"/>
    <w:rsid w:val="00EB4340"/>
    <w:rsid w:val="00EB556D"/>
    <w:rsid w:val="00EB5A7D"/>
    <w:rsid w:val="00EB68BA"/>
    <w:rsid w:val="00ED55C0"/>
    <w:rsid w:val="00ED682B"/>
    <w:rsid w:val="00EE41D5"/>
    <w:rsid w:val="00F0166F"/>
    <w:rsid w:val="00F037A4"/>
    <w:rsid w:val="00F049AB"/>
    <w:rsid w:val="00F142DB"/>
    <w:rsid w:val="00F27C8F"/>
    <w:rsid w:val="00F3206B"/>
    <w:rsid w:val="00F32749"/>
    <w:rsid w:val="00F37172"/>
    <w:rsid w:val="00F4477E"/>
    <w:rsid w:val="00F46269"/>
    <w:rsid w:val="00F469BB"/>
    <w:rsid w:val="00F60BA8"/>
    <w:rsid w:val="00F62065"/>
    <w:rsid w:val="00F67D8F"/>
    <w:rsid w:val="00F72CEE"/>
    <w:rsid w:val="00F802BE"/>
    <w:rsid w:val="00F80E93"/>
    <w:rsid w:val="00F8556E"/>
    <w:rsid w:val="00F86024"/>
    <w:rsid w:val="00F8611A"/>
    <w:rsid w:val="00F9239F"/>
    <w:rsid w:val="00F935B3"/>
    <w:rsid w:val="00F94C21"/>
    <w:rsid w:val="00FA2917"/>
    <w:rsid w:val="00FA34FC"/>
    <w:rsid w:val="00FA5128"/>
    <w:rsid w:val="00FB42D4"/>
    <w:rsid w:val="00FB5906"/>
    <w:rsid w:val="00FB762F"/>
    <w:rsid w:val="00FC03C3"/>
    <w:rsid w:val="00FC22C0"/>
    <w:rsid w:val="00FC269E"/>
    <w:rsid w:val="00FC2AED"/>
    <w:rsid w:val="00FC60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EB1D1A99-9E75-4286-ACAA-C56CA0AC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stat.gov.pl/obszary-tematyczne/rynek-pracy/pracujacy-zatrudnieni-wynagrodzenia-koszty-pracy/struktura-wynagrodzen-wedlug-zawodow-w-pazdzierniku-2020-roku,4,10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rynek-pracy/pracujacy-zatrudnieni-wynagrodzenia-koszty-pracy/zatrudnienie-i-wynagrodzenia-w-gospodarce-narodowej-w-i-iii-kwartale-2021-roku,1,44.html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obszary-tematyczne/rynek-pracy/pracujacy-zatrudnieni-wynagrodzenia-koszty-pracy/" TargetMode="External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https://stat.gov.pl/metainformacje/slownik-pojec/pojecia-stosowane-w-statystyce-publicznej/74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0" Type="http://schemas.openxmlformats.org/officeDocument/2006/relationships/hyperlink" Target="http://stat.gov.pl/metainformacje/slownik-pojec/pojecia-stosowane-w-statystyce-publicznej/376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0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0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536E-2"/>
          <c:y val="8.6234567901234765E-2"/>
          <c:w val="0.87241187972308865"/>
          <c:h val="0.66611111111111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'gl wykres z dod osia'!$D$1</c:f>
              <c:strCache>
                <c:ptCount val="1"/>
                <c:pt idx="0">
                  <c:v>Liczby bezwzględne (lewa skala)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'gl wykres z dod osia'!$B$91:$C$116</c:f>
              <c:multiLvlStrCache>
                <c:ptCount val="2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'gl wykres z dod osia'!$D$26:$D$51</c:f>
              <c:numCache>
                <c:formatCode>0.0</c:formatCode>
                <c:ptCount val="26"/>
                <c:pt idx="0">
                  <c:v>6440.9</c:v>
                </c:pt>
                <c:pt idx="1">
                  <c:v>6445.9</c:v>
                </c:pt>
                <c:pt idx="2">
                  <c:v>6411.7</c:v>
                </c:pt>
                <c:pt idx="3">
                  <c:v>6258.8</c:v>
                </c:pt>
                <c:pt idx="4">
                  <c:v>6173.9</c:v>
                </c:pt>
                <c:pt idx="5">
                  <c:v>6185.8</c:v>
                </c:pt>
                <c:pt idx="6">
                  <c:v>6252</c:v>
                </c:pt>
                <c:pt idx="7">
                  <c:v>6295</c:v>
                </c:pt>
                <c:pt idx="8">
                  <c:v>6312.4</c:v>
                </c:pt>
                <c:pt idx="9">
                  <c:v>6318.3</c:v>
                </c:pt>
                <c:pt idx="10">
                  <c:v>6318.9</c:v>
                </c:pt>
                <c:pt idx="11">
                  <c:v>6329</c:v>
                </c:pt>
                <c:pt idx="12">
                  <c:v>6314.1</c:v>
                </c:pt>
                <c:pt idx="13">
                  <c:v>6334</c:v>
                </c:pt>
                <c:pt idx="14">
                  <c:v>6330.3</c:v>
                </c:pt>
                <c:pt idx="15">
                  <c:v>6316.9</c:v>
                </c:pt>
                <c:pt idx="16">
                  <c:v>6338.5</c:v>
                </c:pt>
                <c:pt idx="17">
                  <c:v>6359.3</c:v>
                </c:pt>
                <c:pt idx="18">
                  <c:v>6361.7</c:v>
                </c:pt>
                <c:pt idx="19">
                  <c:v>6352</c:v>
                </c:pt>
                <c:pt idx="20">
                  <c:v>6347.2</c:v>
                </c:pt>
                <c:pt idx="21">
                  <c:v>6351.1</c:v>
                </c:pt>
                <c:pt idx="22">
                  <c:v>6363.7</c:v>
                </c:pt>
                <c:pt idx="23">
                  <c:v>6361.6</c:v>
                </c:pt>
                <c:pt idx="24">
                  <c:v>6459.8</c:v>
                </c:pt>
                <c:pt idx="25">
                  <c:v>6474.9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42276896"/>
        <c:axId val="542278528"/>
      </c:barChart>
      <c:lineChart>
        <c:grouping val="standard"/>
        <c:varyColors val="0"/>
        <c:ser>
          <c:idx val="1"/>
          <c:order val="1"/>
          <c:tx>
            <c:strRef>
              <c:f>'gl wykres z dod osia'!$D$66</c:f>
              <c:strCache>
                <c:ptCount val="1"/>
                <c:pt idx="0">
                  <c:v>Wskaźniki dynamiki, analogiczny miesiąc roku poprzedniego=100 (prawa skala)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none"/>
          </c:marker>
          <c:cat>
            <c:strRef>
              <c:f>'gl wykres z dod osia'!$C$91:$C$116</c:f>
              <c:strCache>
                <c:ptCount val="26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</c:v>
                </c:pt>
                <c:pt idx="25">
                  <c:v>02</c:v>
                </c:pt>
              </c:strCache>
            </c:strRef>
          </c:cat>
          <c:val>
            <c:numRef>
              <c:f>'gl wykres z dod osia'!$D$91:$D$116</c:f>
              <c:numCache>
                <c:formatCode>0.0</c:formatCode>
                <c:ptCount val="26"/>
                <c:pt idx="0">
                  <c:v>101.1</c:v>
                </c:pt>
                <c:pt idx="1">
                  <c:v>101.1</c:v>
                </c:pt>
                <c:pt idx="2">
                  <c:v>100.3</c:v>
                </c:pt>
                <c:pt idx="3">
                  <c:v>97.9</c:v>
                </c:pt>
                <c:pt idx="4">
                  <c:v>96.8</c:v>
                </c:pt>
                <c:pt idx="5">
                  <c:v>96.7</c:v>
                </c:pt>
                <c:pt idx="6">
                  <c:v>97.7</c:v>
                </c:pt>
                <c:pt idx="7">
                  <c:v>98.5</c:v>
                </c:pt>
                <c:pt idx="8">
                  <c:v>98.8</c:v>
                </c:pt>
                <c:pt idx="9">
                  <c:v>99</c:v>
                </c:pt>
                <c:pt idx="10" formatCode="0.00">
                  <c:v>98.8</c:v>
                </c:pt>
                <c:pt idx="11" formatCode="0.00">
                  <c:v>99</c:v>
                </c:pt>
                <c:pt idx="12" formatCode="0.00">
                  <c:v>98</c:v>
                </c:pt>
                <c:pt idx="13" formatCode="0.00">
                  <c:v>98.3</c:v>
                </c:pt>
                <c:pt idx="14" formatCode="0.00">
                  <c:v>98.7</c:v>
                </c:pt>
                <c:pt idx="15" formatCode="0.00">
                  <c:v>100.9</c:v>
                </c:pt>
                <c:pt idx="16" formatCode="0.00">
                  <c:v>102.7</c:v>
                </c:pt>
                <c:pt idx="17" formatCode="0.00">
                  <c:v>102.8</c:v>
                </c:pt>
                <c:pt idx="18" formatCode="General">
                  <c:v>101.8</c:v>
                </c:pt>
                <c:pt idx="19" formatCode="General">
                  <c:v>100.9</c:v>
                </c:pt>
                <c:pt idx="20" formatCode="General">
                  <c:v>100.6</c:v>
                </c:pt>
                <c:pt idx="21" formatCode="General">
                  <c:v>100.5</c:v>
                </c:pt>
                <c:pt idx="22" formatCode="General">
                  <c:v>100.7</c:v>
                </c:pt>
                <c:pt idx="23" formatCode="General">
                  <c:v>100.5</c:v>
                </c:pt>
                <c:pt idx="24" formatCode="General">
                  <c:v>102.3</c:v>
                </c:pt>
                <c:pt idx="25" formatCode="General">
                  <c:v>102.2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2280160"/>
        <c:axId val="542279072"/>
      </c:lineChart>
      <c:catAx>
        <c:axId val="542276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542278528"/>
        <c:crosses val="autoZero"/>
        <c:auto val="1"/>
        <c:lblAlgn val="ctr"/>
        <c:lblOffset val="100"/>
        <c:noMultiLvlLbl val="0"/>
      </c:catAx>
      <c:valAx>
        <c:axId val="542278528"/>
        <c:scaling>
          <c:orientation val="minMax"/>
          <c:max val="6500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tys.</a:t>
                </a:r>
              </a:p>
            </c:rich>
          </c:tx>
          <c:layout>
            <c:manualLayout>
              <c:xMode val="edge"/>
              <c:yMode val="edge"/>
              <c:x val="2.2371364653244359E-3"/>
              <c:y val="6.6049382716047798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542276896"/>
        <c:crosses val="autoZero"/>
        <c:crossBetween val="between"/>
        <c:majorUnit val="250"/>
      </c:valAx>
      <c:valAx>
        <c:axId val="542279072"/>
        <c:scaling>
          <c:orientation val="minMax"/>
          <c:max val="130"/>
          <c:min val="70"/>
        </c:scaling>
        <c:delete val="0"/>
        <c:axPos val="r"/>
        <c:numFmt formatCode="0" sourceLinked="0"/>
        <c:majorTickMark val="out"/>
        <c:minorTickMark val="none"/>
        <c:tickLblPos val="nextTo"/>
        <c:spPr>
          <a:ln>
            <a:noFill/>
          </a:ln>
        </c:spPr>
        <c:crossAx val="542280160"/>
        <c:crosses val="max"/>
        <c:crossBetween val="between"/>
        <c:majorUnit val="5"/>
      </c:valAx>
      <c:catAx>
        <c:axId val="5422801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42279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067599970272064E-2"/>
          <c:y val="0.87979753086420065"/>
          <c:w val="0.87380002425181524"/>
          <c:h val="0.12020246913580244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55E-2"/>
          <c:y val="8.6234567901234668E-2"/>
          <c:w val="0.87241187972308865"/>
          <c:h val="0.66611111111111165"/>
        </c:manualLayout>
      </c:layout>
      <c:lineChart>
        <c:grouping val="standard"/>
        <c:varyColors val="0"/>
        <c:ser>
          <c:idx val="0"/>
          <c:order val="0"/>
          <c:tx>
            <c:strRef>
              <c:f>'wykres wynagrodzenie glowny'!$B$2</c:f>
              <c:strCache>
                <c:ptCount val="1"/>
                <c:pt idx="0">
                  <c:v>Przeciętne miesięczne wynagrodzenie brutto w sektorze przedsiębiorstw</c:v>
                </c:pt>
              </c:strCache>
            </c:strRef>
          </c:tx>
          <c:spPr>
            <a:ln>
              <a:solidFill>
                <a:srgbClr val="001D77"/>
              </a:solidFill>
            </a:ln>
            <a:effectLst/>
          </c:spPr>
          <c:marker>
            <c:symbol val="none"/>
          </c:marker>
          <c:cat>
            <c:multiLvlStrRef>
              <c:f>'gl wykres z dod osia'!$B$91:$C$116</c:f>
              <c:multiLvlStrCache>
                <c:ptCount val="2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'wykres wynagrodzenie glowny'!$D$27:$D$52</c:f>
              <c:numCache>
                <c:formatCode>0.00</c:formatCode>
                <c:ptCount val="26"/>
                <c:pt idx="0">
                  <c:v>5282.8</c:v>
                </c:pt>
                <c:pt idx="1">
                  <c:v>5330.48</c:v>
                </c:pt>
                <c:pt idx="2">
                  <c:v>5489.21</c:v>
                </c:pt>
                <c:pt idx="3">
                  <c:v>5285.01</c:v>
                </c:pt>
                <c:pt idx="4">
                  <c:v>5119.9399999999996</c:v>
                </c:pt>
                <c:pt idx="5">
                  <c:v>5286</c:v>
                </c:pt>
                <c:pt idx="6">
                  <c:v>5381.6500000000024</c:v>
                </c:pt>
                <c:pt idx="7">
                  <c:v>5337.6500000000024</c:v>
                </c:pt>
                <c:pt idx="8">
                  <c:v>5371.56</c:v>
                </c:pt>
                <c:pt idx="9">
                  <c:v>5458.88</c:v>
                </c:pt>
                <c:pt idx="10">
                  <c:v>5484.07</c:v>
                </c:pt>
                <c:pt idx="11">
                  <c:v>5973.75</c:v>
                </c:pt>
                <c:pt idx="12">
                  <c:v>5536.8</c:v>
                </c:pt>
                <c:pt idx="13">
                  <c:v>5568.8200000000024</c:v>
                </c:pt>
                <c:pt idx="14">
                  <c:v>5929.05</c:v>
                </c:pt>
                <c:pt idx="15">
                  <c:v>5805.72</c:v>
                </c:pt>
                <c:pt idx="16">
                  <c:v>5637.34</c:v>
                </c:pt>
                <c:pt idx="17">
                  <c:v>5802.42</c:v>
                </c:pt>
                <c:pt idx="18">
                  <c:v>5851.87</c:v>
                </c:pt>
                <c:pt idx="19">
                  <c:v>5843.75</c:v>
                </c:pt>
                <c:pt idx="20">
                  <c:v>5841.1600000000044</c:v>
                </c:pt>
                <c:pt idx="21">
                  <c:v>5917.1500000000024</c:v>
                </c:pt>
                <c:pt idx="22">
                  <c:v>6022.49</c:v>
                </c:pt>
                <c:pt idx="23">
                  <c:v>6644.39</c:v>
                </c:pt>
                <c:pt idx="24">
                  <c:v>6064.24</c:v>
                </c:pt>
                <c:pt idx="25">
                  <c:v>6220.04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2282880"/>
        <c:axId val="542281792"/>
      </c:lineChart>
      <c:catAx>
        <c:axId val="54228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542281792"/>
        <c:crosses val="autoZero"/>
        <c:auto val="1"/>
        <c:lblAlgn val="ctr"/>
        <c:lblOffset val="100"/>
        <c:noMultiLvlLbl val="0"/>
      </c:catAx>
      <c:valAx>
        <c:axId val="542281792"/>
        <c:scaling>
          <c:orientation val="minMax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zł</a:t>
                </a:r>
              </a:p>
            </c:rich>
          </c:tx>
          <c:layout>
            <c:manualLayout>
              <c:xMode val="edge"/>
              <c:yMode val="edge"/>
              <c:x val="2.2371364653244368E-3"/>
              <c:y val="6.6049382716047743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542282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E968DA14-0128-4A33-A2B7-BB6DE181B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</TotalTime>
  <Pages>1</Pages>
  <Words>1374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lutym 2022 r.</dc:title>
  <dc:creator>GUS</dc:creator>
  <cp:lastModifiedBy>Putkowska Beata</cp:lastModifiedBy>
  <cp:revision>113</cp:revision>
  <cp:lastPrinted>2022-02-17T10:32:00Z</cp:lastPrinted>
  <dcterms:created xsi:type="dcterms:W3CDTF">2022-02-10T12:37:00Z</dcterms:created>
  <dcterms:modified xsi:type="dcterms:W3CDTF">2022-03-18T07:06:00Z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