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7D605C" w:rsidRDefault="00BD4270" w:rsidP="00F049AB">
      <w:pPr>
        <w:pStyle w:val="Tytuinfomacjisygnalnej"/>
      </w:pPr>
      <w:bookmarkStart w:id="0" w:name="_GoBack"/>
      <w:bookmarkEnd w:id="0"/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>
        <w:t> sektorze przedsiębiorstw w styczniu 2022</w:t>
      </w:r>
      <w:r w:rsidRPr="0026490D">
        <w:t xml:space="preserve"> r.</w:t>
      </w:r>
      <w:r w:rsidR="00364AF9" w:rsidRPr="007D605C">
        <w:rPr>
          <w:sz w:val="32"/>
        </w:rPr>
        <w:tab/>
      </w:r>
    </w:p>
    <w:p w:rsidR="00DE58F1" w:rsidRPr="006F6EE4" w:rsidRDefault="00226B1F" w:rsidP="00F049AB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>
          <v:roundrect id="Pole tekstowe 2" o:spid="_x0000_s1026" alt="Wzrost o 2,3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:rsidR="004C13CA" w:rsidRPr="000430E2" w:rsidRDefault="004C13CA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2,3%</w:t>
                  </w:r>
                </w:p>
                <w:p w:rsidR="004C13CA" w:rsidRPr="000430E2" w:rsidRDefault="004C13C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zatrudnienia w sektorze przedsiębiorstw</w:t>
                  </w:r>
                </w:p>
                <w:p w:rsidR="004C13CA" w:rsidRPr="007D605C" w:rsidRDefault="004C13CA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841E07" w:rsidRPr="00841E07">
        <w:t>W styczniu 2022 r. przeciętne za</w:t>
      </w:r>
      <w:r w:rsidR="00841E07">
        <w:t xml:space="preserve">trudnienie w sektorze przedsiębiorstw w porównaniu ze styczniem 2021 r. było wyższe o 2,3% i wyniosło 6459,8 tys. etatów. </w:t>
      </w:r>
      <w:r w:rsidR="00841E07" w:rsidRPr="00841E07">
        <w:t>W stosunku do poprzednieg</w:t>
      </w:r>
      <w:r w:rsidR="00841E07">
        <w:t xml:space="preserve">o miesiąca przeciętne zatrudnienie wzrosło o 1,5%. </w:t>
      </w:r>
    </w:p>
    <w:p w:rsidR="00BD4270" w:rsidRPr="00841E07" w:rsidRDefault="00226B1F" w:rsidP="00BD4270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>
          <v:roundrect id="_x0000_s1033" alt="Wzrost o 9,5% rok do roku przeciętnego miesięcznego wynagrodzenia brutto w sektorze przedsiębiorstw" style="position:absolute;margin-left:.05pt;margin-top:38.7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:rsidR="004C13CA" w:rsidRPr="000430E2" w:rsidRDefault="004C13CA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9,5%</w:t>
                  </w:r>
                </w:p>
                <w:p w:rsidR="004C13CA" w:rsidRPr="000430E2" w:rsidRDefault="004C13C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miesięcznego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1223F" w:rsidRPr="00841E07">
        <w:br/>
      </w:r>
      <w:r w:rsidR="00841E07" w:rsidRPr="00841E07">
        <w:t>Przeciętne miesięczne wynagro</w:t>
      </w:r>
      <w:r w:rsidR="00841E07">
        <w:t xml:space="preserve">dzenie w sektorze przedsiębiorstw w styczniu 2022 r. w porównaniu ze styczniem 2021 r. było wyższe o 9,5% i wyniosło 6064,24 zł (brutto). </w:t>
      </w:r>
      <w:r w:rsidR="00841E07" w:rsidRPr="00841E07">
        <w:t>Względem grudnia 2021 r. przeciętne</w:t>
      </w:r>
      <w:r w:rsidR="00841E07">
        <w:t xml:space="preserve"> miesięczne wynagrodzenie brutto obniżyło się o 8,7%. </w:t>
      </w:r>
    </w:p>
    <w:p w:rsidR="00E95B8E" w:rsidRPr="00F8556E" w:rsidRDefault="00226B1F" w:rsidP="00E95B8E">
      <w:pPr>
        <w:pStyle w:val="Nagwek1"/>
        <w:rPr>
          <w:rFonts w:ascii="Fira Sans" w:hAnsi="Fira Sans"/>
          <w:b/>
          <w:szCs w:val="19"/>
        </w:rPr>
      </w:pPr>
      <w:r>
        <w:rPr>
          <w:rFonts w:eastAsia="Calibri"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:rsidR="004C13CA" w:rsidRPr="00705D39" w:rsidRDefault="004C13CA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stanowi część gospodarki narodowej, to znaczy, że dane dotyczą wybranych podmiotów prowadzących działalność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6F535B">
        <w:rPr>
          <w:rFonts w:eastAsia="Calibri"/>
          <w:b/>
          <w:shd w:val="clear" w:color="auto" w:fill="FFFFFF"/>
        </w:rPr>
        <w:t>a liczba pracujących przekracza 9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obejmuje,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:rsidR="00F8556E" w:rsidRPr="00841E07" w:rsidRDefault="00226B1F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>
        <w:rPr>
          <w:color w:val="001D77"/>
        </w:rPr>
        <w:pict>
          <v:shape id="_x0000_s1047" type="#_x0000_t202" alt="Pole tekstowe: Analogicznie jak w latach poprzednich, od stycznia 2022 r. badanie na formularzu DG-1 jest realizowane na zaktualizowanej próbie jednostek o liczbie pracujących od 10 do 49 osób, wylosowanej w oparciu o zweryfikowane klasy wielkości przedsiębiorstw&#10;" style="position:absolute;margin-left:414.5pt;margin-top:41.65pt;width:135.6pt;height:135.4pt;z-index:-251543552;visibility:visible;mso-wrap-distance-top:3.6pt;mso-wrap-distance-bottom:3.6pt;mso-width-relative:margin;mso-height-relative:margin" wrapcoords="0 0" filled="f" stroked="f">
            <v:textbox style="mso-next-textbox:#_x0000_s1047">
              <w:txbxContent>
                <w:p w:rsidR="00AB3EDB" w:rsidRPr="00AB3EDB" w:rsidRDefault="00AB3EDB" w:rsidP="00AB3EDB">
                  <w:pPr>
                    <w:spacing w:line="240" w:lineRule="auto"/>
                  </w:pPr>
                  <w:r w:rsidRPr="00AB3ED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Analogicznie jak w latach poprzednich, od stycznia 2022 r. badanie na formularzu DG-1 jest realizowane na zaktualizowanej próbie jednostek o liczbie pracujących od 10 do 49 osób, wylosowanej w oparciu o zweryfikowane klasy wielkości prze</w:t>
                  </w:r>
                  <w:r w:rsidR="00795F7C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d</w:t>
                  </w:r>
                  <w:r w:rsidRPr="00AB3ED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siębiorstw</w:t>
                  </w:r>
                </w:p>
              </w:txbxContent>
            </v:textbox>
            <w10:wrap type="tight"/>
          </v:shape>
        </w:pict>
      </w:r>
      <w:r w:rsidR="00F8556E"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wynagrodzenie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="00F8556E"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przedsiębiorstw w styczniu 2022 r.</w:t>
      </w:r>
    </w:p>
    <w:tbl>
      <w:tblPr>
        <w:tblW w:w="7655" w:type="dxa"/>
        <w:tblInd w:w="108" w:type="dxa"/>
        <w:tblBorders>
          <w:top w:val="single" w:sz="2" w:space="0" w:color="001D77"/>
          <w:bottom w:val="single" w:sz="2" w:space="0" w:color="001D77"/>
          <w:insideH w:val="single" w:sz="2" w:space="0" w:color="001D77"/>
          <w:insideV w:val="single" w:sz="2" w:space="0" w:color="001D77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559"/>
        <w:gridCol w:w="1559"/>
        <w:gridCol w:w="1418"/>
      </w:tblGrid>
      <w:tr w:rsidR="00D622BB" w:rsidRPr="002751A8" w:rsidTr="00D622BB">
        <w:trPr>
          <w:trHeight w:val="558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:rsidR="00D622BB" w:rsidRPr="00D622BB" w:rsidRDefault="00D622BB" w:rsidP="00D622BB">
            <w:pPr>
              <w:pStyle w:val="Tablicagwka"/>
            </w:pPr>
            <w:r w:rsidRPr="00D622BB">
              <w:t>Wyszczególnienie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:rsidR="00D622BB" w:rsidRPr="00133F59" w:rsidRDefault="00D622BB" w:rsidP="00133F59">
            <w:pPr>
              <w:pStyle w:val="Tablicagwkarodek"/>
              <w:rPr>
                <w:rFonts w:eastAsia="Fira Sans Light" w:cs="Times New Roman"/>
              </w:rPr>
            </w:pPr>
            <w:r w:rsidRPr="00133F59">
              <w:rPr>
                <w:rFonts w:eastAsia="Fira Sans Light" w:cs="Times New Roman"/>
              </w:rPr>
              <w:t>01 2022</w:t>
            </w:r>
          </w:p>
        </w:tc>
      </w:tr>
      <w:tr w:rsidR="00D622BB" w:rsidRPr="002751A8" w:rsidTr="00D622BB">
        <w:trPr>
          <w:trHeight w:val="791"/>
        </w:trPr>
        <w:tc>
          <w:tcPr>
            <w:tcW w:w="3119" w:type="dxa"/>
            <w:vMerge/>
            <w:shd w:val="clear" w:color="auto" w:fill="auto"/>
            <w:vAlign w:val="center"/>
          </w:tcPr>
          <w:p w:rsidR="00D622BB" w:rsidRPr="003A25CB" w:rsidRDefault="00D622BB" w:rsidP="004C13CA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22BB" w:rsidRPr="00D622BB" w:rsidRDefault="00D622BB" w:rsidP="00D622BB">
            <w:pPr>
              <w:pStyle w:val="Tablicagwkarodek"/>
              <w:rPr>
                <w:rFonts w:eastAsia="Fira Sans Light" w:cs="Times New Roman"/>
              </w:rPr>
            </w:pPr>
            <w:r w:rsidRPr="00D622BB">
              <w:rPr>
                <w:rFonts w:eastAsia="Fira Sans Light" w:cs="Times New Roman"/>
              </w:rPr>
              <w:t>w liczbach</w:t>
            </w:r>
            <w:r w:rsidRPr="00D622BB">
              <w:rPr>
                <w:rFonts w:eastAsia="Fira Sans Light" w:cs="Times New Roman"/>
              </w:rPr>
              <w:br/>
              <w:t>bezwzględnych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2BB" w:rsidRPr="00133F59" w:rsidRDefault="00D622BB" w:rsidP="00133F59">
            <w:pPr>
              <w:pStyle w:val="Tablicagwkarodek"/>
              <w:rPr>
                <w:rFonts w:eastAsia="Fira Sans Light" w:cs="Times New Roman"/>
              </w:rPr>
            </w:pPr>
            <w:r w:rsidRPr="00133F59">
              <w:rPr>
                <w:rFonts w:eastAsia="Fira Sans Light" w:cs="Times New Roman"/>
              </w:rPr>
              <w:t>12 2021=100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22BB" w:rsidRPr="00133F59" w:rsidRDefault="00D622BB" w:rsidP="00133F59">
            <w:pPr>
              <w:pStyle w:val="Tablicagwkarodek"/>
              <w:rPr>
                <w:rFonts w:eastAsia="Fira Sans Light" w:cs="Times New Roman"/>
              </w:rPr>
            </w:pPr>
            <w:r w:rsidRPr="00133F59">
              <w:rPr>
                <w:rFonts w:eastAsia="Fira Sans Light" w:cs="Times New Roman"/>
              </w:rPr>
              <w:t>01 2021=100</w:t>
            </w:r>
          </w:p>
        </w:tc>
      </w:tr>
      <w:tr w:rsidR="00D622BB" w:rsidRPr="002751A8" w:rsidTr="00D622BB">
        <w:trPr>
          <w:trHeight w:val="574"/>
        </w:trPr>
        <w:tc>
          <w:tcPr>
            <w:tcW w:w="3119" w:type="dxa"/>
            <w:shd w:val="clear" w:color="auto" w:fill="auto"/>
            <w:vAlign w:val="center"/>
          </w:tcPr>
          <w:p w:rsidR="00D622BB" w:rsidRPr="00D622BB" w:rsidRDefault="00D622BB" w:rsidP="00D622BB">
            <w:pPr>
              <w:pStyle w:val="Tablicaboczek"/>
            </w:pPr>
            <w:r w:rsidRPr="00D622BB">
              <w:t>Przeciętne zatrudnienie w tys. etatów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2BB" w:rsidRPr="00D622BB" w:rsidRDefault="00EB68BA" w:rsidP="00EB68BA">
            <w:pPr>
              <w:pStyle w:val="Tablicadanerodek"/>
            </w:pPr>
            <w:r>
              <w:t>6459,8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2BB" w:rsidRPr="00D622BB" w:rsidRDefault="00EB68BA" w:rsidP="00EB68BA">
            <w:pPr>
              <w:pStyle w:val="Tablicadanerodek"/>
            </w:pPr>
            <w:r>
              <w:t>101,5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22BB" w:rsidRPr="00D622BB" w:rsidRDefault="00D622BB" w:rsidP="00EB68BA">
            <w:pPr>
              <w:pStyle w:val="Tablicadanerodek"/>
            </w:pPr>
            <w:r w:rsidRPr="00D622BB">
              <w:t>10</w:t>
            </w:r>
            <w:r w:rsidR="00EB68BA">
              <w:t>2,3</w:t>
            </w:r>
          </w:p>
        </w:tc>
      </w:tr>
      <w:tr w:rsidR="00D622BB" w:rsidRPr="002751A8" w:rsidTr="00D622BB">
        <w:trPr>
          <w:trHeight w:val="760"/>
        </w:trPr>
        <w:tc>
          <w:tcPr>
            <w:tcW w:w="3119" w:type="dxa"/>
            <w:shd w:val="clear" w:color="auto" w:fill="auto"/>
            <w:vAlign w:val="center"/>
          </w:tcPr>
          <w:p w:rsidR="00D622BB" w:rsidRPr="00D622BB" w:rsidRDefault="00D622BB" w:rsidP="00D622BB">
            <w:pPr>
              <w:pStyle w:val="Tablicaboczek"/>
            </w:pPr>
            <w:r w:rsidRPr="00D622BB">
              <w:t>Przeciętne miesięczne wynagrodzenie ogółem (brutto) w zł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2BB" w:rsidRPr="00D622BB" w:rsidRDefault="00D622BB" w:rsidP="00EB68BA">
            <w:pPr>
              <w:pStyle w:val="Tablicadanerodek"/>
            </w:pPr>
            <w:r w:rsidRPr="00D622BB">
              <w:t>6</w:t>
            </w:r>
            <w:r w:rsidR="00EB68BA">
              <w:t>064,24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2BB" w:rsidRPr="00D622BB" w:rsidRDefault="00EB68BA" w:rsidP="00EB68B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Calibri"/>
                <w:bCs w:val="0"/>
                <w:color w:val="auto"/>
                <w:szCs w:val="19"/>
              </w:rPr>
            </w:pPr>
            <w:r>
              <w:rPr>
                <w:rFonts w:ascii="Fira Sans" w:hAnsi="Fira Sans" w:cs="Calibri"/>
                <w:bCs w:val="0"/>
                <w:color w:val="auto"/>
                <w:szCs w:val="19"/>
              </w:rPr>
              <w:t>91,3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22BB" w:rsidRPr="00D622BB" w:rsidRDefault="00D622BB" w:rsidP="00EB68B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Calibri"/>
                <w:bCs w:val="0"/>
                <w:color w:val="auto"/>
                <w:szCs w:val="19"/>
              </w:rPr>
            </w:pPr>
            <w:r w:rsidRPr="00D622BB">
              <w:rPr>
                <w:rFonts w:ascii="Fira Sans" w:hAnsi="Fira Sans" w:cs="Calibri"/>
                <w:bCs w:val="0"/>
                <w:color w:val="auto"/>
                <w:szCs w:val="19"/>
              </w:rPr>
              <w:t>1</w:t>
            </w:r>
            <w:r w:rsidR="00EB68BA">
              <w:rPr>
                <w:rFonts w:ascii="Fira Sans" w:hAnsi="Fira Sans" w:cs="Calibri"/>
                <w:bCs w:val="0"/>
                <w:color w:val="auto"/>
                <w:szCs w:val="19"/>
              </w:rPr>
              <w:t>09,5</w:t>
            </w:r>
          </w:p>
        </w:tc>
      </w:tr>
      <w:tr w:rsidR="00D622BB" w:rsidRPr="002751A8" w:rsidTr="00D622BB">
        <w:trPr>
          <w:trHeight w:val="760"/>
        </w:trPr>
        <w:tc>
          <w:tcPr>
            <w:tcW w:w="3119" w:type="dxa"/>
            <w:shd w:val="clear" w:color="auto" w:fill="auto"/>
            <w:vAlign w:val="center"/>
          </w:tcPr>
          <w:p w:rsidR="00D622BB" w:rsidRPr="00D622BB" w:rsidRDefault="00D622BB" w:rsidP="00D622BB">
            <w:pPr>
              <w:pStyle w:val="Tablicaboczekwcicie1"/>
            </w:pPr>
            <w:r w:rsidRPr="00D622BB">
              <w:t>w tym bez wypłat</w:t>
            </w:r>
            <w:r>
              <w:t xml:space="preserve"> </w:t>
            </w:r>
            <w:r w:rsidRPr="00D622BB">
              <w:t xml:space="preserve">z zysku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2BB" w:rsidRPr="00D622BB" w:rsidRDefault="00D622BB" w:rsidP="00EB68BA">
            <w:pPr>
              <w:pStyle w:val="Tablicadanerodek"/>
            </w:pPr>
            <w:r w:rsidRPr="00D622BB">
              <w:t>6</w:t>
            </w:r>
            <w:r w:rsidR="00EB68BA">
              <w:t>064,16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2BB" w:rsidRPr="00D622BB" w:rsidRDefault="00EB68BA" w:rsidP="00EB68BA">
            <w:pPr>
              <w:pStyle w:val="Tablicadanerodek"/>
            </w:pPr>
            <w:r>
              <w:t>91,3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22BB" w:rsidRPr="00D622BB" w:rsidRDefault="00D622BB" w:rsidP="00EB68BA">
            <w:pPr>
              <w:pStyle w:val="Tablicadanerodek"/>
            </w:pPr>
            <w:r w:rsidRPr="00D622BB">
              <w:t>1</w:t>
            </w:r>
            <w:r w:rsidR="00EB68BA">
              <w:t>09,5</w:t>
            </w:r>
          </w:p>
        </w:tc>
      </w:tr>
    </w:tbl>
    <w:p w:rsidR="00E95B03" w:rsidRDefault="00E95B03" w:rsidP="005A3892">
      <w:pPr>
        <w:spacing w:line="288" w:lineRule="auto"/>
        <w:rPr>
          <w:rFonts w:eastAsia="Calibri"/>
          <w:shd w:val="clear" w:color="auto" w:fill="FFFFFF"/>
        </w:rPr>
      </w:pPr>
    </w:p>
    <w:p w:rsidR="00E95B03" w:rsidRDefault="00E95B03">
      <w:pPr>
        <w:spacing w:before="0" w:after="160" w:line="259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br w:type="page"/>
      </w:r>
    </w:p>
    <w:p w:rsidR="00E46E44" w:rsidRDefault="00992458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 </w:t>
      </w:r>
      <w:r w:rsidR="00EB68BA">
        <w:rPr>
          <w:rFonts w:eastAsia="Calibri"/>
          <w:shd w:val="clear" w:color="auto" w:fill="FFFFFF"/>
        </w:rPr>
        <w:t>styczniu 2022</w:t>
      </w:r>
      <w:r w:rsidRPr="00705D39">
        <w:rPr>
          <w:rFonts w:eastAsia="Calibri"/>
          <w:shd w:val="clear" w:color="auto" w:fill="FFFFFF"/>
        </w:rPr>
        <w:t xml:space="preserve"> r.</w:t>
      </w:r>
      <w:r>
        <w:rPr>
          <w:rFonts w:eastAsia="Calibri"/>
          <w:shd w:val="clear" w:color="auto" w:fill="FFFFFF"/>
        </w:rPr>
        <w:t xml:space="preserve"> </w:t>
      </w:r>
      <w:r w:rsidRPr="006F44E3">
        <w:rPr>
          <w:rFonts w:eastAsia="Calibri"/>
          <w:b/>
          <w:shd w:val="clear" w:color="auto" w:fill="FFFFFF"/>
        </w:rPr>
        <w:t>przeciętne zatrudnienie w sektorze przedsiębiorstw</w:t>
      </w:r>
      <w:r>
        <w:rPr>
          <w:rFonts w:eastAsia="Calibri"/>
          <w:shd w:val="clear" w:color="auto" w:fill="FFFFFF"/>
        </w:rPr>
        <w:t xml:space="preserve"> </w:t>
      </w:r>
      <w:r w:rsidR="00EB68BA">
        <w:rPr>
          <w:rFonts w:eastAsia="Calibri"/>
          <w:shd w:val="clear" w:color="auto" w:fill="FFFFFF"/>
        </w:rPr>
        <w:t xml:space="preserve">względem grudnia 2021 r. wzrosło o 1,5%, podczas gdy w grudniu 2021 r. pozostało na poziomie zbliżonym do odnotowanego w listopadzie 2021 r. </w:t>
      </w:r>
      <w:r w:rsidR="00E46E44">
        <w:rPr>
          <w:rFonts w:eastAsia="Calibri"/>
          <w:shd w:val="clear" w:color="auto" w:fill="FFFFFF"/>
        </w:rPr>
        <w:t>Wzrost przeciętn</w:t>
      </w:r>
      <w:r w:rsidR="006F6EE4">
        <w:rPr>
          <w:rFonts w:eastAsia="Calibri"/>
          <w:shd w:val="clear" w:color="auto" w:fill="FFFFFF"/>
        </w:rPr>
        <w:t>ego zatrudnienia w styczniu 2022</w:t>
      </w:r>
      <w:r w:rsidR="00AF195C">
        <w:rPr>
          <w:rFonts w:eastAsia="Calibri"/>
          <w:shd w:val="clear" w:color="auto" w:fill="FFFFFF"/>
        </w:rPr>
        <w:t xml:space="preserve"> r. był wynikiem</w:t>
      </w:r>
      <w:r w:rsidR="00E46E44">
        <w:rPr>
          <w:rFonts w:eastAsia="Calibri"/>
          <w:shd w:val="clear" w:color="auto" w:fill="FFFFFF"/>
        </w:rPr>
        <w:t xml:space="preserve"> m.in. przyjęć w jednost</w:t>
      </w:r>
      <w:r w:rsidR="00E95B03">
        <w:rPr>
          <w:rFonts w:eastAsia="Calibri"/>
          <w:shd w:val="clear" w:color="auto" w:fill="FFFFFF"/>
        </w:rPr>
        <w:t xml:space="preserve">kach i </w:t>
      </w:r>
      <w:r w:rsidR="006C77A8">
        <w:rPr>
          <w:rFonts w:eastAsia="Calibri"/>
          <w:shd w:val="clear" w:color="auto" w:fill="FFFFFF"/>
        </w:rPr>
        <w:t xml:space="preserve">powrotu pracowników </w:t>
      </w:r>
      <w:r w:rsidR="00C63274">
        <w:rPr>
          <w:rFonts w:eastAsia="Calibri"/>
          <w:shd w:val="clear" w:color="auto" w:fill="FFFFFF"/>
        </w:rPr>
        <w:t>z</w:t>
      </w:r>
      <w:r w:rsidR="006C77A8">
        <w:rPr>
          <w:rFonts w:eastAsia="Calibri"/>
          <w:shd w:val="clear" w:color="auto" w:fill="FFFFFF"/>
        </w:rPr>
        <w:t xml:space="preserve"> </w:t>
      </w:r>
      <w:r w:rsidR="00E46E44">
        <w:rPr>
          <w:rFonts w:eastAsia="Calibri"/>
          <w:shd w:val="clear" w:color="auto" w:fill="FFFFFF"/>
        </w:rPr>
        <w:t>zasiłków chorobowych</w:t>
      </w:r>
      <w:r w:rsidR="00E95B03">
        <w:rPr>
          <w:rStyle w:val="Odwoanieprzypisudolnego"/>
          <w:rFonts w:eastAsia="Calibri"/>
          <w:shd w:val="clear" w:color="auto" w:fill="FFFFFF"/>
        </w:rPr>
        <w:footnoteReference w:id="3"/>
      </w:r>
      <w:r w:rsidR="00E95B03">
        <w:rPr>
          <w:rFonts w:eastAsia="Calibri"/>
          <w:shd w:val="clear" w:color="auto" w:fill="FFFFFF"/>
        </w:rPr>
        <w:t>.</w:t>
      </w:r>
    </w:p>
    <w:p w:rsidR="001D1EEB" w:rsidRDefault="005A3892" w:rsidP="005A3892">
      <w:pPr>
        <w:pStyle w:val="Tytuwykresu0"/>
      </w:pPr>
      <w:r w:rsidRPr="005A3892">
        <w:t>Wykres 1. Przeciętne zatrudnienie w sektorze pr</w:t>
      </w:r>
      <w:r>
        <w:t>zedsiębiorstw</w:t>
      </w:r>
      <w:r w:rsidR="001D1EEB" w:rsidRPr="001D1EEB">
        <w:drawing>
          <wp:anchor distT="0" distB="0" distL="114300" distR="114300" simplePos="0" relativeHeight="251770880" behindDoc="0" locked="1" layoutInCell="1" allowOverlap="0">
            <wp:simplePos x="0" y="0"/>
            <wp:positionH relativeFrom="column">
              <wp:posOffset>19050</wp:posOffset>
            </wp:positionH>
            <wp:positionV relativeFrom="paragraph">
              <wp:posOffset>421005</wp:posOffset>
            </wp:positionV>
            <wp:extent cx="5126990" cy="3157855"/>
            <wp:effectExtent l="19050" t="0" r="0" b="0"/>
            <wp:wrapTopAndBottom/>
            <wp:docPr id="2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025423" w:rsidRDefault="00025423" w:rsidP="001D1EEB">
      <w:pPr>
        <w:pStyle w:val="Tytuwykresu0"/>
        <w:spacing w:before="120" w:line="288" w:lineRule="auto"/>
        <w:rPr>
          <w:rFonts w:ascii="Fira Sans" w:hAnsi="Fira Sans"/>
          <w:b w:val="0"/>
          <w:bCs w:val="0"/>
          <w:noProof w:val="0"/>
          <w:szCs w:val="19"/>
        </w:rPr>
      </w:pPr>
    </w:p>
    <w:p w:rsidR="001D1EEB" w:rsidRDefault="00D25A05" w:rsidP="001D1EEB">
      <w:pPr>
        <w:pStyle w:val="Tytuwykresu0"/>
        <w:spacing w:before="120" w:line="288" w:lineRule="auto"/>
        <w:rPr>
          <w:rFonts w:ascii="Fira Sans" w:hAnsi="Fira Sans"/>
          <w:b w:val="0"/>
          <w:bCs w:val="0"/>
          <w:noProof w:val="0"/>
          <w:szCs w:val="19"/>
        </w:rPr>
      </w:pPr>
      <w:r w:rsidRPr="00A711CD">
        <w:rPr>
          <w:rFonts w:ascii="Fira Sans" w:hAnsi="Fira Sans"/>
          <w:b w:val="0"/>
          <w:bCs w:val="0"/>
          <w:noProof w:val="0"/>
          <w:szCs w:val="19"/>
        </w:rPr>
        <w:t>W związku z zaistniałą sytuacją</w:t>
      </w:r>
      <w:r w:rsidRPr="00841E07">
        <w:rPr>
          <w:rFonts w:ascii="Fira Sans" w:hAnsi="Fira Sans"/>
          <w:b w:val="0"/>
          <w:bCs w:val="0"/>
          <w:noProof w:val="0"/>
          <w:szCs w:val="19"/>
        </w:rPr>
        <w:t xml:space="preserve"> epidemiczną i jej wpływem na rynek pracy, od marca do maja 2020 r. odnotowywano spadek przeciętnego zatrudnienia w sektorze przedsiębiorstw miesiąc do miesiąca, natomiast od czerwca 2020 r. do grudnia 2020 r. zaobserwowano jego wzrost. W 2021 roku przeciętne zatrudnienie ulegało niewielkim zmianom, jednak </w:t>
      </w:r>
      <w:r w:rsidR="00966417">
        <w:rPr>
          <w:rFonts w:ascii="Fira Sans" w:hAnsi="Fira Sans"/>
          <w:b w:val="0"/>
          <w:bCs w:val="0"/>
          <w:noProof w:val="0"/>
          <w:szCs w:val="19"/>
        </w:rPr>
        <w:t>do grudnia 2021 r.</w:t>
      </w:r>
      <w:r w:rsidRPr="00841E07">
        <w:rPr>
          <w:rFonts w:ascii="Fira Sans" w:hAnsi="Fira Sans"/>
          <w:b w:val="0"/>
          <w:bCs w:val="0"/>
          <w:noProof w:val="0"/>
          <w:szCs w:val="19"/>
        </w:rPr>
        <w:t xml:space="preserve"> nie powróciło do wartości odnotowywanych na początku 2020 r. </w:t>
      </w:r>
      <w:r w:rsidR="00966417">
        <w:rPr>
          <w:rFonts w:ascii="Fira Sans" w:hAnsi="Fira Sans"/>
          <w:b w:val="0"/>
          <w:bCs w:val="0"/>
          <w:noProof w:val="0"/>
          <w:szCs w:val="19"/>
        </w:rPr>
        <w:t>W styczniu 2022 r. przeciętne zatrudnienie wzrosło zarówno względem poprzedniego miesiąca</w:t>
      </w:r>
      <w:r w:rsidR="00E95B03">
        <w:rPr>
          <w:rFonts w:ascii="Fira Sans" w:hAnsi="Fira Sans"/>
          <w:b w:val="0"/>
          <w:bCs w:val="0"/>
          <w:noProof w:val="0"/>
          <w:szCs w:val="19"/>
        </w:rPr>
        <w:t>,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jak i stycznia 2021 r.</w:t>
      </w:r>
      <w:r w:rsidR="00AB3EDB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:rsidR="00133F59" w:rsidRDefault="00133F59" w:rsidP="001D1EEB">
      <w:pPr>
        <w:pStyle w:val="Tytuwykresu0"/>
        <w:spacing w:before="120" w:line="288" w:lineRule="auto"/>
        <w:rPr>
          <w:b w:val="0"/>
          <w:bCs w:val="0"/>
          <w:color w:val="000000" w:themeColor="text1"/>
          <w:szCs w:val="19"/>
        </w:rPr>
      </w:pPr>
      <w:r>
        <w:rPr>
          <w:b w:val="0"/>
          <w:bCs w:val="0"/>
          <w:color w:val="000000" w:themeColor="text1"/>
          <w:szCs w:val="19"/>
        </w:rPr>
        <w:t>Tablica 2</w:t>
      </w:r>
      <w:r w:rsidRPr="00133F59">
        <w:rPr>
          <w:b w:val="0"/>
          <w:bCs w:val="0"/>
          <w:color w:val="000000" w:themeColor="text1"/>
          <w:szCs w:val="19"/>
        </w:rPr>
        <w:t>. Przeciętne zatrudnienie w sektorze</w:t>
      </w:r>
      <w:r>
        <w:rPr>
          <w:b w:val="0"/>
          <w:bCs w:val="0"/>
          <w:color w:val="000000" w:themeColor="text1"/>
          <w:szCs w:val="19"/>
        </w:rPr>
        <w:t xml:space="preserve"> </w:t>
      </w:r>
      <w:r w:rsidRPr="00133F59">
        <w:rPr>
          <w:b w:val="0"/>
          <w:bCs w:val="0"/>
          <w:color w:val="000000" w:themeColor="text1"/>
          <w:szCs w:val="19"/>
        </w:rPr>
        <w:t>przedsiębiorstw w styczniu 2022 r</w:t>
      </w:r>
      <w:r>
        <w:rPr>
          <w:b w:val="0"/>
          <w:bCs w:val="0"/>
          <w:color w:val="000000" w:themeColor="text1"/>
          <w:szCs w:val="19"/>
        </w:rPr>
        <w:t>. według rodzajów działalności PKD 2007</w:t>
      </w:r>
    </w:p>
    <w:tbl>
      <w:tblPr>
        <w:tblW w:w="7763" w:type="dxa"/>
        <w:tblBorders>
          <w:top w:val="single" w:sz="2" w:space="0" w:color="001D77"/>
          <w:bottom w:val="single" w:sz="2" w:space="0" w:color="001D77"/>
          <w:insideH w:val="single" w:sz="2" w:space="0" w:color="001D77"/>
          <w:insideV w:val="single" w:sz="2" w:space="0" w:color="001D77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52"/>
        <w:gridCol w:w="1370"/>
        <w:gridCol w:w="1370"/>
        <w:gridCol w:w="1371"/>
      </w:tblGrid>
      <w:tr w:rsidR="00133F59" w:rsidRPr="009A6652" w:rsidTr="00133F59">
        <w:trPr>
          <w:trHeight w:val="450"/>
          <w:tblHeader/>
        </w:trPr>
        <w:tc>
          <w:tcPr>
            <w:tcW w:w="3652" w:type="dxa"/>
            <w:vMerge w:val="restart"/>
            <w:shd w:val="clear" w:color="auto" w:fill="auto"/>
            <w:vAlign w:val="center"/>
          </w:tcPr>
          <w:p w:rsidR="00133F59" w:rsidRPr="00133F59" w:rsidRDefault="00133F59" w:rsidP="00382DC3">
            <w:pPr>
              <w:pStyle w:val="Tablicagwka"/>
            </w:pPr>
            <w:r w:rsidRPr="00133F59">
              <w:t>W</w:t>
            </w:r>
            <w:r>
              <w:t>yszczególnienie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:rsidR="00133F59" w:rsidRPr="00AF4474" w:rsidRDefault="00133F59" w:rsidP="00AF4474">
            <w:pPr>
              <w:pStyle w:val="Tablicagwkarodek"/>
              <w:rPr>
                <w:rFonts w:eastAsia="Fira Sans Light" w:cs="Times New Roman"/>
              </w:rPr>
            </w:pPr>
            <w:r w:rsidRPr="00AF4474">
              <w:rPr>
                <w:rFonts w:eastAsia="Fira Sans Light" w:cs="Times New Roman"/>
              </w:rPr>
              <w:t>01 2021</w:t>
            </w:r>
          </w:p>
        </w:tc>
      </w:tr>
      <w:tr w:rsidR="00133F59" w:rsidRPr="009A6652" w:rsidTr="00133F59">
        <w:trPr>
          <w:trHeight w:val="565"/>
          <w:tblHeader/>
        </w:trPr>
        <w:tc>
          <w:tcPr>
            <w:tcW w:w="3652" w:type="dxa"/>
            <w:vMerge/>
            <w:shd w:val="clear" w:color="auto" w:fill="auto"/>
            <w:vAlign w:val="center"/>
          </w:tcPr>
          <w:p w:rsidR="00133F59" w:rsidRPr="00993903" w:rsidRDefault="00133F59" w:rsidP="004C13C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133F59" w:rsidRPr="00AF4474" w:rsidRDefault="00133F59" w:rsidP="00AF4474">
            <w:pPr>
              <w:pStyle w:val="Tablicagwkarodek"/>
              <w:rPr>
                <w:rFonts w:eastAsia="Fira Sans Light" w:cs="Times New Roman"/>
              </w:rPr>
            </w:pPr>
            <w:r w:rsidRPr="00AF4474">
              <w:rPr>
                <w:rFonts w:eastAsia="Fira Sans Light" w:cs="Times New Roman"/>
              </w:rPr>
              <w:t>w tys. etatów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133F59" w:rsidRPr="00AF4474" w:rsidRDefault="00133F59" w:rsidP="00AF4474">
            <w:pPr>
              <w:pStyle w:val="Tablicagwkarodek"/>
              <w:rPr>
                <w:rFonts w:eastAsia="Fira Sans Light" w:cs="Times New Roman"/>
              </w:rPr>
            </w:pPr>
            <w:r w:rsidRPr="00AF4474">
              <w:rPr>
                <w:rFonts w:eastAsia="Fira Sans Light" w:cs="Times New Roman"/>
              </w:rPr>
              <w:t>12 2021=100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133F59" w:rsidRPr="00AF4474" w:rsidRDefault="00133F59" w:rsidP="00AF4474">
            <w:pPr>
              <w:pStyle w:val="Tablicagwkarodek"/>
              <w:rPr>
                <w:rFonts w:eastAsia="Fira Sans Light" w:cs="Times New Roman"/>
              </w:rPr>
            </w:pPr>
            <w:r w:rsidRPr="00AF4474">
              <w:rPr>
                <w:rFonts w:eastAsia="Fira Sans Light" w:cs="Times New Roman"/>
              </w:rPr>
              <w:t>01 2021=100</w:t>
            </w:r>
          </w:p>
        </w:tc>
      </w:tr>
      <w:tr w:rsidR="00133F59" w:rsidRPr="00993903" w:rsidTr="00133F59">
        <w:trPr>
          <w:trHeight w:val="398"/>
        </w:trPr>
        <w:tc>
          <w:tcPr>
            <w:tcW w:w="3652" w:type="dxa"/>
            <w:shd w:val="clear" w:color="auto" w:fill="auto"/>
            <w:vAlign w:val="bottom"/>
          </w:tcPr>
          <w:p w:rsidR="00133F59" w:rsidRPr="00AF4474" w:rsidRDefault="00133F59" w:rsidP="00AF4474">
            <w:pPr>
              <w:pStyle w:val="Tablicaboczek"/>
              <w:rPr>
                <w:b/>
              </w:rPr>
            </w:pPr>
            <w:r w:rsidRPr="00AF4474">
              <w:rPr>
                <w:b/>
              </w:rPr>
              <w:t>SEKTOR PRZEDSIĘBIORSTW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33F59" w:rsidRPr="00AF4474" w:rsidRDefault="00133F59" w:rsidP="00F3206B">
            <w:pPr>
              <w:pStyle w:val="Tablicadanerodek"/>
            </w:pPr>
            <w:r w:rsidRPr="00AF4474">
              <w:t>6</w:t>
            </w:r>
            <w:r w:rsidR="00F3206B">
              <w:t>459,8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33F59" w:rsidRPr="00AF4474" w:rsidRDefault="00133F59" w:rsidP="00F3206B">
            <w:pPr>
              <w:pStyle w:val="Tablicadanerodek"/>
            </w:pPr>
            <w:r w:rsidRPr="00AF4474">
              <w:t>10</w:t>
            </w:r>
            <w:r w:rsidR="00F3206B">
              <w:t>1,5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33F59" w:rsidRPr="00AF4474" w:rsidRDefault="00133F59" w:rsidP="00F3206B">
            <w:pPr>
              <w:pStyle w:val="Tablicadanerodek"/>
            </w:pPr>
            <w:r w:rsidRPr="00AF4474">
              <w:t>10</w:t>
            </w:r>
            <w:r w:rsidR="00F3206B">
              <w:t>2,3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 xml:space="preserve">Rolnictwo, leśnictwo, łowiectwo </w:t>
            </w:r>
            <w:r w:rsidRPr="00AF4474">
              <w:br/>
              <w:t>i rybactwo</w:t>
            </w:r>
            <w:r w:rsidRPr="00AF4474">
              <w:rPr>
                <w:vertAlign w:val="superscript"/>
              </w:rPr>
              <w:t>a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33,4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99,5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99,0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 xml:space="preserve">Górnictwo i wydobywanie 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123,6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103,6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98,1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Przetwórstwo przemysłowe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2389,7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101,7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101,7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lastRenderedPageBreak/>
              <w:t xml:space="preserve">Wytwarzanie i zaopatrywanie </w:t>
            </w:r>
            <w:r w:rsidRPr="00AF4474">
              <w:br/>
              <w:t>w energię elektryczną, gaz, parę wodną i gorącą wodę</w:t>
            </w:r>
            <w:r w:rsidRPr="00AF4474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112,1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100,4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97,4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Dostawa wody: gospodarowanie ściekami i odpadami; rekultywacja</w:t>
            </w:r>
            <w:r w:rsidRPr="00621F26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137,8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102,3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102,9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Budownictwo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423,7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101,3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100,9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Handel; naprawa pojazdów samochodowych</w:t>
            </w:r>
            <w:r w:rsidRPr="00AF4474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1318,9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100,8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102,7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Transport i gospodarka magazynowa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650,6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102,7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103,5 </w:t>
            </w:r>
          </w:p>
        </w:tc>
      </w:tr>
      <w:tr w:rsidR="00F3206B" w:rsidRPr="006A7AD6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Zakwaterowanie i gastronomia</w:t>
            </w:r>
            <w:r w:rsidRPr="00AF4474">
              <w:rPr>
                <w:vertAlign w:val="superscript"/>
              </w:rPr>
              <w:t>∆</w:t>
            </w:r>
            <w:r w:rsidRPr="00AF4474">
              <w:t xml:space="preserve"> 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119,6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101,0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108,7 </w:t>
            </w:r>
          </w:p>
        </w:tc>
      </w:tr>
      <w:tr w:rsidR="00F3206B" w:rsidRPr="006A7AD6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Informacja i komunikacja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282,9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104,6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110,2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Obsługa rynku nieruchomości</w:t>
            </w:r>
            <w:r w:rsidRPr="00AF4474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90,6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98,8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98,0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Działalność profesjonalna, naukowa i techniczna</w:t>
            </w:r>
            <w:r w:rsidRPr="00AF4474">
              <w:rPr>
                <w:vertAlign w:val="superscript"/>
              </w:rPr>
              <w:t>b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255,4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100,6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104,8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Administrowanie i działalność wspierająca</w:t>
            </w:r>
            <w:r w:rsidRPr="00AF4474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401,3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101,0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100,0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Działalność związana z kulturą, rozrywką i rekreacją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90,4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100,9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101,8 </w:t>
            </w:r>
          </w:p>
        </w:tc>
      </w:tr>
      <w:tr w:rsidR="00F3206B" w:rsidRPr="009A6652" w:rsidTr="00133F59">
        <w:tc>
          <w:tcPr>
            <w:tcW w:w="3652" w:type="dxa"/>
            <w:shd w:val="clear" w:color="auto" w:fill="auto"/>
            <w:vAlign w:val="bottom"/>
          </w:tcPr>
          <w:p w:rsidR="00F3206B" w:rsidRPr="00AF4474" w:rsidRDefault="00F3206B" w:rsidP="00AF4474">
            <w:pPr>
              <w:pStyle w:val="Tablicaboczek"/>
            </w:pPr>
            <w:r w:rsidRPr="00AF4474">
              <w:t>Pozostała działalność usługowa</w:t>
            </w:r>
            <w:r w:rsidRPr="00AF4474">
              <w:rPr>
                <w:vertAlign w:val="superscript"/>
              </w:rPr>
              <w:t>c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D55445" w:rsidRDefault="00F3206B" w:rsidP="00F3206B">
            <w:pPr>
              <w:pStyle w:val="Tablicadanerodek"/>
            </w:pPr>
            <w:r w:rsidRPr="00D55445">
              <w:t>29,7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97,4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F3206B" w:rsidRPr="00F3206B" w:rsidRDefault="00F3206B" w:rsidP="00F3206B">
            <w:pPr>
              <w:pStyle w:val="Tablicadanerodek"/>
            </w:pPr>
            <w:r w:rsidRPr="00F3206B">
              <w:t xml:space="preserve">101,5 </w:t>
            </w:r>
          </w:p>
        </w:tc>
      </w:tr>
    </w:tbl>
    <w:p w:rsidR="00133F59" w:rsidRPr="00622C74" w:rsidRDefault="00AF4474" w:rsidP="00AF4474">
      <w:pPr>
        <w:rPr>
          <w:noProof/>
          <w:spacing w:val="-2"/>
          <w:sz w:val="16"/>
          <w:szCs w:val="16"/>
        </w:rPr>
      </w:pPr>
      <w:r w:rsidRPr="00AF4474">
        <w:rPr>
          <w:noProof/>
          <w:spacing w:val="-2"/>
          <w:sz w:val="16"/>
          <w:szCs w:val="16"/>
        </w:rPr>
        <w:t>a W ramach sektora przedsiębiorstw sekcja ta obejmuje tylko działalność „Leśnictwo i pozyskiwanie drewna”</w:t>
      </w:r>
      <w:r w:rsidRPr="00622C74">
        <w:rPr>
          <w:noProof/>
          <w:spacing w:val="-2"/>
          <w:sz w:val="16"/>
          <w:szCs w:val="16"/>
        </w:rPr>
        <w:t xml:space="preserve"> (dział 02) oraz „Rybołówstwo w wodach morskich” (klasa 03.11); b Z wyłączeniem działalności „Badania naukowe i prace rozwojowe” (dział 72) i „Działalność weterynaryjna” (dział 75); c Z wyłączeniem działalności „Działalność organizacji członkowskich” (dział 94).</w:t>
      </w:r>
      <w:r w:rsidRPr="00622C74">
        <w:rPr>
          <w:noProof/>
          <w:spacing w:val="-2"/>
          <w:sz w:val="16"/>
          <w:szCs w:val="16"/>
        </w:rPr>
        <w:br/>
        <w:t>Znak (∆)  — oznacza, że nazwy zostały skrócone w stosunku do obowiązującej klasyfikacji PKD 2007</w:t>
      </w:r>
      <w:r w:rsidR="00A618CF">
        <w:rPr>
          <w:noProof/>
          <w:spacing w:val="-2"/>
          <w:sz w:val="16"/>
          <w:szCs w:val="16"/>
        </w:rPr>
        <w:t>.</w:t>
      </w:r>
    </w:p>
    <w:p w:rsidR="00AF4474" w:rsidRDefault="00226B1F" w:rsidP="006F535B">
      <w:pPr>
        <w:spacing w:beforeLines="120" w:before="288" w:afterLines="120" w:after="288" w:line="288" w:lineRule="auto"/>
        <w:rPr>
          <w:szCs w:val="19"/>
        </w:rPr>
      </w:pPr>
      <w:r>
        <w:rPr>
          <w:noProof/>
          <w:szCs w:val="19"/>
          <w:lang w:eastAsia="pl-PL"/>
        </w:rPr>
        <w:pict>
          <v:shape id="_x0000_s1035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-15.5pt;width:135.85pt;height:142.5pt;z-index:-251551744;visibility:visible;mso-wrap-distance-top:3.6pt;mso-wrap-distance-bottom:3.6pt;mso-width-relative:margin;mso-height-relative:margin" wrapcoords="0 0" filled="f" stroked="f">
            <v:textbox style="mso-next-textbox:#_x0000_s1035">
              <w:txbxContent>
                <w:p w:rsidR="004C13CA" w:rsidRPr="00FD5ADA" w:rsidRDefault="004C13CA" w:rsidP="00702B55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Przeciętne miesięczne wynagrodzenie brutto w sektorze przedsiębiorstw obejmuje wynagrodzenie zasadnicze oraz dodatkowe składowe wynagrodzeń, m.in. premie, nagrody, wynagrodzenie za płacę w godzinach nadliczbowych oraz odprawy emerytalne </w:t>
                  </w:r>
                </w:p>
              </w:txbxContent>
            </v:textbox>
            <w10:wrap type="tight"/>
          </v:shape>
        </w:pict>
      </w:r>
      <w:r w:rsidR="00AF4474">
        <w:rPr>
          <w:szCs w:val="19"/>
        </w:rPr>
        <w:t xml:space="preserve">W </w:t>
      </w:r>
      <w:r w:rsidR="004C13CA">
        <w:rPr>
          <w:szCs w:val="19"/>
        </w:rPr>
        <w:t>styczniu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</w:t>
      </w:r>
      <w:r w:rsidR="00AF4474" w:rsidRPr="00330124">
        <w:rPr>
          <w:b/>
          <w:szCs w:val="19"/>
        </w:rPr>
        <w:t>przeciętne miesięczne wynagrodzenie brutto w sektorze przedsiębiorstw</w:t>
      </w:r>
      <w:r w:rsidR="00AF4474">
        <w:rPr>
          <w:b/>
          <w:szCs w:val="19"/>
        </w:rPr>
        <w:t xml:space="preserve"> </w:t>
      </w:r>
      <w:r w:rsidR="004C13CA">
        <w:rPr>
          <w:szCs w:val="19"/>
        </w:rPr>
        <w:t>zmniejszyło</w:t>
      </w:r>
      <w:r w:rsidR="00AF4474">
        <w:rPr>
          <w:szCs w:val="19"/>
        </w:rPr>
        <w:t xml:space="preserve"> się względem </w:t>
      </w:r>
      <w:r w:rsidR="004C13CA">
        <w:rPr>
          <w:szCs w:val="19"/>
        </w:rPr>
        <w:t>grudnia</w:t>
      </w:r>
      <w:r w:rsidR="00AF4474">
        <w:rPr>
          <w:szCs w:val="19"/>
        </w:rPr>
        <w:t xml:space="preserve"> 2021 r. o </w:t>
      </w:r>
      <w:r w:rsidR="004C13CA">
        <w:rPr>
          <w:szCs w:val="19"/>
        </w:rPr>
        <w:t>8,7</w:t>
      </w:r>
      <w:r w:rsidR="00AF4474">
        <w:rPr>
          <w:szCs w:val="19"/>
        </w:rPr>
        <w:t xml:space="preserve">%, podczas gdy w </w:t>
      </w:r>
      <w:r w:rsidR="003E6748">
        <w:rPr>
          <w:szCs w:val="19"/>
        </w:rPr>
        <w:t>styczn</w:t>
      </w:r>
      <w:r w:rsidR="004C13CA">
        <w:rPr>
          <w:szCs w:val="19"/>
        </w:rPr>
        <w:t>iu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1</w:t>
      </w:r>
      <w:r w:rsidR="00AF4474">
        <w:rPr>
          <w:szCs w:val="19"/>
        </w:rPr>
        <w:t xml:space="preserve"> r. względem </w:t>
      </w:r>
      <w:r w:rsidR="004C13CA">
        <w:rPr>
          <w:szCs w:val="19"/>
        </w:rPr>
        <w:t>grudnia</w:t>
      </w:r>
      <w:r w:rsidR="00AF4474">
        <w:rPr>
          <w:szCs w:val="19"/>
        </w:rPr>
        <w:t xml:space="preserve"> 202</w:t>
      </w:r>
      <w:r w:rsidR="006F6EE4">
        <w:rPr>
          <w:szCs w:val="19"/>
        </w:rPr>
        <w:t>0</w:t>
      </w:r>
      <w:r w:rsidR="004C13CA">
        <w:rPr>
          <w:szCs w:val="19"/>
        </w:rPr>
        <w:t xml:space="preserve"> r.</w:t>
      </w:r>
      <w:r w:rsidR="00F62065">
        <w:rPr>
          <w:szCs w:val="19"/>
        </w:rPr>
        <w:t xml:space="preserve"> </w:t>
      </w:r>
      <w:r w:rsidR="004C13CA">
        <w:rPr>
          <w:szCs w:val="19"/>
        </w:rPr>
        <w:t>płace zanotowały spadek o 7,3%.</w:t>
      </w:r>
      <w:r w:rsidR="00AF4474">
        <w:rPr>
          <w:szCs w:val="19"/>
        </w:rPr>
        <w:t xml:space="preserve"> </w:t>
      </w:r>
      <w:r w:rsidR="004C13CA">
        <w:rPr>
          <w:szCs w:val="19"/>
        </w:rPr>
        <w:t>Spadek</w:t>
      </w:r>
      <w:r w:rsidR="00AF4474">
        <w:rPr>
          <w:szCs w:val="19"/>
        </w:rPr>
        <w:t xml:space="preserve"> wynagrodzeń w </w:t>
      </w:r>
      <w:r w:rsidR="004C13CA">
        <w:rPr>
          <w:szCs w:val="19"/>
        </w:rPr>
        <w:t>styczniu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względem </w:t>
      </w:r>
      <w:r w:rsidR="004C13CA">
        <w:rPr>
          <w:szCs w:val="19"/>
        </w:rPr>
        <w:t>grudnia</w:t>
      </w:r>
      <w:r w:rsidR="00AF4474">
        <w:rPr>
          <w:szCs w:val="19"/>
        </w:rPr>
        <w:t xml:space="preserve"> 2021 r. </w:t>
      </w:r>
      <w:r w:rsidR="00F62065">
        <w:rPr>
          <w:szCs w:val="19"/>
        </w:rPr>
        <w:t>jest efektem zmniejszenia skali lub wręcz niewystępowania w</w:t>
      </w:r>
      <w:r w:rsidR="00D33834">
        <w:rPr>
          <w:szCs w:val="19"/>
        </w:rPr>
        <w:t> </w:t>
      </w:r>
      <w:r w:rsidR="00F62065">
        <w:rPr>
          <w:szCs w:val="19"/>
        </w:rPr>
        <w:t xml:space="preserve">styczniu wypłat, które miały miejsce w poprzednim miesiącu, m.in. </w:t>
      </w:r>
      <w:r w:rsidR="00AF4474">
        <w:rPr>
          <w:szCs w:val="19"/>
        </w:rPr>
        <w:t>premii kwartalnych, świątecznych, nagród z okazji Dnia Górnika, nagród rocznych, uznaniowych, jubileuszowych, dodatkowych nagród jednorazowych, roz</w:t>
      </w:r>
      <w:r w:rsidR="003E6748">
        <w:rPr>
          <w:szCs w:val="19"/>
        </w:rPr>
        <w:t>liczenia wynagrodzeń za pracę w </w:t>
      </w:r>
      <w:r w:rsidR="00AF4474">
        <w:rPr>
          <w:szCs w:val="19"/>
        </w:rPr>
        <w:t>godzinach nadlicz</w:t>
      </w:r>
      <w:r w:rsidR="00AF4474">
        <w:rPr>
          <w:szCs w:val="19"/>
        </w:rPr>
        <w:lastRenderedPageBreak/>
        <w:t xml:space="preserve">bowych oraz odpraw emerytalnych </w:t>
      </w:r>
      <w:r w:rsidR="00AF4474" w:rsidRPr="002D6BA5">
        <w:rPr>
          <w:szCs w:val="19"/>
        </w:rPr>
        <w:t xml:space="preserve">(które obok wynagrodzeń zasadniczych </w:t>
      </w:r>
      <w:r w:rsidR="00AF4474">
        <w:rPr>
          <w:szCs w:val="19"/>
        </w:rPr>
        <w:t>również</w:t>
      </w:r>
      <w:r w:rsidR="00AF4474" w:rsidRPr="002D6BA5">
        <w:rPr>
          <w:szCs w:val="19"/>
        </w:rPr>
        <w:t xml:space="preserve"> zaliczane są do składników wynagrodzeń</w:t>
      </w:r>
      <w:r w:rsidR="00AF4474" w:rsidRPr="002D6BA5">
        <w:rPr>
          <w:rStyle w:val="Odwoanieprzypisudolnego"/>
          <w:szCs w:val="19"/>
        </w:rPr>
        <w:footnoteReference w:id="4"/>
      </w:r>
      <w:r w:rsidR="00AF4474">
        <w:rPr>
          <w:szCs w:val="19"/>
        </w:rPr>
        <w:t xml:space="preserve">). </w:t>
      </w:r>
    </w:p>
    <w:p w:rsidR="00AF4474" w:rsidRDefault="00AF4474" w:rsidP="006F535B">
      <w:pPr>
        <w:spacing w:beforeLines="120" w:before="288" w:afterLines="120" w:after="288" w:line="288" w:lineRule="auto"/>
        <w:rPr>
          <w:szCs w:val="19"/>
        </w:rPr>
      </w:pPr>
      <w:r>
        <w:rPr>
          <w:szCs w:val="19"/>
        </w:rPr>
        <w:t xml:space="preserve">W skali roku </w:t>
      </w:r>
      <w:r w:rsidRPr="00D033A8">
        <w:rPr>
          <w:szCs w:val="19"/>
        </w:rPr>
        <w:t>(</w:t>
      </w:r>
      <w:r w:rsidR="004C13CA">
        <w:rPr>
          <w:szCs w:val="19"/>
        </w:rPr>
        <w:t>styczeń</w:t>
      </w:r>
      <w:r w:rsidRPr="00D033A8">
        <w:rPr>
          <w:szCs w:val="19"/>
        </w:rPr>
        <w:t xml:space="preserve"> </w:t>
      </w:r>
      <w:r>
        <w:rPr>
          <w:szCs w:val="19"/>
        </w:rPr>
        <w:t>202</w:t>
      </w:r>
      <w:r w:rsidR="004C13CA">
        <w:rPr>
          <w:szCs w:val="19"/>
        </w:rPr>
        <w:t>2</w:t>
      </w:r>
      <w:r w:rsidRPr="00D033A8">
        <w:rPr>
          <w:szCs w:val="19"/>
        </w:rPr>
        <w:t xml:space="preserve"> r. do </w:t>
      </w:r>
      <w:r w:rsidR="004C13CA">
        <w:rPr>
          <w:szCs w:val="19"/>
        </w:rPr>
        <w:t>stycznia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 w:rsidRPr="00D033A8">
        <w:rPr>
          <w:szCs w:val="19"/>
        </w:rPr>
        <w:t xml:space="preserve"> r.) przeciętne miesięczne wynagrodzenie </w:t>
      </w:r>
      <w:r>
        <w:rPr>
          <w:szCs w:val="19"/>
        </w:rPr>
        <w:t xml:space="preserve">brutto </w:t>
      </w:r>
      <w:r w:rsidRPr="00D033A8">
        <w:rPr>
          <w:szCs w:val="19"/>
        </w:rPr>
        <w:t>wzrosło o </w:t>
      </w:r>
      <w:r w:rsidR="004C13CA">
        <w:rPr>
          <w:szCs w:val="19"/>
        </w:rPr>
        <w:t>9,5</w:t>
      </w:r>
      <w:r>
        <w:rPr>
          <w:szCs w:val="19"/>
        </w:rPr>
        <w:t>%. Przed rokiem (</w:t>
      </w:r>
      <w:r w:rsidR="004C13CA">
        <w:rPr>
          <w:szCs w:val="19"/>
        </w:rPr>
        <w:t>styczeń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>
        <w:rPr>
          <w:szCs w:val="19"/>
        </w:rPr>
        <w:t xml:space="preserve"> r. do </w:t>
      </w:r>
      <w:r w:rsidR="004C13CA">
        <w:rPr>
          <w:szCs w:val="19"/>
        </w:rPr>
        <w:t>stycznia</w:t>
      </w:r>
      <w:r>
        <w:rPr>
          <w:szCs w:val="19"/>
        </w:rPr>
        <w:t xml:space="preserve"> </w:t>
      </w:r>
      <w:r w:rsidR="004C13CA">
        <w:rPr>
          <w:szCs w:val="19"/>
        </w:rPr>
        <w:t>2020</w:t>
      </w:r>
      <w:r>
        <w:rPr>
          <w:szCs w:val="19"/>
        </w:rPr>
        <w:t xml:space="preserve"> r.) odnotowano dynamikę wzrostu płac na poziomie </w:t>
      </w:r>
      <w:r w:rsidR="004C13CA">
        <w:rPr>
          <w:szCs w:val="19"/>
        </w:rPr>
        <w:t>4</w:t>
      </w:r>
      <w:r>
        <w:rPr>
          <w:szCs w:val="19"/>
        </w:rPr>
        <w:t>,</w:t>
      </w:r>
      <w:r w:rsidR="004C13CA">
        <w:rPr>
          <w:szCs w:val="19"/>
        </w:rPr>
        <w:t>8</w:t>
      </w:r>
      <w:r>
        <w:rPr>
          <w:szCs w:val="19"/>
        </w:rPr>
        <w:t xml:space="preserve">%. </w:t>
      </w:r>
    </w:p>
    <w:p w:rsidR="00622187" w:rsidRDefault="00226B1F" w:rsidP="00966C9A">
      <w:pPr>
        <w:pStyle w:val="Tytuwykresu0"/>
      </w:pPr>
      <w:r>
        <w:rPr>
          <w:szCs w:val="19"/>
        </w:rPr>
        <w:pict>
          <v:shape id="_x0000_s1036" type="#_x0000_t202" alt="Pole tekstowe: W 2022 r. minimalne wynagrodzenie za pracę wzrosło do 3010 zł, tj. o 7,5% wzglę-dem roku poprzedniego, kiedy to wynosiło 2800 zł " style="position:absolute;margin-left:412.15pt;margin-top:53.25pt;width:135.85pt;height:109.3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:rsidR="004C13CA" w:rsidRPr="00FD5ADA" w:rsidRDefault="004C13CA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W 2022 r. minimalne wynagrodzenie za pracę wzrosło do 3010 zł, tj. o 7,5% względem roku poprzedniego, kiedy to wynosiło 2800 zł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 xml:space="preserve">Przeciętne miesięczne wynagrodzenie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622187" w:rsidRPr="00622187">
        <w:t xml:space="preserve"> </w:t>
      </w:r>
    </w:p>
    <w:p w:rsidR="003E6748" w:rsidRPr="00622187" w:rsidRDefault="00622187" w:rsidP="00622187">
      <w:pPr>
        <w:pStyle w:val="Tytuwykresu0"/>
        <w:spacing w:before="120" w:line="288" w:lineRule="auto"/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</w:pPr>
      <w:r w:rsidRPr="00622187">
        <w:rPr>
          <w:rFonts w:ascii="Fira Sans" w:eastAsiaTheme="minorHAnsi" w:hAnsi="Fira Sans" w:cstheme="minorBidi"/>
          <w:b w:val="0"/>
          <w:bCs w:val="0"/>
          <w:szCs w:val="19"/>
        </w:rPr>
        <w:drawing>
          <wp:anchor distT="0" distB="0" distL="114300" distR="114300" simplePos="0" relativeHeight="251771904" behindDoc="0" locked="1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1905</wp:posOffset>
            </wp:positionV>
            <wp:extent cx="5126990" cy="2966085"/>
            <wp:effectExtent l="19050" t="0" r="0" b="0"/>
            <wp:wrapTopAndBottom/>
            <wp:docPr id="3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styczniu 2022 r.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przeciętne miesięczne wynagrodzenie brut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to w sektorze przedsiębiorstw w 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stosunku do 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stycznia 2021 r.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wzrosło we wszystkich sekcjach PKD 2007 od 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3,6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 sekcji „Wytwarzanie i zaopatrywanie w energię elektryczną, gaz, parę wodną i gorącą wodę” do 1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6,8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 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sekcji „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Zakwaterowanie i gastronomia”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co dało ogółem wzrost w sektorze przedsiębiorstw o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9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%. Najwyższą przeciętną płacę brutto w sektorze przedsiębiorstw w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styczniu 2022 r.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odnotowano w sekcji „Informacja i komunikacja” w wysokości 10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355,97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(wzrost o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7,2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 względem analogicznego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miesiąca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roku poprzedniego), zaś najniższą w sekcji „Zakwaterowanie i gastronomia” na poziomie 4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461,01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(pomimo wzrostu w odniesieniu do </w:t>
      </w:r>
      <w:r w:rsidR="00E06B72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stycznia 2021 r.</w:t>
      </w:r>
      <w:r w:rsidR="00D338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 16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%).</w:t>
      </w:r>
    </w:p>
    <w:p w:rsidR="00C2045B" w:rsidRDefault="00226B1F" w:rsidP="00C2045B">
      <w:pPr>
        <w:spacing w:line="288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>
        <w:rPr>
          <w:bCs/>
          <w:noProof/>
          <w:szCs w:val="19"/>
          <w:lang w:eastAsia="pl-PL"/>
        </w:rPr>
        <w:pict>
          <v:shape id="_x0000_s1041" type="#_x0000_t202" alt="Pole tekstowe: Spadek wynagrodzeń w styczniu względem grudnia poprzedniego roku jest zjawiskiem obserwowanym co roku w tym okresie " style="position:absolute;margin-left:411.3pt;margin-top:22.5pt;width:135.85pt;height:88.8pt;z-index:-251546624;visibility:visible;mso-wrap-distance-top:3.6pt;mso-wrap-distance-bottom:3.6pt;mso-width-relative:margin;mso-height-relative:margin" wrapcoords="0 0" filled="f" stroked="f">
            <v:textbox style="mso-next-textbox:#_x0000_s1041">
              <w:txbxContent>
                <w:p w:rsidR="00101FDB" w:rsidRPr="00FD5ADA" w:rsidRDefault="00101FDB" w:rsidP="00101FDB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>Spadek wynagrodzeń w</w:t>
                  </w:r>
                  <w:r w:rsidR="00EA1AF5">
                    <w:rPr>
                      <w:bCs w:val="0"/>
                    </w:rPr>
                    <w:t> </w:t>
                  </w:r>
                  <w:r>
                    <w:rPr>
                      <w:bCs w:val="0"/>
                    </w:rPr>
                    <w:t xml:space="preserve">styczniu względem grudnia poprzedniego roku jest zjawiskiem obserwowanym co roku w tym okresie </w:t>
                  </w:r>
                </w:p>
              </w:txbxContent>
            </v:textbox>
            <w10:wrap type="tight"/>
          </v:shape>
        </w:pict>
      </w:r>
      <w:r w:rsidR="00C2045B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3</w:t>
      </w:r>
      <w:r w:rsidR="00C2045B" w:rsidRPr="00133F59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. Przeciętne </w:t>
      </w:r>
      <w:r w:rsidR="00C2045B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miesięczne wynagrodzenie brutto</w:t>
      </w:r>
      <w:r w:rsidR="00C2045B" w:rsidRPr="00133F59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C2045B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</w:t>
      </w:r>
      <w:r w:rsidR="00C2045B" w:rsidRPr="00133F59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przedsiębiorstw w</w:t>
      </w:r>
      <w:r w:rsidR="006B669B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 </w:t>
      </w:r>
      <w:r w:rsidR="00C2045B" w:rsidRPr="00133F59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styczniu 2022 r</w:t>
      </w:r>
      <w:r w:rsidR="00C2045B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. według rodzajów działalności PKD 2007</w:t>
      </w:r>
    </w:p>
    <w:tbl>
      <w:tblPr>
        <w:tblW w:w="7763" w:type="dxa"/>
        <w:tblBorders>
          <w:top w:val="single" w:sz="2" w:space="0" w:color="001D77"/>
          <w:bottom w:val="single" w:sz="2" w:space="0" w:color="001D77"/>
          <w:insideH w:val="single" w:sz="2" w:space="0" w:color="001D77"/>
          <w:insideV w:val="single" w:sz="2" w:space="0" w:color="001D77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52"/>
        <w:gridCol w:w="1370"/>
        <w:gridCol w:w="1370"/>
        <w:gridCol w:w="1371"/>
      </w:tblGrid>
      <w:tr w:rsidR="00C2045B" w:rsidRPr="009A6652" w:rsidTr="004C13CA">
        <w:trPr>
          <w:trHeight w:val="450"/>
          <w:tblHeader/>
        </w:trPr>
        <w:tc>
          <w:tcPr>
            <w:tcW w:w="3652" w:type="dxa"/>
            <w:vMerge w:val="restart"/>
            <w:shd w:val="clear" w:color="auto" w:fill="auto"/>
            <w:vAlign w:val="center"/>
          </w:tcPr>
          <w:p w:rsidR="00C2045B" w:rsidRPr="00133F59" w:rsidRDefault="00C2045B" w:rsidP="00382DC3">
            <w:pPr>
              <w:pStyle w:val="Tablicagwka"/>
            </w:pPr>
            <w:r w:rsidRPr="00133F59">
              <w:t>W</w:t>
            </w:r>
            <w:r>
              <w:t>yszczególnienie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:rsidR="00C2045B" w:rsidRPr="00AF4474" w:rsidRDefault="00C2045B" w:rsidP="004C13CA">
            <w:pPr>
              <w:pStyle w:val="Tablicagwkarodek"/>
              <w:rPr>
                <w:rFonts w:eastAsia="Fira Sans Light" w:cs="Times New Roman"/>
              </w:rPr>
            </w:pPr>
            <w:r w:rsidRPr="00AF4474">
              <w:rPr>
                <w:rFonts w:eastAsia="Fira Sans Light" w:cs="Times New Roman"/>
              </w:rPr>
              <w:t>01 2021</w:t>
            </w:r>
          </w:p>
        </w:tc>
      </w:tr>
      <w:tr w:rsidR="00C2045B" w:rsidRPr="009A6652" w:rsidTr="004C13CA">
        <w:trPr>
          <w:trHeight w:val="565"/>
          <w:tblHeader/>
        </w:trPr>
        <w:tc>
          <w:tcPr>
            <w:tcW w:w="3652" w:type="dxa"/>
            <w:vMerge/>
            <w:shd w:val="clear" w:color="auto" w:fill="auto"/>
            <w:vAlign w:val="center"/>
          </w:tcPr>
          <w:p w:rsidR="00C2045B" w:rsidRPr="00993903" w:rsidRDefault="00C2045B" w:rsidP="004C13C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C2045B" w:rsidRPr="00AF4474" w:rsidRDefault="00A711CD" w:rsidP="004C13CA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złotych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C2045B" w:rsidRPr="00AF4474" w:rsidRDefault="00C2045B" w:rsidP="004C13CA">
            <w:pPr>
              <w:pStyle w:val="Tablicagwkarodek"/>
              <w:rPr>
                <w:rFonts w:eastAsia="Fira Sans Light" w:cs="Times New Roman"/>
              </w:rPr>
            </w:pPr>
            <w:r w:rsidRPr="00AF4474">
              <w:rPr>
                <w:rFonts w:eastAsia="Fira Sans Light" w:cs="Times New Roman"/>
              </w:rPr>
              <w:t>12 2021=100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C2045B" w:rsidRPr="00AF4474" w:rsidRDefault="00C2045B" w:rsidP="004C13CA">
            <w:pPr>
              <w:pStyle w:val="Tablicagwkarodek"/>
              <w:rPr>
                <w:rFonts w:eastAsia="Fira Sans Light" w:cs="Times New Roman"/>
              </w:rPr>
            </w:pPr>
            <w:r w:rsidRPr="00AF4474">
              <w:rPr>
                <w:rFonts w:eastAsia="Fira Sans Light" w:cs="Times New Roman"/>
              </w:rPr>
              <w:t>01 2021=100</w:t>
            </w:r>
          </w:p>
        </w:tc>
      </w:tr>
      <w:tr w:rsidR="00C2045B" w:rsidRPr="00993903" w:rsidTr="004C13CA">
        <w:trPr>
          <w:trHeight w:val="398"/>
        </w:trPr>
        <w:tc>
          <w:tcPr>
            <w:tcW w:w="3652" w:type="dxa"/>
            <w:shd w:val="clear" w:color="auto" w:fill="auto"/>
            <w:vAlign w:val="bottom"/>
          </w:tcPr>
          <w:p w:rsidR="00C2045B" w:rsidRPr="00AF4474" w:rsidRDefault="00C2045B" w:rsidP="004C13CA">
            <w:pPr>
              <w:pStyle w:val="Tablicaboczek"/>
              <w:rPr>
                <w:b/>
              </w:rPr>
            </w:pPr>
            <w:r w:rsidRPr="00AF4474">
              <w:rPr>
                <w:b/>
              </w:rPr>
              <w:t>SEKTOR PRZEDSIĘBIORSTW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2045B" w:rsidRPr="00AF4474" w:rsidRDefault="00101FDB" w:rsidP="00101FDB">
            <w:pPr>
              <w:pStyle w:val="Tablicadanerodek"/>
            </w:pPr>
            <w:r>
              <w:t>6064,24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2045B" w:rsidRPr="00AF4474" w:rsidRDefault="00101FDB" w:rsidP="004C13CA">
            <w:pPr>
              <w:pStyle w:val="Tablicadanerodek"/>
            </w:pPr>
            <w:r>
              <w:t>91,3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C2045B" w:rsidRPr="00AF4474" w:rsidRDefault="00101FDB" w:rsidP="004C13CA">
            <w:pPr>
              <w:pStyle w:val="Tablicadanerodek"/>
            </w:pPr>
            <w:r>
              <w:t>109,5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 xml:space="preserve">Rolnictwo, leśnictwo, łowiectwo </w:t>
            </w:r>
            <w:r w:rsidRPr="00AF4474">
              <w:br/>
              <w:t>i rybactwo</w:t>
            </w:r>
            <w:r w:rsidRPr="00AF4474">
              <w:rPr>
                <w:vertAlign w:val="superscript"/>
              </w:rPr>
              <w:t>a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8 010,16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54,3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112,1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 xml:space="preserve">Górnictwo i wydobywanie 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7 768,73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47,9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110,0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Przetwórstwo przemysłowe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5 770,95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94,2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108,6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lastRenderedPageBreak/>
              <w:t xml:space="preserve">Wytwarzanie i zaopatrywanie </w:t>
            </w:r>
            <w:r w:rsidRPr="00AF4474">
              <w:br/>
              <w:t>w energię elektryczną, gaz, parę wodną i gorącą wodę</w:t>
            </w:r>
            <w:r w:rsidRPr="00AF4474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8 735,60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88,9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103,6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Dostawa wody: gospodarowanie ściekami i odpadami; rekultywacja</w:t>
            </w:r>
            <w:r w:rsidRPr="00621F26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5 418,66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85,3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107,4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Budownictwo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5 940,72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93,4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112,1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Handel; naprawa pojazdów samochodowych</w:t>
            </w:r>
            <w:r w:rsidRPr="00AF4474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5 854,15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95,0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110,7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Transport i gospodarka magazynowa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5 285,38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94,1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108,9 </w:t>
            </w:r>
          </w:p>
        </w:tc>
      </w:tr>
      <w:tr w:rsidR="00101FDB" w:rsidRPr="006A7AD6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Zakwaterowanie i gastronomia</w:t>
            </w:r>
            <w:r w:rsidRPr="00AF4474">
              <w:rPr>
                <w:vertAlign w:val="superscript"/>
              </w:rPr>
              <w:t>∆</w:t>
            </w:r>
            <w:r w:rsidRPr="00AF4474">
              <w:t xml:space="preserve"> 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4 461,01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98,2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116,8 </w:t>
            </w:r>
          </w:p>
        </w:tc>
      </w:tr>
      <w:tr w:rsidR="00101FDB" w:rsidRPr="006A7AD6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Informacja i komunikacja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10 355,97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92,8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107,2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Obsługa rynku nieruchomości</w:t>
            </w:r>
            <w:r w:rsidRPr="00AF4474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6 164,37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84,9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109,2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Działalność profesjonalna, naukowa i techniczna</w:t>
            </w:r>
            <w:r w:rsidRPr="00AF4474">
              <w:rPr>
                <w:vertAlign w:val="superscript"/>
              </w:rPr>
              <w:t>b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8 640,66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93,5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110,2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Administrowanie i działalność wspierająca</w:t>
            </w:r>
            <w:r w:rsidRPr="00AF4474">
              <w:rPr>
                <w:vertAlign w:val="superscript"/>
              </w:rPr>
              <w:t>∆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4 738,93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98,8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108,4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Działalność związana z kulturą, rozrywką i rekreacją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5 338,20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81,5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116,1 </w:t>
            </w:r>
          </w:p>
        </w:tc>
      </w:tr>
      <w:tr w:rsidR="00101FDB" w:rsidRPr="009A6652" w:rsidTr="004C13CA">
        <w:tc>
          <w:tcPr>
            <w:tcW w:w="3652" w:type="dxa"/>
            <w:shd w:val="clear" w:color="auto" w:fill="auto"/>
            <w:vAlign w:val="bottom"/>
          </w:tcPr>
          <w:p w:rsidR="00101FDB" w:rsidRPr="00AF4474" w:rsidRDefault="00101FDB" w:rsidP="004C13CA">
            <w:pPr>
              <w:pStyle w:val="Tablicaboczek"/>
            </w:pPr>
            <w:r w:rsidRPr="00AF4474">
              <w:t>Pozostała działalność usługowa</w:t>
            </w:r>
            <w:r w:rsidRPr="00AF4474">
              <w:rPr>
                <w:vertAlign w:val="superscript"/>
              </w:rPr>
              <w:t>c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6A7A78" w:rsidRDefault="00101FDB" w:rsidP="00101FDB">
            <w:pPr>
              <w:pStyle w:val="Tablicadanerodek"/>
            </w:pPr>
            <w:r w:rsidRPr="006A7A78">
              <w:t>4 685,88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93,4 </w:t>
            </w:r>
          </w:p>
        </w:tc>
        <w:tc>
          <w:tcPr>
            <w:tcW w:w="1371" w:type="dxa"/>
            <w:shd w:val="clear" w:color="auto" w:fill="auto"/>
            <w:vAlign w:val="bottom"/>
          </w:tcPr>
          <w:p w:rsidR="00101FDB" w:rsidRPr="00101FDB" w:rsidRDefault="00101FDB" w:rsidP="00101FDB">
            <w:pPr>
              <w:pStyle w:val="Tablicadanerodek"/>
            </w:pPr>
            <w:r w:rsidRPr="00101FDB">
              <w:t xml:space="preserve">105,5 </w:t>
            </w:r>
          </w:p>
        </w:tc>
      </w:tr>
    </w:tbl>
    <w:p w:rsidR="00C2045B" w:rsidRPr="00622C74" w:rsidRDefault="00C2045B" w:rsidP="00C2045B">
      <w:pPr>
        <w:rPr>
          <w:noProof/>
          <w:spacing w:val="-2"/>
          <w:sz w:val="16"/>
          <w:szCs w:val="16"/>
        </w:rPr>
      </w:pPr>
      <w:r w:rsidRPr="00AF4474">
        <w:rPr>
          <w:noProof/>
          <w:spacing w:val="-2"/>
          <w:sz w:val="16"/>
          <w:szCs w:val="16"/>
        </w:rPr>
        <w:t>a W ramach sektora przedsiębiorstw sekcja ta obejmuje tylko działalność „Leśnictwo i pozyskiwanie drewna”</w:t>
      </w:r>
      <w:r w:rsidRPr="00622C74">
        <w:rPr>
          <w:noProof/>
          <w:spacing w:val="-2"/>
          <w:sz w:val="16"/>
          <w:szCs w:val="16"/>
        </w:rPr>
        <w:t xml:space="preserve"> (dział 02) oraz „Rybołówstwo w wodach morskich” (klasa 03.11); b Z wyłączeniem działalności „Badania naukowe i prace rozwojowe” (dział 72) i „Działalność weterynaryjna” (dział 75); c Z wyłączeniem działalności „Działalność organizacji członkowskich” (dział 94).</w:t>
      </w:r>
      <w:r w:rsidRPr="00622C74">
        <w:rPr>
          <w:noProof/>
          <w:spacing w:val="-2"/>
          <w:sz w:val="16"/>
          <w:szCs w:val="16"/>
        </w:rPr>
        <w:br/>
        <w:t>Znak (∆)  — oznacza, że nazwy zostały skrócone w stosunku do obowiązującej klasyfikacji PKD 2007</w:t>
      </w:r>
      <w:r w:rsidR="00093B81">
        <w:rPr>
          <w:noProof/>
          <w:spacing w:val="-2"/>
          <w:sz w:val="16"/>
          <w:szCs w:val="16"/>
        </w:rPr>
        <w:t>.</w:t>
      </w:r>
    </w:p>
    <w:p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t>Wyjaśnienia metodologiczne</w:t>
      </w:r>
    </w:p>
    <w:p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>Sektor przedsiębiorstw dotyczy podmiotów, w których liczba pracujących przekracza 9 osób, prowadzących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rybołówstwa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wytwarzania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naprawy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>nowej; działalności 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>komunikacji; działalności związanej z obsługą rynku nieruchomości; działalności prawniczej, 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(head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offi</w:t>
      </w:r>
      <w:r w:rsidRPr="00330312">
        <w:rPr>
          <w:szCs w:val="19"/>
        </w:rPr>
        <w:lastRenderedPageBreak/>
        <w:t>ces); doradztwa związanego z zarządzaniem; działalności w zakresie architektury i inżynierii; badań i analiz technicznych; reklamy, badania rynku i opinii publicznej; pozostałej działaln</w:t>
      </w:r>
      <w:r>
        <w:rPr>
          <w:szCs w:val="19"/>
        </w:rPr>
        <w:t xml:space="preserve">ości profesjonalnej,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indywidualnej działalności usługowej.</w:t>
      </w:r>
    </w:p>
    <w:p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5"/>
      </w:r>
    </w:p>
    <w:p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podstawie umowy zlecenia i umowy o dzieło - szczegółowy zakres wyłączeń z opisem metod obliczania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6"/>
      </w:r>
      <w:r>
        <w:rPr>
          <w:szCs w:val="19"/>
        </w:rPr>
        <w:t xml:space="preserve">. </w:t>
      </w:r>
    </w:p>
    <w:p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formularzu DG-1, prezentowane wyniki mają charakter wstępny</w:t>
      </w:r>
      <w:r w:rsidRPr="00012AA5">
        <w:rPr>
          <w:szCs w:val="19"/>
        </w:rPr>
        <w:t xml:space="preserve">. W przypadku braku pełnej ewidencji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:rsidR="00401025" w:rsidRDefault="00401025" w:rsidP="00401025">
      <w:pPr>
        <w:spacing w:line="288" w:lineRule="auto"/>
        <w:rPr>
          <w:szCs w:val="19"/>
        </w:rPr>
      </w:pPr>
    </w:p>
    <w:p w:rsidR="00694AF0" w:rsidRPr="009D2045" w:rsidRDefault="00694AF0" w:rsidP="00E76D26">
      <w:pPr>
        <w:rPr>
          <w:sz w:val="18"/>
        </w:rPr>
      </w:pPr>
    </w:p>
    <w:p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:rsidR="00DE2400" w:rsidRPr="00DE2400" w:rsidRDefault="00DE2400" w:rsidP="004C13CA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401025">
              <w:rPr>
                <w:b/>
                <w:lang w:val="fi-FI"/>
              </w:rPr>
              <w:t>Agnieszka Zgierska</w:t>
            </w:r>
          </w:p>
          <w:p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DE2400" w:rsidRDefault="00DE2400" w:rsidP="004C13CA">
            <w:pPr>
              <w:rPr>
                <w:sz w:val="18"/>
              </w:rPr>
            </w:pPr>
          </w:p>
        </w:tc>
      </w:tr>
      <w:tr w:rsidR="00DE2400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:rsidTr="00B84C43">
        <w:trPr>
          <w:trHeight w:val="418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>
        <w:trPr>
          <w:trHeight w:val="476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>
        <w:trPr>
          <w:trHeight w:val="42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:rsidTr="00B84C43">
        <w:trPr>
          <w:trHeight w:val="504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:rsidTr="00B84C43">
        <w:trPr>
          <w:trHeight w:val="154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6A3C5F" w:rsidRPr="006A3C5F" w:rsidRDefault="00226B1F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3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:rsidR="006A3C5F" w:rsidRPr="006A3C5F" w:rsidRDefault="00226B1F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4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 I-III kwartale 2021 roku</w:t>
              </w:r>
            </w:hyperlink>
          </w:p>
          <w:p w:rsidR="006A3C5F" w:rsidRPr="006A3C5F" w:rsidRDefault="00226B1F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:rsidR="006A3C5F" w:rsidRPr="006A3C5F" w:rsidRDefault="00226B1F" w:rsidP="006A3C5F">
            <w:pPr>
              <w:rPr>
                <w:rStyle w:val="Hipercze"/>
              </w:rPr>
            </w:pPr>
            <w:hyperlink r:id="rId26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:rsidR="006A3C5F" w:rsidRPr="00E9755A" w:rsidRDefault="00226B1F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2A259B" w:rsidRPr="002A259B" w:rsidRDefault="00226B1F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8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:rsidR="002A259B" w:rsidRPr="002A259B" w:rsidRDefault="00226B1F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9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2A259B" w:rsidRPr="002A259B" w:rsidRDefault="00226B1F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0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:rsidR="002A259B" w:rsidRPr="002A259B" w:rsidRDefault="00226B1F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  <w:p w:rsidR="00531873" w:rsidRPr="002A259B" w:rsidRDefault="00531873" w:rsidP="00531873">
            <w:pPr>
              <w:rPr>
                <w:rStyle w:val="Hipercze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2A259B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B1F" w:rsidRDefault="00226B1F" w:rsidP="000662E2">
      <w:pPr>
        <w:spacing w:after="0" w:line="240" w:lineRule="auto"/>
      </w:pPr>
      <w:r>
        <w:separator/>
      </w:r>
    </w:p>
  </w:endnote>
  <w:endnote w:type="continuationSeparator" w:id="0">
    <w:p w:rsidR="00226B1F" w:rsidRDefault="00226B1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DC2A0EB-F9A3-45EA-B911-E4253437DD06}"/>
    <w:embedBold r:id="rId2" w:fontKey="{2F9B1479-6483-4C83-9B1A-8F65603FC39E}"/>
    <w:embedItalic r:id="rId3" w:fontKey="{B0D7025A-FE49-43C8-9DA7-D5FB5D6E8F6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D5068861-B630-42A4-8E6A-6540A9CB690B}"/>
    <w:embedBold r:id="rId5" w:fontKey="{7B209F0B-0471-4CAA-85B4-F8DA08118BB9}"/>
    <w:embedItalic r:id="rId6" w:fontKey="{9A7C377E-EDB6-4379-BE6A-4F766360B9C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93763E3-8893-4A06-B1B4-DB67E0BDAB89}"/>
    <w:embedBold r:id="rId8" w:fontKey="{BE00FF21-9557-4A66-8C43-AC626E1CAC6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DCD5A55B-9054-4209-B6BA-09061ED71FF0}"/>
    <w:embedItalic r:id="rId10" w:fontKey="{4EE2DC1D-0529-42A4-8C2D-96285F3361D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9C7F5848-9EA0-433E-B2FE-C54AD2E9EF8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4D25EE94-1734-41DF-803F-91398AF9DA75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3" w:fontKey="{481AA93F-15FD-4564-8619-FCB0DE60148C}"/>
    <w:embedBold r:id="rId14" w:fontKey="{12809FC9-8159-4CE0-BF4E-000C10A1E97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4C13CA" w:rsidRDefault="00226B1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34F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4C13CA" w:rsidRDefault="00226B1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34F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C13CA" w:rsidRDefault="00226B1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34FA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B1F" w:rsidRDefault="00226B1F" w:rsidP="000662E2">
      <w:pPr>
        <w:spacing w:after="0" w:line="240" w:lineRule="auto"/>
      </w:pPr>
      <w:r>
        <w:separator/>
      </w:r>
    </w:p>
  </w:footnote>
  <w:footnote w:type="continuationSeparator" w:id="0">
    <w:p w:rsidR="00226B1F" w:rsidRDefault="00226B1F" w:rsidP="000662E2">
      <w:pPr>
        <w:spacing w:after="0" w:line="240" w:lineRule="auto"/>
      </w:pPr>
      <w:r>
        <w:continuationSeparator/>
      </w:r>
    </w:p>
  </w:footnote>
  <w:footnote w:id="1">
    <w:p w:rsidR="004C13CA" w:rsidRPr="00526041" w:rsidRDefault="004C13CA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:rsidR="004C13CA" w:rsidRPr="00F8556E" w:rsidRDefault="004C13CA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 w:rsidR="00DC54BB">
        <w:rPr>
          <w:sz w:val="19"/>
          <w:szCs w:val="19"/>
        </w:rPr>
        <w:t>5</w:t>
      </w:r>
      <w:r w:rsidRPr="00F8556E">
        <w:rPr>
          <w:sz w:val="19"/>
          <w:szCs w:val="19"/>
        </w:rPr>
        <w:t>.</w:t>
      </w:r>
    </w:p>
  </w:footnote>
  <w:footnote w:id="3">
    <w:p w:rsidR="00E95B03" w:rsidRDefault="00E95B03" w:rsidP="00976E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76E2C">
        <w:rPr>
          <w:sz w:val="19"/>
          <w:szCs w:val="19"/>
        </w:rPr>
        <w:t>W styczniu 2022 r. jak co roku dokonano weryfikacji klasy wielkości badanych jednostek zaliczanych do sektora przedsiębiorstw wraz z doborem próby jednostek o liczbie pracujących od 10 do 49 osób. Wymiana próby też mogła mieć wpływ na różnice w wynikach badania w porównywanych okresach</w:t>
      </w:r>
      <w:r w:rsidRPr="00976E2C">
        <w:rPr>
          <w:i/>
          <w:iCs/>
          <w:sz w:val="19"/>
          <w:szCs w:val="19"/>
          <w:shd w:val="clear" w:color="auto" w:fill="FFFFFF"/>
        </w:rPr>
        <w:t>.</w:t>
      </w:r>
    </w:p>
  </w:footnote>
  <w:footnote w:id="4">
    <w:p w:rsidR="004C13CA" w:rsidRPr="00401025" w:rsidRDefault="004C13CA" w:rsidP="00AF4474">
      <w:pPr>
        <w:pStyle w:val="Tekstprzypisudolnego"/>
        <w:spacing w:before="0"/>
        <w:rPr>
          <w:sz w:val="19"/>
          <w:szCs w:val="19"/>
        </w:rPr>
      </w:pPr>
      <w:r w:rsidRPr="00401025">
        <w:rPr>
          <w:rStyle w:val="Odwoanieprzypisudolnego"/>
          <w:sz w:val="19"/>
          <w:szCs w:val="19"/>
        </w:rPr>
        <w:footnoteRef/>
      </w:r>
      <w:r w:rsidRPr="00401025">
        <w:rPr>
          <w:sz w:val="19"/>
          <w:szCs w:val="19"/>
        </w:rPr>
        <w:t xml:space="preserve"> </w:t>
      </w:r>
      <w:r w:rsidRPr="00AF195C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Pr="00AF195C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Pr="00AF195C">
        <w:rPr>
          <w:sz w:val="19"/>
          <w:szCs w:val="19"/>
        </w:rPr>
        <w:t>.</w:t>
      </w:r>
      <w:r w:rsidRPr="00401025">
        <w:rPr>
          <w:sz w:val="19"/>
          <w:szCs w:val="19"/>
        </w:rPr>
        <w:t xml:space="preserve"> </w:t>
      </w:r>
    </w:p>
  </w:footnote>
  <w:footnote w:id="5">
    <w:p w:rsidR="00384AC5" w:rsidRPr="00AF195C" w:rsidRDefault="00384AC5" w:rsidP="00384AC5">
      <w:pPr>
        <w:pStyle w:val="Tekstprzypisudolnego"/>
        <w:spacing w:before="0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6">
    <w:p w:rsidR="004C13CA" w:rsidRPr="00F3548B" w:rsidRDefault="004C13CA" w:rsidP="00401025">
      <w:pPr>
        <w:pStyle w:val="Tekstprzypisudolnego"/>
        <w:spacing w:before="0"/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sz w:val="19"/>
          <w:szCs w:val="19"/>
        </w:rPr>
        <w:t xml:space="preserve"> Formularz badania DG-1 wraz z objaśnieniami: </w:t>
      </w:r>
      <w:hyperlink r:id="rId3" w:history="1">
        <w:r w:rsidRPr="00AF195C">
          <w:rPr>
            <w:rStyle w:val="Hipercze"/>
            <w:sz w:val="19"/>
            <w:szCs w:val="19"/>
          </w:rPr>
          <w:t>http://form.stat.gov.pl/formularze/2020/passive/DG-1.pdf</w:t>
        </w:r>
      </w:hyperlink>
      <w:r w:rsidRPr="00970F58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3CA" w:rsidRDefault="00226B1F">
    <w:pPr>
      <w:pStyle w:val="Nagwek"/>
    </w:pPr>
    <w:r>
      <w:rPr>
        <w:noProof/>
        <w:lang w:eastAsia="pl-PL"/>
      </w:rPr>
      <w:pict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:rsidR="004C13CA" w:rsidRDefault="004C13C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3CA" w:rsidRDefault="004C13CA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26B1F">
      <w:rPr>
        <w:noProof/>
        <w:lang w:eastAsia="pl-PL"/>
      </w:rPr>
      <w:pict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4C13CA" w:rsidRPr="003C6C8D" w:rsidRDefault="004C13CA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226B1F">
      <w:rPr>
        <w:noProof/>
        <w:lang w:eastAsia="pl-PL"/>
      </w:rPr>
      <w:pict>
        <v:rect id="Prostokąt 10" o:spid="_x0000_s2050" style="position:absolute;margin-left:410.95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4C13CA" w:rsidRDefault="004C13CA">
    <w:pPr>
      <w:pStyle w:val="Nagwek"/>
      <w:rPr>
        <w:noProof/>
        <w:lang w:eastAsia="pl-PL"/>
      </w:rPr>
    </w:pPr>
  </w:p>
  <w:p w:rsidR="004C13CA" w:rsidRDefault="004C13CA">
    <w:pPr>
      <w:pStyle w:val="Nagwek"/>
      <w:rPr>
        <w:noProof/>
        <w:lang w:eastAsia="pl-PL"/>
      </w:rPr>
    </w:pPr>
  </w:p>
  <w:p w:rsidR="004C13CA" w:rsidRDefault="00226B1F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18.02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:rsidR="004C13CA" w:rsidRPr="00A01B40" w:rsidRDefault="004C13CA" w:rsidP="00F049AB">
                <w:pPr>
                  <w:pStyle w:val="Datainformacjisygnalnej"/>
                </w:pPr>
                <w:r>
                  <w:t>18.02.2022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3CA" w:rsidRDefault="004C13CA">
    <w:pPr>
      <w:pStyle w:val="Nagwek"/>
    </w:pPr>
  </w:p>
  <w:p w:rsidR="004C13CA" w:rsidRDefault="004C13C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85pt;height:1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709F"/>
    <w:rsid w:val="00007F4D"/>
    <w:rsid w:val="000108B8"/>
    <w:rsid w:val="000152F5"/>
    <w:rsid w:val="00025423"/>
    <w:rsid w:val="000430E2"/>
    <w:rsid w:val="0004582E"/>
    <w:rsid w:val="000470AA"/>
    <w:rsid w:val="00057CA1"/>
    <w:rsid w:val="000632F5"/>
    <w:rsid w:val="000647A9"/>
    <w:rsid w:val="000662E2"/>
    <w:rsid w:val="00066883"/>
    <w:rsid w:val="00071B39"/>
    <w:rsid w:val="00074DD8"/>
    <w:rsid w:val="00075759"/>
    <w:rsid w:val="000806F7"/>
    <w:rsid w:val="00087433"/>
    <w:rsid w:val="00093B81"/>
    <w:rsid w:val="00097840"/>
    <w:rsid w:val="000B0727"/>
    <w:rsid w:val="000B5D11"/>
    <w:rsid w:val="000C135D"/>
    <w:rsid w:val="000D1D43"/>
    <w:rsid w:val="000D225C"/>
    <w:rsid w:val="000D2A5C"/>
    <w:rsid w:val="000D39F0"/>
    <w:rsid w:val="000E0918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6621"/>
    <w:rsid w:val="001617E3"/>
    <w:rsid w:val="00162325"/>
    <w:rsid w:val="00166702"/>
    <w:rsid w:val="001951DA"/>
    <w:rsid w:val="00196E7D"/>
    <w:rsid w:val="001A4323"/>
    <w:rsid w:val="001B053D"/>
    <w:rsid w:val="001C3269"/>
    <w:rsid w:val="001D19B6"/>
    <w:rsid w:val="001D1DB4"/>
    <w:rsid w:val="001D1EEB"/>
    <w:rsid w:val="001D23F1"/>
    <w:rsid w:val="001D25F9"/>
    <w:rsid w:val="001D61ED"/>
    <w:rsid w:val="001E5B2D"/>
    <w:rsid w:val="0020156C"/>
    <w:rsid w:val="00216634"/>
    <w:rsid w:val="00226B1F"/>
    <w:rsid w:val="00242D31"/>
    <w:rsid w:val="002466E4"/>
    <w:rsid w:val="0025481E"/>
    <w:rsid w:val="002574F9"/>
    <w:rsid w:val="00262B61"/>
    <w:rsid w:val="00262CC6"/>
    <w:rsid w:val="00263E08"/>
    <w:rsid w:val="00276811"/>
    <w:rsid w:val="00282699"/>
    <w:rsid w:val="002926DF"/>
    <w:rsid w:val="00296697"/>
    <w:rsid w:val="002A259B"/>
    <w:rsid w:val="002B0472"/>
    <w:rsid w:val="002B6B12"/>
    <w:rsid w:val="002B74D2"/>
    <w:rsid w:val="002C21F0"/>
    <w:rsid w:val="002D01DF"/>
    <w:rsid w:val="002E3EB3"/>
    <w:rsid w:val="002E6140"/>
    <w:rsid w:val="002E6985"/>
    <w:rsid w:val="002E71B6"/>
    <w:rsid w:val="002F35F6"/>
    <w:rsid w:val="002F77C8"/>
    <w:rsid w:val="00304F22"/>
    <w:rsid w:val="00306C7C"/>
    <w:rsid w:val="003132CC"/>
    <w:rsid w:val="00314F86"/>
    <w:rsid w:val="00317F4D"/>
    <w:rsid w:val="00322EDD"/>
    <w:rsid w:val="003309FA"/>
    <w:rsid w:val="00332320"/>
    <w:rsid w:val="00333803"/>
    <w:rsid w:val="00342880"/>
    <w:rsid w:val="00347D72"/>
    <w:rsid w:val="00353F45"/>
    <w:rsid w:val="00357611"/>
    <w:rsid w:val="0036432A"/>
    <w:rsid w:val="00364AF9"/>
    <w:rsid w:val="00367237"/>
    <w:rsid w:val="0037077F"/>
    <w:rsid w:val="003715B1"/>
    <w:rsid w:val="00372411"/>
    <w:rsid w:val="00373882"/>
    <w:rsid w:val="00382DC3"/>
    <w:rsid w:val="003843DB"/>
    <w:rsid w:val="00384AC5"/>
    <w:rsid w:val="00393761"/>
    <w:rsid w:val="00394E26"/>
    <w:rsid w:val="00396691"/>
    <w:rsid w:val="00397D18"/>
    <w:rsid w:val="003A1B36"/>
    <w:rsid w:val="003B1454"/>
    <w:rsid w:val="003B18B6"/>
    <w:rsid w:val="003C161B"/>
    <w:rsid w:val="003C59E0"/>
    <w:rsid w:val="003C6C8D"/>
    <w:rsid w:val="003D082A"/>
    <w:rsid w:val="003D2656"/>
    <w:rsid w:val="003D4F95"/>
    <w:rsid w:val="003D5F42"/>
    <w:rsid w:val="003D60A9"/>
    <w:rsid w:val="003E4367"/>
    <w:rsid w:val="003E6748"/>
    <w:rsid w:val="003F4C97"/>
    <w:rsid w:val="003F666D"/>
    <w:rsid w:val="003F7FE6"/>
    <w:rsid w:val="00400193"/>
    <w:rsid w:val="00401025"/>
    <w:rsid w:val="00416EAF"/>
    <w:rsid w:val="004212E7"/>
    <w:rsid w:val="00423C88"/>
    <w:rsid w:val="0042446D"/>
    <w:rsid w:val="00427BF8"/>
    <w:rsid w:val="004315EF"/>
    <w:rsid w:val="00431C02"/>
    <w:rsid w:val="00437395"/>
    <w:rsid w:val="00445047"/>
    <w:rsid w:val="00446749"/>
    <w:rsid w:val="00453EB7"/>
    <w:rsid w:val="00463E39"/>
    <w:rsid w:val="004657FC"/>
    <w:rsid w:val="004667DB"/>
    <w:rsid w:val="004733F6"/>
    <w:rsid w:val="00474E69"/>
    <w:rsid w:val="00483E9F"/>
    <w:rsid w:val="00485A2C"/>
    <w:rsid w:val="00485A88"/>
    <w:rsid w:val="0049621B"/>
    <w:rsid w:val="004A1D19"/>
    <w:rsid w:val="004C074E"/>
    <w:rsid w:val="004C13CA"/>
    <w:rsid w:val="004C1895"/>
    <w:rsid w:val="004C6D40"/>
    <w:rsid w:val="004E6AA8"/>
    <w:rsid w:val="004F0C3C"/>
    <w:rsid w:val="004F2280"/>
    <w:rsid w:val="004F23BB"/>
    <w:rsid w:val="004F63FC"/>
    <w:rsid w:val="00505A92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5CFB"/>
    <w:rsid w:val="00556ADB"/>
    <w:rsid w:val="00556CF1"/>
    <w:rsid w:val="005762A7"/>
    <w:rsid w:val="00587CEE"/>
    <w:rsid w:val="005916D7"/>
    <w:rsid w:val="00592E36"/>
    <w:rsid w:val="0059427F"/>
    <w:rsid w:val="005A3892"/>
    <w:rsid w:val="005A698C"/>
    <w:rsid w:val="005B48C0"/>
    <w:rsid w:val="005C0CAC"/>
    <w:rsid w:val="005D062E"/>
    <w:rsid w:val="005D2F6B"/>
    <w:rsid w:val="005E0799"/>
    <w:rsid w:val="005E10F9"/>
    <w:rsid w:val="005E1200"/>
    <w:rsid w:val="005E3E88"/>
    <w:rsid w:val="005F45EE"/>
    <w:rsid w:val="005F5A80"/>
    <w:rsid w:val="006044B7"/>
    <w:rsid w:val="006044FF"/>
    <w:rsid w:val="00607CC5"/>
    <w:rsid w:val="0061179B"/>
    <w:rsid w:val="006125F9"/>
    <w:rsid w:val="00621F26"/>
    <w:rsid w:val="00622187"/>
    <w:rsid w:val="00622C74"/>
    <w:rsid w:val="006232E5"/>
    <w:rsid w:val="00633014"/>
    <w:rsid w:val="0063437B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3C5F"/>
    <w:rsid w:val="006A4686"/>
    <w:rsid w:val="006B0E9E"/>
    <w:rsid w:val="006B486D"/>
    <w:rsid w:val="006B5AE4"/>
    <w:rsid w:val="006B669B"/>
    <w:rsid w:val="006C22A4"/>
    <w:rsid w:val="006C77A8"/>
    <w:rsid w:val="006D1507"/>
    <w:rsid w:val="006D4054"/>
    <w:rsid w:val="006E02EC"/>
    <w:rsid w:val="006E3C4F"/>
    <w:rsid w:val="006E571E"/>
    <w:rsid w:val="006E6F41"/>
    <w:rsid w:val="006E73E6"/>
    <w:rsid w:val="006F535B"/>
    <w:rsid w:val="006F6EE4"/>
    <w:rsid w:val="00702B55"/>
    <w:rsid w:val="0071711F"/>
    <w:rsid w:val="007211B1"/>
    <w:rsid w:val="007277DA"/>
    <w:rsid w:val="0073093C"/>
    <w:rsid w:val="00731D27"/>
    <w:rsid w:val="00746187"/>
    <w:rsid w:val="0076254F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4D2C"/>
    <w:rsid w:val="0080553C"/>
    <w:rsid w:val="00805B46"/>
    <w:rsid w:val="00805DB4"/>
    <w:rsid w:val="0081223F"/>
    <w:rsid w:val="00821A00"/>
    <w:rsid w:val="00823593"/>
    <w:rsid w:val="00825DC2"/>
    <w:rsid w:val="00834AD3"/>
    <w:rsid w:val="00841E07"/>
    <w:rsid w:val="00843795"/>
    <w:rsid w:val="00847A41"/>
    <w:rsid w:val="00847F0F"/>
    <w:rsid w:val="00850985"/>
    <w:rsid w:val="00852448"/>
    <w:rsid w:val="00877F6C"/>
    <w:rsid w:val="0088258A"/>
    <w:rsid w:val="00886332"/>
    <w:rsid w:val="008925F0"/>
    <w:rsid w:val="0089448A"/>
    <w:rsid w:val="00897877"/>
    <w:rsid w:val="008A0244"/>
    <w:rsid w:val="008A0E73"/>
    <w:rsid w:val="008A26D9"/>
    <w:rsid w:val="008A7B5B"/>
    <w:rsid w:val="008B12D2"/>
    <w:rsid w:val="008C0C29"/>
    <w:rsid w:val="008D02DA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33EC1"/>
    <w:rsid w:val="009446AD"/>
    <w:rsid w:val="009530DB"/>
    <w:rsid w:val="00953676"/>
    <w:rsid w:val="00956F30"/>
    <w:rsid w:val="00966417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A6EA0"/>
    <w:rsid w:val="009B2061"/>
    <w:rsid w:val="009B7A09"/>
    <w:rsid w:val="009C1335"/>
    <w:rsid w:val="009C1AB2"/>
    <w:rsid w:val="009C217E"/>
    <w:rsid w:val="009C7251"/>
    <w:rsid w:val="009D2045"/>
    <w:rsid w:val="009E2E91"/>
    <w:rsid w:val="009F5B61"/>
    <w:rsid w:val="009F6C62"/>
    <w:rsid w:val="00A01B40"/>
    <w:rsid w:val="00A139F5"/>
    <w:rsid w:val="00A301A5"/>
    <w:rsid w:val="00A314F8"/>
    <w:rsid w:val="00A32E16"/>
    <w:rsid w:val="00A365F4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90A6D"/>
    <w:rsid w:val="00A971E5"/>
    <w:rsid w:val="00AA710D"/>
    <w:rsid w:val="00AB3EDB"/>
    <w:rsid w:val="00AB64F3"/>
    <w:rsid w:val="00AB6D25"/>
    <w:rsid w:val="00AD0E56"/>
    <w:rsid w:val="00AE229B"/>
    <w:rsid w:val="00AE2D4B"/>
    <w:rsid w:val="00AE4DEB"/>
    <w:rsid w:val="00AE4F99"/>
    <w:rsid w:val="00AF195C"/>
    <w:rsid w:val="00AF3BD0"/>
    <w:rsid w:val="00AF4474"/>
    <w:rsid w:val="00B11B69"/>
    <w:rsid w:val="00B14952"/>
    <w:rsid w:val="00B16871"/>
    <w:rsid w:val="00B25B45"/>
    <w:rsid w:val="00B31E5A"/>
    <w:rsid w:val="00B47359"/>
    <w:rsid w:val="00B653AB"/>
    <w:rsid w:val="00B65F9E"/>
    <w:rsid w:val="00B66B19"/>
    <w:rsid w:val="00B7386E"/>
    <w:rsid w:val="00B84C43"/>
    <w:rsid w:val="00B914E9"/>
    <w:rsid w:val="00B956EE"/>
    <w:rsid w:val="00BA2BA1"/>
    <w:rsid w:val="00BA3447"/>
    <w:rsid w:val="00BA3562"/>
    <w:rsid w:val="00BB4F09"/>
    <w:rsid w:val="00BB54B5"/>
    <w:rsid w:val="00BD4270"/>
    <w:rsid w:val="00BD4E33"/>
    <w:rsid w:val="00C030DE"/>
    <w:rsid w:val="00C051A8"/>
    <w:rsid w:val="00C1410F"/>
    <w:rsid w:val="00C2045B"/>
    <w:rsid w:val="00C22105"/>
    <w:rsid w:val="00C244B6"/>
    <w:rsid w:val="00C24DA8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1EBB"/>
    <w:rsid w:val="00CD28CF"/>
    <w:rsid w:val="00CD58B7"/>
    <w:rsid w:val="00CD7967"/>
    <w:rsid w:val="00CF18EE"/>
    <w:rsid w:val="00CF30BD"/>
    <w:rsid w:val="00CF4099"/>
    <w:rsid w:val="00D00796"/>
    <w:rsid w:val="00D03312"/>
    <w:rsid w:val="00D13C9D"/>
    <w:rsid w:val="00D2512F"/>
    <w:rsid w:val="00D25A05"/>
    <w:rsid w:val="00D261A2"/>
    <w:rsid w:val="00D33834"/>
    <w:rsid w:val="00D616D2"/>
    <w:rsid w:val="00D622BB"/>
    <w:rsid w:val="00D63B5F"/>
    <w:rsid w:val="00D650DC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706E"/>
    <w:rsid w:val="00DC54BB"/>
    <w:rsid w:val="00DC6708"/>
    <w:rsid w:val="00DD011A"/>
    <w:rsid w:val="00DE2400"/>
    <w:rsid w:val="00DE58F1"/>
    <w:rsid w:val="00DE6B58"/>
    <w:rsid w:val="00DF5E32"/>
    <w:rsid w:val="00E01436"/>
    <w:rsid w:val="00E03E79"/>
    <w:rsid w:val="00E045BD"/>
    <w:rsid w:val="00E04D6C"/>
    <w:rsid w:val="00E06B72"/>
    <w:rsid w:val="00E17B77"/>
    <w:rsid w:val="00E231AB"/>
    <w:rsid w:val="00E23337"/>
    <w:rsid w:val="00E259EA"/>
    <w:rsid w:val="00E25D33"/>
    <w:rsid w:val="00E31DBD"/>
    <w:rsid w:val="00E32061"/>
    <w:rsid w:val="00E33F48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95036"/>
    <w:rsid w:val="00E95B03"/>
    <w:rsid w:val="00E95B8E"/>
    <w:rsid w:val="00EA1AF5"/>
    <w:rsid w:val="00EB1390"/>
    <w:rsid w:val="00EB2C71"/>
    <w:rsid w:val="00EB3333"/>
    <w:rsid w:val="00EB4340"/>
    <w:rsid w:val="00EB556D"/>
    <w:rsid w:val="00EB5A7D"/>
    <w:rsid w:val="00EB68BA"/>
    <w:rsid w:val="00ED55C0"/>
    <w:rsid w:val="00ED682B"/>
    <w:rsid w:val="00EE41D5"/>
    <w:rsid w:val="00F0166F"/>
    <w:rsid w:val="00F037A4"/>
    <w:rsid w:val="00F049AB"/>
    <w:rsid w:val="00F142DB"/>
    <w:rsid w:val="00F27C8F"/>
    <w:rsid w:val="00F3206B"/>
    <w:rsid w:val="00F32749"/>
    <w:rsid w:val="00F34FA2"/>
    <w:rsid w:val="00F37172"/>
    <w:rsid w:val="00F4477E"/>
    <w:rsid w:val="00F46269"/>
    <w:rsid w:val="00F60BA8"/>
    <w:rsid w:val="00F62065"/>
    <w:rsid w:val="00F67D8F"/>
    <w:rsid w:val="00F802BE"/>
    <w:rsid w:val="00F80E93"/>
    <w:rsid w:val="00F8556E"/>
    <w:rsid w:val="00F86024"/>
    <w:rsid w:val="00F8611A"/>
    <w:rsid w:val="00FA34FC"/>
    <w:rsid w:val="00FA5128"/>
    <w:rsid w:val="00FB42D4"/>
    <w:rsid w:val="00FB5906"/>
    <w:rsid w:val="00FB762F"/>
    <w:rsid w:val="00FC2AED"/>
    <w:rsid w:val="00FC604F"/>
    <w:rsid w:val="00FD08A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600DC658-05C1-4F2A-BB2C-F9499F28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7.png"/><Relationship Id="rId29" Type="http://schemas.openxmlformats.org/officeDocument/2006/relationships/hyperlink" Target="http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rynek-pracy/pracujacy-zatrudnieni-wynagrodzenia-koszty-pracy/zatrudnienie-i-wynagrodzenia-w-gospodarce-narodowej-w-i-iii-kwartale-2021-roku,1,44.html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stat.gov.pl/obszary-tematyczne/rynek-pracy/pracujacy-zatrudnieni-wynagrodzenia-koszty-pracy/" TargetMode="External"/><Relationship Id="rId28" Type="http://schemas.openxmlformats.org/officeDocument/2006/relationships/hyperlink" Target="https://bdl.stat.gov.pl/BDL/dane/podgrup/temat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yperlink" Target="https://stat.gov.pl/metainformacje/slownik-pojec/pojecia-stosowane-w-statystyce-publicznej/742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hyperlink" Target="http://stat.gov.pl/metainformacje/slownik-pojec/pojecia-stosowane-w-statystyce-publicznej/376,pojecie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0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675E-2"/>
          <c:y val="8.6234567901234765E-2"/>
          <c:w val="0.87241187972308865"/>
          <c:h val="0.6661111111111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'gl wykres z dod osia'!$B$91:$C$115</c:f>
              <c:multiLvlStrCache>
                <c:ptCount val="25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osia'!$D$26:$D$50</c:f>
              <c:numCache>
                <c:formatCode>0.0</c:formatCode>
                <c:ptCount val="25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949104464"/>
        <c:axId val="1949105008"/>
      </c:barChart>
      <c:lineChart>
        <c:grouping val="standard"/>
        <c:varyColors val="0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osia'!$C$91:$C$115</c:f>
              <c:strCache>
                <c:ptCount val="25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</c:strCache>
            </c:strRef>
          </c:cat>
          <c:val>
            <c:numRef>
              <c:f>'gl wykres z dod osia'!$D$91:$D$115</c:f>
              <c:numCache>
                <c:formatCode>0.0</c:formatCode>
                <c:ptCount val="25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49105552"/>
        <c:axId val="1949107728"/>
      </c:lineChart>
      <c:catAx>
        <c:axId val="194910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949105008"/>
        <c:crosses val="autoZero"/>
        <c:auto val="1"/>
        <c:lblAlgn val="ctr"/>
        <c:lblOffset val="100"/>
        <c:noMultiLvlLbl val="0"/>
      </c:catAx>
      <c:valAx>
        <c:axId val="1949105008"/>
        <c:scaling>
          <c:orientation val="minMax"/>
          <c:max val="6500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429E-3"/>
              <c:y val="6.6049382716047819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949104464"/>
        <c:crosses val="autoZero"/>
        <c:crossBetween val="between"/>
        <c:majorUnit val="250"/>
      </c:valAx>
      <c:valAx>
        <c:axId val="1949107728"/>
        <c:scaling>
          <c:orientation val="minMax"/>
          <c:max val="130"/>
          <c:min val="70"/>
        </c:scaling>
        <c:delete val="0"/>
        <c:axPos val="r"/>
        <c:numFmt formatCode="0" sourceLinked="0"/>
        <c:majorTickMark val="out"/>
        <c:minorTickMark val="none"/>
        <c:tickLblPos val="nextTo"/>
        <c:spPr>
          <a:ln>
            <a:noFill/>
          </a:ln>
        </c:spPr>
        <c:crossAx val="1949105552"/>
        <c:crosses val="max"/>
        <c:crossBetween val="between"/>
        <c:majorUnit val="5"/>
      </c:valAx>
      <c:catAx>
        <c:axId val="19491055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491077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5780116598628133E-2"/>
          <c:y val="0.87979753086420065"/>
          <c:w val="0.87339394069424769"/>
          <c:h val="0.12020246913580244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675E-2"/>
          <c:y val="8.6234567901234668E-2"/>
          <c:w val="0.87241187972308865"/>
          <c:h val="0.66611111111111165"/>
        </c:manualLayout>
      </c:layout>
      <c:lineChart>
        <c:grouping val="standard"/>
        <c:varyColors val="0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osia'!$B$91:$C$115</c:f>
              <c:multiLvlStrCache>
                <c:ptCount val="25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glowny'!$D$27:$D$51</c:f>
              <c:numCache>
                <c:formatCode>0.00</c:formatCode>
                <c:ptCount val="25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5381.6500000000024</c:v>
                </c:pt>
                <c:pt idx="7">
                  <c:v>5337.6500000000024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5568.8200000000024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5841.1600000000044</c:v>
                </c:pt>
                <c:pt idx="21">
                  <c:v>5917.1500000000024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49099024"/>
        <c:axId val="1949100656"/>
      </c:lineChart>
      <c:catAx>
        <c:axId val="1949099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949100656"/>
        <c:crosses val="autoZero"/>
        <c:auto val="1"/>
        <c:lblAlgn val="ctr"/>
        <c:lblOffset val="100"/>
        <c:noMultiLvlLbl val="0"/>
      </c:catAx>
      <c:valAx>
        <c:axId val="1949100656"/>
        <c:scaling>
          <c:orientation val="minMax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42E-3"/>
              <c:y val="6.6049382716047743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949099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50C38-8137-4033-B1D3-9FAD6D50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1684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styczniu 2022</dc:title>
  <dc:creator>GUS</dc:creator>
  <cp:lastModifiedBy>Putkowska Beata</cp:lastModifiedBy>
  <cp:revision>3</cp:revision>
  <cp:lastPrinted>2022-02-17T10:32:00Z</cp:lastPrinted>
  <dcterms:created xsi:type="dcterms:W3CDTF">2022-02-10T12:37:00Z</dcterms:created>
  <dcterms:modified xsi:type="dcterms:W3CDTF">2022-02-18T07:29:00Z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