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theme/themeOverride1.xml" ContentType="application/vnd.openxmlformats-officedocument.themeOverride+xml"/>
  <Override PartName="/word/drawings/drawing1.xml" ContentType="application/vnd.openxmlformats-officedocument.drawingml.chartshapes+xml"/>
  <Override PartName="/word/charts/chart3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08B5C" w14:textId="5341ED7E" w:rsidR="00393761" w:rsidRPr="007D605C" w:rsidRDefault="000233D4" w:rsidP="00F049AB">
      <w:pPr>
        <w:pStyle w:val="Tytuinfomacjisygnalnej"/>
      </w:pPr>
      <w:r>
        <w:t>Dynamika sprzedaży detalicznej w styczniu 2022 r.</w:t>
      </w:r>
    </w:p>
    <w:p w14:paraId="1E690351" w14:textId="1B70D85D" w:rsidR="00DE58F1" w:rsidRPr="007D0869" w:rsidRDefault="00731D27" w:rsidP="00F049AB">
      <w:pPr>
        <w:pStyle w:val="Lead"/>
        <w:rPr>
          <w:rFonts w:eastAsia="Times New Roman" w:cs="Times New Roman"/>
          <w:bCs/>
          <w:noProof w:val="0"/>
        </w:rPr>
      </w:pPr>
      <w:r w:rsidRPr="00587CEE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1D0081C5">
                <wp:simplePos x="0" y="0"/>
                <wp:positionH relativeFrom="margin">
                  <wp:align>left</wp:align>
                </wp:positionH>
                <wp:positionV relativeFrom="paragraph">
                  <wp:posOffset>45720</wp:posOffset>
                </wp:positionV>
                <wp:extent cx="2204085" cy="1084580"/>
                <wp:effectExtent l="0" t="0" r="5715" b="1270"/>
                <wp:wrapSquare wrapText="bothSides"/>
                <wp:docPr id="6" name="Pole tekstowe 2" descr="Wskaźnik - sprzedaż detaliczna w styczniu 2022 roku&#10;10,6% - wzrost  w porównaniu z analogicznym miesiącem roku poprzedniego (w cenach stałych, dane wstępne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084997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951E30" w14:textId="3EC435A0" w:rsidR="005C0CAC" w:rsidRPr="007D605C" w:rsidRDefault="00DE6B58" w:rsidP="00CB6AD4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 w:rsidRPr="00F049AB"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  <w:t xml:space="preserve"> </w:t>
                            </w:r>
                            <w:r w:rsidRPr="00F049AB">
                              <w:rPr>
                                <w:rStyle w:val="WartowskanikaZnak"/>
                              </w:rPr>
                              <w:t>10,</w:t>
                            </w:r>
                            <w:r w:rsidR="008909E5">
                              <w:rPr>
                                <w:rStyle w:val="WartowskanikaZnak"/>
                              </w:rPr>
                              <w:t>6</w:t>
                            </w:r>
                            <w:r w:rsidR="0064480C">
                              <w:rPr>
                                <w:rStyle w:val="WartowskanikaZnak"/>
                              </w:rPr>
                              <w:t>%</w:t>
                            </w:r>
                          </w:p>
                          <w:p w14:paraId="63B3F253" w14:textId="39DF35FA" w:rsidR="005C0CAC" w:rsidRPr="007D605C" w:rsidRDefault="00F86408" w:rsidP="00F049AB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 xml:space="preserve">Wzrost w porównaniu </w:t>
                            </w:r>
                            <w:r>
                              <w:br/>
                              <w:t xml:space="preserve">z analogicznym miesiącem </w:t>
                            </w:r>
                            <w:r>
                              <w:br/>
                              <w:t>poprzedniego roku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Wskaźnik - sprzedaż detaliczna w styczniu 2022 roku&#10;10,6% - wzrost  w porównaniu z analogicznym miesiącem roku poprzedniego (w cenach stałych, dane wstępne)" style="position:absolute;margin-left:0;margin-top:3.6pt;width:173.55pt;height:85.4pt;z-index:2517381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" fillcolor="#001d77" stroked="f">
                <v:stroke joinstyle="miter"/>
                <v:textbox>
                  <w:txbxContent>
                    <w:p w14:paraId="30951E30" w14:textId="3EC435A0" w:rsidR="005C0CAC" w:rsidRPr="007D605C" w:rsidRDefault="00DE6B58" w:rsidP="00CB6AD4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 w:rsidRPr="00F049AB">
                        <w:rPr>
                          <w:rStyle w:val="IkonawskanikaZnak"/>
                        </w:rPr>
                        <w:sym w:font="Wingdings" w:char="F0F1"/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  <w:t xml:space="preserve"> </w:t>
                      </w:r>
                      <w:r w:rsidRPr="00F049AB">
                        <w:rPr>
                          <w:rStyle w:val="WartowskanikaZnak"/>
                        </w:rPr>
                        <w:t>10,</w:t>
                      </w:r>
                      <w:r w:rsidR="008909E5">
                        <w:rPr>
                          <w:rStyle w:val="WartowskanikaZnak"/>
                        </w:rPr>
                        <w:t>6</w:t>
                      </w:r>
                      <w:r w:rsidR="0064480C">
                        <w:rPr>
                          <w:rStyle w:val="WartowskanikaZnak"/>
                        </w:rPr>
                        <w:t>%</w:t>
                      </w:r>
                    </w:p>
                    <w:p w14:paraId="63B3F253" w14:textId="39DF35FA" w:rsidR="005C0CAC" w:rsidRPr="007D605C" w:rsidRDefault="00F86408" w:rsidP="00F049AB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>
                        <w:t xml:space="preserve">Wzrost w porównaniu </w:t>
                      </w:r>
                      <w:r>
                        <w:br/>
                        <w:t xml:space="preserve">z analogicznym miesiącem </w:t>
                      </w:r>
                      <w:r>
                        <w:br/>
                        <w:t>poprzedniego roku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074DD8" w:rsidRPr="007D605C">
        <w:rPr>
          <w:color w:val="001D77"/>
        </w:rPr>
        <w:t xml:space="preserve"> </w:t>
      </w:r>
      <w:r w:rsidR="00A90A6D" w:rsidRPr="007D605C">
        <w:br/>
      </w:r>
      <w:r w:rsidR="00CC1DA6">
        <w:t>Sprzedaż detaliczna</w:t>
      </w:r>
      <w:r w:rsidR="005C3686">
        <w:rPr>
          <w:rStyle w:val="Odwoanieprzypisudolnego"/>
        </w:rPr>
        <w:footnoteReference w:id="1"/>
      </w:r>
      <w:r w:rsidR="0065614F">
        <w:t xml:space="preserve"> w cenach stałych</w:t>
      </w:r>
      <w:r w:rsidR="00D455D9">
        <w:rPr>
          <w:rStyle w:val="Odwoanieprzypisudolnego"/>
        </w:rPr>
        <w:footnoteReference w:id="2"/>
      </w:r>
      <w:r w:rsidR="0065614F">
        <w:t xml:space="preserve"> w </w:t>
      </w:r>
      <w:r w:rsidR="0064480C">
        <w:t>styczniu</w:t>
      </w:r>
      <w:r w:rsidR="0065614F">
        <w:t xml:space="preserve"> 202</w:t>
      </w:r>
      <w:r w:rsidR="0064480C">
        <w:t>2</w:t>
      </w:r>
      <w:r w:rsidR="0065614F">
        <w:t xml:space="preserve"> r.</w:t>
      </w:r>
      <w:r w:rsidR="006018D4">
        <w:t xml:space="preserve"> była wyższa niż przed rokiem o </w:t>
      </w:r>
      <w:r w:rsidR="0064480C">
        <w:t>10</w:t>
      </w:r>
      <w:r w:rsidR="006018D4">
        <w:t>,</w:t>
      </w:r>
      <w:r w:rsidR="0064480C">
        <w:t>6</w:t>
      </w:r>
      <w:r w:rsidR="006018D4">
        <w:t xml:space="preserve">% (wobec spadku o </w:t>
      </w:r>
      <w:r w:rsidR="004C714F">
        <w:t>6</w:t>
      </w:r>
      <w:r w:rsidR="006018D4">
        <w:t>,</w:t>
      </w:r>
      <w:r w:rsidR="004C714F">
        <w:t>0</w:t>
      </w:r>
      <w:r w:rsidR="006018D4">
        <w:t xml:space="preserve">% w </w:t>
      </w:r>
      <w:r w:rsidR="004C714F">
        <w:t xml:space="preserve">styczniu </w:t>
      </w:r>
      <w:r w:rsidR="006018D4">
        <w:t>202</w:t>
      </w:r>
      <w:r w:rsidR="00297E30">
        <w:t>1</w:t>
      </w:r>
      <w:r w:rsidR="006018D4">
        <w:t xml:space="preserve"> r.). W porównaniu z </w:t>
      </w:r>
      <w:r w:rsidR="00297E30">
        <w:t>grudniem</w:t>
      </w:r>
      <w:r w:rsidR="006018D4">
        <w:t xml:space="preserve"> 2021 r. miał miejsce </w:t>
      </w:r>
      <w:r w:rsidR="00297E30">
        <w:t>spadek</w:t>
      </w:r>
      <w:r w:rsidR="006018D4">
        <w:t xml:space="preserve"> sprzedaży detalicznej o </w:t>
      </w:r>
      <w:r w:rsidR="00297E30">
        <w:t>22</w:t>
      </w:r>
      <w:r w:rsidR="006018D4">
        <w:t>,</w:t>
      </w:r>
      <w:r w:rsidR="00297E30">
        <w:t>8</w:t>
      </w:r>
      <w:r w:rsidR="006018D4">
        <w:t xml:space="preserve">%. </w:t>
      </w:r>
    </w:p>
    <w:p w14:paraId="3DB10F9F" w14:textId="6EB113C2" w:rsidR="00E95B8E" w:rsidRDefault="000647A9" w:rsidP="00E95B8E">
      <w:pPr>
        <w:pStyle w:val="Nagwek1"/>
        <w:rPr>
          <w:rFonts w:ascii="Fira Sans" w:hAnsi="Fira Sans"/>
          <w:b/>
          <w:szCs w:val="19"/>
        </w:rPr>
      </w:pPr>
      <w:r w:rsidRPr="00823593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744536B1">
                <wp:simplePos x="0" y="0"/>
                <wp:positionH relativeFrom="column">
                  <wp:posOffset>5276850</wp:posOffset>
                </wp:positionH>
                <wp:positionV relativeFrom="paragraph">
                  <wp:posOffset>212090</wp:posOffset>
                </wp:positionV>
                <wp:extent cx="1725295" cy="1543050"/>
                <wp:effectExtent l="0" t="0" r="0" b="0"/>
                <wp:wrapTight wrapText="bothSides">
                  <wp:wrapPolygon edited="0">
                    <wp:start x="715" y="0"/>
                    <wp:lineTo x="715" y="21333"/>
                    <wp:lineTo x="20749" y="21333"/>
                    <wp:lineTo x="20749" y="0"/>
                    <wp:lineTo x="715" y="0"/>
                  </wp:wrapPolygon>
                </wp:wrapTight>
                <wp:docPr id="2" name="Pole tekstowe 2" descr="W styczniu 2022 r. odnotowano znaczny wzrost sprzedaży detalicznej w skali roku w grupie „tekstylia, odzież, obuwie”, co spowodowane było m.in. ograniczeniami wprowadzonymi w ub. roku w funkcjonowaniu galerii handlowy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543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834087" w14:textId="49170ADF" w:rsidR="00DA312A" w:rsidRPr="00E95B8E" w:rsidRDefault="002517E0" w:rsidP="005F45EE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 xml:space="preserve">W </w:t>
                            </w:r>
                            <w:r w:rsidR="006015C4">
                              <w:t>styczniu</w:t>
                            </w:r>
                            <w:r>
                              <w:t xml:space="preserve"> 202</w:t>
                            </w:r>
                            <w:r w:rsidR="00BA7B8B">
                              <w:t>2</w:t>
                            </w:r>
                            <w:r>
                              <w:t xml:space="preserve"> r.</w:t>
                            </w:r>
                            <w:r w:rsidR="00395331">
                              <w:t xml:space="preserve"> odnotowano znaczny</w:t>
                            </w:r>
                            <w:r>
                              <w:t xml:space="preserve"> wzrost sprzedaży detalicznej w skali roku w </w:t>
                            </w:r>
                            <w:r w:rsidR="00395331">
                              <w:t>grupie „tekstylia, odzież, obuwie”</w:t>
                            </w:r>
                            <w:r w:rsidR="00DA312A">
                              <w:t>, co spowodowane było m.in. ograniczeniami wprowadzonymi w ub. roku w</w:t>
                            </w:r>
                            <w:r w:rsidR="00490C68">
                              <w:t> </w:t>
                            </w:r>
                            <w:r w:rsidR="00DA312A">
                              <w:rPr>
                                <w:bCs w:val="0"/>
                              </w:rPr>
                              <w:t>funkcjonowaniu galerii handlowych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67A9B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W styczniu 2022 r. odnotowano znaczny wzrost sprzedaży detalicznej w skali roku w grupie „tekstylia, odzież, obuwie”, co spowodowane było m.in. ograniczeniami wprowadzonymi w ub. roku w funkcjonowaniu galerii handlowych" style="position:absolute;margin-left:415.5pt;margin-top:16.7pt;width:135.85pt;height:121.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" filled="f" stroked="f">
                <v:textbox>
                  <w:txbxContent>
                    <w:p w14:paraId="0B834087" w14:textId="49170ADF" w:rsidR="00DA312A" w:rsidRPr="00E95B8E" w:rsidRDefault="002517E0" w:rsidP="005F45EE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 xml:space="preserve">W </w:t>
                      </w:r>
                      <w:r w:rsidR="006015C4">
                        <w:t>styczniu</w:t>
                      </w:r>
                      <w:r>
                        <w:t xml:space="preserve"> 202</w:t>
                      </w:r>
                      <w:r w:rsidR="00BA7B8B">
                        <w:t>2</w:t>
                      </w:r>
                      <w:r>
                        <w:t xml:space="preserve"> r.</w:t>
                      </w:r>
                      <w:r w:rsidR="00395331">
                        <w:t xml:space="preserve"> odnotowano znaczny</w:t>
                      </w:r>
                      <w:r>
                        <w:t xml:space="preserve"> wzrost sprzedaży detalicznej w skali roku w </w:t>
                      </w:r>
                      <w:r w:rsidR="00395331">
                        <w:t>grupie „tekstylia, odzież, obuwie”</w:t>
                      </w:r>
                      <w:r w:rsidR="00DA312A">
                        <w:t>, co spowodowane było m.in. ograniczeniami wprowadzonymi w ub. roku w</w:t>
                      </w:r>
                      <w:r w:rsidR="00490C68">
                        <w:t> </w:t>
                      </w:r>
                      <w:r w:rsidR="00DA312A">
                        <w:rPr>
                          <w:bCs w:val="0"/>
                        </w:rPr>
                        <w:t>funkcjonowaniu galerii handlowych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B6AD4" w:rsidRPr="00E231AB">
        <w:rPr>
          <w:shd w:val="clear" w:color="auto" w:fill="FFFFFF"/>
        </w:rPr>
        <w:br/>
      </w:r>
      <w:r w:rsidR="00CC1DA6">
        <w:rPr>
          <w:rFonts w:ascii="Fira Sans" w:hAnsi="Fira Sans"/>
          <w:b/>
          <w:szCs w:val="19"/>
        </w:rPr>
        <w:t>Sprzedaż detaliczna towarów według rodzajów działalności przedsiębiorstwa</w:t>
      </w:r>
    </w:p>
    <w:p w14:paraId="4ED533A4" w14:textId="41F03F1D" w:rsidR="007D6ECE" w:rsidRDefault="004A1D4F" w:rsidP="004A1D4F">
      <w:pPr>
        <w:rPr>
          <w:lang w:eastAsia="pl-PL"/>
        </w:rPr>
      </w:pPr>
      <w:r w:rsidRPr="004A1D4F">
        <w:rPr>
          <w:lang w:eastAsia="pl-PL"/>
        </w:rPr>
        <w:t xml:space="preserve">W </w:t>
      </w:r>
      <w:r w:rsidR="00B761EE">
        <w:rPr>
          <w:lang w:eastAsia="pl-PL"/>
        </w:rPr>
        <w:t xml:space="preserve">styczniu </w:t>
      </w:r>
      <w:r w:rsidRPr="004A1D4F">
        <w:rPr>
          <w:lang w:eastAsia="pl-PL"/>
        </w:rPr>
        <w:t>202</w:t>
      </w:r>
      <w:r w:rsidR="00DE2217">
        <w:rPr>
          <w:lang w:eastAsia="pl-PL"/>
        </w:rPr>
        <w:t>2</w:t>
      </w:r>
      <w:r w:rsidRPr="004A1D4F">
        <w:rPr>
          <w:lang w:eastAsia="pl-PL"/>
        </w:rPr>
        <w:t xml:space="preserve"> r. największy wzrost sprzedaży detalicznej (w cenach stałych) w porównaniu z analogicznym okresem 202</w:t>
      </w:r>
      <w:r w:rsidR="000435BD">
        <w:rPr>
          <w:lang w:eastAsia="pl-PL"/>
        </w:rPr>
        <w:t>1</w:t>
      </w:r>
      <w:r w:rsidRPr="004A1D4F">
        <w:rPr>
          <w:lang w:eastAsia="pl-PL"/>
        </w:rPr>
        <w:t xml:space="preserve"> r. </w:t>
      </w:r>
      <w:r w:rsidR="000435BD">
        <w:rPr>
          <w:lang w:eastAsia="pl-PL"/>
        </w:rPr>
        <w:t>odnotowały podobnie jak w poprzednich miesiącach</w:t>
      </w:r>
      <w:r w:rsidRPr="004A1D4F">
        <w:rPr>
          <w:lang w:eastAsia="pl-PL"/>
        </w:rPr>
        <w:t xml:space="preserve"> podmiot</w:t>
      </w:r>
      <w:r w:rsidR="000435BD">
        <w:rPr>
          <w:lang w:eastAsia="pl-PL"/>
        </w:rPr>
        <w:t>y</w:t>
      </w:r>
      <w:r w:rsidRPr="004A1D4F">
        <w:rPr>
          <w:lang w:eastAsia="pl-PL"/>
        </w:rPr>
        <w:t xml:space="preserve"> handlując</w:t>
      </w:r>
      <w:r w:rsidR="000435BD">
        <w:rPr>
          <w:lang w:eastAsia="pl-PL"/>
        </w:rPr>
        <w:t>e</w:t>
      </w:r>
      <w:r w:rsidRPr="004A1D4F">
        <w:rPr>
          <w:lang w:eastAsia="pl-PL"/>
        </w:rPr>
        <w:t xml:space="preserve"> tekstyliami, odzieżą, obuwiem (o </w:t>
      </w:r>
      <w:r w:rsidR="005A1BD1">
        <w:rPr>
          <w:lang w:eastAsia="pl-PL"/>
        </w:rPr>
        <w:t>97</w:t>
      </w:r>
      <w:r w:rsidRPr="004A1D4F">
        <w:rPr>
          <w:lang w:eastAsia="pl-PL"/>
        </w:rPr>
        <w:t>,</w:t>
      </w:r>
      <w:r w:rsidR="005A1BD1">
        <w:rPr>
          <w:lang w:eastAsia="pl-PL"/>
        </w:rPr>
        <w:t>7</w:t>
      </w:r>
      <w:r w:rsidRPr="004A1D4F">
        <w:rPr>
          <w:lang w:eastAsia="pl-PL"/>
        </w:rPr>
        <w:t>% wobec spadku o </w:t>
      </w:r>
      <w:r w:rsidR="00506B55">
        <w:rPr>
          <w:lang w:eastAsia="pl-PL"/>
        </w:rPr>
        <w:t>4</w:t>
      </w:r>
      <w:r w:rsidRPr="004A1D4F">
        <w:rPr>
          <w:lang w:eastAsia="pl-PL"/>
        </w:rPr>
        <w:t>0,</w:t>
      </w:r>
      <w:r w:rsidR="00506B55">
        <w:rPr>
          <w:lang w:eastAsia="pl-PL"/>
        </w:rPr>
        <w:t>8</w:t>
      </w:r>
      <w:r w:rsidRPr="004A1D4F">
        <w:rPr>
          <w:lang w:eastAsia="pl-PL"/>
        </w:rPr>
        <w:t xml:space="preserve"> przed rokiem). Wyższą sprzedaż niż sprzedaż „ogółem” spośród prezentowanych grup zaobserwowano </w:t>
      </w:r>
      <w:r w:rsidR="00534C5B">
        <w:rPr>
          <w:lang w:eastAsia="pl-PL"/>
        </w:rPr>
        <w:t xml:space="preserve">także </w:t>
      </w:r>
      <w:r w:rsidRPr="004A1D4F">
        <w:rPr>
          <w:lang w:eastAsia="pl-PL"/>
        </w:rPr>
        <w:t>w grupach: „pozostałe” (o 2</w:t>
      </w:r>
      <w:r w:rsidR="00506B55">
        <w:rPr>
          <w:lang w:eastAsia="pl-PL"/>
        </w:rPr>
        <w:t>4</w:t>
      </w:r>
      <w:r w:rsidRPr="004A1D4F">
        <w:rPr>
          <w:lang w:eastAsia="pl-PL"/>
        </w:rPr>
        <w:t>,</w:t>
      </w:r>
      <w:r w:rsidR="00506B55">
        <w:rPr>
          <w:lang w:eastAsia="pl-PL"/>
        </w:rPr>
        <w:t>4</w:t>
      </w:r>
      <w:r w:rsidRPr="004A1D4F">
        <w:rPr>
          <w:lang w:eastAsia="pl-PL"/>
        </w:rPr>
        <w:t>%)</w:t>
      </w:r>
      <w:r w:rsidR="00506B55">
        <w:rPr>
          <w:lang w:eastAsia="pl-PL"/>
        </w:rPr>
        <w:t xml:space="preserve">, </w:t>
      </w:r>
      <w:r w:rsidRPr="004A1D4F">
        <w:rPr>
          <w:lang w:eastAsia="pl-PL"/>
        </w:rPr>
        <w:t>„farmaceutyki, kosmetyki, sprzęt ortopedyczny” (o 1</w:t>
      </w:r>
      <w:r w:rsidR="00506B55">
        <w:rPr>
          <w:lang w:eastAsia="pl-PL"/>
        </w:rPr>
        <w:t>9</w:t>
      </w:r>
      <w:r w:rsidRPr="004A1D4F">
        <w:rPr>
          <w:lang w:eastAsia="pl-PL"/>
        </w:rPr>
        <w:t>,</w:t>
      </w:r>
      <w:r w:rsidR="00506B55">
        <w:rPr>
          <w:lang w:eastAsia="pl-PL"/>
        </w:rPr>
        <w:t>2</w:t>
      </w:r>
      <w:r w:rsidRPr="004A1D4F">
        <w:rPr>
          <w:lang w:eastAsia="pl-PL"/>
        </w:rPr>
        <w:t>%)</w:t>
      </w:r>
      <w:r w:rsidR="00506B55">
        <w:rPr>
          <w:lang w:eastAsia="pl-PL"/>
        </w:rPr>
        <w:t xml:space="preserve"> oraz</w:t>
      </w:r>
      <w:r w:rsidRPr="004A1D4F">
        <w:rPr>
          <w:lang w:eastAsia="pl-PL"/>
        </w:rPr>
        <w:t xml:space="preserve"> </w:t>
      </w:r>
      <w:r w:rsidR="00534C5B" w:rsidRPr="004A1D4F">
        <w:rPr>
          <w:lang w:eastAsia="pl-PL"/>
        </w:rPr>
        <w:t xml:space="preserve">„prasa, książki, pozostała sprzedaż w wyspecjalizowanych sklepach” </w:t>
      </w:r>
      <w:r w:rsidR="00534C5B">
        <w:rPr>
          <w:lang w:eastAsia="pl-PL"/>
        </w:rPr>
        <w:t xml:space="preserve">(o 17,5%). </w:t>
      </w:r>
      <w:r w:rsidRPr="004A1D4F">
        <w:rPr>
          <w:lang w:eastAsia="pl-PL"/>
        </w:rPr>
        <w:t>Spadek sprzedaży wykazały jednostki sprzedające pojazdy samochodowe, motocykle, części (o</w:t>
      </w:r>
      <w:r w:rsidR="0078230A">
        <w:rPr>
          <w:lang w:eastAsia="pl-PL"/>
        </w:rPr>
        <w:t> </w:t>
      </w:r>
      <w:r w:rsidR="00534C5B">
        <w:rPr>
          <w:lang w:eastAsia="pl-PL"/>
        </w:rPr>
        <w:t>13</w:t>
      </w:r>
      <w:r w:rsidRPr="004A1D4F">
        <w:rPr>
          <w:lang w:eastAsia="pl-PL"/>
        </w:rPr>
        <w:t>,5%)</w:t>
      </w:r>
      <w:r w:rsidR="00534C5B">
        <w:rPr>
          <w:lang w:eastAsia="pl-PL"/>
        </w:rPr>
        <w:t xml:space="preserve">, paliwa stałe, ciekłe i gazowe (o 1,5%), jak również meble, </w:t>
      </w:r>
      <w:proofErr w:type="spellStart"/>
      <w:r w:rsidR="00534C5B">
        <w:rPr>
          <w:lang w:eastAsia="pl-PL"/>
        </w:rPr>
        <w:t>rtv</w:t>
      </w:r>
      <w:proofErr w:type="spellEnd"/>
      <w:r w:rsidR="00534C5B">
        <w:rPr>
          <w:lang w:eastAsia="pl-PL"/>
        </w:rPr>
        <w:t xml:space="preserve">, </w:t>
      </w:r>
      <w:proofErr w:type="spellStart"/>
      <w:r w:rsidR="00534C5B">
        <w:rPr>
          <w:lang w:eastAsia="pl-PL"/>
        </w:rPr>
        <w:t>agd</w:t>
      </w:r>
      <w:proofErr w:type="spellEnd"/>
      <w:r w:rsidR="00534C5B">
        <w:rPr>
          <w:lang w:eastAsia="pl-PL"/>
        </w:rPr>
        <w:t xml:space="preserve"> (o</w:t>
      </w:r>
      <w:r w:rsidR="00ED5558">
        <w:rPr>
          <w:lang w:eastAsia="pl-PL"/>
        </w:rPr>
        <w:t xml:space="preserve"> 0,4%).</w:t>
      </w:r>
    </w:p>
    <w:p w14:paraId="34F1385F" w14:textId="4B7C7F69" w:rsidR="00C80EC3" w:rsidRPr="00C80EC3" w:rsidRDefault="004A1D4F" w:rsidP="004A1D4F">
      <w:pPr>
        <w:rPr>
          <w:lang w:eastAsia="pl-PL"/>
        </w:rPr>
      </w:pPr>
      <w:r w:rsidRPr="004A1D4F">
        <w:rPr>
          <w:lang w:eastAsia="pl-PL"/>
        </w:rPr>
        <w:t xml:space="preserve">W </w:t>
      </w:r>
      <w:r w:rsidR="00DA312A">
        <w:rPr>
          <w:lang w:eastAsia="pl-PL"/>
        </w:rPr>
        <w:t>styczniu 2022 r.</w:t>
      </w:r>
      <w:r w:rsidRPr="004A1D4F">
        <w:rPr>
          <w:lang w:eastAsia="pl-PL"/>
        </w:rPr>
        <w:t xml:space="preserve"> w porównaniu z </w:t>
      </w:r>
      <w:r w:rsidR="00DA312A">
        <w:rPr>
          <w:lang w:eastAsia="pl-PL"/>
        </w:rPr>
        <w:t>grudniem</w:t>
      </w:r>
      <w:r w:rsidRPr="004A1D4F">
        <w:rPr>
          <w:lang w:eastAsia="pl-PL"/>
        </w:rPr>
        <w:t xml:space="preserve"> 202</w:t>
      </w:r>
      <w:r w:rsidR="00DA312A">
        <w:rPr>
          <w:lang w:eastAsia="pl-PL"/>
        </w:rPr>
        <w:t>1</w:t>
      </w:r>
      <w:r w:rsidRPr="004A1D4F">
        <w:rPr>
          <w:lang w:eastAsia="pl-PL"/>
        </w:rPr>
        <w:t xml:space="preserve"> r. odnotowano </w:t>
      </w:r>
      <w:r w:rsidR="00033E17">
        <w:rPr>
          <w:lang w:eastAsia="pl-PL"/>
        </w:rPr>
        <w:t>spadek</w:t>
      </w:r>
      <w:r w:rsidRPr="004A1D4F">
        <w:rPr>
          <w:lang w:eastAsia="pl-PL"/>
        </w:rPr>
        <w:t xml:space="preserve"> wartości sprzedaży detalicznej przez Internet w cenach bieżących (o</w:t>
      </w:r>
      <w:r w:rsidR="00033E17">
        <w:rPr>
          <w:lang w:eastAsia="pl-PL"/>
        </w:rPr>
        <w:t xml:space="preserve"> 15</w:t>
      </w:r>
      <w:r w:rsidRPr="004A1D4F">
        <w:rPr>
          <w:lang w:eastAsia="pl-PL"/>
        </w:rPr>
        <w:t>,</w:t>
      </w:r>
      <w:r w:rsidR="00033E17">
        <w:rPr>
          <w:lang w:eastAsia="pl-PL"/>
        </w:rPr>
        <w:t>5</w:t>
      </w:r>
      <w:r w:rsidRPr="004A1D4F">
        <w:rPr>
          <w:lang w:eastAsia="pl-PL"/>
        </w:rPr>
        <w:t>%). Udział tej sprzedaży z</w:t>
      </w:r>
      <w:r w:rsidR="00DF2BF5">
        <w:rPr>
          <w:lang w:eastAsia="pl-PL"/>
        </w:rPr>
        <w:t>więk</w:t>
      </w:r>
      <w:r w:rsidRPr="004A1D4F">
        <w:rPr>
          <w:lang w:eastAsia="pl-PL"/>
        </w:rPr>
        <w:t>szył się z</w:t>
      </w:r>
      <w:r w:rsidR="004917C2">
        <w:rPr>
          <w:lang w:eastAsia="pl-PL"/>
        </w:rPr>
        <w:t> </w:t>
      </w:r>
      <w:r w:rsidRPr="004A1D4F">
        <w:rPr>
          <w:lang w:eastAsia="pl-PL"/>
        </w:rPr>
        <w:t>1</w:t>
      </w:r>
      <w:r w:rsidR="00DF2BF5">
        <w:rPr>
          <w:lang w:eastAsia="pl-PL"/>
        </w:rPr>
        <w:t>0</w:t>
      </w:r>
      <w:r w:rsidRPr="004A1D4F">
        <w:rPr>
          <w:lang w:eastAsia="pl-PL"/>
        </w:rPr>
        <w:t>,</w:t>
      </w:r>
      <w:r w:rsidR="00DF2BF5">
        <w:rPr>
          <w:lang w:eastAsia="pl-PL"/>
        </w:rPr>
        <w:t>2</w:t>
      </w:r>
      <w:r w:rsidRPr="004A1D4F">
        <w:rPr>
          <w:lang w:eastAsia="pl-PL"/>
        </w:rPr>
        <w:t xml:space="preserve">% w </w:t>
      </w:r>
      <w:r w:rsidR="00DF2BF5">
        <w:rPr>
          <w:lang w:eastAsia="pl-PL"/>
        </w:rPr>
        <w:t>grudniu ub. roku</w:t>
      </w:r>
      <w:r w:rsidRPr="004A1D4F">
        <w:rPr>
          <w:lang w:eastAsia="pl-PL"/>
        </w:rPr>
        <w:t xml:space="preserve"> do 1</w:t>
      </w:r>
      <w:r w:rsidR="00DF2BF5">
        <w:rPr>
          <w:lang w:eastAsia="pl-PL"/>
        </w:rPr>
        <w:t>1</w:t>
      </w:r>
      <w:r w:rsidRPr="004A1D4F">
        <w:rPr>
          <w:lang w:eastAsia="pl-PL"/>
        </w:rPr>
        <w:t>,</w:t>
      </w:r>
      <w:r w:rsidR="00DF2BF5">
        <w:rPr>
          <w:lang w:eastAsia="pl-PL"/>
        </w:rPr>
        <w:t>1</w:t>
      </w:r>
      <w:r w:rsidRPr="004A1D4F">
        <w:rPr>
          <w:lang w:eastAsia="pl-PL"/>
        </w:rPr>
        <w:t>% w</w:t>
      </w:r>
      <w:bookmarkStart w:id="0" w:name="_GoBack"/>
      <w:bookmarkEnd w:id="0"/>
      <w:r w:rsidRPr="004A1D4F">
        <w:rPr>
          <w:lang w:eastAsia="pl-PL"/>
        </w:rPr>
        <w:t xml:space="preserve"> </w:t>
      </w:r>
      <w:r w:rsidR="00DF2BF5">
        <w:rPr>
          <w:lang w:eastAsia="pl-PL"/>
        </w:rPr>
        <w:t>styczniu</w:t>
      </w:r>
      <w:r w:rsidRPr="004A1D4F">
        <w:rPr>
          <w:lang w:eastAsia="pl-PL"/>
        </w:rPr>
        <w:t xml:space="preserve"> </w:t>
      </w:r>
      <w:r w:rsidR="00DF2BF5">
        <w:rPr>
          <w:lang w:eastAsia="pl-PL"/>
        </w:rPr>
        <w:t>b</w:t>
      </w:r>
      <w:r w:rsidRPr="004A1D4F">
        <w:rPr>
          <w:lang w:eastAsia="pl-PL"/>
        </w:rPr>
        <w:t xml:space="preserve">r. </w:t>
      </w:r>
      <w:r w:rsidR="00DA3941">
        <w:rPr>
          <w:lang w:eastAsia="pl-PL"/>
        </w:rPr>
        <w:t xml:space="preserve">Spośród prezentowanych grup </w:t>
      </w:r>
      <w:r w:rsidR="00DA3941" w:rsidRPr="00BF2E29">
        <w:rPr>
          <w:lang w:eastAsia="pl-PL"/>
        </w:rPr>
        <w:t xml:space="preserve">o </w:t>
      </w:r>
      <w:r w:rsidR="00032FE8" w:rsidRPr="00BF2E29">
        <w:rPr>
          <w:lang w:eastAsia="pl-PL"/>
        </w:rPr>
        <w:t xml:space="preserve">znaczącym </w:t>
      </w:r>
      <w:r w:rsidRPr="00BF2E29">
        <w:rPr>
          <w:lang w:eastAsia="pl-PL"/>
        </w:rPr>
        <w:t>udzia</w:t>
      </w:r>
      <w:r w:rsidR="00DA3941" w:rsidRPr="00BF2E29">
        <w:rPr>
          <w:lang w:eastAsia="pl-PL"/>
        </w:rPr>
        <w:t>le</w:t>
      </w:r>
      <w:r w:rsidR="00002069" w:rsidRPr="00BF2E29">
        <w:rPr>
          <w:lang w:eastAsia="pl-PL"/>
        </w:rPr>
        <w:t xml:space="preserve"> w</w:t>
      </w:r>
      <w:r w:rsidR="00FC03CE" w:rsidRPr="00BF2E29">
        <w:rPr>
          <w:lang w:eastAsia="pl-PL"/>
        </w:rPr>
        <w:t xml:space="preserve"> </w:t>
      </w:r>
      <w:r w:rsidRPr="00BF2E29">
        <w:rPr>
          <w:lang w:eastAsia="pl-PL"/>
        </w:rPr>
        <w:t xml:space="preserve">sprzedaży </w:t>
      </w:r>
      <w:r w:rsidR="00DA3941" w:rsidRPr="00BF2E29">
        <w:rPr>
          <w:lang w:eastAsia="pl-PL"/>
        </w:rPr>
        <w:t>wzrost</w:t>
      </w:r>
      <w:r w:rsidR="00DF2BF5" w:rsidRPr="00BF2E29">
        <w:rPr>
          <w:lang w:eastAsia="pl-PL"/>
        </w:rPr>
        <w:t xml:space="preserve"> </w:t>
      </w:r>
      <w:r w:rsidRPr="00BF2E29">
        <w:rPr>
          <w:lang w:eastAsia="pl-PL"/>
        </w:rPr>
        <w:t>wykazały przedsiębiorstwa zaklasyfikowane do gru</w:t>
      </w:r>
      <w:r w:rsidRPr="004A1D4F">
        <w:rPr>
          <w:lang w:eastAsia="pl-PL"/>
        </w:rPr>
        <w:t>p: „tekstylia, odzież, obuwie” (z 2</w:t>
      </w:r>
      <w:r w:rsidR="00DA3941">
        <w:rPr>
          <w:lang w:eastAsia="pl-PL"/>
        </w:rPr>
        <w:t>4</w:t>
      </w:r>
      <w:r w:rsidRPr="004A1D4F">
        <w:rPr>
          <w:lang w:eastAsia="pl-PL"/>
        </w:rPr>
        <w:t>,</w:t>
      </w:r>
      <w:r w:rsidR="00DA3941">
        <w:rPr>
          <w:lang w:eastAsia="pl-PL"/>
        </w:rPr>
        <w:t>0</w:t>
      </w:r>
      <w:r w:rsidRPr="004A1D4F">
        <w:rPr>
          <w:lang w:eastAsia="pl-PL"/>
        </w:rPr>
        <w:t>% przed miesiącem  do 2</w:t>
      </w:r>
      <w:r w:rsidR="00DA3941">
        <w:rPr>
          <w:lang w:eastAsia="pl-PL"/>
        </w:rPr>
        <w:t>8</w:t>
      </w:r>
      <w:r w:rsidRPr="004A1D4F">
        <w:rPr>
          <w:lang w:eastAsia="pl-PL"/>
        </w:rPr>
        <w:t>,</w:t>
      </w:r>
      <w:r w:rsidR="00DA3941">
        <w:rPr>
          <w:lang w:eastAsia="pl-PL"/>
        </w:rPr>
        <w:t>8</w:t>
      </w:r>
      <w:r w:rsidRPr="004A1D4F">
        <w:rPr>
          <w:lang w:eastAsia="pl-PL"/>
        </w:rPr>
        <w:t xml:space="preserve">%), </w:t>
      </w:r>
      <w:bookmarkStart w:id="1" w:name="_Hlk95989478"/>
      <w:r w:rsidRPr="004A1D4F">
        <w:rPr>
          <w:lang w:eastAsia="pl-PL"/>
        </w:rPr>
        <w:t xml:space="preserve">„prasa, książki, pozostała sprzedaż w wyspecjalizowanych sklepach” </w:t>
      </w:r>
      <w:bookmarkEnd w:id="1"/>
      <w:r w:rsidRPr="004A1D4F">
        <w:rPr>
          <w:lang w:eastAsia="pl-PL"/>
        </w:rPr>
        <w:t>(odpowiednio z 2</w:t>
      </w:r>
      <w:r w:rsidR="00DA3941">
        <w:rPr>
          <w:lang w:eastAsia="pl-PL"/>
        </w:rPr>
        <w:t>3</w:t>
      </w:r>
      <w:r w:rsidRPr="004A1D4F">
        <w:rPr>
          <w:lang w:eastAsia="pl-PL"/>
        </w:rPr>
        <w:t>,</w:t>
      </w:r>
      <w:r w:rsidR="00DA3941">
        <w:rPr>
          <w:lang w:eastAsia="pl-PL"/>
        </w:rPr>
        <w:t>2</w:t>
      </w:r>
      <w:r w:rsidRPr="004A1D4F">
        <w:rPr>
          <w:lang w:eastAsia="pl-PL"/>
        </w:rPr>
        <w:t>% do 2</w:t>
      </w:r>
      <w:r w:rsidR="00DA3941">
        <w:rPr>
          <w:lang w:eastAsia="pl-PL"/>
        </w:rPr>
        <w:t>5</w:t>
      </w:r>
      <w:r w:rsidRPr="004A1D4F">
        <w:rPr>
          <w:lang w:eastAsia="pl-PL"/>
        </w:rPr>
        <w:t>,</w:t>
      </w:r>
      <w:r w:rsidR="00DA3941">
        <w:rPr>
          <w:lang w:eastAsia="pl-PL"/>
        </w:rPr>
        <w:t>1</w:t>
      </w:r>
      <w:r w:rsidRPr="004A1D4F">
        <w:rPr>
          <w:lang w:eastAsia="pl-PL"/>
        </w:rPr>
        <w:t xml:space="preserve">%) oraz „meble, </w:t>
      </w:r>
      <w:proofErr w:type="spellStart"/>
      <w:r w:rsidRPr="004A1D4F">
        <w:rPr>
          <w:lang w:eastAsia="pl-PL"/>
        </w:rPr>
        <w:t>rtv</w:t>
      </w:r>
      <w:proofErr w:type="spellEnd"/>
      <w:r w:rsidRPr="004A1D4F">
        <w:rPr>
          <w:lang w:eastAsia="pl-PL"/>
        </w:rPr>
        <w:t xml:space="preserve">, </w:t>
      </w:r>
      <w:proofErr w:type="spellStart"/>
      <w:r w:rsidRPr="004A1D4F">
        <w:rPr>
          <w:lang w:eastAsia="pl-PL"/>
        </w:rPr>
        <w:t>agd</w:t>
      </w:r>
      <w:proofErr w:type="spellEnd"/>
      <w:r w:rsidRPr="004A1D4F">
        <w:rPr>
          <w:lang w:eastAsia="pl-PL"/>
        </w:rPr>
        <w:t>” (z</w:t>
      </w:r>
      <w:r w:rsidR="00442204">
        <w:rPr>
          <w:lang w:eastAsia="pl-PL"/>
        </w:rPr>
        <w:t> </w:t>
      </w:r>
      <w:r w:rsidR="00DA3941">
        <w:rPr>
          <w:lang w:eastAsia="pl-PL"/>
        </w:rPr>
        <w:t>17</w:t>
      </w:r>
      <w:r w:rsidRPr="004A1D4F">
        <w:rPr>
          <w:lang w:eastAsia="pl-PL"/>
        </w:rPr>
        <w:t>,</w:t>
      </w:r>
      <w:r w:rsidR="00DA3941">
        <w:rPr>
          <w:lang w:eastAsia="pl-PL"/>
        </w:rPr>
        <w:t>5</w:t>
      </w:r>
      <w:r w:rsidRPr="004A1D4F">
        <w:rPr>
          <w:lang w:eastAsia="pl-PL"/>
        </w:rPr>
        <w:t xml:space="preserve">% do </w:t>
      </w:r>
      <w:r w:rsidR="00DA3941">
        <w:rPr>
          <w:lang w:eastAsia="pl-PL"/>
        </w:rPr>
        <w:t>20</w:t>
      </w:r>
      <w:r w:rsidRPr="004A1D4F">
        <w:rPr>
          <w:lang w:eastAsia="pl-PL"/>
        </w:rPr>
        <w:t>,5%).</w:t>
      </w:r>
    </w:p>
    <w:p w14:paraId="6C4F22F0" w14:textId="6F1FE06A" w:rsidR="004A1D4F" w:rsidRPr="005C3F59" w:rsidRDefault="00385BAB" w:rsidP="004A1D4F">
      <w:pPr>
        <w:rPr>
          <w:b/>
          <w:spacing w:val="-4"/>
          <w:sz w:val="18"/>
          <w:szCs w:val="18"/>
          <w:lang w:eastAsia="pl-PL"/>
        </w:rPr>
      </w:pPr>
      <w:r w:rsidRPr="005C3F59">
        <w:rPr>
          <w:b/>
          <w:noProof/>
          <w:spacing w:val="-14"/>
          <w:sz w:val="18"/>
          <w:szCs w:val="18"/>
          <w:lang w:eastAsia="pl-PL"/>
        </w:rPr>
        <w:drawing>
          <wp:anchor distT="0" distB="0" distL="114300" distR="114300" simplePos="0" relativeHeight="251759616" behindDoc="0" locked="0" layoutInCell="1" allowOverlap="1" wp14:anchorId="26FE7B2A" wp14:editId="7A4DF270">
            <wp:simplePos x="0" y="0"/>
            <wp:positionH relativeFrom="margin">
              <wp:align>left</wp:align>
            </wp:positionH>
            <wp:positionV relativeFrom="margin">
              <wp:posOffset>4994910</wp:posOffset>
            </wp:positionV>
            <wp:extent cx="5048250" cy="2312670"/>
            <wp:effectExtent l="0" t="0" r="0" b="0"/>
            <wp:wrapSquare wrapText="bothSides"/>
            <wp:docPr id="3" name="Wykres 3" descr="Wykres 1. Sprzedaż detaliczna towarów (ceny stałe) - analogiczny okres roku poprzedniego =100 &#10;Wskaźniki w poszczególnych miesiącach w latach:  2019, 2020, 2021, 20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  <wp14:sizeRelV relativeFrom="margin">
              <wp14:pctHeight>0</wp14:pctHeight>
            </wp14:sizeRelV>
          </wp:anchor>
        </w:drawing>
      </w:r>
      <w:r w:rsidR="0071565F" w:rsidRPr="005C3F59">
        <w:rPr>
          <w:b/>
          <w:spacing w:val="-4"/>
          <w:sz w:val="18"/>
          <w:szCs w:val="18"/>
        </w:rPr>
        <w:t>Wykres 1. Sp</w:t>
      </w:r>
      <w:r w:rsidR="0071565F" w:rsidRPr="005C3F59">
        <w:rPr>
          <w:b/>
          <w:spacing w:val="-4"/>
          <w:sz w:val="18"/>
          <w:szCs w:val="18"/>
          <w:shd w:val="clear" w:color="auto" w:fill="FFFFFF"/>
        </w:rPr>
        <w:t>rzedaż detaliczna towarów (ceny stałe) – analogiczny okres roku poprzedniego=100</w:t>
      </w:r>
    </w:p>
    <w:p w14:paraId="2A032429" w14:textId="39FBF793" w:rsidR="00994335" w:rsidRDefault="00E95B8E" w:rsidP="00F049AB">
      <w:pPr>
        <w:pStyle w:val="Tytutablicy"/>
      </w:pPr>
      <w:r w:rsidRPr="00F049AB">
        <w:lastRenderedPageBreak/>
        <w:t xml:space="preserve">Tablica </w:t>
      </w:r>
      <w:r w:rsidR="00D972F6" w:rsidRPr="00F049AB">
        <w:t>1</w:t>
      </w:r>
      <w:r w:rsidRPr="00F049AB">
        <w:t>.</w:t>
      </w:r>
      <w:r w:rsidR="00D972F6" w:rsidRPr="00F049AB">
        <w:t xml:space="preserve"> </w:t>
      </w:r>
      <w:r w:rsidR="00F013BA">
        <w:t xml:space="preserve">Dynamika </w:t>
      </w:r>
      <w:r w:rsidR="00774D6A">
        <w:t xml:space="preserve">sprzedaży detalicznej </w:t>
      </w:r>
    </w:p>
    <w:tbl>
      <w:tblPr>
        <w:tblW w:w="8051" w:type="dxa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1."/>
        <w:tblDescription w:val="Dynamika sprzedaży detalicznej"/>
      </w:tblPr>
      <w:tblGrid>
        <w:gridCol w:w="3403"/>
        <w:gridCol w:w="1162"/>
        <w:gridCol w:w="1162"/>
        <w:gridCol w:w="1162"/>
        <w:gridCol w:w="1162"/>
      </w:tblGrid>
      <w:tr w:rsidR="00DD6BC7" w:rsidRPr="00C614D7" w14:paraId="5AFF2C30" w14:textId="77777777" w:rsidTr="00FC61C4">
        <w:trPr>
          <w:trHeight w:val="340"/>
        </w:trPr>
        <w:tc>
          <w:tcPr>
            <w:tcW w:w="3403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14:paraId="34226E2D" w14:textId="77777777" w:rsidR="00DD6BC7" w:rsidRPr="00C614D7" w:rsidRDefault="00DD6BC7" w:rsidP="00DD6BC7">
            <w:pPr>
              <w:spacing w:before="240"/>
              <w:jc w:val="center"/>
              <w:rPr>
                <w:rFonts w:cs="Arial"/>
                <w:color w:val="000000"/>
                <w:szCs w:val="19"/>
              </w:rPr>
            </w:pPr>
            <w:r w:rsidRPr="00C614D7">
              <w:rPr>
                <w:rFonts w:cs="Arial"/>
                <w:color w:val="000000"/>
                <w:szCs w:val="19"/>
              </w:rPr>
              <w:t>Wyszczególnienie</w:t>
            </w:r>
          </w:p>
        </w:tc>
        <w:tc>
          <w:tcPr>
            <w:tcW w:w="2324" w:type="dxa"/>
            <w:gridSpan w:val="2"/>
            <w:tcBorders>
              <w:top w:val="nil"/>
            </w:tcBorders>
            <w:shd w:val="clear" w:color="auto" w:fill="auto"/>
            <w:vAlign w:val="center"/>
            <w:hideMark/>
          </w:tcPr>
          <w:p w14:paraId="27E99130" w14:textId="77777777" w:rsidR="00DD6BC7" w:rsidRPr="00C614D7" w:rsidRDefault="00DD6BC7" w:rsidP="00DD6BC7">
            <w:pPr>
              <w:spacing w:after="0" w:line="240" w:lineRule="auto"/>
              <w:jc w:val="center"/>
              <w:rPr>
                <w:rFonts w:cs="Arial"/>
                <w:b/>
                <w:color w:val="000000"/>
                <w:szCs w:val="19"/>
              </w:rPr>
            </w:pPr>
            <w:r w:rsidRPr="00C614D7">
              <w:rPr>
                <w:rFonts w:cs="Arial"/>
                <w:color w:val="000000"/>
                <w:szCs w:val="19"/>
              </w:rPr>
              <w:t>Ceny stałe</w:t>
            </w:r>
          </w:p>
        </w:tc>
        <w:tc>
          <w:tcPr>
            <w:tcW w:w="2324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467393F0" w14:textId="77777777" w:rsidR="00DD6BC7" w:rsidRPr="00C614D7" w:rsidRDefault="00DD6BC7" w:rsidP="00DD6BC7">
            <w:pPr>
              <w:spacing w:after="0" w:line="240" w:lineRule="auto"/>
              <w:jc w:val="center"/>
              <w:rPr>
                <w:rFonts w:cs="Arial"/>
                <w:b/>
                <w:color w:val="000000"/>
                <w:szCs w:val="19"/>
              </w:rPr>
            </w:pPr>
            <w:r w:rsidRPr="00C614D7">
              <w:rPr>
                <w:rFonts w:cs="Arial"/>
                <w:color w:val="000000"/>
                <w:szCs w:val="19"/>
              </w:rPr>
              <w:t>Ceny bieżące</w:t>
            </w:r>
          </w:p>
        </w:tc>
      </w:tr>
      <w:tr w:rsidR="00DD6BC7" w:rsidRPr="00DD6BC7" w14:paraId="2F56F11D" w14:textId="77777777" w:rsidTr="00FC61C4">
        <w:trPr>
          <w:trHeight w:val="340"/>
        </w:trPr>
        <w:tc>
          <w:tcPr>
            <w:tcW w:w="3403" w:type="dxa"/>
            <w:vMerge/>
            <w:shd w:val="clear" w:color="auto" w:fill="auto"/>
            <w:vAlign w:val="center"/>
          </w:tcPr>
          <w:p w14:paraId="0A4F0AA7" w14:textId="77777777" w:rsidR="00DD6BC7" w:rsidRPr="00DD6BC7" w:rsidRDefault="00DD6BC7" w:rsidP="00DD6BC7">
            <w:pPr>
              <w:spacing w:before="240"/>
              <w:jc w:val="center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</w:p>
        </w:tc>
        <w:tc>
          <w:tcPr>
            <w:tcW w:w="2324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15585AA6" w14:textId="3E65E558" w:rsidR="00DD6BC7" w:rsidRPr="00C614D7" w:rsidRDefault="00BB14D2" w:rsidP="00DD6BC7">
            <w:pPr>
              <w:spacing w:after="0" w:line="240" w:lineRule="auto"/>
              <w:jc w:val="center"/>
              <w:rPr>
                <w:rFonts w:cs="Arial"/>
                <w:color w:val="000000"/>
                <w:szCs w:val="19"/>
              </w:rPr>
            </w:pPr>
            <w:r w:rsidRPr="00C614D7">
              <w:rPr>
                <w:rFonts w:cs="Arial"/>
                <w:color w:val="000000"/>
                <w:szCs w:val="19"/>
              </w:rPr>
              <w:t xml:space="preserve">01 </w:t>
            </w:r>
            <w:r w:rsidR="00DD6BC7" w:rsidRPr="00C614D7">
              <w:rPr>
                <w:rFonts w:cs="Arial"/>
                <w:color w:val="000000"/>
                <w:szCs w:val="19"/>
              </w:rPr>
              <w:t>202</w:t>
            </w:r>
            <w:r w:rsidRPr="00C614D7">
              <w:rPr>
                <w:rFonts w:cs="Arial"/>
                <w:color w:val="000000"/>
                <w:szCs w:val="19"/>
              </w:rPr>
              <w:t>2</w:t>
            </w:r>
          </w:p>
        </w:tc>
        <w:tc>
          <w:tcPr>
            <w:tcW w:w="2324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799A4BB2" w14:textId="62B2D842" w:rsidR="00DD6BC7" w:rsidRPr="00C614D7" w:rsidRDefault="00BB14D2" w:rsidP="00DD6BC7">
            <w:pPr>
              <w:spacing w:after="0" w:line="240" w:lineRule="auto"/>
              <w:jc w:val="center"/>
              <w:rPr>
                <w:rFonts w:cs="Arial"/>
                <w:color w:val="000000"/>
                <w:szCs w:val="19"/>
              </w:rPr>
            </w:pPr>
            <w:r w:rsidRPr="00C614D7">
              <w:rPr>
                <w:rFonts w:cs="Arial"/>
                <w:color w:val="000000"/>
                <w:szCs w:val="19"/>
              </w:rPr>
              <w:t xml:space="preserve">01 </w:t>
            </w:r>
            <w:r w:rsidR="00DD6BC7" w:rsidRPr="00C614D7">
              <w:rPr>
                <w:rFonts w:cs="Arial"/>
                <w:color w:val="000000"/>
                <w:szCs w:val="19"/>
              </w:rPr>
              <w:t>202</w:t>
            </w:r>
            <w:r w:rsidRPr="00C614D7">
              <w:rPr>
                <w:rFonts w:cs="Arial"/>
                <w:color w:val="000000"/>
                <w:szCs w:val="19"/>
              </w:rPr>
              <w:t>2</w:t>
            </w:r>
          </w:p>
        </w:tc>
      </w:tr>
      <w:tr w:rsidR="00DD6BC7" w:rsidRPr="00DD6BC7" w14:paraId="4D5D3EA5" w14:textId="77777777" w:rsidTr="00FC61C4">
        <w:trPr>
          <w:trHeight w:val="340"/>
        </w:trPr>
        <w:tc>
          <w:tcPr>
            <w:tcW w:w="3403" w:type="dxa"/>
            <w:vMerge/>
            <w:tcBorders>
              <w:bottom w:val="single" w:sz="12" w:space="0" w:color="001D77"/>
            </w:tcBorders>
            <w:vAlign w:val="center"/>
            <w:hideMark/>
          </w:tcPr>
          <w:p w14:paraId="356CAC58" w14:textId="77777777" w:rsidR="00DD6BC7" w:rsidRPr="00DD6BC7" w:rsidRDefault="00DD6BC7" w:rsidP="00DD6BC7">
            <w:pPr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</w:p>
        </w:tc>
        <w:tc>
          <w:tcPr>
            <w:tcW w:w="1162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251C7866" w14:textId="4B4A5A86" w:rsidR="00DD6BC7" w:rsidRPr="00C614D7" w:rsidRDefault="00BB14D2" w:rsidP="00DD6BC7">
            <w:pPr>
              <w:spacing w:after="0" w:line="240" w:lineRule="auto"/>
              <w:jc w:val="center"/>
              <w:rPr>
                <w:rFonts w:cs="Arial"/>
                <w:color w:val="000000"/>
                <w:szCs w:val="19"/>
              </w:rPr>
            </w:pPr>
            <w:r w:rsidRPr="00C614D7">
              <w:rPr>
                <w:rFonts w:cs="Arial"/>
                <w:color w:val="000000"/>
                <w:szCs w:val="19"/>
              </w:rPr>
              <w:t xml:space="preserve">12 </w:t>
            </w:r>
            <w:r w:rsidR="00DD6BC7" w:rsidRPr="00C614D7">
              <w:rPr>
                <w:rFonts w:cs="Arial"/>
                <w:color w:val="000000"/>
                <w:szCs w:val="19"/>
              </w:rPr>
              <w:t>202</w:t>
            </w:r>
            <w:r w:rsidRPr="00C614D7">
              <w:rPr>
                <w:rFonts w:cs="Arial"/>
                <w:color w:val="000000"/>
                <w:szCs w:val="19"/>
              </w:rPr>
              <w:t>1</w:t>
            </w:r>
            <w:r w:rsidR="00DD6BC7" w:rsidRPr="00C614D7">
              <w:rPr>
                <w:rFonts w:cs="Arial"/>
                <w:color w:val="000000"/>
                <w:szCs w:val="19"/>
              </w:rPr>
              <w:t>=100</w:t>
            </w:r>
          </w:p>
        </w:tc>
        <w:tc>
          <w:tcPr>
            <w:tcW w:w="1162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50439F05" w14:textId="29AB595D" w:rsidR="00DD6BC7" w:rsidRPr="00C614D7" w:rsidRDefault="00BB14D2" w:rsidP="00DD6BC7">
            <w:pPr>
              <w:spacing w:after="0" w:line="240" w:lineRule="auto"/>
              <w:jc w:val="center"/>
              <w:rPr>
                <w:rFonts w:cs="Arial"/>
                <w:color w:val="000000"/>
                <w:szCs w:val="19"/>
              </w:rPr>
            </w:pPr>
            <w:r w:rsidRPr="00C614D7">
              <w:rPr>
                <w:rFonts w:cs="Arial"/>
                <w:color w:val="000000"/>
                <w:szCs w:val="19"/>
              </w:rPr>
              <w:t>01</w:t>
            </w:r>
            <w:r w:rsidR="00DD6BC7" w:rsidRPr="00C614D7">
              <w:rPr>
                <w:rFonts w:cs="Arial"/>
                <w:color w:val="000000"/>
                <w:szCs w:val="19"/>
              </w:rPr>
              <w:t xml:space="preserve"> 202</w:t>
            </w:r>
            <w:r w:rsidRPr="00C614D7">
              <w:rPr>
                <w:rFonts w:cs="Arial"/>
                <w:color w:val="000000"/>
                <w:szCs w:val="19"/>
              </w:rPr>
              <w:t>1</w:t>
            </w:r>
            <w:r w:rsidR="00DD6BC7" w:rsidRPr="00C614D7">
              <w:rPr>
                <w:rFonts w:cs="Arial"/>
                <w:color w:val="000000"/>
                <w:szCs w:val="19"/>
              </w:rPr>
              <w:t>=100</w:t>
            </w:r>
          </w:p>
        </w:tc>
        <w:tc>
          <w:tcPr>
            <w:tcW w:w="1162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4D3864F9" w14:textId="65794029" w:rsidR="00DD6BC7" w:rsidRPr="00C614D7" w:rsidRDefault="00BB14D2" w:rsidP="00DD6BC7">
            <w:pPr>
              <w:spacing w:after="0" w:line="240" w:lineRule="auto"/>
              <w:jc w:val="center"/>
              <w:rPr>
                <w:rFonts w:cs="Arial"/>
                <w:color w:val="000000"/>
                <w:szCs w:val="19"/>
              </w:rPr>
            </w:pPr>
            <w:r w:rsidRPr="00C614D7">
              <w:rPr>
                <w:rFonts w:cs="Arial"/>
                <w:color w:val="000000"/>
                <w:szCs w:val="19"/>
              </w:rPr>
              <w:t>12</w:t>
            </w:r>
            <w:r w:rsidR="00DD6BC7" w:rsidRPr="00C614D7">
              <w:rPr>
                <w:rFonts w:cs="Arial"/>
                <w:color w:val="000000"/>
                <w:szCs w:val="19"/>
              </w:rPr>
              <w:t xml:space="preserve"> 202</w:t>
            </w:r>
            <w:r w:rsidRPr="00C614D7">
              <w:rPr>
                <w:rFonts w:cs="Arial"/>
                <w:color w:val="000000"/>
                <w:szCs w:val="19"/>
              </w:rPr>
              <w:t>1</w:t>
            </w:r>
            <w:r w:rsidR="00DD6BC7" w:rsidRPr="00C614D7">
              <w:rPr>
                <w:rFonts w:cs="Arial"/>
                <w:color w:val="000000"/>
                <w:szCs w:val="19"/>
              </w:rPr>
              <w:t>=100</w:t>
            </w:r>
          </w:p>
        </w:tc>
        <w:tc>
          <w:tcPr>
            <w:tcW w:w="1162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07867C5A" w14:textId="67CE6F31" w:rsidR="00DD6BC7" w:rsidRPr="00C614D7" w:rsidRDefault="00BB14D2" w:rsidP="00DD6BC7">
            <w:pPr>
              <w:spacing w:after="0" w:line="240" w:lineRule="auto"/>
              <w:jc w:val="center"/>
              <w:rPr>
                <w:rFonts w:cs="Arial"/>
                <w:color w:val="000000"/>
                <w:szCs w:val="19"/>
              </w:rPr>
            </w:pPr>
            <w:r w:rsidRPr="00C614D7">
              <w:rPr>
                <w:rFonts w:cs="Arial"/>
                <w:color w:val="000000"/>
                <w:szCs w:val="19"/>
              </w:rPr>
              <w:t xml:space="preserve">01 </w:t>
            </w:r>
            <w:r w:rsidR="00DD6BC7" w:rsidRPr="00C614D7">
              <w:rPr>
                <w:rFonts w:cs="Arial"/>
                <w:color w:val="000000"/>
                <w:szCs w:val="19"/>
              </w:rPr>
              <w:t>202</w:t>
            </w:r>
            <w:r w:rsidRPr="00C614D7">
              <w:rPr>
                <w:rFonts w:cs="Arial"/>
                <w:color w:val="000000"/>
                <w:szCs w:val="19"/>
              </w:rPr>
              <w:t>1</w:t>
            </w:r>
            <w:r w:rsidR="00DD6BC7" w:rsidRPr="00C614D7">
              <w:rPr>
                <w:rFonts w:cs="Arial"/>
                <w:color w:val="000000"/>
                <w:szCs w:val="19"/>
              </w:rPr>
              <w:t>=100</w:t>
            </w:r>
          </w:p>
        </w:tc>
      </w:tr>
      <w:tr w:rsidR="003953ED" w:rsidRPr="00DD6BC7" w14:paraId="2B5A6DA4" w14:textId="77777777" w:rsidTr="00FC61C4">
        <w:trPr>
          <w:trHeight w:val="369"/>
        </w:trPr>
        <w:tc>
          <w:tcPr>
            <w:tcW w:w="3403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0D391164" w14:textId="77777777" w:rsidR="003953ED" w:rsidRPr="00C614D7" w:rsidRDefault="003953ED" w:rsidP="003953ED">
            <w:pPr>
              <w:spacing w:before="0" w:after="0"/>
              <w:rPr>
                <w:rFonts w:cs="Arial"/>
                <w:b/>
                <w:bCs/>
                <w:color w:val="000000"/>
                <w:szCs w:val="19"/>
              </w:rPr>
            </w:pPr>
            <w:r w:rsidRPr="00C614D7">
              <w:rPr>
                <w:rFonts w:cs="Arial"/>
                <w:b/>
                <w:bCs/>
                <w:color w:val="000000"/>
                <w:szCs w:val="19"/>
              </w:rPr>
              <w:t xml:space="preserve"> OGÓŁEM</w:t>
            </w:r>
          </w:p>
        </w:tc>
        <w:tc>
          <w:tcPr>
            <w:tcW w:w="1162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615CEDD0" w14:textId="51C697F1" w:rsidR="003953ED" w:rsidRPr="00522630" w:rsidRDefault="003953ED" w:rsidP="003953ED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Cs w:val="19"/>
              </w:rPr>
            </w:pPr>
            <w:r w:rsidRPr="00522630">
              <w:rPr>
                <w:rFonts w:cs="Arial"/>
                <w:b/>
                <w:bCs/>
                <w:color w:val="000000"/>
                <w:szCs w:val="19"/>
              </w:rPr>
              <w:t>77,2</w:t>
            </w:r>
          </w:p>
        </w:tc>
        <w:tc>
          <w:tcPr>
            <w:tcW w:w="1162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451C1F27" w14:textId="26B05B1F" w:rsidR="003953ED" w:rsidRPr="00522630" w:rsidRDefault="003953ED" w:rsidP="003953ED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Cs w:val="19"/>
              </w:rPr>
            </w:pPr>
            <w:r w:rsidRPr="00522630">
              <w:rPr>
                <w:rFonts w:cs="Arial"/>
                <w:b/>
                <w:bCs/>
                <w:color w:val="000000"/>
                <w:szCs w:val="19"/>
              </w:rPr>
              <w:t>110,6</w:t>
            </w:r>
          </w:p>
        </w:tc>
        <w:tc>
          <w:tcPr>
            <w:tcW w:w="1162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62E3E5CB" w14:textId="710B4D3B" w:rsidR="003953ED" w:rsidRPr="00522630" w:rsidRDefault="003953ED" w:rsidP="003953ED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Cs w:val="19"/>
              </w:rPr>
            </w:pPr>
            <w:r w:rsidRPr="00522630">
              <w:rPr>
                <w:rFonts w:cs="Arial"/>
                <w:b/>
                <w:bCs/>
                <w:color w:val="000000"/>
                <w:szCs w:val="19"/>
              </w:rPr>
              <w:t>77,4</w:t>
            </w:r>
          </w:p>
        </w:tc>
        <w:tc>
          <w:tcPr>
            <w:tcW w:w="1162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5BF399A6" w14:textId="4B40C334" w:rsidR="003953ED" w:rsidRPr="00522630" w:rsidRDefault="003953ED" w:rsidP="003953ED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Cs w:val="19"/>
              </w:rPr>
            </w:pPr>
            <w:r w:rsidRPr="00522630">
              <w:rPr>
                <w:rFonts w:cs="Arial"/>
                <w:b/>
                <w:bCs/>
                <w:color w:val="000000"/>
                <w:szCs w:val="19"/>
              </w:rPr>
              <w:t>120,0</w:t>
            </w:r>
          </w:p>
        </w:tc>
      </w:tr>
      <w:tr w:rsidR="003953ED" w:rsidRPr="00DD6BC7" w14:paraId="102F1178" w14:textId="77777777" w:rsidTr="00FC61C4">
        <w:trPr>
          <w:trHeight w:val="369"/>
        </w:trPr>
        <w:tc>
          <w:tcPr>
            <w:tcW w:w="3403" w:type="dxa"/>
            <w:shd w:val="clear" w:color="auto" w:fill="auto"/>
            <w:vAlign w:val="center"/>
            <w:hideMark/>
          </w:tcPr>
          <w:p w14:paraId="472CFB7A" w14:textId="77777777" w:rsidR="003953ED" w:rsidRPr="00C614D7" w:rsidRDefault="003953ED" w:rsidP="003953ED">
            <w:pPr>
              <w:spacing w:before="0" w:after="0"/>
              <w:ind w:firstLine="176"/>
              <w:rPr>
                <w:rFonts w:cs="Arial"/>
                <w:color w:val="000000"/>
                <w:szCs w:val="19"/>
              </w:rPr>
            </w:pPr>
            <w:r w:rsidRPr="00C614D7">
              <w:rPr>
                <w:rFonts w:cs="Arial"/>
                <w:color w:val="000000"/>
                <w:szCs w:val="19"/>
              </w:rPr>
              <w:t>w tym: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23B85B6D" w14:textId="77777777" w:rsidR="003953ED" w:rsidRPr="00522630" w:rsidRDefault="003953ED" w:rsidP="003953ED">
            <w:pPr>
              <w:spacing w:before="0" w:after="0"/>
              <w:jc w:val="right"/>
              <w:rPr>
                <w:rFonts w:cs="Arial"/>
                <w:color w:val="000000"/>
                <w:szCs w:val="19"/>
              </w:rPr>
            </w:pPr>
          </w:p>
        </w:tc>
        <w:tc>
          <w:tcPr>
            <w:tcW w:w="1162" w:type="dxa"/>
            <w:shd w:val="clear" w:color="auto" w:fill="auto"/>
            <w:vAlign w:val="center"/>
          </w:tcPr>
          <w:p w14:paraId="729831D9" w14:textId="77777777" w:rsidR="003953ED" w:rsidRPr="00522630" w:rsidRDefault="003953ED" w:rsidP="003953ED">
            <w:pPr>
              <w:spacing w:before="0" w:after="0"/>
              <w:jc w:val="right"/>
              <w:rPr>
                <w:rFonts w:cs="Arial"/>
                <w:color w:val="000000"/>
                <w:szCs w:val="19"/>
              </w:rPr>
            </w:pPr>
          </w:p>
        </w:tc>
        <w:tc>
          <w:tcPr>
            <w:tcW w:w="1162" w:type="dxa"/>
            <w:shd w:val="clear" w:color="auto" w:fill="auto"/>
            <w:vAlign w:val="center"/>
          </w:tcPr>
          <w:p w14:paraId="53BD3616" w14:textId="77777777" w:rsidR="003953ED" w:rsidRPr="00522630" w:rsidRDefault="003953ED" w:rsidP="003953ED">
            <w:pPr>
              <w:spacing w:before="0" w:after="0"/>
              <w:jc w:val="right"/>
              <w:rPr>
                <w:rFonts w:cs="Arial"/>
                <w:color w:val="000000"/>
                <w:szCs w:val="19"/>
              </w:rPr>
            </w:pPr>
          </w:p>
        </w:tc>
        <w:tc>
          <w:tcPr>
            <w:tcW w:w="1162" w:type="dxa"/>
            <w:shd w:val="clear" w:color="auto" w:fill="auto"/>
            <w:vAlign w:val="center"/>
          </w:tcPr>
          <w:p w14:paraId="1CD0C555" w14:textId="77777777" w:rsidR="003953ED" w:rsidRPr="00522630" w:rsidRDefault="003953ED" w:rsidP="003953ED">
            <w:pPr>
              <w:spacing w:before="0" w:after="0"/>
              <w:jc w:val="right"/>
              <w:rPr>
                <w:rFonts w:cs="Arial"/>
                <w:color w:val="000000"/>
                <w:szCs w:val="19"/>
              </w:rPr>
            </w:pPr>
          </w:p>
        </w:tc>
      </w:tr>
      <w:tr w:rsidR="003953ED" w:rsidRPr="00DD6BC7" w14:paraId="08387B58" w14:textId="77777777" w:rsidTr="00FC61C4">
        <w:trPr>
          <w:trHeight w:val="369"/>
        </w:trPr>
        <w:tc>
          <w:tcPr>
            <w:tcW w:w="3403" w:type="dxa"/>
            <w:shd w:val="clear" w:color="auto" w:fill="auto"/>
            <w:vAlign w:val="center"/>
            <w:hideMark/>
          </w:tcPr>
          <w:p w14:paraId="78BDD5EC" w14:textId="77777777" w:rsidR="003953ED" w:rsidRPr="00C614D7" w:rsidRDefault="003953ED" w:rsidP="003953ED">
            <w:pPr>
              <w:spacing w:before="0" w:after="0"/>
              <w:rPr>
                <w:rFonts w:cs="Arial"/>
                <w:color w:val="000000"/>
                <w:szCs w:val="19"/>
              </w:rPr>
            </w:pPr>
            <w:r w:rsidRPr="00C614D7">
              <w:rPr>
                <w:rFonts w:cs="Arial"/>
                <w:color w:val="000000"/>
                <w:szCs w:val="19"/>
              </w:rPr>
              <w:t>Pojazdy samochodowe, motocykle, części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25C4BAD1" w14:textId="285FD652" w:rsidR="003953ED" w:rsidRPr="00522630" w:rsidRDefault="003953ED" w:rsidP="003953ED">
            <w:pPr>
              <w:spacing w:before="0" w:after="0"/>
              <w:jc w:val="right"/>
              <w:rPr>
                <w:rFonts w:cs="Arial"/>
                <w:color w:val="000000"/>
                <w:szCs w:val="19"/>
              </w:rPr>
            </w:pPr>
            <w:r w:rsidRPr="00522630">
              <w:rPr>
                <w:rFonts w:cs="Arial"/>
                <w:color w:val="000000"/>
                <w:szCs w:val="19"/>
              </w:rPr>
              <w:t>85,0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073FB5FA" w14:textId="22C68E18" w:rsidR="003953ED" w:rsidRPr="00522630" w:rsidRDefault="003953ED" w:rsidP="003953ED">
            <w:pPr>
              <w:spacing w:before="0" w:after="0"/>
              <w:jc w:val="right"/>
              <w:rPr>
                <w:rFonts w:cs="Arial"/>
                <w:color w:val="000000"/>
                <w:szCs w:val="19"/>
              </w:rPr>
            </w:pPr>
            <w:r w:rsidRPr="00522630">
              <w:rPr>
                <w:rFonts w:cs="Arial"/>
                <w:color w:val="000000"/>
                <w:szCs w:val="19"/>
              </w:rPr>
              <w:t>86,5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3234E753" w14:textId="72CB884B" w:rsidR="003953ED" w:rsidRPr="00522630" w:rsidRDefault="003953ED" w:rsidP="003953ED">
            <w:pPr>
              <w:spacing w:before="0" w:after="0"/>
              <w:jc w:val="right"/>
              <w:rPr>
                <w:rFonts w:cs="Arial"/>
                <w:color w:val="000000"/>
                <w:szCs w:val="19"/>
              </w:rPr>
            </w:pPr>
            <w:r w:rsidRPr="00522630">
              <w:rPr>
                <w:rFonts w:cs="Arial"/>
                <w:color w:val="000000"/>
                <w:szCs w:val="19"/>
              </w:rPr>
              <w:t>85,7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329B3B23" w14:textId="0E8D6FAB" w:rsidR="003953ED" w:rsidRPr="00522630" w:rsidRDefault="003953ED" w:rsidP="003953ED">
            <w:pPr>
              <w:spacing w:before="0" w:after="0"/>
              <w:jc w:val="right"/>
              <w:rPr>
                <w:rFonts w:cs="Arial"/>
                <w:color w:val="000000"/>
                <w:szCs w:val="19"/>
              </w:rPr>
            </w:pPr>
            <w:r w:rsidRPr="00522630">
              <w:rPr>
                <w:rFonts w:cs="Arial"/>
                <w:color w:val="000000"/>
                <w:szCs w:val="19"/>
              </w:rPr>
              <w:t>92,6</w:t>
            </w:r>
          </w:p>
        </w:tc>
      </w:tr>
      <w:tr w:rsidR="003953ED" w:rsidRPr="00DD6BC7" w14:paraId="24A9AC16" w14:textId="77777777" w:rsidTr="00FC61C4">
        <w:trPr>
          <w:trHeight w:val="369"/>
        </w:trPr>
        <w:tc>
          <w:tcPr>
            <w:tcW w:w="3403" w:type="dxa"/>
            <w:shd w:val="clear" w:color="auto" w:fill="auto"/>
            <w:vAlign w:val="center"/>
            <w:hideMark/>
          </w:tcPr>
          <w:p w14:paraId="79E09956" w14:textId="77777777" w:rsidR="003953ED" w:rsidRPr="00C614D7" w:rsidRDefault="003953ED" w:rsidP="003953ED">
            <w:pPr>
              <w:spacing w:before="0" w:after="0"/>
              <w:rPr>
                <w:rFonts w:cs="Arial"/>
                <w:color w:val="000000"/>
                <w:szCs w:val="19"/>
              </w:rPr>
            </w:pPr>
            <w:r w:rsidRPr="00C614D7">
              <w:rPr>
                <w:rFonts w:cs="Arial"/>
                <w:color w:val="000000"/>
                <w:szCs w:val="19"/>
              </w:rPr>
              <w:t>Paliwa stałe, ciekłe i gazowe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38676530" w14:textId="6629BA23" w:rsidR="003953ED" w:rsidRPr="00522630" w:rsidRDefault="003953ED" w:rsidP="003953ED">
            <w:pPr>
              <w:spacing w:before="0" w:after="0"/>
              <w:jc w:val="right"/>
              <w:rPr>
                <w:rFonts w:cs="Arial"/>
                <w:color w:val="000000"/>
                <w:szCs w:val="19"/>
              </w:rPr>
            </w:pPr>
            <w:r w:rsidRPr="00522630">
              <w:rPr>
                <w:rFonts w:cs="Arial"/>
                <w:color w:val="000000"/>
                <w:szCs w:val="19"/>
              </w:rPr>
              <w:t>85,1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71A1C078" w14:textId="4A047698" w:rsidR="003953ED" w:rsidRPr="00522630" w:rsidRDefault="003953ED" w:rsidP="003953ED">
            <w:pPr>
              <w:spacing w:before="0" w:after="0"/>
              <w:jc w:val="right"/>
              <w:rPr>
                <w:rFonts w:cs="Arial"/>
                <w:color w:val="000000"/>
                <w:szCs w:val="19"/>
              </w:rPr>
            </w:pPr>
            <w:r w:rsidRPr="00522630">
              <w:rPr>
                <w:rFonts w:cs="Arial"/>
                <w:color w:val="000000"/>
                <w:szCs w:val="19"/>
              </w:rPr>
              <w:t>98,5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6561BA38" w14:textId="7D3CAA2C" w:rsidR="003953ED" w:rsidRPr="00522630" w:rsidRDefault="003953ED" w:rsidP="003953ED">
            <w:pPr>
              <w:spacing w:before="0" w:after="0"/>
              <w:jc w:val="right"/>
              <w:rPr>
                <w:rFonts w:cs="Arial"/>
                <w:color w:val="000000"/>
                <w:szCs w:val="19"/>
              </w:rPr>
            </w:pPr>
            <w:r w:rsidRPr="00522630">
              <w:rPr>
                <w:rFonts w:cs="Arial"/>
                <w:color w:val="000000"/>
                <w:szCs w:val="19"/>
              </w:rPr>
              <w:t>82,6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7131F5A5" w14:textId="6301BB6D" w:rsidR="003953ED" w:rsidRPr="00522630" w:rsidRDefault="003953ED" w:rsidP="003953ED">
            <w:pPr>
              <w:spacing w:before="0" w:after="0"/>
              <w:jc w:val="right"/>
              <w:rPr>
                <w:rFonts w:cs="Arial"/>
                <w:color w:val="000000"/>
                <w:szCs w:val="19"/>
              </w:rPr>
            </w:pPr>
            <w:r w:rsidRPr="00522630">
              <w:rPr>
                <w:rFonts w:cs="Arial"/>
                <w:color w:val="000000"/>
                <w:szCs w:val="19"/>
              </w:rPr>
              <w:t>126,4</w:t>
            </w:r>
          </w:p>
        </w:tc>
      </w:tr>
      <w:tr w:rsidR="003953ED" w:rsidRPr="00DD6BC7" w14:paraId="4C2F05A0" w14:textId="77777777" w:rsidTr="00FC61C4">
        <w:trPr>
          <w:trHeight w:val="369"/>
        </w:trPr>
        <w:tc>
          <w:tcPr>
            <w:tcW w:w="3403" w:type="dxa"/>
            <w:shd w:val="clear" w:color="auto" w:fill="auto"/>
            <w:vAlign w:val="center"/>
            <w:hideMark/>
          </w:tcPr>
          <w:p w14:paraId="1C3B8643" w14:textId="77777777" w:rsidR="003953ED" w:rsidRPr="00C614D7" w:rsidRDefault="003953ED" w:rsidP="003953ED">
            <w:pPr>
              <w:spacing w:before="0" w:after="0"/>
              <w:rPr>
                <w:rFonts w:cs="Arial"/>
                <w:color w:val="000000"/>
                <w:szCs w:val="19"/>
              </w:rPr>
            </w:pPr>
            <w:r w:rsidRPr="00C614D7">
              <w:rPr>
                <w:rFonts w:cs="Arial"/>
                <w:color w:val="000000"/>
                <w:szCs w:val="19"/>
              </w:rPr>
              <w:t>Żywność, napoje i wyroby tytoniowe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329A69A5" w14:textId="6F5DE9C6" w:rsidR="003953ED" w:rsidRPr="00522630" w:rsidRDefault="003953ED" w:rsidP="003953ED">
            <w:pPr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22630">
              <w:rPr>
                <w:rFonts w:cs="Arial"/>
                <w:color w:val="000000"/>
                <w:szCs w:val="19"/>
              </w:rPr>
              <w:t>77,7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68D3A659" w14:textId="3CE51FE6" w:rsidR="003953ED" w:rsidRPr="00522630" w:rsidRDefault="003953ED" w:rsidP="003953ED">
            <w:pPr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22630">
              <w:rPr>
                <w:rFonts w:cs="Arial"/>
                <w:color w:val="000000"/>
                <w:szCs w:val="19"/>
              </w:rPr>
              <w:t>103,6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1AA18225" w14:textId="0B0FCE7A" w:rsidR="003953ED" w:rsidRPr="00522630" w:rsidRDefault="003953ED" w:rsidP="003953ED">
            <w:pPr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22630">
              <w:rPr>
                <w:rFonts w:cs="Arial"/>
                <w:color w:val="000000"/>
                <w:szCs w:val="19"/>
              </w:rPr>
              <w:t>79,6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410A88CD" w14:textId="5480294D" w:rsidR="003953ED" w:rsidRPr="00522630" w:rsidRDefault="003953ED" w:rsidP="003953ED">
            <w:pPr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22630">
              <w:rPr>
                <w:rFonts w:cs="Arial"/>
                <w:color w:val="000000"/>
                <w:szCs w:val="19"/>
              </w:rPr>
              <w:t>112,1</w:t>
            </w:r>
          </w:p>
        </w:tc>
      </w:tr>
      <w:tr w:rsidR="003953ED" w:rsidRPr="00DD6BC7" w14:paraId="5748655B" w14:textId="77777777" w:rsidTr="00FC61C4">
        <w:trPr>
          <w:trHeight w:val="567"/>
        </w:trPr>
        <w:tc>
          <w:tcPr>
            <w:tcW w:w="3403" w:type="dxa"/>
            <w:shd w:val="clear" w:color="auto" w:fill="auto"/>
            <w:vAlign w:val="center"/>
            <w:hideMark/>
          </w:tcPr>
          <w:p w14:paraId="42F7AD35" w14:textId="77777777" w:rsidR="003953ED" w:rsidRPr="00C614D7" w:rsidRDefault="003953ED" w:rsidP="003953ED">
            <w:pPr>
              <w:spacing w:before="0" w:after="0"/>
              <w:rPr>
                <w:rFonts w:cs="Arial"/>
                <w:color w:val="000000"/>
                <w:szCs w:val="19"/>
              </w:rPr>
            </w:pPr>
            <w:r w:rsidRPr="00C614D7">
              <w:rPr>
                <w:rFonts w:cs="Arial"/>
                <w:color w:val="000000"/>
                <w:szCs w:val="19"/>
              </w:rPr>
              <w:t xml:space="preserve">Pozostała sprzedaż detaliczna </w:t>
            </w:r>
          </w:p>
          <w:p w14:paraId="32BC9B2D" w14:textId="77777777" w:rsidR="003953ED" w:rsidRPr="00C614D7" w:rsidRDefault="003953ED" w:rsidP="003953ED">
            <w:pPr>
              <w:spacing w:before="0" w:after="0"/>
              <w:rPr>
                <w:rFonts w:cs="Arial"/>
                <w:color w:val="000000"/>
                <w:szCs w:val="19"/>
              </w:rPr>
            </w:pPr>
            <w:r w:rsidRPr="00C614D7">
              <w:rPr>
                <w:rFonts w:cs="Arial"/>
                <w:color w:val="000000"/>
                <w:szCs w:val="19"/>
              </w:rPr>
              <w:t>w niewyspecjalizowanych sklepach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0899EDC9" w14:textId="77777777" w:rsidR="003953ED" w:rsidRPr="00522630" w:rsidRDefault="003953ED" w:rsidP="003953ED">
            <w:pPr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22630">
              <w:rPr>
                <w:rFonts w:cs="Arial"/>
                <w:color w:val="000000"/>
                <w:szCs w:val="19"/>
              </w:rPr>
              <w:t>.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1443E2BB" w14:textId="77777777" w:rsidR="003953ED" w:rsidRPr="00522630" w:rsidRDefault="003953ED" w:rsidP="003953ED">
            <w:pPr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22630">
              <w:rPr>
                <w:rFonts w:cs="Arial"/>
                <w:color w:val="000000"/>
                <w:szCs w:val="19"/>
              </w:rPr>
              <w:t>.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0B5DE7F1" w14:textId="77777777" w:rsidR="003953ED" w:rsidRPr="00522630" w:rsidRDefault="003953ED" w:rsidP="003953ED">
            <w:pPr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22630">
              <w:rPr>
                <w:rFonts w:cs="Arial"/>
                <w:color w:val="000000"/>
                <w:szCs w:val="19"/>
              </w:rPr>
              <w:t>.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2C97D162" w14:textId="77777777" w:rsidR="003953ED" w:rsidRPr="00522630" w:rsidRDefault="003953ED" w:rsidP="003953ED">
            <w:pPr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22630">
              <w:rPr>
                <w:rFonts w:cs="Arial"/>
                <w:color w:val="000000"/>
                <w:szCs w:val="19"/>
              </w:rPr>
              <w:t>.</w:t>
            </w:r>
          </w:p>
        </w:tc>
      </w:tr>
      <w:tr w:rsidR="003953ED" w:rsidRPr="00DD6BC7" w14:paraId="085C4611" w14:textId="77777777" w:rsidTr="00FC61C4">
        <w:trPr>
          <w:trHeight w:val="567"/>
        </w:trPr>
        <w:tc>
          <w:tcPr>
            <w:tcW w:w="3403" w:type="dxa"/>
            <w:shd w:val="clear" w:color="auto" w:fill="auto"/>
            <w:vAlign w:val="center"/>
            <w:hideMark/>
          </w:tcPr>
          <w:p w14:paraId="0F653C36" w14:textId="77777777" w:rsidR="003953ED" w:rsidRPr="00C614D7" w:rsidRDefault="003953ED" w:rsidP="003953ED">
            <w:pPr>
              <w:spacing w:before="0" w:after="0"/>
              <w:rPr>
                <w:rFonts w:cs="Arial"/>
                <w:color w:val="000000"/>
                <w:szCs w:val="19"/>
              </w:rPr>
            </w:pPr>
            <w:r w:rsidRPr="00C614D7">
              <w:rPr>
                <w:rFonts w:cs="Arial"/>
                <w:color w:val="000000"/>
                <w:szCs w:val="19"/>
              </w:rPr>
              <w:t>Farmaceutyki, kosmetyki, sprzęt ortopedyczny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39C3A987" w14:textId="2C2CC622" w:rsidR="003953ED" w:rsidRPr="00522630" w:rsidRDefault="003953ED" w:rsidP="003953ED">
            <w:pPr>
              <w:spacing w:before="0" w:after="0"/>
              <w:jc w:val="right"/>
              <w:rPr>
                <w:rFonts w:cs="Arial"/>
                <w:color w:val="000000"/>
                <w:szCs w:val="19"/>
              </w:rPr>
            </w:pPr>
            <w:r w:rsidRPr="00522630">
              <w:rPr>
                <w:rFonts w:cs="Arial"/>
                <w:color w:val="000000"/>
                <w:szCs w:val="19"/>
              </w:rPr>
              <w:t>79,0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224B6594" w14:textId="1C4D07B5" w:rsidR="003953ED" w:rsidRPr="00522630" w:rsidRDefault="003953ED" w:rsidP="003953ED">
            <w:pPr>
              <w:spacing w:before="0" w:after="0"/>
              <w:jc w:val="right"/>
              <w:rPr>
                <w:rFonts w:cs="Arial"/>
                <w:color w:val="000000"/>
                <w:szCs w:val="19"/>
              </w:rPr>
            </w:pPr>
            <w:r w:rsidRPr="00522630">
              <w:rPr>
                <w:rFonts w:cs="Arial"/>
                <w:color w:val="000000"/>
                <w:szCs w:val="19"/>
              </w:rPr>
              <w:t>119,2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4184A7D2" w14:textId="665A8D36" w:rsidR="003953ED" w:rsidRPr="00522630" w:rsidRDefault="003953ED" w:rsidP="003953ED">
            <w:pPr>
              <w:spacing w:before="0" w:after="0"/>
              <w:jc w:val="right"/>
              <w:rPr>
                <w:rFonts w:cs="Arial"/>
                <w:color w:val="000000"/>
                <w:szCs w:val="19"/>
              </w:rPr>
            </w:pPr>
            <w:r w:rsidRPr="00522630">
              <w:rPr>
                <w:rFonts w:cs="Arial"/>
                <w:color w:val="000000"/>
                <w:szCs w:val="19"/>
              </w:rPr>
              <w:t>79,2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192700F4" w14:textId="4144434B" w:rsidR="003953ED" w:rsidRPr="00522630" w:rsidRDefault="003953ED" w:rsidP="003953ED">
            <w:pPr>
              <w:spacing w:before="0" w:after="0"/>
              <w:jc w:val="right"/>
              <w:rPr>
                <w:rFonts w:cs="Arial"/>
                <w:color w:val="000000"/>
                <w:szCs w:val="19"/>
              </w:rPr>
            </w:pPr>
            <w:r w:rsidRPr="00522630">
              <w:rPr>
                <w:rFonts w:cs="Arial"/>
                <w:color w:val="000000"/>
                <w:szCs w:val="19"/>
              </w:rPr>
              <w:t>121,3</w:t>
            </w:r>
          </w:p>
        </w:tc>
      </w:tr>
      <w:tr w:rsidR="003953ED" w:rsidRPr="00DD6BC7" w14:paraId="3FE27310" w14:textId="77777777" w:rsidTr="00FC61C4">
        <w:trPr>
          <w:trHeight w:val="424"/>
        </w:trPr>
        <w:tc>
          <w:tcPr>
            <w:tcW w:w="3403" w:type="dxa"/>
            <w:shd w:val="clear" w:color="auto" w:fill="auto"/>
            <w:vAlign w:val="center"/>
            <w:hideMark/>
          </w:tcPr>
          <w:p w14:paraId="56F8C135" w14:textId="77777777" w:rsidR="003953ED" w:rsidRPr="00C614D7" w:rsidRDefault="003953ED" w:rsidP="003953ED">
            <w:pPr>
              <w:spacing w:before="0" w:after="0"/>
              <w:rPr>
                <w:rFonts w:cs="Arial"/>
                <w:color w:val="000000"/>
                <w:szCs w:val="19"/>
              </w:rPr>
            </w:pPr>
            <w:r w:rsidRPr="00C614D7">
              <w:rPr>
                <w:rFonts w:cs="Arial"/>
                <w:color w:val="000000"/>
                <w:szCs w:val="19"/>
              </w:rPr>
              <w:t>Tekstylia, odzież, obuwie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2018EF97" w14:textId="2EB45E08" w:rsidR="003953ED" w:rsidRPr="00522630" w:rsidRDefault="003953ED" w:rsidP="003953ED">
            <w:pPr>
              <w:spacing w:before="0" w:after="0"/>
              <w:jc w:val="right"/>
              <w:rPr>
                <w:rFonts w:cs="Arial"/>
                <w:color w:val="000000"/>
                <w:szCs w:val="19"/>
              </w:rPr>
            </w:pPr>
            <w:r w:rsidRPr="00522630">
              <w:rPr>
                <w:rFonts w:cs="Arial"/>
                <w:color w:val="000000"/>
                <w:szCs w:val="19"/>
              </w:rPr>
              <w:t>72,3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77AC2574" w14:textId="721CD238" w:rsidR="003953ED" w:rsidRPr="00522630" w:rsidRDefault="003953ED" w:rsidP="003953ED">
            <w:pPr>
              <w:spacing w:before="0" w:after="0"/>
              <w:jc w:val="right"/>
              <w:rPr>
                <w:rFonts w:cs="Arial"/>
                <w:color w:val="000000"/>
                <w:szCs w:val="19"/>
              </w:rPr>
            </w:pPr>
            <w:r w:rsidRPr="00522630">
              <w:rPr>
                <w:rFonts w:cs="Arial"/>
                <w:color w:val="000000"/>
                <w:szCs w:val="19"/>
              </w:rPr>
              <w:t>197,7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2225DCC9" w14:textId="55A45FAA" w:rsidR="003953ED" w:rsidRPr="00522630" w:rsidRDefault="003953ED" w:rsidP="003953ED">
            <w:pPr>
              <w:spacing w:before="0" w:after="0"/>
              <w:jc w:val="right"/>
              <w:rPr>
                <w:rFonts w:cs="Arial"/>
                <w:color w:val="000000"/>
                <w:szCs w:val="19"/>
              </w:rPr>
            </w:pPr>
            <w:r w:rsidRPr="00522630">
              <w:rPr>
                <w:rFonts w:cs="Arial"/>
                <w:color w:val="000000"/>
                <w:szCs w:val="19"/>
              </w:rPr>
              <w:t>70,4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2193D86C" w14:textId="72D66504" w:rsidR="003953ED" w:rsidRPr="00522630" w:rsidRDefault="003953ED" w:rsidP="003953ED">
            <w:pPr>
              <w:spacing w:before="0" w:after="0"/>
              <w:jc w:val="right"/>
              <w:rPr>
                <w:rFonts w:cs="Arial"/>
                <w:color w:val="000000"/>
                <w:szCs w:val="19"/>
              </w:rPr>
            </w:pPr>
            <w:r w:rsidRPr="00522630">
              <w:rPr>
                <w:rFonts w:cs="Arial"/>
                <w:color w:val="000000"/>
                <w:szCs w:val="19"/>
              </w:rPr>
              <w:t>206,2</w:t>
            </w:r>
          </w:p>
        </w:tc>
      </w:tr>
      <w:tr w:rsidR="003953ED" w:rsidRPr="00DD6BC7" w14:paraId="432056A0" w14:textId="77777777" w:rsidTr="00FC61C4">
        <w:trPr>
          <w:trHeight w:val="370"/>
        </w:trPr>
        <w:tc>
          <w:tcPr>
            <w:tcW w:w="3403" w:type="dxa"/>
            <w:shd w:val="clear" w:color="auto" w:fill="auto"/>
            <w:vAlign w:val="center"/>
            <w:hideMark/>
          </w:tcPr>
          <w:p w14:paraId="6D64FFC1" w14:textId="77777777" w:rsidR="003953ED" w:rsidRPr="00C614D7" w:rsidRDefault="003953ED" w:rsidP="003953ED">
            <w:pPr>
              <w:spacing w:before="0" w:after="0"/>
              <w:rPr>
                <w:rFonts w:cs="Arial"/>
                <w:color w:val="000000"/>
                <w:szCs w:val="19"/>
              </w:rPr>
            </w:pPr>
            <w:r w:rsidRPr="00C614D7">
              <w:rPr>
                <w:rFonts w:cs="Arial"/>
                <w:color w:val="000000"/>
                <w:szCs w:val="19"/>
              </w:rPr>
              <w:t xml:space="preserve">Meble, </w:t>
            </w:r>
            <w:proofErr w:type="spellStart"/>
            <w:r w:rsidRPr="00C614D7">
              <w:rPr>
                <w:rFonts w:cs="Arial"/>
                <w:color w:val="000000"/>
                <w:szCs w:val="19"/>
              </w:rPr>
              <w:t>rtv</w:t>
            </w:r>
            <w:proofErr w:type="spellEnd"/>
            <w:r w:rsidRPr="00C614D7">
              <w:rPr>
                <w:rFonts w:cs="Arial"/>
                <w:color w:val="000000"/>
                <w:szCs w:val="19"/>
              </w:rPr>
              <w:t xml:space="preserve">, </w:t>
            </w:r>
            <w:proofErr w:type="spellStart"/>
            <w:r w:rsidRPr="00C614D7">
              <w:rPr>
                <w:rFonts w:cs="Arial"/>
                <w:color w:val="000000"/>
                <w:szCs w:val="19"/>
              </w:rPr>
              <w:t>agd</w:t>
            </w:r>
            <w:proofErr w:type="spellEnd"/>
          </w:p>
        </w:tc>
        <w:tc>
          <w:tcPr>
            <w:tcW w:w="1162" w:type="dxa"/>
            <w:shd w:val="clear" w:color="auto" w:fill="auto"/>
            <w:vAlign w:val="center"/>
          </w:tcPr>
          <w:p w14:paraId="56B4923D" w14:textId="3D3C591C" w:rsidR="003953ED" w:rsidRPr="00522630" w:rsidRDefault="003953ED" w:rsidP="003953ED">
            <w:pPr>
              <w:spacing w:before="0" w:after="0"/>
              <w:jc w:val="right"/>
              <w:rPr>
                <w:rFonts w:cs="Arial"/>
                <w:color w:val="000000"/>
                <w:szCs w:val="19"/>
              </w:rPr>
            </w:pPr>
            <w:r w:rsidRPr="00522630">
              <w:rPr>
                <w:rFonts w:cs="Arial"/>
                <w:color w:val="000000"/>
                <w:szCs w:val="19"/>
              </w:rPr>
              <w:t>66,3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685B0334" w14:textId="4DAD5445" w:rsidR="003953ED" w:rsidRPr="00522630" w:rsidRDefault="003953ED" w:rsidP="003953ED">
            <w:pPr>
              <w:spacing w:before="0" w:after="0"/>
              <w:jc w:val="right"/>
              <w:rPr>
                <w:rFonts w:cs="Arial"/>
                <w:color w:val="000000"/>
                <w:szCs w:val="19"/>
              </w:rPr>
            </w:pPr>
            <w:r w:rsidRPr="00522630">
              <w:rPr>
                <w:rFonts w:cs="Arial"/>
                <w:color w:val="000000"/>
                <w:szCs w:val="19"/>
              </w:rPr>
              <w:t>99,6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0696C1F4" w14:textId="768A4673" w:rsidR="003953ED" w:rsidRPr="00522630" w:rsidRDefault="003953ED" w:rsidP="003953ED">
            <w:pPr>
              <w:spacing w:before="0" w:after="0"/>
              <w:jc w:val="right"/>
              <w:rPr>
                <w:rFonts w:cs="Arial"/>
                <w:color w:val="000000"/>
                <w:szCs w:val="19"/>
              </w:rPr>
            </w:pPr>
            <w:r w:rsidRPr="00522630">
              <w:rPr>
                <w:rFonts w:cs="Arial"/>
                <w:color w:val="000000"/>
                <w:szCs w:val="19"/>
              </w:rPr>
              <w:t>67,2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609B5BDF" w14:textId="25EE4350" w:rsidR="003953ED" w:rsidRPr="00522630" w:rsidRDefault="003953ED" w:rsidP="003953ED">
            <w:pPr>
              <w:spacing w:before="0" w:after="0"/>
              <w:jc w:val="right"/>
              <w:rPr>
                <w:rFonts w:cs="Arial"/>
                <w:color w:val="000000"/>
                <w:szCs w:val="19"/>
              </w:rPr>
            </w:pPr>
            <w:r w:rsidRPr="00522630">
              <w:rPr>
                <w:rFonts w:cs="Arial"/>
                <w:color w:val="000000"/>
                <w:szCs w:val="19"/>
              </w:rPr>
              <w:t>106,4</w:t>
            </w:r>
          </w:p>
        </w:tc>
      </w:tr>
      <w:tr w:rsidR="003953ED" w:rsidRPr="00DD6BC7" w14:paraId="05BB5273" w14:textId="77777777" w:rsidTr="00FC61C4">
        <w:trPr>
          <w:trHeight w:val="567"/>
        </w:trPr>
        <w:tc>
          <w:tcPr>
            <w:tcW w:w="3403" w:type="dxa"/>
            <w:shd w:val="clear" w:color="auto" w:fill="auto"/>
            <w:vAlign w:val="center"/>
            <w:hideMark/>
          </w:tcPr>
          <w:p w14:paraId="4AA7FF15" w14:textId="77777777" w:rsidR="003953ED" w:rsidRPr="00C614D7" w:rsidRDefault="003953ED" w:rsidP="003953ED">
            <w:pPr>
              <w:spacing w:before="0" w:after="0"/>
              <w:rPr>
                <w:rFonts w:cs="Arial"/>
                <w:color w:val="000000"/>
                <w:szCs w:val="19"/>
              </w:rPr>
            </w:pPr>
            <w:r w:rsidRPr="00C614D7">
              <w:rPr>
                <w:rFonts w:cs="Arial"/>
                <w:color w:val="000000"/>
                <w:szCs w:val="19"/>
              </w:rPr>
              <w:t xml:space="preserve">Prasa, książki, pozostała sprzedaż </w:t>
            </w:r>
          </w:p>
          <w:p w14:paraId="29F1A2FE" w14:textId="77777777" w:rsidR="003953ED" w:rsidRPr="00C614D7" w:rsidRDefault="003953ED" w:rsidP="003953ED">
            <w:pPr>
              <w:spacing w:before="0" w:after="0"/>
              <w:rPr>
                <w:rFonts w:cs="Arial"/>
                <w:color w:val="000000"/>
                <w:szCs w:val="19"/>
              </w:rPr>
            </w:pPr>
            <w:r w:rsidRPr="00C614D7">
              <w:rPr>
                <w:rFonts w:cs="Arial"/>
                <w:color w:val="000000"/>
                <w:szCs w:val="19"/>
              </w:rPr>
              <w:t xml:space="preserve"> w wyspecjalizowanych sklepach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3606C65C" w14:textId="708D690B" w:rsidR="003953ED" w:rsidRPr="00522630" w:rsidRDefault="003953ED" w:rsidP="003953ED">
            <w:pPr>
              <w:spacing w:before="0" w:after="0"/>
              <w:jc w:val="right"/>
              <w:rPr>
                <w:rFonts w:cs="Arial"/>
                <w:color w:val="000000"/>
                <w:szCs w:val="19"/>
              </w:rPr>
            </w:pPr>
            <w:r w:rsidRPr="00522630">
              <w:rPr>
                <w:rFonts w:cs="Arial"/>
                <w:color w:val="000000"/>
                <w:szCs w:val="19"/>
              </w:rPr>
              <w:t>58,5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3CF49A54" w14:textId="63607158" w:rsidR="003953ED" w:rsidRPr="00522630" w:rsidRDefault="003953ED" w:rsidP="003953ED">
            <w:pPr>
              <w:spacing w:before="0" w:after="0"/>
              <w:jc w:val="right"/>
              <w:rPr>
                <w:rFonts w:cs="Arial"/>
                <w:color w:val="000000"/>
                <w:szCs w:val="19"/>
              </w:rPr>
            </w:pPr>
            <w:r w:rsidRPr="00522630">
              <w:rPr>
                <w:rFonts w:cs="Arial"/>
                <w:color w:val="000000"/>
                <w:szCs w:val="19"/>
              </w:rPr>
              <w:t>117,5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0ED1595E" w14:textId="1CAFA0E6" w:rsidR="003953ED" w:rsidRPr="00522630" w:rsidRDefault="003953ED" w:rsidP="003953ED">
            <w:pPr>
              <w:spacing w:before="0" w:after="0"/>
              <w:jc w:val="right"/>
              <w:rPr>
                <w:rFonts w:cs="Arial"/>
                <w:color w:val="000000"/>
                <w:szCs w:val="19"/>
              </w:rPr>
            </w:pPr>
            <w:r w:rsidRPr="00522630">
              <w:rPr>
                <w:rFonts w:cs="Arial"/>
                <w:color w:val="000000"/>
                <w:szCs w:val="19"/>
              </w:rPr>
              <w:t>58,5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105E1E41" w14:textId="40992D74" w:rsidR="003953ED" w:rsidRPr="00522630" w:rsidRDefault="003953ED" w:rsidP="003953ED">
            <w:pPr>
              <w:spacing w:before="0" w:after="0"/>
              <w:jc w:val="right"/>
              <w:rPr>
                <w:rFonts w:cs="Arial"/>
                <w:color w:val="000000"/>
                <w:szCs w:val="19"/>
              </w:rPr>
            </w:pPr>
            <w:r w:rsidRPr="00522630">
              <w:rPr>
                <w:rFonts w:cs="Arial"/>
                <w:color w:val="000000"/>
                <w:szCs w:val="19"/>
              </w:rPr>
              <w:t>123,3</w:t>
            </w:r>
          </w:p>
        </w:tc>
      </w:tr>
      <w:tr w:rsidR="003953ED" w:rsidRPr="00DD6BC7" w14:paraId="391A001E" w14:textId="77777777" w:rsidTr="00FC61C4">
        <w:trPr>
          <w:trHeight w:val="369"/>
        </w:trPr>
        <w:tc>
          <w:tcPr>
            <w:tcW w:w="3403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7E56A70B" w14:textId="77777777" w:rsidR="003953ED" w:rsidRPr="00C614D7" w:rsidRDefault="003953ED" w:rsidP="003953ED">
            <w:pPr>
              <w:spacing w:before="0" w:after="0"/>
              <w:rPr>
                <w:rFonts w:cs="Arial"/>
                <w:color w:val="000000"/>
                <w:szCs w:val="19"/>
              </w:rPr>
            </w:pPr>
            <w:r w:rsidRPr="00C614D7">
              <w:rPr>
                <w:rFonts w:cs="Arial"/>
                <w:color w:val="000000"/>
                <w:szCs w:val="19"/>
              </w:rPr>
              <w:t>Pozostałe</w:t>
            </w:r>
          </w:p>
        </w:tc>
        <w:tc>
          <w:tcPr>
            <w:tcW w:w="1162" w:type="dxa"/>
            <w:tcBorders>
              <w:bottom w:val="nil"/>
            </w:tcBorders>
            <w:shd w:val="clear" w:color="auto" w:fill="auto"/>
            <w:vAlign w:val="center"/>
          </w:tcPr>
          <w:p w14:paraId="5D5343B6" w14:textId="1E2F8CA1" w:rsidR="003953ED" w:rsidRPr="00522630" w:rsidRDefault="003953ED" w:rsidP="003953ED">
            <w:pPr>
              <w:spacing w:before="0" w:after="0"/>
              <w:jc w:val="right"/>
              <w:rPr>
                <w:rFonts w:cs="Arial"/>
                <w:color w:val="000000"/>
                <w:szCs w:val="19"/>
              </w:rPr>
            </w:pPr>
            <w:r w:rsidRPr="00522630">
              <w:rPr>
                <w:rFonts w:cs="Arial"/>
                <w:color w:val="000000"/>
                <w:szCs w:val="19"/>
              </w:rPr>
              <w:t>78,4</w:t>
            </w:r>
          </w:p>
        </w:tc>
        <w:tc>
          <w:tcPr>
            <w:tcW w:w="1162" w:type="dxa"/>
            <w:tcBorders>
              <w:bottom w:val="nil"/>
            </w:tcBorders>
            <w:shd w:val="clear" w:color="auto" w:fill="auto"/>
            <w:vAlign w:val="center"/>
          </w:tcPr>
          <w:p w14:paraId="5E597A8D" w14:textId="5040386C" w:rsidR="003953ED" w:rsidRPr="00522630" w:rsidRDefault="003953ED" w:rsidP="003953ED">
            <w:pPr>
              <w:spacing w:before="0" w:after="0"/>
              <w:jc w:val="right"/>
              <w:rPr>
                <w:rFonts w:cs="Arial"/>
                <w:color w:val="000000"/>
                <w:szCs w:val="19"/>
              </w:rPr>
            </w:pPr>
            <w:r w:rsidRPr="00522630">
              <w:rPr>
                <w:rFonts w:cs="Arial"/>
                <w:color w:val="000000"/>
                <w:szCs w:val="19"/>
              </w:rPr>
              <w:t>124,4</w:t>
            </w:r>
          </w:p>
        </w:tc>
        <w:tc>
          <w:tcPr>
            <w:tcW w:w="1162" w:type="dxa"/>
            <w:tcBorders>
              <w:bottom w:val="nil"/>
            </w:tcBorders>
            <w:shd w:val="clear" w:color="auto" w:fill="auto"/>
            <w:vAlign w:val="center"/>
          </w:tcPr>
          <w:p w14:paraId="29BF6078" w14:textId="6FC0EEC1" w:rsidR="003953ED" w:rsidRPr="00522630" w:rsidRDefault="003953ED" w:rsidP="003953ED">
            <w:pPr>
              <w:spacing w:before="0" w:after="0"/>
              <w:jc w:val="right"/>
              <w:rPr>
                <w:rFonts w:cs="Arial"/>
                <w:color w:val="000000"/>
                <w:szCs w:val="19"/>
              </w:rPr>
            </w:pPr>
            <w:r w:rsidRPr="00522630">
              <w:rPr>
                <w:rFonts w:cs="Arial"/>
                <w:color w:val="000000"/>
                <w:szCs w:val="19"/>
              </w:rPr>
              <w:t>78,9</w:t>
            </w:r>
          </w:p>
        </w:tc>
        <w:tc>
          <w:tcPr>
            <w:tcW w:w="1162" w:type="dxa"/>
            <w:tcBorders>
              <w:bottom w:val="nil"/>
            </w:tcBorders>
            <w:shd w:val="clear" w:color="auto" w:fill="auto"/>
            <w:vAlign w:val="center"/>
          </w:tcPr>
          <w:p w14:paraId="2DE4AEFE" w14:textId="4F71895D" w:rsidR="003953ED" w:rsidRPr="00522630" w:rsidRDefault="003953ED" w:rsidP="003953ED">
            <w:pPr>
              <w:spacing w:before="0" w:after="0"/>
              <w:jc w:val="right"/>
              <w:rPr>
                <w:rFonts w:cs="Arial"/>
                <w:color w:val="000000"/>
                <w:szCs w:val="19"/>
              </w:rPr>
            </w:pPr>
            <w:r w:rsidRPr="00522630">
              <w:rPr>
                <w:rFonts w:cs="Arial"/>
                <w:color w:val="000000"/>
                <w:szCs w:val="19"/>
              </w:rPr>
              <w:t>131,4</w:t>
            </w:r>
          </w:p>
        </w:tc>
      </w:tr>
    </w:tbl>
    <w:p w14:paraId="1FAE35FA" w14:textId="00212CAF" w:rsidR="00917013" w:rsidRDefault="00917013" w:rsidP="00917013">
      <w:pPr>
        <w:rPr>
          <w:color w:val="000000" w:themeColor="text1"/>
          <w:sz w:val="16"/>
          <w:szCs w:val="16"/>
        </w:rPr>
      </w:pPr>
      <w:r w:rsidRPr="00917013">
        <w:rPr>
          <w:sz w:val="16"/>
          <w:szCs w:val="16"/>
          <w:lang w:eastAsia="pl-PL"/>
        </w:rPr>
        <w:t>(.) Zupełny b</w:t>
      </w:r>
      <w:r w:rsidRPr="00917013">
        <w:rPr>
          <w:color w:val="000000" w:themeColor="text1"/>
          <w:sz w:val="16"/>
          <w:szCs w:val="16"/>
        </w:rPr>
        <w:t>rak informacji, konieczność zachowania tajemnicy statystycznej lub wypełnienie pozycji jest niemożliwe albo niecelowe</w:t>
      </w:r>
    </w:p>
    <w:p w14:paraId="30284480" w14:textId="77777777" w:rsidR="00994335" w:rsidRDefault="00994335" w:rsidP="00215931">
      <w:pPr>
        <w:ind w:left="851" w:hanging="851"/>
        <w:rPr>
          <w:rFonts w:ascii="Fira Sans SemiBold" w:hAnsi="Fira Sans SemiBold"/>
          <w:b/>
          <w:szCs w:val="19"/>
        </w:rPr>
      </w:pPr>
    </w:p>
    <w:p w14:paraId="31221D46" w14:textId="01865B34" w:rsidR="00215931" w:rsidRDefault="00215931" w:rsidP="00215931">
      <w:pPr>
        <w:ind w:left="851" w:hanging="851"/>
        <w:rPr>
          <w:b/>
          <w:sz w:val="18"/>
          <w:szCs w:val="18"/>
          <w:shd w:val="clear" w:color="auto" w:fill="FFFFFF"/>
        </w:rPr>
      </w:pPr>
      <w:r w:rsidRPr="00270CA1">
        <w:rPr>
          <w:b/>
          <w:sz w:val="18"/>
          <w:szCs w:val="18"/>
        </w:rPr>
        <w:t>Wykres 2.</w:t>
      </w:r>
      <w:r w:rsidRPr="00270CA1">
        <w:rPr>
          <w:b/>
          <w:sz w:val="18"/>
          <w:szCs w:val="18"/>
          <w:shd w:val="clear" w:color="auto" w:fill="FFFFFF"/>
        </w:rPr>
        <w:t xml:space="preserve"> Sprzedaż detaliczna towarów w styczniu 2022 r. według rodzajów działalności przedsiębiorstwa (ceny stałe) – analogiczny okres roku poprzedniego=100</w:t>
      </w:r>
    </w:p>
    <w:p w14:paraId="30FFC0EE" w14:textId="6382D53A" w:rsidR="00993681" w:rsidRDefault="00993681" w:rsidP="00215931">
      <w:pPr>
        <w:ind w:left="851" w:hanging="851"/>
        <w:rPr>
          <w:b/>
          <w:sz w:val="18"/>
          <w:szCs w:val="18"/>
          <w:lang w:eastAsia="pl-PL"/>
        </w:rPr>
      </w:pPr>
      <w:r w:rsidRPr="000F52D0">
        <w:rPr>
          <w:noProof/>
          <w:lang w:eastAsia="pl-PL"/>
        </w:rPr>
        <w:drawing>
          <wp:anchor distT="0" distB="0" distL="114300" distR="114300" simplePos="0" relativeHeight="251764736" behindDoc="0" locked="0" layoutInCell="1" allowOverlap="1" wp14:anchorId="2D3B09BB" wp14:editId="6846951E">
            <wp:simplePos x="0" y="0"/>
            <wp:positionH relativeFrom="margin">
              <wp:posOffset>0</wp:posOffset>
            </wp:positionH>
            <wp:positionV relativeFrom="margin">
              <wp:posOffset>5332095</wp:posOffset>
            </wp:positionV>
            <wp:extent cx="5038725" cy="2591435"/>
            <wp:effectExtent l="0" t="0" r="9525" b="0"/>
            <wp:wrapSquare wrapText="bothSides"/>
            <wp:docPr id="19" name="Wykres 19" descr="Wykres 2. Sprzedaż detaliczna towarów w styczniu 2022 r. według rodzajów działalności przedsiębiorstwa (ceny stałe) -analogiczny okres roku poprzedniego=10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8B6170" w14:textId="6225C66C" w:rsidR="00993681" w:rsidRDefault="00993681" w:rsidP="00215931">
      <w:pPr>
        <w:ind w:left="851" w:hanging="851"/>
        <w:rPr>
          <w:b/>
          <w:sz w:val="18"/>
          <w:szCs w:val="18"/>
          <w:lang w:eastAsia="pl-PL"/>
        </w:rPr>
      </w:pPr>
    </w:p>
    <w:p w14:paraId="5E3A1B0A" w14:textId="77777777" w:rsidR="00993681" w:rsidRPr="00270CA1" w:rsidRDefault="00993681" w:rsidP="00215931">
      <w:pPr>
        <w:ind w:left="851" w:hanging="851"/>
        <w:rPr>
          <w:b/>
          <w:sz w:val="18"/>
          <w:szCs w:val="18"/>
          <w:lang w:eastAsia="pl-PL"/>
        </w:rPr>
      </w:pPr>
    </w:p>
    <w:p w14:paraId="1D382902" w14:textId="0C0F1E3E" w:rsidR="000D7269" w:rsidRDefault="000D7269" w:rsidP="000D7269">
      <w:pPr>
        <w:rPr>
          <w:lang w:eastAsia="pl-PL"/>
        </w:rPr>
      </w:pPr>
    </w:p>
    <w:p w14:paraId="3B07EC2B" w14:textId="1255A6F6" w:rsidR="005F081C" w:rsidRDefault="005F081C" w:rsidP="000D7269">
      <w:pPr>
        <w:rPr>
          <w:lang w:eastAsia="pl-PL"/>
        </w:rPr>
      </w:pPr>
    </w:p>
    <w:p w14:paraId="7AF2D5B3" w14:textId="50FD25EB" w:rsidR="005F081C" w:rsidRDefault="005F081C" w:rsidP="000D7269">
      <w:pPr>
        <w:rPr>
          <w:lang w:eastAsia="pl-PL"/>
        </w:rPr>
      </w:pPr>
    </w:p>
    <w:p w14:paraId="1AA485CF" w14:textId="77777777" w:rsidR="005F081C" w:rsidRDefault="005F081C" w:rsidP="000D7269">
      <w:pPr>
        <w:rPr>
          <w:lang w:eastAsia="pl-PL"/>
        </w:rPr>
      </w:pPr>
    </w:p>
    <w:p w14:paraId="31EB7324" w14:textId="25825877" w:rsidR="00DA331D" w:rsidRDefault="00CD7843" w:rsidP="00DA331D">
      <w:pPr>
        <w:pStyle w:val="Nagwek1"/>
        <w:rPr>
          <w:rFonts w:ascii="Fira Sans" w:hAnsi="Fira Sans"/>
          <w:b/>
          <w:szCs w:val="19"/>
        </w:rPr>
      </w:pPr>
      <w:r w:rsidRPr="00823593">
        <w:rPr>
          <w:rFonts w:ascii="Fira Sans" w:hAnsi="Fira Sans"/>
          <w:b/>
          <w:noProof/>
          <w:spacing w:val="-2"/>
          <w:szCs w:val="19"/>
        </w:rPr>
        <w:lastRenderedPageBreak/>
        <mc:AlternateContent>
          <mc:Choice Requires="wps">
            <w:drawing>
              <wp:anchor distT="45720" distB="45720" distL="114300" distR="114300" simplePos="0" relativeHeight="251750400" behindDoc="1" locked="0" layoutInCell="1" allowOverlap="1" wp14:anchorId="1330DF10" wp14:editId="22810F73">
                <wp:simplePos x="0" y="0"/>
                <wp:positionH relativeFrom="column">
                  <wp:posOffset>5272405</wp:posOffset>
                </wp:positionH>
                <wp:positionV relativeFrom="page">
                  <wp:posOffset>813435</wp:posOffset>
                </wp:positionV>
                <wp:extent cx="1725295" cy="1115695"/>
                <wp:effectExtent l="0" t="0" r="0" b="0"/>
                <wp:wrapTight wrapText="bothSides">
                  <wp:wrapPolygon edited="0">
                    <wp:start x="715" y="0"/>
                    <wp:lineTo x="715" y="21022"/>
                    <wp:lineTo x="20749" y="21022"/>
                    <wp:lineTo x="20749" y="0"/>
                    <wp:lineTo x="715" y="0"/>
                  </wp:wrapPolygon>
                </wp:wrapTight>
                <wp:docPr id="13" name="Pole tekstowe 13" descr="W styczniu 2022 r. odnotowano wzrost sprzedaży detalicznej wyrównanej sezonowo o 3,6% w porównaniu z poprzednim miesiąc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156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82A774" w14:textId="63EFB08D" w:rsidR="00216634" w:rsidRPr="00E95B8E" w:rsidRDefault="00870F14" w:rsidP="00216634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 xml:space="preserve">W </w:t>
                            </w:r>
                            <w:r w:rsidR="0039542E">
                              <w:t xml:space="preserve">styczniu </w:t>
                            </w:r>
                            <w:r>
                              <w:t>202</w:t>
                            </w:r>
                            <w:r w:rsidR="0039542E">
                              <w:t>2</w:t>
                            </w:r>
                            <w:r>
                              <w:t xml:space="preserve"> r. odnotowano </w:t>
                            </w:r>
                            <w:r w:rsidR="0039542E">
                              <w:t xml:space="preserve">wzrost </w:t>
                            </w:r>
                            <w:r>
                              <w:t>sprzedaży detalicznej wyrównanej sezonowo o 3,</w:t>
                            </w:r>
                            <w:r w:rsidR="0039542E">
                              <w:t>6</w:t>
                            </w:r>
                            <w:r>
                              <w:t>% w porównaniu z</w:t>
                            </w:r>
                            <w:r w:rsidR="005C1D67">
                              <w:t> </w:t>
                            </w:r>
                            <w:r>
                              <w:t>poprzednim miesiącem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30DF10" id="Pole tekstowe 13" o:spid="_x0000_s1028" type="#_x0000_t202" alt="W styczniu 2022 r. odnotowano wzrost sprzedaży detalicznej wyrównanej sezonowo o 3,6% w porównaniu z poprzednim miesiącem" style="position:absolute;margin-left:415.15pt;margin-top:64.05pt;width:135.85pt;height:87.85pt;z-index:-251566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" filled="f" stroked="f">
                <v:textbox>
                  <w:txbxContent>
                    <w:p w14:paraId="6F82A774" w14:textId="63EFB08D" w:rsidR="00216634" w:rsidRPr="00E95B8E" w:rsidRDefault="00870F14" w:rsidP="00216634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 xml:space="preserve">W </w:t>
                      </w:r>
                      <w:r w:rsidR="0039542E">
                        <w:t xml:space="preserve">styczniu </w:t>
                      </w:r>
                      <w:r>
                        <w:t>202</w:t>
                      </w:r>
                      <w:r w:rsidR="0039542E">
                        <w:t>2</w:t>
                      </w:r>
                      <w:r>
                        <w:t xml:space="preserve"> r. odnotowano </w:t>
                      </w:r>
                      <w:r w:rsidR="0039542E">
                        <w:t xml:space="preserve">wzrost </w:t>
                      </w:r>
                      <w:r>
                        <w:t>sprzedaży detalicznej wyrównanej sezonowo o 3,</w:t>
                      </w:r>
                      <w:r w:rsidR="0039542E">
                        <w:t>6</w:t>
                      </w:r>
                      <w:r>
                        <w:t>% w porównaniu z</w:t>
                      </w:r>
                      <w:r w:rsidR="005C1D67">
                        <w:t> </w:t>
                      </w:r>
                      <w:r>
                        <w:t>poprzednim miesiącem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="00C85C36">
        <w:rPr>
          <w:rFonts w:ascii="Fira Sans" w:hAnsi="Fira Sans"/>
          <w:b/>
          <w:szCs w:val="19"/>
        </w:rPr>
        <w:t>Sprzedaż detaliczna wyrównana sezonowo</w:t>
      </w:r>
    </w:p>
    <w:p w14:paraId="4246FEBB" w14:textId="44B447F5" w:rsidR="00C85C36" w:rsidRPr="00C85C36" w:rsidRDefault="00C85C36" w:rsidP="00C85C36">
      <w:pPr>
        <w:spacing w:before="240"/>
        <w:rPr>
          <w:b/>
          <w:spacing w:val="-2"/>
          <w:sz w:val="18"/>
          <w:shd w:val="clear" w:color="auto" w:fill="FFFFFF"/>
        </w:rPr>
      </w:pPr>
      <w:r w:rsidRPr="00C85C36">
        <w:rPr>
          <w:rFonts w:cs="Arial"/>
          <w:spacing w:val="-2"/>
          <w:szCs w:val="19"/>
        </w:rPr>
        <w:t xml:space="preserve">Po wyeliminowaniu wpływu czynników o charakterze sezonowym sprzedaż detaliczna w cenach stałych w </w:t>
      </w:r>
      <w:r w:rsidR="0039542E">
        <w:rPr>
          <w:rFonts w:cs="Arial"/>
          <w:spacing w:val="-2"/>
          <w:szCs w:val="19"/>
        </w:rPr>
        <w:t>styczniu</w:t>
      </w:r>
      <w:r w:rsidRPr="00C85C36">
        <w:rPr>
          <w:rFonts w:cs="Arial"/>
          <w:spacing w:val="-2"/>
          <w:szCs w:val="19"/>
        </w:rPr>
        <w:t xml:space="preserve"> 202</w:t>
      </w:r>
      <w:r w:rsidR="0039542E">
        <w:rPr>
          <w:rFonts w:cs="Arial"/>
          <w:spacing w:val="-2"/>
          <w:szCs w:val="19"/>
        </w:rPr>
        <w:t>2</w:t>
      </w:r>
      <w:r w:rsidRPr="00C85C36">
        <w:rPr>
          <w:rFonts w:cs="Arial"/>
          <w:spacing w:val="-2"/>
          <w:szCs w:val="19"/>
        </w:rPr>
        <w:t xml:space="preserve"> r. była o 3,</w:t>
      </w:r>
      <w:r w:rsidR="0039542E">
        <w:rPr>
          <w:rFonts w:cs="Arial"/>
          <w:spacing w:val="-2"/>
          <w:szCs w:val="19"/>
        </w:rPr>
        <w:t>6</w:t>
      </w:r>
      <w:r w:rsidRPr="00C85C36">
        <w:rPr>
          <w:rFonts w:cs="Arial"/>
          <w:spacing w:val="-2"/>
          <w:szCs w:val="19"/>
        </w:rPr>
        <w:t xml:space="preserve">% </w:t>
      </w:r>
      <w:r w:rsidR="0039542E">
        <w:rPr>
          <w:rFonts w:cs="Arial"/>
          <w:spacing w:val="-2"/>
          <w:szCs w:val="19"/>
        </w:rPr>
        <w:t>wy</w:t>
      </w:r>
      <w:r w:rsidRPr="00C85C36">
        <w:rPr>
          <w:rFonts w:cs="Arial"/>
          <w:spacing w:val="-2"/>
          <w:szCs w:val="19"/>
        </w:rPr>
        <w:t xml:space="preserve">ższa w porównaniu z </w:t>
      </w:r>
      <w:r w:rsidR="0039542E">
        <w:rPr>
          <w:rFonts w:cs="Arial"/>
          <w:spacing w:val="-2"/>
          <w:szCs w:val="19"/>
        </w:rPr>
        <w:t>grudniem</w:t>
      </w:r>
      <w:r w:rsidRPr="00C85C36">
        <w:rPr>
          <w:rFonts w:cs="Arial"/>
          <w:spacing w:val="-2"/>
          <w:szCs w:val="19"/>
        </w:rPr>
        <w:t xml:space="preserve"> 2021 r.</w:t>
      </w:r>
      <w:r w:rsidRPr="00C85C36">
        <w:rPr>
          <w:rFonts w:asciiTheme="majorHAnsi" w:hAnsiTheme="majorHAnsi"/>
          <w:noProof/>
          <w:spacing w:val="-2"/>
          <w:sz w:val="18"/>
          <w:lang w:eastAsia="pl-PL"/>
        </w:rPr>
        <w:t xml:space="preserve"> </w:t>
      </w:r>
    </w:p>
    <w:p w14:paraId="4A83F9B8" w14:textId="3223DA46" w:rsidR="000D7269" w:rsidRPr="00270CA1" w:rsidRDefault="00B16871" w:rsidP="00E966BF">
      <w:pPr>
        <w:pStyle w:val="Tytuwykresu0"/>
        <w:rPr>
          <w:rFonts w:ascii="Fira Sans" w:hAnsi="Fira Sans"/>
          <w:sz w:val="18"/>
          <w:szCs w:val="18"/>
        </w:rPr>
      </w:pPr>
      <w:r w:rsidRPr="00270CA1">
        <w:rPr>
          <w:rFonts w:ascii="Fira Sans" w:hAnsi="Fira Sans"/>
          <w:sz w:val="18"/>
          <w:szCs w:val="18"/>
        </w:rPr>
        <w:t xml:space="preserve">Wykres </w:t>
      </w:r>
      <w:r w:rsidR="00422620" w:rsidRPr="00270CA1">
        <w:rPr>
          <w:rFonts w:ascii="Fira Sans" w:hAnsi="Fira Sans"/>
          <w:sz w:val="18"/>
          <w:szCs w:val="18"/>
        </w:rPr>
        <w:t>3</w:t>
      </w:r>
      <w:r w:rsidRPr="00270CA1">
        <w:rPr>
          <w:rFonts w:ascii="Fira Sans" w:hAnsi="Fira Sans"/>
          <w:sz w:val="18"/>
          <w:szCs w:val="18"/>
        </w:rPr>
        <w:t xml:space="preserve">. </w:t>
      </w:r>
      <w:r w:rsidR="006A6E42" w:rsidRPr="00270CA1">
        <w:rPr>
          <w:rFonts w:ascii="Fira Sans" w:hAnsi="Fira Sans"/>
          <w:sz w:val="18"/>
          <w:szCs w:val="18"/>
        </w:rPr>
        <w:t>Sprzedaż detaliczna – dane wyrównane sezo</w:t>
      </w:r>
      <w:r w:rsidR="005C1D67" w:rsidRPr="00270CA1">
        <w:rPr>
          <w:rFonts w:ascii="Fira Sans" w:hAnsi="Fira Sans"/>
          <w:sz w:val="18"/>
          <w:szCs w:val="18"/>
        </w:rPr>
        <w:t>n</w:t>
      </w:r>
      <w:r w:rsidR="006A6E42" w:rsidRPr="00270CA1">
        <w:rPr>
          <w:rFonts w:ascii="Fira Sans" w:hAnsi="Fira Sans"/>
          <w:sz w:val="18"/>
          <w:szCs w:val="18"/>
        </w:rPr>
        <w:t>wo i niewyrównane (ceny stałe) –</w:t>
      </w:r>
      <w:r w:rsidR="00B81424" w:rsidRPr="00270CA1">
        <w:rPr>
          <w:rFonts w:ascii="Fira Sans" w:hAnsi="Fira Sans"/>
          <w:sz w:val="18"/>
          <w:szCs w:val="18"/>
        </w:rPr>
        <w:br/>
      </w:r>
      <w:r w:rsidR="00E966BF" w:rsidRPr="00270CA1">
        <w:rPr>
          <w:rFonts w:ascii="Fira Sans" w:hAnsi="Fira Sans"/>
          <w:sz w:val="18"/>
          <w:szCs w:val="18"/>
        </w:rPr>
        <w:t xml:space="preserve"> </w:t>
      </w:r>
      <w:r w:rsidR="00B81424" w:rsidRPr="00270CA1">
        <w:rPr>
          <w:rFonts w:ascii="Fira Sans" w:hAnsi="Fira Sans"/>
          <w:sz w:val="18"/>
          <w:szCs w:val="18"/>
        </w:rPr>
        <w:tab/>
        <w:t xml:space="preserve">   </w:t>
      </w:r>
      <w:r w:rsidR="006A6E42" w:rsidRPr="00270CA1">
        <w:rPr>
          <w:rFonts w:ascii="Fira Sans" w:hAnsi="Fira Sans"/>
          <w:sz w:val="18"/>
          <w:szCs w:val="18"/>
        </w:rPr>
        <w:t>przeciętna miesięczna 2015=</w:t>
      </w:r>
      <w:r w:rsidR="000D7269" w:rsidRPr="00270CA1">
        <w:rPr>
          <w:rFonts w:ascii="Fira Sans" w:hAnsi="Fira Sans"/>
          <w:sz w:val="18"/>
          <w:szCs w:val="18"/>
        </w:rPr>
        <w:t>100</w:t>
      </w:r>
    </w:p>
    <w:p w14:paraId="4809D44B" w14:textId="20D0F1BF" w:rsidR="00694AF0" w:rsidRDefault="00994335" w:rsidP="00E76D26">
      <w:pPr>
        <w:rPr>
          <w:sz w:val="18"/>
        </w:rPr>
      </w:pPr>
      <w:r>
        <w:rPr>
          <w:noProof/>
        </w:rPr>
        <w:drawing>
          <wp:anchor distT="0" distB="0" distL="114300" distR="114300" simplePos="0" relativeHeight="251762688" behindDoc="1" locked="0" layoutInCell="1" allowOverlap="1" wp14:anchorId="028DD11F" wp14:editId="07D45082">
            <wp:simplePos x="0" y="0"/>
            <wp:positionH relativeFrom="column">
              <wp:posOffset>-119380</wp:posOffset>
            </wp:positionH>
            <wp:positionV relativeFrom="paragraph">
              <wp:posOffset>180023</wp:posOffset>
            </wp:positionV>
            <wp:extent cx="5122545" cy="2315210"/>
            <wp:effectExtent l="0" t="0" r="1905" b="8890"/>
            <wp:wrapTight wrapText="bothSides">
              <wp:wrapPolygon edited="0">
                <wp:start x="0" y="0"/>
                <wp:lineTo x="0" y="21505"/>
                <wp:lineTo x="21528" y="21505"/>
                <wp:lineTo x="21528" y="0"/>
                <wp:lineTo x="0" y="0"/>
              </wp:wrapPolygon>
            </wp:wrapTight>
            <wp:docPr id="1" name="Wykres 1" descr="Wykres 3. Sprzedaż detaliczna - dane wyrównane sezonowo i niewyrównane (ceny stałe) - przeciętna miesięczna 2015=100&#10;Wskaźniki w poszczególnych miesiącach w latach: 2017, 2018, 2019, 2020, 2021, 2022">
              <a:extLst xmlns:a="http://schemas.openxmlformats.org/drawingml/2006/main">
                <a:ext uri="{FF2B5EF4-FFF2-40B4-BE49-F238E27FC236}">
                  <a16:creationId xmlns:a16="http://schemas.microsoft.com/office/drawing/2014/main" id="{01DFB9B5-C636-42F1-91EF-A0E94D987F6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AFCBFF" w14:textId="40F76517" w:rsidR="000D7269" w:rsidRPr="00CD7843" w:rsidRDefault="000D7269" w:rsidP="00E76D26">
      <w:pPr>
        <w:rPr>
          <w:sz w:val="18"/>
          <w14:textOutline w14:w="9525" w14:cap="rnd" w14:cmpd="sng" w14:algn="ctr">
            <w14:noFill/>
            <w14:prstDash w14:val="solid"/>
            <w14:bevel/>
          </w14:textOutline>
        </w:rPr>
      </w:pPr>
    </w:p>
    <w:p w14:paraId="2B0B112D" w14:textId="2A186429" w:rsidR="00163EFF" w:rsidRPr="00163EFF" w:rsidRDefault="00163EFF" w:rsidP="00163EFF">
      <w:r w:rsidRPr="00163EFF">
        <w:t>W publikacji „Biuletyn Statystyczny” w tabl. 1 równocześnie z danymi o sprzedaży detalicznej prezentowane są także dynamiki dla obrotów w handlu detalicznym, które są przekazywane zgodnie z wymogami na potrzeby statystyki europejskiej. Obroty w handlu detalicznym obejmują swoim zakresem pełną zbiorowość podmiotów zaklasyfikowanych wg PKD do działu 47 – „Handel detaliczny z wyłączeniem handlu detalicznego pojazdami samochodowymi”.</w:t>
      </w:r>
    </w:p>
    <w:p w14:paraId="629EB526" w14:textId="16E15375" w:rsidR="00163EFF" w:rsidRPr="00163EFF" w:rsidRDefault="00163EFF" w:rsidP="00163EFF">
      <w:pPr>
        <w:rPr>
          <w:rFonts w:ascii="Calibri" w:hAnsi="Calibri"/>
          <w:sz w:val="22"/>
        </w:rPr>
      </w:pPr>
      <w:r w:rsidRPr="00163EFF">
        <w:t xml:space="preserve">W przypadku cytowania danych Głównego Urzędu Statystycznego prosimy o zamieszczenie informacji: „Źródło danych GUS”, a w przypadku publikowania obliczeń dokonanych na danych publikowanych przez GUS prosimy o zamieszczenie informacji: „Opracowanie własne na podstawie danych GUS”. </w:t>
      </w:r>
    </w:p>
    <w:p w14:paraId="3C222B0C" w14:textId="77777777" w:rsidR="00DA331D" w:rsidRPr="00001C5B" w:rsidRDefault="00DA331D" w:rsidP="00DA331D">
      <w:pPr>
        <w:spacing w:before="360"/>
        <w:rPr>
          <w:sz w:val="18"/>
        </w:rPr>
        <w:sectPr w:rsidR="00DA331D" w:rsidRPr="00001C5B" w:rsidSect="003B18B6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14:paraId="196D0BDA" w14:textId="77777777" w:rsidTr="00B84C43">
        <w:trPr>
          <w:trHeight w:val="1626"/>
        </w:trPr>
        <w:tc>
          <w:tcPr>
            <w:tcW w:w="4926" w:type="dxa"/>
          </w:tcPr>
          <w:p w14:paraId="05DA311F" w14:textId="77777777" w:rsidR="00DE2400" w:rsidRPr="004A1D19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1E9B29DC" w14:textId="43BAC7F0" w:rsidR="00DE2400" w:rsidRPr="008925F0" w:rsidRDefault="00DE2400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925F0">
              <w:rPr>
                <w:rFonts w:cs="Arial"/>
                <w:b/>
                <w:color w:val="000000" w:themeColor="text1"/>
                <w:sz w:val="20"/>
              </w:rPr>
              <w:t xml:space="preserve">Departament </w:t>
            </w:r>
            <w:r w:rsidR="003E1747">
              <w:rPr>
                <w:rFonts w:cs="Arial"/>
                <w:b/>
                <w:color w:val="000000" w:themeColor="text1"/>
                <w:sz w:val="20"/>
              </w:rPr>
              <w:t>Handlu i Usług</w:t>
            </w:r>
          </w:p>
          <w:p w14:paraId="41A1AE38" w14:textId="4DCF79C3" w:rsidR="00DE2400" w:rsidRPr="00DE2400" w:rsidRDefault="00DE2400" w:rsidP="00747B8C">
            <w:pPr>
              <w:spacing w:before="0" w:after="0" w:line="276" w:lineRule="auto"/>
              <w:rPr>
                <w:b/>
                <w:lang w:val="fi-FI"/>
              </w:rPr>
            </w:pPr>
            <w:r w:rsidRPr="00DE2400">
              <w:rPr>
                <w:b/>
                <w:lang w:val="fi-FI"/>
              </w:rPr>
              <w:t xml:space="preserve">Dyrektor </w:t>
            </w:r>
            <w:r w:rsidR="007E0814">
              <w:rPr>
                <w:b/>
                <w:lang w:val="fi-FI"/>
              </w:rPr>
              <w:t>Ewa Adach-Stankiewicz</w:t>
            </w:r>
          </w:p>
          <w:p w14:paraId="5425F0B4" w14:textId="31ABCD4F" w:rsidR="00DE2400" w:rsidRPr="00AB24E4" w:rsidRDefault="00DE2400" w:rsidP="00B16871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22 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608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31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24</w:t>
            </w:r>
          </w:p>
        </w:tc>
        <w:tc>
          <w:tcPr>
            <w:tcW w:w="4927" w:type="dxa"/>
          </w:tcPr>
          <w:p w14:paraId="4E8FFA16" w14:textId="77777777" w:rsidR="00DE2400" w:rsidRPr="004A1D19" w:rsidRDefault="00DE2400" w:rsidP="00DE2400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 w:rsidRPr="004A1D19">
              <w:rPr>
                <w:rFonts w:cs="Arial"/>
                <w:b/>
                <w:sz w:val="20"/>
              </w:rPr>
              <w:t>Rzecznik Prasowy Prezesa GUS</w:t>
            </w:r>
          </w:p>
          <w:p w14:paraId="047A0FE3" w14:textId="77777777" w:rsidR="00DE2400" w:rsidRPr="004A1D19" w:rsidRDefault="00DE2400" w:rsidP="00747B8C">
            <w:pPr>
              <w:pStyle w:val="Nagwek3"/>
              <w:spacing w:before="0" w:line="240" w:lineRule="auto"/>
              <w:outlineLvl w:val="2"/>
              <w:rPr>
                <w:rFonts w:ascii="Fira Sans" w:hAnsi="Fira Sans" w:cs="Arial"/>
                <w:b/>
                <w:color w:val="auto"/>
                <w:sz w:val="20"/>
                <w:szCs w:val="28"/>
              </w:rPr>
            </w:pPr>
            <w:r w:rsidRPr="004A1D19"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>Karolina Banaszek</w:t>
            </w:r>
          </w:p>
          <w:p w14:paraId="59C02E89" w14:textId="77777777" w:rsidR="00DE2400" w:rsidRPr="004A1D19" w:rsidRDefault="00DE2400" w:rsidP="00747B8C">
            <w:pPr>
              <w:pStyle w:val="Nagwek3"/>
              <w:spacing w:before="0" w:line="240" w:lineRule="auto"/>
              <w:outlineLvl w:val="2"/>
              <w:rPr>
                <w:rFonts w:ascii="Fira Sans" w:hAnsi="Fira Sans" w:cs="Arial"/>
                <w:color w:val="auto"/>
                <w:sz w:val="20"/>
                <w:lang w:val="fi-FI"/>
              </w:rPr>
            </w:pPr>
            <w:r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>Tel: 695 255</w:t>
            </w:r>
            <w:r>
              <w:rPr>
                <w:rFonts w:ascii="Fira Sans" w:hAnsi="Fira Sans" w:cs="Arial"/>
                <w:color w:val="auto"/>
                <w:sz w:val="20"/>
                <w:lang w:val="fi-FI"/>
              </w:rPr>
              <w:t> </w:t>
            </w:r>
            <w:r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>011</w:t>
            </w:r>
          </w:p>
          <w:p w14:paraId="3CC62B04" w14:textId="77777777" w:rsidR="00DE2400" w:rsidRDefault="00DE2400" w:rsidP="00747B8C">
            <w:pPr>
              <w:rPr>
                <w:sz w:val="18"/>
              </w:rPr>
            </w:pPr>
          </w:p>
        </w:tc>
      </w:tr>
      <w:tr w:rsidR="00DE2400" w14:paraId="28647E7C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076C640B" w14:textId="77777777" w:rsidR="00DE2400" w:rsidRPr="00C91687" w:rsidRDefault="00DE2400" w:rsidP="00747B8C">
            <w:pPr>
              <w:rPr>
                <w:b/>
                <w:sz w:val="20"/>
              </w:rPr>
            </w:pPr>
            <w:r w:rsidRPr="00C91687">
              <w:rPr>
                <w:b/>
                <w:sz w:val="20"/>
              </w:rPr>
              <w:t xml:space="preserve">Wydział Współpracy z Mediami </w:t>
            </w:r>
          </w:p>
          <w:p w14:paraId="6446B629" w14:textId="575B0CB9" w:rsidR="00DE2400" w:rsidRPr="00C91687" w:rsidRDefault="00DE2400" w:rsidP="00747B8C">
            <w:pPr>
              <w:rPr>
                <w:sz w:val="20"/>
              </w:rPr>
            </w:pPr>
            <w:r w:rsidRPr="00674DE5">
              <w:rPr>
                <w:sz w:val="20"/>
              </w:rPr>
              <w:t>T</w:t>
            </w:r>
            <w:r>
              <w:rPr>
                <w:sz w:val="20"/>
              </w:rPr>
              <w:t>el</w:t>
            </w:r>
            <w:r w:rsidRPr="00674DE5">
              <w:rPr>
                <w:sz w:val="20"/>
              </w:rPr>
              <w:t xml:space="preserve">: </w:t>
            </w:r>
            <w:r>
              <w:rPr>
                <w:sz w:val="20"/>
              </w:rPr>
              <w:t>22 608 3</w:t>
            </w:r>
            <w:r w:rsidR="00E95036">
              <w:rPr>
                <w:sz w:val="20"/>
              </w:rPr>
              <w:t>8 04</w:t>
            </w:r>
            <w:r w:rsidRPr="00C91687">
              <w:rPr>
                <w:sz w:val="20"/>
              </w:rPr>
              <w:t xml:space="preserve"> </w:t>
            </w:r>
          </w:p>
          <w:p w14:paraId="07C73DA1" w14:textId="77777777" w:rsidR="00DE2400" w:rsidRPr="00F05FC7" w:rsidRDefault="00DE2400" w:rsidP="00747B8C">
            <w:pPr>
              <w:rPr>
                <w:sz w:val="18"/>
                <w:lang w:val="en-US"/>
              </w:rPr>
            </w:pPr>
            <w:r w:rsidRPr="00A82D31">
              <w:rPr>
                <w:b/>
                <w:sz w:val="20"/>
                <w:lang w:val="en-GB"/>
              </w:rPr>
              <w:t>e-mail:</w:t>
            </w:r>
            <w:r w:rsidRPr="00A82D31">
              <w:rPr>
                <w:sz w:val="20"/>
                <w:lang w:val="en-GB"/>
              </w:rPr>
              <w:t xml:space="preserve"> </w:t>
            </w:r>
            <w:r w:rsidR="00E138C2">
              <w:fldChar w:fldCharType="begin"/>
            </w:r>
            <w:r w:rsidR="00E138C2" w:rsidRPr="00BF2E29">
              <w:rPr>
                <w:lang w:val="en-GB"/>
              </w:rPr>
              <w:instrText xml:space="preserve"> HYPERLINK "mailto:obslugaprasowa@stat.gov.pl" </w:instrText>
            </w:r>
            <w:r w:rsidR="00E138C2">
              <w:fldChar w:fldCharType="separate"/>
            </w:r>
            <w:r w:rsidRPr="00394E26">
              <w:rPr>
                <w:rStyle w:val="Hipercze"/>
                <w:rFonts w:eastAsiaTheme="majorEastAsia" w:cs="Arial"/>
                <w:b/>
                <w:color w:val="auto"/>
                <w:sz w:val="20"/>
                <w:szCs w:val="20"/>
                <w:lang w:val="en-US"/>
              </w:rPr>
              <w:t>obslugaprasowa@stat.gov.pl</w:t>
            </w:r>
            <w:r w:rsidR="00E138C2">
              <w:rPr>
                <w:rStyle w:val="Hipercze"/>
                <w:rFonts w:eastAsiaTheme="majorEastAsia" w:cs="Arial"/>
                <w:b/>
                <w:color w:val="auto"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4927" w:type="dxa"/>
            <w:vAlign w:val="center"/>
          </w:tcPr>
          <w:p w14:paraId="01941133" w14:textId="77777777" w:rsidR="00DE2400" w:rsidRDefault="00DE2400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5018E5AE" wp14:editId="704A9D15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www.stat.gov.pl</w:t>
            </w:r>
            <w:r>
              <w:rPr>
                <w:sz w:val="18"/>
              </w:rPr>
              <w:t xml:space="preserve">      </w:t>
            </w:r>
          </w:p>
        </w:tc>
      </w:tr>
      <w:tr w:rsidR="00DE2400" w14:paraId="36A99721" w14:textId="77777777" w:rsidTr="00B84C43">
        <w:trPr>
          <w:trHeight w:val="418"/>
        </w:trPr>
        <w:tc>
          <w:tcPr>
            <w:tcW w:w="4926" w:type="dxa"/>
            <w:vMerge/>
          </w:tcPr>
          <w:p w14:paraId="3255344A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9C3C6AD" w14:textId="1B4377EF" w:rsidR="00DE2400" w:rsidRDefault="00531873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5280" behindDoc="0" locked="0" layoutInCell="1" allowOverlap="1" wp14:anchorId="601D1D76" wp14:editId="1078FD4F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@GUS_STAT</w:t>
            </w:r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2400" w14:paraId="549C3B1C" w14:textId="77777777" w:rsidTr="00B84C43">
        <w:trPr>
          <w:trHeight w:val="476"/>
        </w:trPr>
        <w:tc>
          <w:tcPr>
            <w:tcW w:w="4926" w:type="dxa"/>
            <w:vMerge/>
          </w:tcPr>
          <w:p w14:paraId="231798A1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4EA23A0C" w:rsidR="00DE2400" w:rsidRDefault="00531873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6304" behindDoc="0" locked="0" layoutInCell="1" allowOverlap="1" wp14:anchorId="171E4E22" wp14:editId="200AFBDD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</w:t>
            </w:r>
            <w:proofErr w:type="spellStart"/>
            <w:r w:rsidR="00DE2400" w:rsidRPr="003D5F42">
              <w:rPr>
                <w:sz w:val="20"/>
              </w:rPr>
              <w:t>GlownyUrzadStatystyczny</w:t>
            </w:r>
            <w:proofErr w:type="spellEnd"/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531873" w14:paraId="4884FF26" w14:textId="77777777" w:rsidTr="00B84C43">
        <w:trPr>
          <w:trHeight w:val="426"/>
        </w:trPr>
        <w:tc>
          <w:tcPr>
            <w:tcW w:w="4926" w:type="dxa"/>
          </w:tcPr>
          <w:p w14:paraId="282131AD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C7B7D5C" w14:textId="5165892B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0C16ECD2" wp14:editId="5495C90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gus_stat</w:t>
            </w:r>
            <w:proofErr w:type="spellEnd"/>
          </w:p>
        </w:tc>
      </w:tr>
      <w:tr w:rsidR="00531873" w14:paraId="2C7A5D68" w14:textId="77777777" w:rsidTr="00B84C43">
        <w:trPr>
          <w:trHeight w:val="504"/>
        </w:trPr>
        <w:tc>
          <w:tcPr>
            <w:tcW w:w="4926" w:type="dxa"/>
          </w:tcPr>
          <w:p w14:paraId="627AA41B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5F67F32" w14:textId="6D0277E9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0FC606A4" wp14:editId="448A684C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531873" w14:paraId="373CEFAE" w14:textId="77777777" w:rsidTr="00B84C43">
        <w:trPr>
          <w:trHeight w:val="1546"/>
        </w:trPr>
        <w:tc>
          <w:tcPr>
            <w:tcW w:w="4926" w:type="dxa"/>
          </w:tcPr>
          <w:p w14:paraId="7F9FD058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108BCBA" w14:textId="01C12363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033A47C4" wp14:editId="5DFF71A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14:paraId="385E56CC" w14:textId="77777777" w:rsidTr="00B84C43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77777777" w:rsidR="00531873" w:rsidRPr="005E3DC2" w:rsidRDefault="00531873" w:rsidP="00531873">
            <w:pPr>
              <w:shd w:val="clear" w:color="auto" w:fill="D9D9D9" w:themeFill="background1" w:themeFillShade="D9"/>
            </w:pPr>
            <w:r w:rsidRPr="005E3DC2">
              <w:t>Powiązane opracowania</w:t>
            </w:r>
          </w:p>
          <w:p w14:paraId="65BC75DB" w14:textId="70128118" w:rsidR="00531873" w:rsidRPr="00B81424" w:rsidRDefault="00E138C2" w:rsidP="00531873">
            <w:pPr>
              <w:rPr>
                <w:rFonts w:cs="Times New Roman"/>
                <w:color w:val="001D77"/>
              </w:rPr>
            </w:pPr>
            <w:hyperlink r:id="rId23" w:tooltip="Link do publikacji Rynek wewnętrzny w 2020 r." w:history="1">
              <w:r w:rsidR="00B81424">
                <w:rPr>
                  <w:rStyle w:val="Hipercze"/>
                  <w:color w:val="001D77"/>
                </w:rPr>
                <w:t>Rynek wewnętrzny w 2020 roku</w:t>
              </w:r>
            </w:hyperlink>
          </w:p>
          <w:p w14:paraId="55DA24D0" w14:textId="7A585CEB" w:rsidR="00531873" w:rsidRPr="005E3DC2" w:rsidRDefault="00531873" w:rsidP="00531873">
            <w:pPr>
              <w:shd w:val="clear" w:color="auto" w:fill="D9D9D9" w:themeFill="background1" w:themeFillShade="D9"/>
              <w:spacing w:before="360"/>
              <w:rPr>
                <w:color w:val="000000" w:themeColor="text1"/>
                <w:szCs w:val="24"/>
              </w:rPr>
            </w:pPr>
            <w:r w:rsidRPr="005E3DC2">
              <w:rPr>
                <w:color w:val="000000" w:themeColor="text1"/>
                <w:szCs w:val="24"/>
              </w:rPr>
              <w:t>Temat dostępny w bazach danych</w:t>
            </w:r>
          </w:p>
          <w:p w14:paraId="4EE291DE" w14:textId="211535AA" w:rsidR="004E514C" w:rsidRPr="00B81424" w:rsidRDefault="00E138C2" w:rsidP="00531873">
            <w:pPr>
              <w:rPr>
                <w:rFonts w:cs="Times New Roman"/>
                <w:color w:val="001D77"/>
              </w:rPr>
            </w:pPr>
            <w:hyperlink r:id="rId24" w:tooltip="Link do Dziedzinowej Bazy Wiedzy - Handel i Usługi" w:history="1">
              <w:r w:rsidR="004E514C" w:rsidRPr="00B81424">
                <w:rPr>
                  <w:rStyle w:val="Hipercze"/>
                  <w:color w:val="001D77"/>
                </w:rPr>
                <w:t>Dziedzinowa Baza Wiedzy - Handel i Usługi</w:t>
              </w:r>
            </w:hyperlink>
          </w:p>
          <w:p w14:paraId="326D6B5C" w14:textId="0B0198A9" w:rsidR="00531873" w:rsidRPr="004E514C" w:rsidRDefault="00E138C2" w:rsidP="00531873">
            <w:hyperlink r:id="rId25" w:tooltip="Link do Banku Danych Makroekonomicznych" w:history="1">
              <w:r w:rsidR="009C34CC" w:rsidRPr="00B81424">
                <w:rPr>
                  <w:rStyle w:val="Hipercze"/>
                  <w:color w:val="001D77"/>
                </w:rPr>
                <w:t>Bank Danych Makroekonomicznych</w:t>
              </w:r>
            </w:hyperlink>
            <w:r w:rsidR="004E514C">
              <w:rPr>
                <w:rFonts w:cs="Times New Roman"/>
              </w:rPr>
              <w:t xml:space="preserve"> </w:t>
            </w:r>
          </w:p>
          <w:p w14:paraId="6EC7A51E" w14:textId="140F4A69" w:rsidR="00531873" w:rsidRPr="005E3DC2" w:rsidRDefault="00531873" w:rsidP="00531873">
            <w:pPr>
              <w:shd w:val="clear" w:color="auto" w:fill="D9D9D9" w:themeFill="background1" w:themeFillShade="D9"/>
              <w:spacing w:before="360"/>
              <w:rPr>
                <w:color w:val="000000" w:themeColor="text1"/>
                <w:szCs w:val="24"/>
              </w:rPr>
            </w:pPr>
            <w:r w:rsidRPr="005E3DC2">
              <w:rPr>
                <w:color w:val="000000" w:themeColor="text1"/>
                <w:szCs w:val="24"/>
              </w:rPr>
              <w:t>Ważniejsze pojęcia dostępne w słowniku</w:t>
            </w:r>
          </w:p>
          <w:p w14:paraId="1F14F0C1" w14:textId="6F01D145" w:rsidR="00531873" w:rsidRPr="00B81424" w:rsidRDefault="00E138C2" w:rsidP="00531873">
            <w:pPr>
              <w:rPr>
                <w:rFonts w:cs="Times New Roman"/>
                <w:color w:val="001D77"/>
              </w:rPr>
            </w:pPr>
            <w:hyperlink r:id="rId26" w:tooltip="Link do Słownika pojęć stosowanych w statystyce publicznej" w:history="1">
              <w:r w:rsidR="009C34CC" w:rsidRPr="00B81424">
                <w:rPr>
                  <w:rStyle w:val="Hipercze"/>
                  <w:color w:val="001D77"/>
                </w:rPr>
                <w:t>Sprzedaż detaliczna towarów</w:t>
              </w:r>
            </w:hyperlink>
            <w:r w:rsidR="00531873" w:rsidRPr="00B81424">
              <w:rPr>
                <w:rFonts w:cs="Times New Roman"/>
                <w:color w:val="001D77"/>
              </w:rPr>
              <w:t xml:space="preserve">  </w:t>
            </w:r>
          </w:p>
          <w:p w14:paraId="1CB2B64A" w14:textId="0F07E8F6" w:rsidR="009C34CC" w:rsidRDefault="009C34CC" w:rsidP="00531873"/>
          <w:p w14:paraId="3D80E20F" w14:textId="146D383D" w:rsidR="009C34CC" w:rsidRDefault="009C34CC" w:rsidP="00531873"/>
          <w:p w14:paraId="3D132705" w14:textId="77777777" w:rsidR="009C34CC" w:rsidRPr="009C34CC" w:rsidRDefault="009C34CC" w:rsidP="00531873"/>
          <w:p w14:paraId="32159E9A" w14:textId="1D279F54" w:rsidR="00531873" w:rsidRPr="005E3DC2" w:rsidRDefault="00531873" w:rsidP="00531873">
            <w:pPr>
              <w:rPr>
                <w:rStyle w:val="Hipercze"/>
              </w:rPr>
            </w:pPr>
          </w:p>
          <w:p w14:paraId="74120B68" w14:textId="77777777" w:rsidR="00531873" w:rsidRPr="005E3DC2" w:rsidRDefault="00531873" w:rsidP="00531873">
            <w:pPr>
              <w:rPr>
                <w:color w:val="000000" w:themeColor="text1"/>
                <w:szCs w:val="24"/>
                <w:lang w:val="en-GB"/>
              </w:rPr>
            </w:pPr>
          </w:p>
          <w:p w14:paraId="734C8732" w14:textId="77777777" w:rsidR="00531873" w:rsidRPr="005E3DC2" w:rsidRDefault="00531873" w:rsidP="00531873">
            <w:pPr>
              <w:rPr>
                <w:color w:val="000000" w:themeColor="text1"/>
                <w:szCs w:val="24"/>
                <w:lang w:val="en-GB"/>
              </w:rPr>
            </w:pPr>
          </w:p>
          <w:p w14:paraId="59EB7117" w14:textId="77777777" w:rsidR="00531873" w:rsidRPr="005E3DC2" w:rsidRDefault="00531873" w:rsidP="00531873">
            <w:pPr>
              <w:rPr>
                <w:color w:val="000000" w:themeColor="text1"/>
                <w:szCs w:val="24"/>
                <w:lang w:val="en-GB"/>
              </w:rPr>
            </w:pPr>
          </w:p>
        </w:tc>
      </w:tr>
    </w:tbl>
    <w:p w14:paraId="1634A8FA" w14:textId="77777777" w:rsidR="000470AA" w:rsidRDefault="000470AA" w:rsidP="000470AA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5"/>
        <w:gridCol w:w="3822"/>
      </w:tblGrid>
      <w:tr w:rsidR="000470AA" w:rsidRPr="008F3638" w14:paraId="366352B6" w14:textId="77777777" w:rsidTr="00E23337">
        <w:trPr>
          <w:trHeight w:val="1912"/>
        </w:trPr>
        <w:tc>
          <w:tcPr>
            <w:tcW w:w="4379" w:type="dxa"/>
          </w:tcPr>
          <w:p w14:paraId="7D4342A1" w14:textId="77777777" w:rsidR="000470AA" w:rsidRPr="004A1D19" w:rsidRDefault="000470AA" w:rsidP="00D00796">
            <w:pPr>
              <w:pStyle w:val="Nagwek3"/>
              <w:spacing w:before="0" w:line="240" w:lineRule="auto"/>
              <w:rPr>
                <w:rFonts w:ascii="Fira Sans" w:hAnsi="Fira Sans"/>
                <w:color w:val="auto"/>
                <w:lang w:val="fi-FI"/>
              </w:rPr>
            </w:pPr>
          </w:p>
        </w:tc>
        <w:tc>
          <w:tcPr>
            <w:tcW w:w="3942" w:type="dxa"/>
          </w:tcPr>
          <w:p w14:paraId="18600317" w14:textId="77777777" w:rsidR="000470AA" w:rsidRPr="004A1D19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auto"/>
                <w:sz w:val="20"/>
                <w:szCs w:val="20"/>
                <w:lang w:val="en-US"/>
              </w:rPr>
            </w:pPr>
          </w:p>
        </w:tc>
      </w:tr>
    </w:tbl>
    <w:p w14:paraId="1B68E34A" w14:textId="77777777" w:rsidR="000470AA" w:rsidRDefault="000470AA" w:rsidP="000470AA">
      <w:pPr>
        <w:rPr>
          <w:sz w:val="20"/>
        </w:rPr>
      </w:pPr>
    </w:p>
    <w:p w14:paraId="21E45930" w14:textId="77777777" w:rsidR="000470AA" w:rsidRDefault="000470AA" w:rsidP="000470AA">
      <w:pPr>
        <w:rPr>
          <w:sz w:val="18"/>
        </w:rPr>
      </w:pPr>
    </w:p>
    <w:sectPr w:rsidR="000470AA" w:rsidSect="003B18B6">
      <w:headerReference w:type="default" r:id="rId27"/>
      <w:footerReference w:type="default" r:id="rId28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6BB5EE" w14:textId="77777777" w:rsidR="00E138C2" w:rsidRDefault="00E138C2" w:rsidP="000662E2">
      <w:pPr>
        <w:spacing w:after="0" w:line="240" w:lineRule="auto"/>
      </w:pPr>
      <w:r>
        <w:separator/>
      </w:r>
    </w:p>
  </w:endnote>
  <w:endnote w:type="continuationSeparator" w:id="0">
    <w:p w14:paraId="50CF5B43" w14:textId="77777777" w:rsidR="00E138C2" w:rsidRDefault="00E138C2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62C74785-7B47-4180-8341-13ADE3079F47}"/>
    <w:embedBold r:id="rId2" w:fontKey="{864FDE60-C55B-4607-A88C-AE865A4A6CA9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01789888-6B0C-438C-8915-6F214912A87F}"/>
    <w:embedBold r:id="rId4" w:fontKey="{BE17459B-8AA2-413C-A535-196218D6BA6B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FDA11597-6C22-4FBC-BA1C-EA3DF6B43785}"/>
    <w:embedBold r:id="rId6" w:fontKey="{94AA089A-BA6F-4591-B46E-E7E2988BD64A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9B172549-46C2-43BD-9E70-A02E625D5146}"/>
    <w:embedItalic r:id="rId8" w:fontKey="{B3E025FC-AADB-485B-A466-CC9371ADF9B9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7EA70678-0053-4902-924A-8C436E45EC0B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02300754-EDE7-4CCE-BA68-58D52C4726DB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1630E4DD-CE56-4888-AD3E-4F7A522C6A72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0869">
          <w:rPr>
            <w:noProof/>
          </w:rPr>
          <w:t>5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0869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0869"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F51B5E" w14:textId="77777777" w:rsidR="00E138C2" w:rsidRDefault="00E138C2" w:rsidP="000662E2">
      <w:pPr>
        <w:spacing w:after="0" w:line="240" w:lineRule="auto"/>
      </w:pPr>
      <w:r>
        <w:separator/>
      </w:r>
    </w:p>
  </w:footnote>
  <w:footnote w:type="continuationSeparator" w:id="0">
    <w:p w14:paraId="32EE9A19" w14:textId="77777777" w:rsidR="00E138C2" w:rsidRDefault="00E138C2" w:rsidP="000662E2">
      <w:pPr>
        <w:spacing w:after="0" w:line="240" w:lineRule="auto"/>
      </w:pPr>
      <w:r>
        <w:continuationSeparator/>
      </w:r>
    </w:p>
  </w:footnote>
  <w:footnote w:id="1">
    <w:p w14:paraId="04A0DEC0" w14:textId="77777777" w:rsidR="007D6ECE" w:rsidRDefault="005C3686" w:rsidP="00BF0091">
      <w:pPr>
        <w:pStyle w:val="Tekstprzypisudolnego"/>
        <w:spacing w:before="0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="0065614F" w:rsidRPr="0065614F">
        <w:rPr>
          <w:sz w:val="19"/>
          <w:szCs w:val="19"/>
        </w:rPr>
        <w:t xml:space="preserve">Dane dotyczą przedsiębiorstw handlowych i niehandlowych o liczbie pracujących powyżej 9 </w:t>
      </w:r>
    </w:p>
    <w:p w14:paraId="1E883A9B" w14:textId="2114B133" w:rsidR="0065614F" w:rsidRPr="0065614F" w:rsidRDefault="0065614F" w:rsidP="00BF0091">
      <w:pPr>
        <w:pStyle w:val="Tekstprzypisudolnego"/>
        <w:spacing w:before="0"/>
        <w:rPr>
          <w:sz w:val="19"/>
          <w:szCs w:val="19"/>
        </w:rPr>
      </w:pPr>
      <w:r w:rsidRPr="0065614F">
        <w:rPr>
          <w:sz w:val="19"/>
          <w:szCs w:val="19"/>
        </w:rPr>
        <w:t>osób. Grupowania przedsiębiorstw dokonano na podstawie PKD 2007, zaliczając przedsiębiorstwo do określonej kategorii według przeważającego rodzaju działalności, zgodnie z aktualnym w omawianym okresie stanem organizacyjnym. Odnotowane zmiany (wzrost/spadek) wolumenu sprzedaży detalicznej w poszczególnych grupach rodzajów działalności przedsiębiorstw mogą zatem również wynikać ze zmiany przeważającego rodzaju działalności przedsiębiorstwa oraz zmian organizacyjnych (np. połączenia przedsiębiorstw). Nie ma to wpływu na dynamikę sprzedaży detalicznej ogółem</w:t>
      </w:r>
      <w:r w:rsidR="00BF0091">
        <w:rPr>
          <w:sz w:val="19"/>
          <w:szCs w:val="19"/>
        </w:rPr>
        <w:t>.</w:t>
      </w:r>
    </w:p>
    <w:p w14:paraId="54F775F1" w14:textId="63E5459E" w:rsidR="005C3686" w:rsidRPr="0065614F" w:rsidRDefault="005C3686" w:rsidP="00BF0091">
      <w:pPr>
        <w:pStyle w:val="Tekstprzypisudolnego"/>
        <w:spacing w:before="0"/>
        <w:rPr>
          <w:sz w:val="19"/>
          <w:szCs w:val="19"/>
        </w:rPr>
      </w:pPr>
    </w:p>
  </w:footnote>
  <w:footnote w:id="2">
    <w:p w14:paraId="5329168A" w14:textId="25AB4640" w:rsidR="00D455D9" w:rsidRDefault="00D455D9" w:rsidP="00BF0091">
      <w:pPr>
        <w:pStyle w:val="Tekstprzypisudolnego"/>
        <w:spacing w:before="0"/>
      </w:pPr>
      <w:r>
        <w:rPr>
          <w:rStyle w:val="Odwoanieprzypisudolnego"/>
        </w:rPr>
        <w:footnoteRef/>
      </w:r>
      <w:r>
        <w:t xml:space="preserve"> </w:t>
      </w:r>
      <w:r w:rsidRPr="00D455D9">
        <w:rPr>
          <w:sz w:val="19"/>
          <w:szCs w:val="19"/>
        </w:rPr>
        <w:t>Dane wstępne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A6B305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34D8C" w14:textId="533A339B" w:rsidR="00003437" w:rsidRDefault="00416EAF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601A7CD8" wp14:editId="5D402B0F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5F7ED3C5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F37172" w:rsidRPr="003C6C8D" w:rsidRDefault="00F37172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29" alt="Napis &quot;Informacja sygnalna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j4yYAYAADg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2HEry4qXFRY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F37172" w:rsidRPr="003C6C8D" w:rsidRDefault="00F37172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E74FC42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EB3333">
      <w:rPr>
        <w:noProof/>
        <w:lang w:eastAsia="pl-PL"/>
      </w:rPr>
      <w:t xml:space="preserve"> </w:t>
    </w:r>
    <w:r w:rsidR="00540C5C" w:rsidRPr="00540C5C">
      <w:rPr>
        <w:noProof/>
      </w:rPr>
      <w:t xml:space="preserve"> </w:t>
    </w:r>
  </w:p>
  <w:p w14:paraId="5DF2C6CE" w14:textId="57EF9372" w:rsidR="00540C5C" w:rsidRDefault="00540C5C">
    <w:pPr>
      <w:pStyle w:val="Nagwek"/>
      <w:rPr>
        <w:noProof/>
        <w:lang w:eastAsia="pl-PL"/>
      </w:rPr>
    </w:pPr>
  </w:p>
  <w:p w14:paraId="45C1A999" w14:textId="77777777" w:rsidR="00540C5C" w:rsidRDefault="00540C5C">
    <w:pPr>
      <w:pStyle w:val="Nagwek"/>
      <w:rPr>
        <w:noProof/>
        <w:lang w:eastAsia="pl-PL"/>
      </w:rPr>
    </w:pPr>
  </w:p>
  <w:p w14:paraId="3194277A" w14:textId="5E6F66AE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434039C6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&#10;21 luty 2022 rok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71693DC5" w:rsidR="00F37172" w:rsidRPr="00A01B40" w:rsidRDefault="000233D4" w:rsidP="00F049AB">
                          <w:pPr>
                            <w:pStyle w:val="Datainformacjisygnalnej"/>
                          </w:pPr>
                          <w:r>
                            <w:t>21</w:t>
                          </w:r>
                          <w:r w:rsidR="00DE6B58">
                            <w:t>.</w:t>
                          </w:r>
                          <w:r>
                            <w:t>02</w:t>
                          </w:r>
                          <w:r w:rsidR="00DE6B58">
                            <w:t>.</w:t>
                          </w:r>
                          <w:r>
                            <w:t>2022</w:t>
                          </w:r>
                          <w:r w:rsidR="00DE6B58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Data publikacji informacji sygnalnej&#10;21 luty 2022 rok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" filled="f" stroked="f">
              <v:textbox>
                <w:txbxContent>
                  <w:p w14:paraId="71967FEA" w14:textId="71693DC5" w:rsidR="00F37172" w:rsidRPr="00A01B40" w:rsidRDefault="000233D4" w:rsidP="00F049AB">
                    <w:pPr>
                      <w:pStyle w:val="Datainformacjisygnalnej"/>
                    </w:pPr>
                    <w:r>
                      <w:t>21</w:t>
                    </w:r>
                    <w:r w:rsidR="00DE6B58">
                      <w:t>.</w:t>
                    </w:r>
                    <w:r>
                      <w:t>02</w:t>
                    </w:r>
                    <w:r w:rsidR="00DE6B58">
                      <w:t>.</w:t>
                    </w:r>
                    <w:r>
                      <w:t>2022</w:t>
                    </w:r>
                    <w:r w:rsidR="00DE6B58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480AA" w14:textId="77777777" w:rsidR="00607CC5" w:rsidRDefault="00607CC5">
    <w:pPr>
      <w:pStyle w:val="Nagwek"/>
    </w:pPr>
  </w:p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4.85pt;height:125.3pt;visibility:visible;mso-wrap-style:square" o:bullet="t">
        <v:imagedata r:id="rId1" o:title=""/>
      </v:shape>
    </w:pict>
  </w:numPicBullet>
  <w:numPicBullet w:numPicBulletId="1">
    <w:pict>
      <v:shape id="_x0000_i1029" type="#_x0000_t75" style="width:124.85pt;height:125.3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2069"/>
    <w:rsid w:val="00003437"/>
    <w:rsid w:val="0000709F"/>
    <w:rsid w:val="000108B8"/>
    <w:rsid w:val="000152F5"/>
    <w:rsid w:val="000233D4"/>
    <w:rsid w:val="00032FE8"/>
    <w:rsid w:val="00033E17"/>
    <w:rsid w:val="000435BD"/>
    <w:rsid w:val="0004582E"/>
    <w:rsid w:val="000470AA"/>
    <w:rsid w:val="00057CA1"/>
    <w:rsid w:val="000647A9"/>
    <w:rsid w:val="000662E2"/>
    <w:rsid w:val="00066883"/>
    <w:rsid w:val="00071B39"/>
    <w:rsid w:val="00074DD8"/>
    <w:rsid w:val="00075759"/>
    <w:rsid w:val="000806F7"/>
    <w:rsid w:val="00097840"/>
    <w:rsid w:val="000A2ACA"/>
    <w:rsid w:val="000B0727"/>
    <w:rsid w:val="000B59D1"/>
    <w:rsid w:val="000C135D"/>
    <w:rsid w:val="000D1D43"/>
    <w:rsid w:val="000D225C"/>
    <w:rsid w:val="000D2A5C"/>
    <w:rsid w:val="000D39F0"/>
    <w:rsid w:val="000D7269"/>
    <w:rsid w:val="000E0918"/>
    <w:rsid w:val="000E3402"/>
    <w:rsid w:val="000E79A9"/>
    <w:rsid w:val="000F4F26"/>
    <w:rsid w:val="001011C3"/>
    <w:rsid w:val="00106DA3"/>
    <w:rsid w:val="00110214"/>
    <w:rsid w:val="00110D87"/>
    <w:rsid w:val="00112399"/>
    <w:rsid w:val="00113503"/>
    <w:rsid w:val="00114DB9"/>
    <w:rsid w:val="00116087"/>
    <w:rsid w:val="00117711"/>
    <w:rsid w:val="00130296"/>
    <w:rsid w:val="00134145"/>
    <w:rsid w:val="00136736"/>
    <w:rsid w:val="00136740"/>
    <w:rsid w:val="00136D67"/>
    <w:rsid w:val="001423B6"/>
    <w:rsid w:val="001445A7"/>
    <w:rsid w:val="001448A7"/>
    <w:rsid w:val="00146621"/>
    <w:rsid w:val="001617E3"/>
    <w:rsid w:val="00162325"/>
    <w:rsid w:val="00163EFF"/>
    <w:rsid w:val="001951DA"/>
    <w:rsid w:val="001B053D"/>
    <w:rsid w:val="001C3269"/>
    <w:rsid w:val="001D19B6"/>
    <w:rsid w:val="001D1DB4"/>
    <w:rsid w:val="001D23F1"/>
    <w:rsid w:val="001D25F9"/>
    <w:rsid w:val="001D61ED"/>
    <w:rsid w:val="001E5B2D"/>
    <w:rsid w:val="0020156C"/>
    <w:rsid w:val="00206E12"/>
    <w:rsid w:val="00215931"/>
    <w:rsid w:val="00216634"/>
    <w:rsid w:val="00237F65"/>
    <w:rsid w:val="00242D31"/>
    <w:rsid w:val="002517E0"/>
    <w:rsid w:val="00252458"/>
    <w:rsid w:val="0025481E"/>
    <w:rsid w:val="002574F9"/>
    <w:rsid w:val="00262B61"/>
    <w:rsid w:val="00262CC6"/>
    <w:rsid w:val="00263E08"/>
    <w:rsid w:val="00270CA1"/>
    <w:rsid w:val="00276811"/>
    <w:rsid w:val="00282699"/>
    <w:rsid w:val="00285F4F"/>
    <w:rsid w:val="002926DF"/>
    <w:rsid w:val="00296697"/>
    <w:rsid w:val="00297380"/>
    <w:rsid w:val="00297E30"/>
    <w:rsid w:val="002B0472"/>
    <w:rsid w:val="002B6B12"/>
    <w:rsid w:val="002C21F0"/>
    <w:rsid w:val="002D01DF"/>
    <w:rsid w:val="002E3EB3"/>
    <w:rsid w:val="002E6140"/>
    <w:rsid w:val="002E6985"/>
    <w:rsid w:val="002E71B6"/>
    <w:rsid w:val="002F35F6"/>
    <w:rsid w:val="002F77C8"/>
    <w:rsid w:val="0030126D"/>
    <w:rsid w:val="00304F22"/>
    <w:rsid w:val="00306C7C"/>
    <w:rsid w:val="00314F86"/>
    <w:rsid w:val="00317F4D"/>
    <w:rsid w:val="00322EDD"/>
    <w:rsid w:val="003309FA"/>
    <w:rsid w:val="00332320"/>
    <w:rsid w:val="003337DA"/>
    <w:rsid w:val="00347D72"/>
    <w:rsid w:val="00353F45"/>
    <w:rsid w:val="00357611"/>
    <w:rsid w:val="0036432A"/>
    <w:rsid w:val="00364AF9"/>
    <w:rsid w:val="00367237"/>
    <w:rsid w:val="0037077F"/>
    <w:rsid w:val="00372411"/>
    <w:rsid w:val="00373882"/>
    <w:rsid w:val="003843DB"/>
    <w:rsid w:val="00385BAB"/>
    <w:rsid w:val="00393761"/>
    <w:rsid w:val="00394E26"/>
    <w:rsid w:val="00395331"/>
    <w:rsid w:val="003953ED"/>
    <w:rsid w:val="0039542E"/>
    <w:rsid w:val="00396691"/>
    <w:rsid w:val="00397D18"/>
    <w:rsid w:val="003A1B36"/>
    <w:rsid w:val="003B1454"/>
    <w:rsid w:val="003B18B6"/>
    <w:rsid w:val="003C161B"/>
    <w:rsid w:val="003C59E0"/>
    <w:rsid w:val="003C6C8D"/>
    <w:rsid w:val="003D2656"/>
    <w:rsid w:val="003D4F95"/>
    <w:rsid w:val="003D5F42"/>
    <w:rsid w:val="003D60A9"/>
    <w:rsid w:val="003E1747"/>
    <w:rsid w:val="003E4367"/>
    <w:rsid w:val="003F4C97"/>
    <w:rsid w:val="003F666D"/>
    <w:rsid w:val="003F7FE6"/>
    <w:rsid w:val="00400193"/>
    <w:rsid w:val="004017DA"/>
    <w:rsid w:val="00416EAF"/>
    <w:rsid w:val="004212E7"/>
    <w:rsid w:val="00422620"/>
    <w:rsid w:val="00423C88"/>
    <w:rsid w:val="0042446D"/>
    <w:rsid w:val="00427BF8"/>
    <w:rsid w:val="00431C02"/>
    <w:rsid w:val="004358D9"/>
    <w:rsid w:val="00437395"/>
    <w:rsid w:val="00442204"/>
    <w:rsid w:val="00445047"/>
    <w:rsid w:val="00445A25"/>
    <w:rsid w:val="00446749"/>
    <w:rsid w:val="00453EB7"/>
    <w:rsid w:val="00463E39"/>
    <w:rsid w:val="004657FC"/>
    <w:rsid w:val="004733F6"/>
    <w:rsid w:val="00474E69"/>
    <w:rsid w:val="00483E9F"/>
    <w:rsid w:val="00485A2C"/>
    <w:rsid w:val="00490C68"/>
    <w:rsid w:val="004917C2"/>
    <w:rsid w:val="0049621B"/>
    <w:rsid w:val="004A1D19"/>
    <w:rsid w:val="004A1D4F"/>
    <w:rsid w:val="004A6E73"/>
    <w:rsid w:val="004C1895"/>
    <w:rsid w:val="004C24EB"/>
    <w:rsid w:val="004C6D40"/>
    <w:rsid w:val="004C714F"/>
    <w:rsid w:val="004D4C5E"/>
    <w:rsid w:val="004E514C"/>
    <w:rsid w:val="004E6AA8"/>
    <w:rsid w:val="004F0C3C"/>
    <w:rsid w:val="004F2280"/>
    <w:rsid w:val="004F23BB"/>
    <w:rsid w:val="004F63FC"/>
    <w:rsid w:val="00505A92"/>
    <w:rsid w:val="00506B55"/>
    <w:rsid w:val="00510E2C"/>
    <w:rsid w:val="005203F1"/>
    <w:rsid w:val="00521BC3"/>
    <w:rsid w:val="00522630"/>
    <w:rsid w:val="00526820"/>
    <w:rsid w:val="00531873"/>
    <w:rsid w:val="00533632"/>
    <w:rsid w:val="00534013"/>
    <w:rsid w:val="00534C5B"/>
    <w:rsid w:val="00540C5C"/>
    <w:rsid w:val="00541E6E"/>
    <w:rsid w:val="0054251F"/>
    <w:rsid w:val="00550C16"/>
    <w:rsid w:val="005520D8"/>
    <w:rsid w:val="00555CFB"/>
    <w:rsid w:val="00556ADB"/>
    <w:rsid w:val="00556CF1"/>
    <w:rsid w:val="005762A7"/>
    <w:rsid w:val="00587CEE"/>
    <w:rsid w:val="005916D7"/>
    <w:rsid w:val="0059427F"/>
    <w:rsid w:val="005A1BD1"/>
    <w:rsid w:val="005A698C"/>
    <w:rsid w:val="005A6EA7"/>
    <w:rsid w:val="005C0CAC"/>
    <w:rsid w:val="005C1D67"/>
    <w:rsid w:val="005C3686"/>
    <w:rsid w:val="005C3F59"/>
    <w:rsid w:val="005D062E"/>
    <w:rsid w:val="005D2F6B"/>
    <w:rsid w:val="005E0799"/>
    <w:rsid w:val="005E10F9"/>
    <w:rsid w:val="005E1200"/>
    <w:rsid w:val="005E3DC2"/>
    <w:rsid w:val="005F081C"/>
    <w:rsid w:val="005F45EE"/>
    <w:rsid w:val="005F5A80"/>
    <w:rsid w:val="006015C4"/>
    <w:rsid w:val="006018D4"/>
    <w:rsid w:val="006044FF"/>
    <w:rsid w:val="00607CC5"/>
    <w:rsid w:val="0061179B"/>
    <w:rsid w:val="006125F9"/>
    <w:rsid w:val="00633014"/>
    <w:rsid w:val="0063437B"/>
    <w:rsid w:val="00636970"/>
    <w:rsid w:val="0064017E"/>
    <w:rsid w:val="0064480C"/>
    <w:rsid w:val="00654BB6"/>
    <w:rsid w:val="0065614F"/>
    <w:rsid w:val="0065733F"/>
    <w:rsid w:val="006673CA"/>
    <w:rsid w:val="00673C26"/>
    <w:rsid w:val="00674DE5"/>
    <w:rsid w:val="00677ACA"/>
    <w:rsid w:val="006812AF"/>
    <w:rsid w:val="0068327D"/>
    <w:rsid w:val="00691534"/>
    <w:rsid w:val="00693880"/>
    <w:rsid w:val="00694AF0"/>
    <w:rsid w:val="006A42E8"/>
    <w:rsid w:val="006A4686"/>
    <w:rsid w:val="006A6E42"/>
    <w:rsid w:val="006B0E9E"/>
    <w:rsid w:val="006B486D"/>
    <w:rsid w:val="006B5AE4"/>
    <w:rsid w:val="006C07D3"/>
    <w:rsid w:val="006D1507"/>
    <w:rsid w:val="006D2247"/>
    <w:rsid w:val="006D4054"/>
    <w:rsid w:val="006E02EC"/>
    <w:rsid w:val="006E3C4F"/>
    <w:rsid w:val="006E4249"/>
    <w:rsid w:val="006E6F41"/>
    <w:rsid w:val="006E73E6"/>
    <w:rsid w:val="0071565F"/>
    <w:rsid w:val="007211B1"/>
    <w:rsid w:val="007277DA"/>
    <w:rsid w:val="00731D27"/>
    <w:rsid w:val="00746187"/>
    <w:rsid w:val="0076254F"/>
    <w:rsid w:val="007651A2"/>
    <w:rsid w:val="00771BF9"/>
    <w:rsid w:val="00774D6A"/>
    <w:rsid w:val="007801F5"/>
    <w:rsid w:val="0078230A"/>
    <w:rsid w:val="00783CA4"/>
    <w:rsid w:val="007842FB"/>
    <w:rsid w:val="00786124"/>
    <w:rsid w:val="0079514B"/>
    <w:rsid w:val="00795252"/>
    <w:rsid w:val="007A2DC1"/>
    <w:rsid w:val="007B1537"/>
    <w:rsid w:val="007B698B"/>
    <w:rsid w:val="007C7D79"/>
    <w:rsid w:val="007D0869"/>
    <w:rsid w:val="007D14C4"/>
    <w:rsid w:val="007D3319"/>
    <w:rsid w:val="007D335D"/>
    <w:rsid w:val="007D605C"/>
    <w:rsid w:val="007D6ECE"/>
    <w:rsid w:val="007E0814"/>
    <w:rsid w:val="007E3314"/>
    <w:rsid w:val="007E3514"/>
    <w:rsid w:val="007E4B03"/>
    <w:rsid w:val="007F1309"/>
    <w:rsid w:val="007F324B"/>
    <w:rsid w:val="0080553C"/>
    <w:rsid w:val="00805B46"/>
    <w:rsid w:val="00805DB4"/>
    <w:rsid w:val="0081233D"/>
    <w:rsid w:val="00823593"/>
    <w:rsid w:val="00823F51"/>
    <w:rsid w:val="00825DC2"/>
    <w:rsid w:val="00834AD3"/>
    <w:rsid w:val="00837F76"/>
    <w:rsid w:val="00843795"/>
    <w:rsid w:val="008466B8"/>
    <w:rsid w:val="00847F0F"/>
    <w:rsid w:val="00852448"/>
    <w:rsid w:val="00870F14"/>
    <w:rsid w:val="00877F6C"/>
    <w:rsid w:val="0088258A"/>
    <w:rsid w:val="00886332"/>
    <w:rsid w:val="008909E5"/>
    <w:rsid w:val="008925F0"/>
    <w:rsid w:val="0089448A"/>
    <w:rsid w:val="00897877"/>
    <w:rsid w:val="008A26D9"/>
    <w:rsid w:val="008A27FA"/>
    <w:rsid w:val="008A7B5B"/>
    <w:rsid w:val="008B12D2"/>
    <w:rsid w:val="008C0C29"/>
    <w:rsid w:val="008D02DA"/>
    <w:rsid w:val="008D76BC"/>
    <w:rsid w:val="008E250D"/>
    <w:rsid w:val="008E7DBA"/>
    <w:rsid w:val="008F0829"/>
    <w:rsid w:val="008F3638"/>
    <w:rsid w:val="008F4441"/>
    <w:rsid w:val="008F6B20"/>
    <w:rsid w:val="008F6F31"/>
    <w:rsid w:val="008F74DF"/>
    <w:rsid w:val="00902274"/>
    <w:rsid w:val="009127BA"/>
    <w:rsid w:val="00917013"/>
    <w:rsid w:val="0091756A"/>
    <w:rsid w:val="00920AAE"/>
    <w:rsid w:val="009227A6"/>
    <w:rsid w:val="00933EC1"/>
    <w:rsid w:val="009446AD"/>
    <w:rsid w:val="009530DB"/>
    <w:rsid w:val="00953676"/>
    <w:rsid w:val="00956F30"/>
    <w:rsid w:val="009640F6"/>
    <w:rsid w:val="00966C9A"/>
    <w:rsid w:val="009705EE"/>
    <w:rsid w:val="00977927"/>
    <w:rsid w:val="0098135C"/>
    <w:rsid w:val="0098156A"/>
    <w:rsid w:val="00991BAC"/>
    <w:rsid w:val="00993681"/>
    <w:rsid w:val="00994335"/>
    <w:rsid w:val="0099757D"/>
    <w:rsid w:val="009A6EA0"/>
    <w:rsid w:val="009C1335"/>
    <w:rsid w:val="009C1AB2"/>
    <w:rsid w:val="009C34CC"/>
    <w:rsid w:val="009C7251"/>
    <w:rsid w:val="009E2E91"/>
    <w:rsid w:val="00A01B40"/>
    <w:rsid w:val="00A139F5"/>
    <w:rsid w:val="00A32E16"/>
    <w:rsid w:val="00A365F4"/>
    <w:rsid w:val="00A36D58"/>
    <w:rsid w:val="00A47D80"/>
    <w:rsid w:val="00A53132"/>
    <w:rsid w:val="00A563F2"/>
    <w:rsid w:val="00A566E8"/>
    <w:rsid w:val="00A65EF9"/>
    <w:rsid w:val="00A66347"/>
    <w:rsid w:val="00A810F9"/>
    <w:rsid w:val="00A82D31"/>
    <w:rsid w:val="00A85E7E"/>
    <w:rsid w:val="00A86ECC"/>
    <w:rsid w:val="00A86FBE"/>
    <w:rsid w:val="00A86FCC"/>
    <w:rsid w:val="00A90A6D"/>
    <w:rsid w:val="00A971E5"/>
    <w:rsid w:val="00AA710D"/>
    <w:rsid w:val="00AB4247"/>
    <w:rsid w:val="00AB64F3"/>
    <w:rsid w:val="00AB6D25"/>
    <w:rsid w:val="00AD0E56"/>
    <w:rsid w:val="00AE0328"/>
    <w:rsid w:val="00AE229B"/>
    <w:rsid w:val="00AE2D4B"/>
    <w:rsid w:val="00AE4F99"/>
    <w:rsid w:val="00B0439D"/>
    <w:rsid w:val="00B11B69"/>
    <w:rsid w:val="00B14952"/>
    <w:rsid w:val="00B16871"/>
    <w:rsid w:val="00B25B45"/>
    <w:rsid w:val="00B31E5A"/>
    <w:rsid w:val="00B47359"/>
    <w:rsid w:val="00B653AB"/>
    <w:rsid w:val="00B65F9E"/>
    <w:rsid w:val="00B66B19"/>
    <w:rsid w:val="00B7386E"/>
    <w:rsid w:val="00B761EE"/>
    <w:rsid w:val="00B81424"/>
    <w:rsid w:val="00B84C43"/>
    <w:rsid w:val="00B914E9"/>
    <w:rsid w:val="00B956EE"/>
    <w:rsid w:val="00BA06C7"/>
    <w:rsid w:val="00BA2BA1"/>
    <w:rsid w:val="00BA3447"/>
    <w:rsid w:val="00BA3562"/>
    <w:rsid w:val="00BA7B8B"/>
    <w:rsid w:val="00BB14D2"/>
    <w:rsid w:val="00BB4F09"/>
    <w:rsid w:val="00BB54B5"/>
    <w:rsid w:val="00BD4E33"/>
    <w:rsid w:val="00BF0091"/>
    <w:rsid w:val="00BF2E29"/>
    <w:rsid w:val="00C030DE"/>
    <w:rsid w:val="00C051A8"/>
    <w:rsid w:val="00C22105"/>
    <w:rsid w:val="00C244B6"/>
    <w:rsid w:val="00C27BF1"/>
    <w:rsid w:val="00C3702F"/>
    <w:rsid w:val="00C4500A"/>
    <w:rsid w:val="00C614D7"/>
    <w:rsid w:val="00C62238"/>
    <w:rsid w:val="00C64A37"/>
    <w:rsid w:val="00C7158E"/>
    <w:rsid w:val="00C7250B"/>
    <w:rsid w:val="00C7346B"/>
    <w:rsid w:val="00C77C0E"/>
    <w:rsid w:val="00C80EC3"/>
    <w:rsid w:val="00C85C36"/>
    <w:rsid w:val="00C91687"/>
    <w:rsid w:val="00C924A8"/>
    <w:rsid w:val="00C945FE"/>
    <w:rsid w:val="00C96FAA"/>
    <w:rsid w:val="00C97A04"/>
    <w:rsid w:val="00CA107B"/>
    <w:rsid w:val="00CA484D"/>
    <w:rsid w:val="00CA4FB6"/>
    <w:rsid w:val="00CB2F90"/>
    <w:rsid w:val="00CB6AD4"/>
    <w:rsid w:val="00CC1DA6"/>
    <w:rsid w:val="00CC739E"/>
    <w:rsid w:val="00CD1EBB"/>
    <w:rsid w:val="00CD28CF"/>
    <w:rsid w:val="00CD58B7"/>
    <w:rsid w:val="00CD7843"/>
    <w:rsid w:val="00CD7967"/>
    <w:rsid w:val="00CF18EE"/>
    <w:rsid w:val="00CF2E38"/>
    <w:rsid w:val="00CF30BD"/>
    <w:rsid w:val="00CF4099"/>
    <w:rsid w:val="00D00796"/>
    <w:rsid w:val="00D22BE3"/>
    <w:rsid w:val="00D261A2"/>
    <w:rsid w:val="00D369FA"/>
    <w:rsid w:val="00D455D9"/>
    <w:rsid w:val="00D616D2"/>
    <w:rsid w:val="00D63B5F"/>
    <w:rsid w:val="00D70EF7"/>
    <w:rsid w:val="00D8397C"/>
    <w:rsid w:val="00D94EED"/>
    <w:rsid w:val="00D96026"/>
    <w:rsid w:val="00D972F6"/>
    <w:rsid w:val="00DA312A"/>
    <w:rsid w:val="00DA331D"/>
    <w:rsid w:val="00DA3941"/>
    <w:rsid w:val="00DA7C1C"/>
    <w:rsid w:val="00DB147A"/>
    <w:rsid w:val="00DB1B7A"/>
    <w:rsid w:val="00DB706E"/>
    <w:rsid w:val="00DC6708"/>
    <w:rsid w:val="00DC7E66"/>
    <w:rsid w:val="00DD011A"/>
    <w:rsid w:val="00DD1CFB"/>
    <w:rsid w:val="00DD38E4"/>
    <w:rsid w:val="00DD6BC7"/>
    <w:rsid w:val="00DE2217"/>
    <w:rsid w:val="00DE2400"/>
    <w:rsid w:val="00DE58F1"/>
    <w:rsid w:val="00DE6B58"/>
    <w:rsid w:val="00DF0FDD"/>
    <w:rsid w:val="00DF2BF5"/>
    <w:rsid w:val="00DF5E32"/>
    <w:rsid w:val="00E01436"/>
    <w:rsid w:val="00E03E79"/>
    <w:rsid w:val="00E045BD"/>
    <w:rsid w:val="00E04D6C"/>
    <w:rsid w:val="00E138C2"/>
    <w:rsid w:val="00E17B77"/>
    <w:rsid w:val="00E231AB"/>
    <w:rsid w:val="00E23337"/>
    <w:rsid w:val="00E259EA"/>
    <w:rsid w:val="00E25D33"/>
    <w:rsid w:val="00E32061"/>
    <w:rsid w:val="00E3272A"/>
    <w:rsid w:val="00E33F48"/>
    <w:rsid w:val="00E42FF9"/>
    <w:rsid w:val="00E44790"/>
    <w:rsid w:val="00E4714C"/>
    <w:rsid w:val="00E5178D"/>
    <w:rsid w:val="00E51AEB"/>
    <w:rsid w:val="00E522A7"/>
    <w:rsid w:val="00E5349E"/>
    <w:rsid w:val="00E5398A"/>
    <w:rsid w:val="00E54452"/>
    <w:rsid w:val="00E63B0C"/>
    <w:rsid w:val="00E664C5"/>
    <w:rsid w:val="00E671A2"/>
    <w:rsid w:val="00E71EF0"/>
    <w:rsid w:val="00E76D26"/>
    <w:rsid w:val="00E76EE5"/>
    <w:rsid w:val="00E8668C"/>
    <w:rsid w:val="00E95036"/>
    <w:rsid w:val="00E95B8E"/>
    <w:rsid w:val="00E966BF"/>
    <w:rsid w:val="00EB1390"/>
    <w:rsid w:val="00EB2C71"/>
    <w:rsid w:val="00EB3333"/>
    <w:rsid w:val="00EB4340"/>
    <w:rsid w:val="00EB556D"/>
    <w:rsid w:val="00EB5A7D"/>
    <w:rsid w:val="00ED0DF9"/>
    <w:rsid w:val="00ED5558"/>
    <w:rsid w:val="00ED55C0"/>
    <w:rsid w:val="00ED682B"/>
    <w:rsid w:val="00EE1176"/>
    <w:rsid w:val="00EE41D5"/>
    <w:rsid w:val="00F013BA"/>
    <w:rsid w:val="00F0166F"/>
    <w:rsid w:val="00F037A4"/>
    <w:rsid w:val="00F049AB"/>
    <w:rsid w:val="00F142DB"/>
    <w:rsid w:val="00F27C8F"/>
    <w:rsid w:val="00F32749"/>
    <w:rsid w:val="00F352DF"/>
    <w:rsid w:val="00F37172"/>
    <w:rsid w:val="00F4477E"/>
    <w:rsid w:val="00F46269"/>
    <w:rsid w:val="00F57032"/>
    <w:rsid w:val="00F60BA8"/>
    <w:rsid w:val="00F67D8F"/>
    <w:rsid w:val="00F802BE"/>
    <w:rsid w:val="00F80E93"/>
    <w:rsid w:val="00F86024"/>
    <w:rsid w:val="00F8611A"/>
    <w:rsid w:val="00F86408"/>
    <w:rsid w:val="00FA5128"/>
    <w:rsid w:val="00FB42D4"/>
    <w:rsid w:val="00FB48D7"/>
    <w:rsid w:val="00FB5906"/>
    <w:rsid w:val="00FB762F"/>
    <w:rsid w:val="00FC03CE"/>
    <w:rsid w:val="00FC2AED"/>
    <w:rsid w:val="00FC39A9"/>
    <w:rsid w:val="00FC61C4"/>
    <w:rsid w:val="00FD08AE"/>
    <w:rsid w:val="00FD168B"/>
    <w:rsid w:val="00FD5EA7"/>
    <w:rsid w:val="00FE36CF"/>
    <w:rsid w:val="00FE79E4"/>
    <w:rsid w:val="00FF0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4E514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image" Target="media/image5.png"/><Relationship Id="rId26" Type="http://schemas.openxmlformats.org/officeDocument/2006/relationships/hyperlink" Target="https://stat.gov.pl/metainformacje/slownik-pojec/pojecia-stosowane-w-statystyce-publicznej/473,pojecie.html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8.png"/><Relationship Id="rId7" Type="http://schemas.openxmlformats.org/officeDocument/2006/relationships/webSettings" Target="webSettings.xml"/><Relationship Id="rId12" Type="http://schemas.openxmlformats.org/officeDocument/2006/relationships/chart" Target="charts/chart3.xml"/><Relationship Id="rId17" Type="http://schemas.openxmlformats.org/officeDocument/2006/relationships/image" Target="media/image4.png"/><Relationship Id="rId25" Type="http://schemas.openxmlformats.org/officeDocument/2006/relationships/hyperlink" Target="https://bdm.stat.gov.pl/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7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chart" Target="charts/chart2.xml"/><Relationship Id="rId24" Type="http://schemas.openxmlformats.org/officeDocument/2006/relationships/hyperlink" Target="http://swaid.stat.gov.pl/SitePagesDBW/HandelUslugi.aspx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23" Type="http://schemas.openxmlformats.org/officeDocument/2006/relationships/hyperlink" Target="https://stat.gov.pl/obszary-tematyczne/ceny-handel/handel/rynek-wewnetrzny-w-2020-roku,7,27.html" TargetMode="External"/><Relationship Id="rId28" Type="http://schemas.openxmlformats.org/officeDocument/2006/relationships/footer" Target="footer3.xml"/><Relationship Id="rId10" Type="http://schemas.openxmlformats.org/officeDocument/2006/relationships/chart" Target="charts/chart1.xml"/><Relationship Id="rId19" Type="http://schemas.openxmlformats.org/officeDocument/2006/relationships/image" Target="media/image6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Relationship Id="rId22" Type="http://schemas.openxmlformats.org/officeDocument/2006/relationships/image" Target="media/image9.png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.xml"/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Dane\dysk%20C\aaaa\sprzeda&#380;%20detaliczna\Notatka%20sygnalna\2021\Wykres%20dane%20wyr&#243;wnane%20o%20sprzeda&#380;y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4.3235180508096861E-2"/>
          <c:y val="3.357954500400441E-2"/>
          <c:w val="0.93325015595757954"/>
          <c:h val="0.81147907169498545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AAA9A9"/>
            </a:solidFill>
            <a:ln w="3175">
              <a:noFill/>
              <a:prstDash val="solid"/>
            </a:ln>
          </c:spPr>
          <c:invertIfNegative val="0"/>
          <c:dPt>
            <c:idx val="24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0-8D8E-4FF1-BEB3-E41E91C01436}"/>
              </c:ext>
            </c:extLst>
          </c:dPt>
          <c:dPt>
            <c:idx val="25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1-8D8E-4FF1-BEB3-E41E91C01436}"/>
              </c:ext>
            </c:extLst>
          </c:dPt>
          <c:dPt>
            <c:idx val="26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2-8D8E-4FF1-BEB3-E41E91C01436}"/>
              </c:ext>
            </c:extLst>
          </c:dPt>
          <c:dPt>
            <c:idx val="27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3-8D8E-4FF1-BEB3-E41E91C01436}"/>
              </c:ext>
            </c:extLst>
          </c:dPt>
          <c:dPt>
            <c:idx val="28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4-8D8E-4FF1-BEB3-E41E91C01436}"/>
              </c:ext>
            </c:extLst>
          </c:dPt>
          <c:dPt>
            <c:idx val="29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5-8D8E-4FF1-BEB3-E41E91C01436}"/>
              </c:ext>
            </c:extLst>
          </c:dPt>
          <c:dPt>
            <c:idx val="3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6-8D8E-4FF1-BEB3-E41E91C01436}"/>
              </c:ext>
            </c:extLst>
          </c:dPt>
          <c:dPt>
            <c:idx val="31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7-8D8E-4FF1-BEB3-E41E91C01436}"/>
              </c:ext>
            </c:extLst>
          </c:dPt>
          <c:dPt>
            <c:idx val="32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8-8D8E-4FF1-BEB3-E41E91C01436}"/>
              </c:ext>
            </c:extLst>
          </c:dPt>
          <c:dPt>
            <c:idx val="33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9-8D8E-4FF1-BEB3-E41E91C01436}"/>
              </c:ext>
            </c:extLst>
          </c:dPt>
          <c:dPt>
            <c:idx val="34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A-8D8E-4FF1-BEB3-E41E91C01436}"/>
              </c:ext>
            </c:extLst>
          </c:dPt>
          <c:dPt>
            <c:idx val="35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C-8D8E-4FF1-BEB3-E41E91C01436}"/>
              </c:ext>
            </c:extLst>
          </c:dPt>
          <c:dPt>
            <c:idx val="36"/>
            <c:invertIfNegative val="0"/>
            <c:bubble3D val="0"/>
            <c:spPr>
              <a:solidFill>
                <a:srgbClr val="001D77"/>
              </a:solidFill>
              <a:ln w="3175">
                <a:noFill/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D-5E1B-404F-927B-7E64F644CB2C}"/>
              </c:ext>
            </c:extLst>
          </c:dPt>
          <c:cat>
            <c:multiLvlStrRef>
              <c:f>Arkusz1!$B$101:$C$137</c:f>
              <c:multiLvlStrCache>
                <c:ptCount val="37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01</c:v>
                  </c:pt>
                  <c:pt idx="25">
                    <c:v>02</c:v>
                  </c:pt>
                  <c:pt idx="26">
                    <c:v>03</c:v>
                  </c:pt>
                  <c:pt idx="27">
                    <c:v>04</c:v>
                  </c:pt>
                  <c:pt idx="28">
                    <c:v>05</c:v>
                  </c:pt>
                  <c:pt idx="29">
                    <c:v>06</c:v>
                  </c:pt>
                  <c:pt idx="30">
                    <c:v>07</c:v>
                  </c:pt>
                  <c:pt idx="31">
                    <c:v>08</c:v>
                  </c:pt>
                  <c:pt idx="32">
                    <c:v>09</c:v>
                  </c:pt>
                  <c:pt idx="33">
                    <c:v>10</c:v>
                  </c:pt>
                  <c:pt idx="34">
                    <c:v>11</c:v>
                  </c:pt>
                  <c:pt idx="35">
                    <c:v>12</c:v>
                  </c:pt>
                  <c:pt idx="36">
                    <c:v>01</c:v>
                  </c:pt>
                </c:lvl>
                <c:lvl>
                  <c:pt idx="0">
                    <c:v>2019</c:v>
                  </c:pt>
                  <c:pt idx="12">
                    <c:v>2020</c:v>
                  </c:pt>
                  <c:pt idx="24">
                    <c:v>2021</c:v>
                  </c:pt>
                  <c:pt idx="36">
                    <c:v>2022</c:v>
                  </c:pt>
                </c:lvl>
              </c:multiLvlStrCache>
            </c:multiLvlStrRef>
          </c:cat>
          <c:val>
            <c:numRef>
              <c:f>Arkusz1!$D$101:$D$137</c:f>
              <c:numCache>
                <c:formatCode>General</c:formatCode>
                <c:ptCount val="37"/>
                <c:pt idx="0">
                  <c:v>106.1</c:v>
                </c:pt>
                <c:pt idx="1">
                  <c:v>105.6</c:v>
                </c:pt>
                <c:pt idx="2">
                  <c:v>101.8</c:v>
                </c:pt>
                <c:pt idx="3">
                  <c:v>111.9</c:v>
                </c:pt>
                <c:pt idx="4">
                  <c:v>105.6</c:v>
                </c:pt>
                <c:pt idx="5">
                  <c:v>103.7</c:v>
                </c:pt>
                <c:pt idx="6">
                  <c:v>105.7</c:v>
                </c:pt>
                <c:pt idx="7">
                  <c:v>104.4</c:v>
                </c:pt>
                <c:pt idx="8">
                  <c:v>104.3</c:v>
                </c:pt>
                <c:pt idx="9">
                  <c:v>104.6</c:v>
                </c:pt>
                <c:pt idx="10">
                  <c:v>105.2</c:v>
                </c:pt>
                <c:pt idx="11">
                  <c:v>105.7</c:v>
                </c:pt>
                <c:pt idx="12">
                  <c:v>103.5</c:v>
                </c:pt>
                <c:pt idx="13">
                  <c:v>107.3</c:v>
                </c:pt>
                <c:pt idx="14">
                  <c:v>91.1</c:v>
                </c:pt>
                <c:pt idx="15">
                  <c:v>77.099999999999994</c:v>
                </c:pt>
                <c:pt idx="16">
                  <c:v>92.3</c:v>
                </c:pt>
                <c:pt idx="17">
                  <c:v>98.7</c:v>
                </c:pt>
                <c:pt idx="18">
                  <c:v>103</c:v>
                </c:pt>
                <c:pt idx="19">
                  <c:v>100.5</c:v>
                </c:pt>
                <c:pt idx="20">
                  <c:v>102.5</c:v>
                </c:pt>
                <c:pt idx="21">
                  <c:v>97.7</c:v>
                </c:pt>
                <c:pt idx="22">
                  <c:v>94.7</c:v>
                </c:pt>
                <c:pt idx="23">
                  <c:v>99.2</c:v>
                </c:pt>
                <c:pt idx="24">
                  <c:v>94</c:v>
                </c:pt>
                <c:pt idx="25">
                  <c:v>96.9</c:v>
                </c:pt>
                <c:pt idx="26">
                  <c:v>115.2</c:v>
                </c:pt>
                <c:pt idx="27">
                  <c:v>121.1</c:v>
                </c:pt>
                <c:pt idx="28">
                  <c:v>113.9</c:v>
                </c:pt>
                <c:pt idx="29">
                  <c:v>108.6</c:v>
                </c:pt>
                <c:pt idx="30">
                  <c:v>103.9</c:v>
                </c:pt>
                <c:pt idx="31">
                  <c:v>105.4</c:v>
                </c:pt>
                <c:pt idx="32">
                  <c:v>105.1</c:v>
                </c:pt>
                <c:pt idx="33">
                  <c:v>106.9</c:v>
                </c:pt>
                <c:pt idx="34">
                  <c:v>112.1</c:v>
                </c:pt>
                <c:pt idx="35">
                  <c:v>108</c:v>
                </c:pt>
                <c:pt idx="36">
                  <c:v>110.6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D-EEFA-4D04-92D9-76ECAAADFD2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7"/>
        <c:axId val="-146554048"/>
        <c:axId val="-146553504"/>
      </c:barChart>
      <c:catAx>
        <c:axId val="-146554048"/>
        <c:scaling>
          <c:orientation val="minMax"/>
        </c:scaling>
        <c:delete val="0"/>
        <c:axPos val="b"/>
        <c:numFmt formatCode="General" sourceLinked="0"/>
        <c:majorTickMark val="cross"/>
        <c:minorTickMark val="none"/>
        <c:tickLblPos val="low"/>
        <c:spPr>
          <a:noFill/>
          <a:ln w="3175">
            <a:solidFill>
              <a:schemeClr val="tx1"/>
            </a:solidFill>
            <a:prstDash val="solid"/>
          </a:ln>
        </c:spPr>
        <c:txPr>
          <a:bodyPr rot="0" vert="horz"/>
          <a:lstStyle/>
          <a:p>
            <a:pPr>
              <a:defRPr sz="600" b="0" i="0" u="none" strike="noStrike" baseline="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"/>
              </a:defRPr>
            </a:pPr>
            <a:endParaRPr lang="pl-PL"/>
          </a:p>
        </c:txPr>
        <c:crossAx val="-146553504"/>
        <c:crossesAt val="100"/>
        <c:auto val="0"/>
        <c:lblAlgn val="ctr"/>
        <c:lblOffset val="50"/>
        <c:tickLblSkip val="10"/>
        <c:tickMarkSkip val="2"/>
        <c:noMultiLvlLbl val="0"/>
      </c:catAx>
      <c:valAx>
        <c:axId val="-146553504"/>
        <c:scaling>
          <c:orientation val="minMax"/>
          <c:max val="122"/>
          <c:min val="76"/>
        </c:scaling>
        <c:delete val="0"/>
        <c:axPos val="l"/>
        <c:majorGridlines>
          <c:spPr>
            <a:ln w="3175">
              <a:solidFill>
                <a:schemeClr val="bg1">
                  <a:lumMod val="65000"/>
                </a:schemeClr>
              </a:solidFill>
              <a:prstDash val="sysDot"/>
            </a:ln>
          </c:spPr>
        </c:majorGridlines>
        <c:numFmt formatCode="0" sourceLinked="0"/>
        <c:majorTickMark val="out"/>
        <c:minorTickMark val="none"/>
        <c:tickLblPos val="nextTo"/>
        <c:spPr>
          <a:ln w="3175">
            <a:noFill/>
            <a:prstDash val="solid"/>
          </a:ln>
        </c:spPr>
        <c:txPr>
          <a:bodyPr rot="0" vert="horz"/>
          <a:lstStyle/>
          <a:p>
            <a:pPr>
              <a:defRPr sz="600" b="0" i="0" u="none" strike="noStrike" baseline="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 CE"/>
              </a:defRPr>
            </a:pPr>
            <a:endParaRPr lang="pl-PL"/>
          </a:p>
        </c:txPr>
        <c:crossAx val="-146554048"/>
        <c:crosses val="autoZero"/>
        <c:crossBetween val="between"/>
        <c:majorUnit val="2"/>
        <c:minorUnit val="2"/>
      </c:valAx>
      <c:spPr>
        <a:noFill/>
        <a:ln w="3175">
          <a:noFill/>
          <a:prstDash val="solid"/>
        </a:ln>
      </c:spPr>
    </c:plotArea>
    <c:plotVisOnly val="1"/>
    <c:dispBlanksAs val="gap"/>
    <c:showDLblsOverMax val="0"/>
  </c:chart>
  <c:spPr>
    <a:solidFill>
      <a:srgbClr val="FFFFFF"/>
    </a:solidFill>
    <a:ln w="3175">
      <a:noFill/>
      <a:prstDash val="solid"/>
    </a:ln>
  </c:spPr>
  <c:txPr>
    <a:bodyPr/>
    <a:lstStyle/>
    <a:p>
      <a:pPr>
        <a:defRPr sz="1200" b="0" i="0" u="none" strike="noStrike" baseline="0">
          <a:solidFill>
            <a:srgbClr val="000000"/>
          </a:solidFill>
          <a:latin typeface="Arial CE"/>
          <a:ea typeface="Arial CE"/>
          <a:cs typeface="Arial CE"/>
        </a:defRPr>
      </a:pPr>
      <a:endParaRPr lang="pl-PL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5.915861651509062E-2"/>
          <c:y val="4.5086988483214893E-2"/>
          <c:w val="0.93452311955429368"/>
          <c:h val="0.72693998167093721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001D77"/>
            </a:solidFill>
            <a:ln w="12700">
              <a:noFill/>
              <a:prstDash val="solid"/>
            </a:ln>
            <a:scene3d>
              <a:camera prst="orthographicFront"/>
              <a:lightRig rig="threePt" dir="t"/>
            </a:scene3d>
          </c:spPr>
          <c:invertIfNegative val="0"/>
          <c:dPt>
            <c:idx val="3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0-31AC-4550-A8AB-EB14534DF3C2}"/>
              </c:ext>
            </c:extLst>
          </c:dPt>
          <c:dLbls>
            <c:dLbl>
              <c:idx val="0"/>
              <c:tx>
                <c:rich>
                  <a:bodyPr vertOverflow="overflow" horzOverflow="overflow">
                    <a:noAutofit/>
                  </a:bodyPr>
                  <a:lstStyle/>
                  <a:p>
                    <a:pPr>
                      <a:defRPr sz="800" b="0" i="0" baseline="0">
                        <a:solidFill>
                          <a:schemeClr val="tx1"/>
                        </a:solidFill>
                        <a:latin typeface="Fira Sans" panose="020B0503050000020004" pitchFamily="34" charset="0"/>
                      </a:defRPr>
                    </a:pPr>
                    <a:r>
                      <a:rPr lang="en-US" sz="800" baseline="0"/>
                      <a:t>86,5</a:t>
                    </a:r>
                    <a:endParaRPr lang="en-US" baseline="0"/>
                  </a:p>
                </c:rich>
              </c:tx>
              <c:numFmt formatCode="0.0" sourceLinked="0"/>
              <c:spPr>
                <a:solidFill>
                  <a:schemeClr val="bg1"/>
                </a:solidFill>
                <a:ln w="3175">
                  <a:noFill/>
                  <a:prstDash val="solid"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01-31AC-4550-A8AB-EB14534DF3C2}"/>
                </c:ext>
              </c:extLst>
            </c:dLbl>
            <c:dLbl>
              <c:idx val="1"/>
              <c:numFmt formatCode="0.0" sourceLinked="0"/>
              <c:spPr>
                <a:solidFill>
                  <a:schemeClr val="bg1"/>
                </a:solidFill>
                <a:ln w="3175">
                  <a:noFill/>
                  <a:prstDash val="solid"/>
                </a:ln>
              </c:spPr>
              <c:txPr>
                <a:bodyPr vertOverflow="overflow" horzOverflow="overflow">
                  <a:noAutofit/>
                </a:bodyPr>
                <a:lstStyle/>
                <a:p>
                  <a:pPr>
                    <a:defRPr sz="800" b="0" i="0" baseline="0">
                      <a:solidFill>
                        <a:schemeClr val="tx1"/>
                      </a:solidFill>
                      <a:latin typeface="Fira Sans" panose="020B0503050000020004" pitchFamily="34" charset="0"/>
                    </a:defRPr>
                  </a:pPr>
                  <a:endParaRPr lang="pl-PL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02-31AC-4550-A8AB-EB14534DF3C2}"/>
                </c:ext>
              </c:extLst>
            </c:dLbl>
            <c:dLbl>
              <c:idx val="2"/>
              <c:layout>
                <c:manualLayout>
                  <c:x val="5.0409577819785761E-3"/>
                  <c:y val="-3.9206076941926002E-2"/>
                </c:manualLayout>
              </c:layout>
              <c:numFmt formatCode="0.0" sourceLinked="0"/>
              <c:spPr>
                <a:solidFill>
                  <a:schemeClr val="bg1"/>
                </a:solidFill>
                <a:ln w="3175">
                  <a:noFill/>
                  <a:prstDash val="solid"/>
                </a:ln>
              </c:spPr>
              <c:txPr>
                <a:bodyPr vertOverflow="overflow" horzOverflow="overflow">
                  <a:noAutofit/>
                </a:bodyPr>
                <a:lstStyle/>
                <a:p>
                  <a:pPr>
                    <a:defRPr sz="800" b="0" i="0" baseline="0">
                      <a:solidFill>
                        <a:schemeClr val="tx1"/>
                      </a:solidFill>
                      <a:latin typeface="Fira Sans" panose="020B0503050000020004" pitchFamily="34" charset="0"/>
                    </a:defRPr>
                  </a:pPr>
                  <a:endParaRPr lang="pl-PL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03-31AC-4550-A8AB-EB14534DF3C2}"/>
                </c:ext>
              </c:extLst>
            </c:dLbl>
            <c:dLbl>
              <c:idx val="3"/>
              <c:numFmt formatCode="0.0" sourceLinked="0"/>
              <c:spPr>
                <a:solidFill>
                  <a:schemeClr val="bg1"/>
                </a:solidFill>
                <a:ln w="3175">
                  <a:noFill/>
                  <a:prstDash val="solid"/>
                </a:ln>
              </c:spPr>
              <c:txPr>
                <a:bodyPr vertOverflow="overflow" horzOverflow="overflow">
                  <a:noAutofit/>
                </a:bodyPr>
                <a:lstStyle/>
                <a:p>
                  <a:pPr>
                    <a:defRPr sz="800" b="0" i="0" baseline="0">
                      <a:solidFill>
                        <a:schemeClr val="tx1"/>
                      </a:solidFill>
                      <a:latin typeface="Fira Sans" panose="020B0503050000020004" pitchFamily="34" charset="0"/>
                    </a:defRPr>
                  </a:pPr>
                  <a:endParaRPr lang="pl-PL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00-31AC-4550-A8AB-EB14534DF3C2}"/>
                </c:ext>
              </c:extLst>
            </c:dLbl>
            <c:dLbl>
              <c:idx val="4"/>
              <c:numFmt formatCode="0.0" sourceLinked="0"/>
              <c:spPr>
                <a:solidFill>
                  <a:schemeClr val="bg1"/>
                </a:solidFill>
                <a:ln w="3175">
                  <a:noFill/>
                  <a:prstDash val="solid"/>
                </a:ln>
              </c:spPr>
              <c:txPr>
                <a:bodyPr vertOverflow="overflow" horzOverflow="overflow">
                  <a:noAutofit/>
                </a:bodyPr>
                <a:lstStyle/>
                <a:p>
                  <a:pPr>
                    <a:defRPr sz="800" b="0" i="0" baseline="0">
                      <a:solidFill>
                        <a:schemeClr val="tx1"/>
                      </a:solidFill>
                      <a:latin typeface="Fira Sans" panose="020B0503050000020004" pitchFamily="34" charset="0"/>
                    </a:defRPr>
                  </a:pPr>
                  <a:endParaRPr lang="pl-PL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04-31AC-4550-A8AB-EB14534DF3C2}"/>
                </c:ext>
              </c:extLst>
            </c:dLbl>
            <c:dLbl>
              <c:idx val="5"/>
              <c:numFmt formatCode="0.0" sourceLinked="0"/>
              <c:spPr>
                <a:solidFill>
                  <a:schemeClr val="bg1"/>
                </a:solidFill>
                <a:ln w="3175">
                  <a:noFill/>
                  <a:prstDash val="solid"/>
                </a:ln>
              </c:spPr>
              <c:txPr>
                <a:bodyPr vertOverflow="overflow" horzOverflow="overflow">
                  <a:noAutofit/>
                </a:bodyPr>
                <a:lstStyle/>
                <a:p>
                  <a:pPr>
                    <a:defRPr sz="800" b="0" i="0" baseline="0">
                      <a:solidFill>
                        <a:schemeClr val="tx1"/>
                      </a:solidFill>
                      <a:latin typeface="Fira Sans" panose="020B0503050000020004" pitchFamily="34" charset="0"/>
                    </a:defRPr>
                  </a:pPr>
                  <a:endParaRPr lang="pl-PL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05-31AC-4550-A8AB-EB14534DF3C2}"/>
                </c:ext>
              </c:extLst>
            </c:dLbl>
            <c:dLbl>
              <c:idx val="6"/>
              <c:numFmt formatCode="0.0" sourceLinked="0"/>
              <c:spPr>
                <a:solidFill>
                  <a:schemeClr val="bg1"/>
                </a:solidFill>
                <a:ln w="3175">
                  <a:noFill/>
                  <a:prstDash val="solid"/>
                </a:ln>
              </c:spPr>
              <c:txPr>
                <a:bodyPr vertOverflow="overflow" horzOverflow="overflow">
                  <a:noAutofit/>
                </a:bodyPr>
                <a:lstStyle/>
                <a:p>
                  <a:pPr>
                    <a:defRPr sz="800" b="0" i="0" baseline="0">
                      <a:solidFill>
                        <a:schemeClr val="tx1"/>
                      </a:solidFill>
                      <a:latin typeface="Fira Sans" panose="020B0503050000020004" pitchFamily="34" charset="0"/>
                    </a:defRPr>
                  </a:pPr>
                  <a:endParaRPr lang="pl-PL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06-31AC-4550-A8AB-EB14534DF3C2}"/>
                </c:ext>
              </c:extLst>
            </c:dLbl>
            <c:dLbl>
              <c:idx val="8"/>
              <c:numFmt formatCode="0.0" sourceLinked="0"/>
              <c:spPr>
                <a:solidFill>
                  <a:schemeClr val="bg1"/>
                </a:solidFill>
                <a:ln w="3175">
                  <a:noFill/>
                  <a:prstDash val="solid"/>
                </a:ln>
              </c:spPr>
              <c:txPr>
                <a:bodyPr vertOverflow="overflow" horzOverflow="overflow">
                  <a:noAutofit/>
                </a:bodyPr>
                <a:lstStyle/>
                <a:p>
                  <a:pPr>
                    <a:defRPr sz="800" b="0" i="0" baseline="0">
                      <a:solidFill>
                        <a:schemeClr val="tx1"/>
                      </a:solidFill>
                      <a:latin typeface="Fira Sans" panose="020B0503050000020004" pitchFamily="34" charset="0"/>
                    </a:defRPr>
                  </a:pPr>
                  <a:endParaRPr lang="pl-PL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07-31AC-4550-A8AB-EB14534DF3C2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r>
                      <a:rPr lang="en-US" sz="900"/>
                      <a:t> </a:t>
                    </a:r>
                    <a:r>
                      <a:rPr lang="en-US"/>
                      <a:t>[WARTOŚĆ]</a:t>
                    </a:r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31AC-4550-A8AB-EB14534DF3C2}"/>
                </c:ext>
              </c:extLst>
            </c:dLbl>
            <c:numFmt formatCode="0.0" sourceLinked="0"/>
            <c:spPr>
              <a:solidFill>
                <a:schemeClr val="bg1"/>
              </a:solidFill>
              <a:ln w="3175">
                <a:noFill/>
                <a:prstDash val="solid"/>
              </a:ln>
            </c:spPr>
            <c:txPr>
              <a:bodyPr vertOverflow="overflow" horzOverflow="overflow">
                <a:spAutoFit/>
              </a:bodyPr>
              <a:lstStyle/>
              <a:p>
                <a:pPr>
                  <a:defRPr sz="800" b="0" i="0" baseline="0">
                    <a:solidFill>
                      <a:schemeClr val="tx1"/>
                    </a:solidFill>
                    <a:latin typeface="Fira Sans" panose="020B0503050000020004" pitchFamily="34" charset="0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rodz_dział_miesiąc!$B$4:$B$11</c:f>
              <c:strCache>
                <c:ptCount val="8"/>
                <c:pt idx="0">
                  <c:v>pojazdy 
samochodowe, 
motocykle, części  
</c:v>
                </c:pt>
                <c:pt idx="1">
                  <c:v>paliwa stałe,
ciekłe
i gazowe</c:v>
                </c:pt>
                <c:pt idx="2">
                  <c:v>żywność,
napoje
i wyroby
tytoniowe
</c:v>
                </c:pt>
                <c:pt idx="3">
                  <c:v>farmaceutyki, 
kosmetyki, 
sprzęt 
ortopedyczny   </c:v>
                </c:pt>
                <c:pt idx="4">
                  <c:v>tekstylia, odzież, 
obuwie</c:v>
                </c:pt>
                <c:pt idx="5">
                  <c:v>meble,
rtv,
agd
</c:v>
                </c:pt>
                <c:pt idx="6">
                  <c:v>prasa, książki, 
pozostała sprzedaż
w wyspecjalizowanych
sklepach
</c:v>
                </c:pt>
                <c:pt idx="7">
                  <c:v>pozostałe  </c:v>
                </c:pt>
              </c:strCache>
            </c:strRef>
          </c:cat>
          <c:val>
            <c:numRef>
              <c:f>rodz_dział_miesiąc!$CN$4:$CN$11</c:f>
              <c:numCache>
                <c:formatCode>General</c:formatCode>
                <c:ptCount val="8"/>
                <c:pt idx="0" formatCode="0.0">
                  <c:v>86.5</c:v>
                </c:pt>
                <c:pt idx="1">
                  <c:v>98.5</c:v>
                </c:pt>
                <c:pt idx="2" formatCode="0.0">
                  <c:v>103.6</c:v>
                </c:pt>
                <c:pt idx="3" formatCode="0.0">
                  <c:v>119.2</c:v>
                </c:pt>
                <c:pt idx="4" formatCode="0.0">
                  <c:v>197.7</c:v>
                </c:pt>
                <c:pt idx="5" formatCode="0.0">
                  <c:v>99.6</c:v>
                </c:pt>
                <c:pt idx="6" formatCode="0.0">
                  <c:v>117.5</c:v>
                </c:pt>
                <c:pt idx="7" formatCode="0.0">
                  <c:v>124.4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31AC-4550-A8AB-EB14534DF3C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-146552960"/>
        <c:axId val="-146551872"/>
      </c:barChart>
      <c:catAx>
        <c:axId val="-146552960"/>
        <c:scaling>
          <c:orientation val="minMax"/>
        </c:scaling>
        <c:delete val="0"/>
        <c:axPos val="b"/>
        <c:numFmt formatCode="#,##0.00" sourceLinked="0"/>
        <c:majorTickMark val="cross"/>
        <c:minorTickMark val="none"/>
        <c:tickLblPos val="low"/>
        <c:spPr>
          <a:ln w="6350" cmpd="sng">
            <a:noFill/>
            <a:prstDash val="solid"/>
          </a:ln>
          <a:effectLst>
            <a:outerShdw blurRad="50800" dist="50800" dir="5400000" sx="2000" sy="2000" algn="ctr" rotWithShape="0">
              <a:srgbClr val="000000">
                <a:alpha val="43137"/>
              </a:srgbClr>
            </a:outerShdw>
          </a:effectLst>
        </c:spPr>
        <c:txPr>
          <a:bodyPr rot="0" vert="horz"/>
          <a:lstStyle/>
          <a:p>
            <a:pPr>
              <a:defRPr sz="800" b="0" i="0" u="none" strike="noStrike" baseline="3000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 CE"/>
              </a:defRPr>
            </a:pPr>
            <a:endParaRPr lang="pl-PL"/>
          </a:p>
        </c:txPr>
        <c:crossAx val="-146551872"/>
        <c:crossesAt val="100"/>
        <c:auto val="1"/>
        <c:lblAlgn val="ctr"/>
        <c:lblOffset val="80"/>
        <c:tickLblSkip val="1"/>
        <c:tickMarkSkip val="1"/>
        <c:noMultiLvlLbl val="0"/>
      </c:catAx>
      <c:valAx>
        <c:axId val="-146551872"/>
        <c:scaling>
          <c:orientation val="minMax"/>
          <c:max val="200"/>
          <c:min val="70"/>
        </c:scaling>
        <c:delete val="0"/>
        <c:axPos val="l"/>
        <c:majorGridlines>
          <c:spPr>
            <a:ln w="3175">
              <a:solidFill>
                <a:schemeClr val="bg1">
                  <a:lumMod val="65000"/>
                </a:schemeClr>
              </a:solidFill>
              <a:prstDash val="solid"/>
            </a:ln>
          </c:spPr>
        </c:majorGridlines>
        <c:numFmt formatCode="0" sourceLinked="0"/>
        <c:majorTickMark val="out"/>
        <c:minorTickMark val="none"/>
        <c:tickLblPos val="nextTo"/>
        <c:spPr>
          <a:ln w="3175">
            <a:noFill/>
            <a:prstDash val="solid"/>
          </a:ln>
        </c:spPr>
        <c:txPr>
          <a:bodyPr rot="0" vert="horz"/>
          <a:lstStyle/>
          <a:p>
            <a:pPr>
              <a:defRPr sz="700" b="0" i="0" u="none" strike="noStrike" baseline="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 CE"/>
              </a:defRPr>
            </a:pPr>
            <a:endParaRPr lang="pl-PL"/>
          </a:p>
        </c:txPr>
        <c:crossAx val="-146552960"/>
        <c:crosses val="autoZero"/>
        <c:crossBetween val="between"/>
        <c:majorUnit val="10"/>
      </c:valAx>
      <c:spPr>
        <a:solidFill>
          <a:srgbClr val="FFFFFF"/>
        </a:solidFill>
        <a:ln w="25400">
          <a:noFill/>
        </a:ln>
      </c:spPr>
    </c:plotArea>
    <c:plotVisOnly val="1"/>
    <c:dispBlanksAs val="gap"/>
    <c:showDLblsOverMax val="0"/>
  </c:chart>
  <c:spPr>
    <a:solidFill>
      <a:srgbClr val="FFFFFF"/>
    </a:solidFill>
    <a:ln w="9525">
      <a:noFill/>
    </a:ln>
  </c:spPr>
  <c:txPr>
    <a:bodyPr/>
    <a:lstStyle/>
    <a:p>
      <a:pPr>
        <a:defRPr sz="1200" b="0" i="0" u="none" strike="noStrike" baseline="0">
          <a:solidFill>
            <a:srgbClr val="000000"/>
          </a:solidFill>
          <a:latin typeface="Arial CE"/>
          <a:ea typeface="Arial CE"/>
          <a:cs typeface="Arial CE"/>
        </a:defRPr>
      </a:pPr>
      <a:endParaRPr lang="pl-PL"/>
    </a:p>
  </c:txPr>
  <c:externalData r:id="rId2">
    <c:autoUpdate val="0"/>
  </c:externalData>
  <c:userShapes r:id="rId3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4.8550885956001752E-2"/>
          <c:y val="0.10351963283031529"/>
          <c:w val="0.93322113515530225"/>
          <c:h val="0.63834209423767174"/>
        </c:manualLayout>
      </c:layout>
      <c:lineChart>
        <c:grouping val="standard"/>
        <c:varyColors val="0"/>
        <c:ser>
          <c:idx val="0"/>
          <c:order val="0"/>
          <c:tx>
            <c:strRef>
              <c:f>Arkusz1!$C$1</c:f>
              <c:strCache>
                <c:ptCount val="1"/>
                <c:pt idx="0">
                  <c:v>dane niewyrównbane</c:v>
                </c:pt>
              </c:strCache>
            </c:strRef>
          </c:tx>
          <c:spPr>
            <a:ln w="28575" cap="rnd">
              <a:solidFill>
                <a:srgbClr val="001D77"/>
              </a:solidFill>
              <a:round/>
            </a:ln>
            <a:effectLst/>
          </c:spPr>
          <c:marker>
            <c:symbol val="none"/>
          </c:marker>
          <c:dLbls>
            <c:dLbl>
              <c:idx val="60"/>
              <c:layout>
                <c:manualLayout>
                  <c:x val="-3.4709309532663941E-2"/>
                  <c:y val="-2.194185408667027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72E0-4732-9953-4BFD5F801BB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rgbClr val="001D77"/>
                    </a:solidFill>
                    <a:latin typeface="Fira Sans" panose="020B0503050000020004" pitchFamily="34" charset="0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multiLvlStrRef>
              <c:f>Arkusz1!$A$2:$B$62</c:f>
              <c:multiLvlStrCache>
                <c:ptCount val="61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01</c:v>
                  </c:pt>
                  <c:pt idx="25">
                    <c:v>02</c:v>
                  </c:pt>
                  <c:pt idx="26">
                    <c:v>03</c:v>
                  </c:pt>
                  <c:pt idx="27">
                    <c:v>04</c:v>
                  </c:pt>
                  <c:pt idx="28">
                    <c:v>05</c:v>
                  </c:pt>
                  <c:pt idx="29">
                    <c:v>06</c:v>
                  </c:pt>
                  <c:pt idx="30">
                    <c:v>07</c:v>
                  </c:pt>
                  <c:pt idx="31">
                    <c:v>08</c:v>
                  </c:pt>
                  <c:pt idx="32">
                    <c:v>09</c:v>
                  </c:pt>
                  <c:pt idx="33">
                    <c:v>10</c:v>
                  </c:pt>
                  <c:pt idx="34">
                    <c:v>11</c:v>
                  </c:pt>
                  <c:pt idx="35">
                    <c:v>12</c:v>
                  </c:pt>
                  <c:pt idx="36">
                    <c:v>01</c:v>
                  </c:pt>
                  <c:pt idx="37">
                    <c:v>02</c:v>
                  </c:pt>
                  <c:pt idx="38">
                    <c:v>03</c:v>
                  </c:pt>
                  <c:pt idx="39">
                    <c:v>04</c:v>
                  </c:pt>
                  <c:pt idx="40">
                    <c:v>05</c:v>
                  </c:pt>
                  <c:pt idx="41">
                    <c:v>06</c:v>
                  </c:pt>
                  <c:pt idx="42">
                    <c:v>07</c:v>
                  </c:pt>
                  <c:pt idx="43">
                    <c:v>08</c:v>
                  </c:pt>
                  <c:pt idx="44">
                    <c:v>09</c:v>
                  </c:pt>
                  <c:pt idx="45">
                    <c:v>10</c:v>
                  </c:pt>
                  <c:pt idx="46">
                    <c:v>11</c:v>
                  </c:pt>
                  <c:pt idx="47">
                    <c:v>12</c:v>
                  </c:pt>
                  <c:pt idx="48">
                    <c:v>01</c:v>
                  </c:pt>
                  <c:pt idx="49">
                    <c:v>02</c:v>
                  </c:pt>
                  <c:pt idx="50">
                    <c:v>03</c:v>
                  </c:pt>
                  <c:pt idx="51">
                    <c:v>04</c:v>
                  </c:pt>
                  <c:pt idx="52">
                    <c:v>05</c:v>
                  </c:pt>
                  <c:pt idx="53">
                    <c:v>06</c:v>
                  </c:pt>
                  <c:pt idx="54">
                    <c:v>07</c:v>
                  </c:pt>
                  <c:pt idx="55">
                    <c:v>08</c:v>
                  </c:pt>
                  <c:pt idx="56">
                    <c:v>09</c:v>
                  </c:pt>
                  <c:pt idx="57">
                    <c:v>10</c:v>
                  </c:pt>
                  <c:pt idx="58">
                    <c:v>11</c:v>
                  </c:pt>
                  <c:pt idx="59">
                    <c:v>12</c:v>
                  </c:pt>
                  <c:pt idx="60">
                    <c:v>01</c:v>
                  </c:pt>
                </c:lvl>
                <c:lvl>
                  <c:pt idx="0">
                    <c:v>2017</c:v>
                  </c:pt>
                  <c:pt idx="12">
                    <c:v>2018</c:v>
                  </c:pt>
                  <c:pt idx="24">
                    <c:v>2019</c:v>
                  </c:pt>
                  <c:pt idx="36">
                    <c:v>2020</c:v>
                  </c:pt>
                  <c:pt idx="48">
                    <c:v>2021</c:v>
                  </c:pt>
                  <c:pt idx="60">
                    <c:v>2022</c:v>
                  </c:pt>
                </c:lvl>
              </c:multiLvlStrCache>
            </c:multiLvlStrRef>
          </c:cat>
          <c:val>
            <c:numRef>
              <c:f>Arkusz1!$C$2:$C$62</c:f>
              <c:numCache>
                <c:formatCode>General</c:formatCode>
                <c:ptCount val="61"/>
                <c:pt idx="0">
                  <c:v>99.3</c:v>
                </c:pt>
                <c:pt idx="1">
                  <c:v>96.5</c:v>
                </c:pt>
                <c:pt idx="2">
                  <c:v>112.5</c:v>
                </c:pt>
                <c:pt idx="3">
                  <c:v>110.9</c:v>
                </c:pt>
                <c:pt idx="4">
                  <c:v>111</c:v>
                </c:pt>
                <c:pt idx="5">
                  <c:v>112.8</c:v>
                </c:pt>
                <c:pt idx="6">
                  <c:v>114.1</c:v>
                </c:pt>
                <c:pt idx="7">
                  <c:v>115.8</c:v>
                </c:pt>
                <c:pt idx="8">
                  <c:v>114.8</c:v>
                </c:pt>
                <c:pt idx="9">
                  <c:v>117.8</c:v>
                </c:pt>
                <c:pt idx="10">
                  <c:v>115.7</c:v>
                </c:pt>
                <c:pt idx="11">
                  <c:v>134.80000000000001</c:v>
                </c:pt>
                <c:pt idx="12">
                  <c:v>107.2</c:v>
                </c:pt>
                <c:pt idx="13">
                  <c:v>104.1</c:v>
                </c:pt>
                <c:pt idx="14">
                  <c:v>122.6</c:v>
                </c:pt>
                <c:pt idx="15">
                  <c:v>115.7</c:v>
                </c:pt>
                <c:pt idx="16">
                  <c:v>118</c:v>
                </c:pt>
                <c:pt idx="17">
                  <c:v>122.3</c:v>
                </c:pt>
                <c:pt idx="18">
                  <c:v>122.5</c:v>
                </c:pt>
                <c:pt idx="19">
                  <c:v>123.8</c:v>
                </c:pt>
                <c:pt idx="20">
                  <c:v>119.1</c:v>
                </c:pt>
                <c:pt idx="21">
                  <c:v>127.2</c:v>
                </c:pt>
                <c:pt idx="22">
                  <c:v>123.8</c:v>
                </c:pt>
                <c:pt idx="23">
                  <c:v>140.4</c:v>
                </c:pt>
                <c:pt idx="24">
                  <c:v>113.8</c:v>
                </c:pt>
                <c:pt idx="25">
                  <c:v>110.1</c:v>
                </c:pt>
                <c:pt idx="26">
                  <c:v>125.2</c:v>
                </c:pt>
                <c:pt idx="27">
                  <c:v>129.30000000000001</c:v>
                </c:pt>
                <c:pt idx="28">
                  <c:v>124.8</c:v>
                </c:pt>
                <c:pt idx="29">
                  <c:v>127</c:v>
                </c:pt>
                <c:pt idx="30">
                  <c:v>129.5</c:v>
                </c:pt>
                <c:pt idx="31">
                  <c:v>129.4</c:v>
                </c:pt>
                <c:pt idx="32">
                  <c:v>124.4</c:v>
                </c:pt>
                <c:pt idx="33">
                  <c:v>133.19999999999999</c:v>
                </c:pt>
                <c:pt idx="34">
                  <c:v>130.30000000000001</c:v>
                </c:pt>
                <c:pt idx="35">
                  <c:v>148.69999999999999</c:v>
                </c:pt>
                <c:pt idx="36">
                  <c:v>118</c:v>
                </c:pt>
                <c:pt idx="37">
                  <c:v>118.3</c:v>
                </c:pt>
                <c:pt idx="38">
                  <c:v>113.1</c:v>
                </c:pt>
                <c:pt idx="39">
                  <c:v>98.9</c:v>
                </c:pt>
                <c:pt idx="40">
                  <c:v>115.1</c:v>
                </c:pt>
                <c:pt idx="41">
                  <c:v>125.7</c:v>
                </c:pt>
                <c:pt idx="42">
                  <c:v>133.80000000000001</c:v>
                </c:pt>
                <c:pt idx="43">
                  <c:v>130.30000000000001</c:v>
                </c:pt>
                <c:pt idx="44">
                  <c:v>127.7</c:v>
                </c:pt>
                <c:pt idx="45">
                  <c:v>130.19999999999999</c:v>
                </c:pt>
                <c:pt idx="46">
                  <c:v>123.3</c:v>
                </c:pt>
                <c:pt idx="47">
                  <c:v>147.5</c:v>
                </c:pt>
                <c:pt idx="48">
                  <c:v>110.4</c:v>
                </c:pt>
                <c:pt idx="49">
                  <c:v>115.4</c:v>
                </c:pt>
                <c:pt idx="50">
                  <c:v>132.1</c:v>
                </c:pt>
                <c:pt idx="51">
                  <c:v>121.4</c:v>
                </c:pt>
                <c:pt idx="52">
                  <c:v>132.6</c:v>
                </c:pt>
                <c:pt idx="53">
                  <c:v>137.1</c:v>
                </c:pt>
                <c:pt idx="54">
                  <c:v>139.5</c:v>
                </c:pt>
                <c:pt idx="55">
                  <c:v>138.19999999999999</c:v>
                </c:pt>
                <c:pt idx="56">
                  <c:v>134.69999999999999</c:v>
                </c:pt>
                <c:pt idx="57">
                  <c:v>139.6</c:v>
                </c:pt>
                <c:pt idx="58">
                  <c:v>138.9</c:v>
                </c:pt>
                <c:pt idx="59">
                  <c:v>159.9</c:v>
                </c:pt>
                <c:pt idx="60">
                  <c:v>123.1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4438-4073-8EA6-2CF04BCDEE80}"/>
            </c:ext>
          </c:extLst>
        </c:ser>
        <c:ser>
          <c:idx val="1"/>
          <c:order val="1"/>
          <c:tx>
            <c:strRef>
              <c:f>Arkusz1!$D$1</c:f>
              <c:strCache>
                <c:ptCount val="1"/>
                <c:pt idx="0">
                  <c:v>dane wyrównane sezonowo</c:v>
                </c:pt>
              </c:strCache>
            </c:strRef>
          </c:tx>
          <c:spPr>
            <a:ln w="28575" cap="rnd">
              <a:solidFill>
                <a:srgbClr val="339D68"/>
              </a:solidFill>
              <a:round/>
            </a:ln>
            <a:effectLst/>
          </c:spPr>
          <c:marker>
            <c:symbol val="none"/>
          </c:marker>
          <c:dLbls>
            <c:dLbl>
              <c:idx val="60"/>
              <c:layout>
                <c:manualLayout>
                  <c:x val="-3.0990454939878516E-2"/>
                  <c:y val="6.5825562260010975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900" b="0" i="0" u="none" strike="noStrike" kern="1200" baseline="0">
                        <a:solidFill>
                          <a:srgbClr val="339D68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D684A431-8318-40F9-A649-749EDF9249C9}" type="VALUE">
                      <a:rPr lang="en-US" sz="800" baseline="0">
                        <a:solidFill>
                          <a:srgbClr val="339D68"/>
                        </a:solidFill>
                        <a:latin typeface="Fira Sans" panose="020B0503050000020004" pitchFamily="34" charset="0"/>
                      </a:rPr>
                      <a:pPr>
                        <a:defRPr>
                          <a:solidFill>
                            <a:srgbClr val="339D68"/>
                          </a:solidFill>
                        </a:defRPr>
                      </a:pPr>
                      <a:t>[WARTOŚĆ]</a:t>
                    </a:fld>
                    <a:endParaRPr lang="pl-PL"/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rgbClr val="339D68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6.5265995711116256E-2"/>
                      <c:h val="7.5699396599012619E-2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72E0-4732-9953-4BFD5F801BB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multiLvlStrRef>
              <c:f>Arkusz1!$A$2:$B$62</c:f>
              <c:multiLvlStrCache>
                <c:ptCount val="61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01</c:v>
                  </c:pt>
                  <c:pt idx="25">
                    <c:v>02</c:v>
                  </c:pt>
                  <c:pt idx="26">
                    <c:v>03</c:v>
                  </c:pt>
                  <c:pt idx="27">
                    <c:v>04</c:v>
                  </c:pt>
                  <c:pt idx="28">
                    <c:v>05</c:v>
                  </c:pt>
                  <c:pt idx="29">
                    <c:v>06</c:v>
                  </c:pt>
                  <c:pt idx="30">
                    <c:v>07</c:v>
                  </c:pt>
                  <c:pt idx="31">
                    <c:v>08</c:v>
                  </c:pt>
                  <c:pt idx="32">
                    <c:v>09</c:v>
                  </c:pt>
                  <c:pt idx="33">
                    <c:v>10</c:v>
                  </c:pt>
                  <c:pt idx="34">
                    <c:v>11</c:v>
                  </c:pt>
                  <c:pt idx="35">
                    <c:v>12</c:v>
                  </c:pt>
                  <c:pt idx="36">
                    <c:v>01</c:v>
                  </c:pt>
                  <c:pt idx="37">
                    <c:v>02</c:v>
                  </c:pt>
                  <c:pt idx="38">
                    <c:v>03</c:v>
                  </c:pt>
                  <c:pt idx="39">
                    <c:v>04</c:v>
                  </c:pt>
                  <c:pt idx="40">
                    <c:v>05</c:v>
                  </c:pt>
                  <c:pt idx="41">
                    <c:v>06</c:v>
                  </c:pt>
                  <c:pt idx="42">
                    <c:v>07</c:v>
                  </c:pt>
                  <c:pt idx="43">
                    <c:v>08</c:v>
                  </c:pt>
                  <c:pt idx="44">
                    <c:v>09</c:v>
                  </c:pt>
                  <c:pt idx="45">
                    <c:v>10</c:v>
                  </c:pt>
                  <c:pt idx="46">
                    <c:v>11</c:v>
                  </c:pt>
                  <c:pt idx="47">
                    <c:v>12</c:v>
                  </c:pt>
                  <c:pt idx="48">
                    <c:v>01</c:v>
                  </c:pt>
                  <c:pt idx="49">
                    <c:v>02</c:v>
                  </c:pt>
                  <c:pt idx="50">
                    <c:v>03</c:v>
                  </c:pt>
                  <c:pt idx="51">
                    <c:v>04</c:v>
                  </c:pt>
                  <c:pt idx="52">
                    <c:v>05</c:v>
                  </c:pt>
                  <c:pt idx="53">
                    <c:v>06</c:v>
                  </c:pt>
                  <c:pt idx="54">
                    <c:v>07</c:v>
                  </c:pt>
                  <c:pt idx="55">
                    <c:v>08</c:v>
                  </c:pt>
                  <c:pt idx="56">
                    <c:v>09</c:v>
                  </c:pt>
                  <c:pt idx="57">
                    <c:v>10</c:v>
                  </c:pt>
                  <c:pt idx="58">
                    <c:v>11</c:v>
                  </c:pt>
                  <c:pt idx="59">
                    <c:v>12</c:v>
                  </c:pt>
                  <c:pt idx="60">
                    <c:v>01</c:v>
                  </c:pt>
                </c:lvl>
                <c:lvl>
                  <c:pt idx="0">
                    <c:v>2017</c:v>
                  </c:pt>
                  <c:pt idx="12">
                    <c:v>2018</c:v>
                  </c:pt>
                  <c:pt idx="24">
                    <c:v>2019</c:v>
                  </c:pt>
                  <c:pt idx="36">
                    <c:v>2020</c:v>
                  </c:pt>
                  <c:pt idx="48">
                    <c:v>2021</c:v>
                  </c:pt>
                  <c:pt idx="60">
                    <c:v>2022</c:v>
                  </c:pt>
                </c:lvl>
              </c:multiLvlStrCache>
            </c:multiLvlStrRef>
          </c:cat>
          <c:val>
            <c:numRef>
              <c:f>Arkusz1!$D$2:$D$62</c:f>
              <c:numCache>
                <c:formatCode>General</c:formatCode>
                <c:ptCount val="61"/>
                <c:pt idx="0">
                  <c:v>110.8</c:v>
                </c:pt>
                <c:pt idx="1">
                  <c:v>110.1</c:v>
                </c:pt>
                <c:pt idx="2">
                  <c:v>110.9</c:v>
                </c:pt>
                <c:pt idx="3">
                  <c:v>111.2</c:v>
                </c:pt>
                <c:pt idx="4">
                  <c:v>111.7</c:v>
                </c:pt>
                <c:pt idx="5">
                  <c:v>112.2</c:v>
                </c:pt>
                <c:pt idx="6">
                  <c:v>113</c:v>
                </c:pt>
                <c:pt idx="7">
                  <c:v>113.5</c:v>
                </c:pt>
                <c:pt idx="8">
                  <c:v>114.9</c:v>
                </c:pt>
                <c:pt idx="9">
                  <c:v>115.3</c:v>
                </c:pt>
                <c:pt idx="10">
                  <c:v>117.2</c:v>
                </c:pt>
                <c:pt idx="11">
                  <c:v>116.9</c:v>
                </c:pt>
                <c:pt idx="12">
                  <c:v>118.4</c:v>
                </c:pt>
                <c:pt idx="13">
                  <c:v>118.7</c:v>
                </c:pt>
                <c:pt idx="14">
                  <c:v>118.8</c:v>
                </c:pt>
                <c:pt idx="15">
                  <c:v>118.4</c:v>
                </c:pt>
                <c:pt idx="16">
                  <c:v>119.9</c:v>
                </c:pt>
                <c:pt idx="17">
                  <c:v>120.4</c:v>
                </c:pt>
                <c:pt idx="18">
                  <c:v>120.9</c:v>
                </c:pt>
                <c:pt idx="19">
                  <c:v>121.1</c:v>
                </c:pt>
                <c:pt idx="20">
                  <c:v>121.3</c:v>
                </c:pt>
                <c:pt idx="21">
                  <c:v>122.9</c:v>
                </c:pt>
                <c:pt idx="22">
                  <c:v>123.2</c:v>
                </c:pt>
                <c:pt idx="23">
                  <c:v>123.1</c:v>
                </c:pt>
                <c:pt idx="24">
                  <c:v>124.8</c:v>
                </c:pt>
                <c:pt idx="25">
                  <c:v>125.5</c:v>
                </c:pt>
                <c:pt idx="26">
                  <c:v>125.4</c:v>
                </c:pt>
                <c:pt idx="27">
                  <c:v>127.7</c:v>
                </c:pt>
                <c:pt idx="28">
                  <c:v>125.9</c:v>
                </c:pt>
                <c:pt idx="29">
                  <c:v>128.30000000000001</c:v>
                </c:pt>
                <c:pt idx="30">
                  <c:v>125.8</c:v>
                </c:pt>
                <c:pt idx="31">
                  <c:v>126.4</c:v>
                </c:pt>
                <c:pt idx="32">
                  <c:v>126.8</c:v>
                </c:pt>
                <c:pt idx="33">
                  <c:v>128.80000000000001</c:v>
                </c:pt>
                <c:pt idx="34">
                  <c:v>131.80000000000001</c:v>
                </c:pt>
                <c:pt idx="35">
                  <c:v>130</c:v>
                </c:pt>
                <c:pt idx="36">
                  <c:v>130.80000000000001</c:v>
                </c:pt>
                <c:pt idx="37">
                  <c:v>131.19999999999999</c:v>
                </c:pt>
                <c:pt idx="38">
                  <c:v>113.9</c:v>
                </c:pt>
                <c:pt idx="39">
                  <c:v>97.3</c:v>
                </c:pt>
                <c:pt idx="40">
                  <c:v>116.3</c:v>
                </c:pt>
                <c:pt idx="41">
                  <c:v>125.5</c:v>
                </c:pt>
                <c:pt idx="42">
                  <c:v>128.80000000000001</c:v>
                </c:pt>
                <c:pt idx="43">
                  <c:v>128.9</c:v>
                </c:pt>
                <c:pt idx="44">
                  <c:v>127.9</c:v>
                </c:pt>
                <c:pt idx="45">
                  <c:v>126.1</c:v>
                </c:pt>
                <c:pt idx="46">
                  <c:v>125.4</c:v>
                </c:pt>
                <c:pt idx="47">
                  <c:v>127.2</c:v>
                </c:pt>
                <c:pt idx="48">
                  <c:v>125.3</c:v>
                </c:pt>
                <c:pt idx="49">
                  <c:v>131.9</c:v>
                </c:pt>
                <c:pt idx="50">
                  <c:v>129.19999999999999</c:v>
                </c:pt>
                <c:pt idx="51">
                  <c:v>120.4</c:v>
                </c:pt>
                <c:pt idx="52">
                  <c:v>135.1</c:v>
                </c:pt>
                <c:pt idx="53">
                  <c:v>136.19999999999999</c:v>
                </c:pt>
                <c:pt idx="54">
                  <c:v>134.1</c:v>
                </c:pt>
                <c:pt idx="55">
                  <c:v>134.6</c:v>
                </c:pt>
                <c:pt idx="56">
                  <c:v>134.9</c:v>
                </c:pt>
                <c:pt idx="57">
                  <c:v>136.5</c:v>
                </c:pt>
                <c:pt idx="58">
                  <c:v>139.9</c:v>
                </c:pt>
                <c:pt idx="59">
                  <c:v>135.19999999999999</c:v>
                </c:pt>
                <c:pt idx="60" formatCode="0.0">
                  <c:v>140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4438-4073-8EA6-2CF04BCDEE8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67366080"/>
        <c:axId val="167361728"/>
      </c:lineChart>
      <c:catAx>
        <c:axId val="16736608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Fira Sans" panose="020B0503050000020004" pitchFamily="34" charset="0"/>
                <a:ea typeface="+mn-ea"/>
                <a:cs typeface="+mn-cs"/>
              </a:defRPr>
            </a:pPr>
            <a:endParaRPr lang="pl-PL"/>
          </a:p>
        </c:txPr>
        <c:crossAx val="167361728"/>
        <c:crosses val="autoZero"/>
        <c:auto val="1"/>
        <c:lblAlgn val="ctr"/>
        <c:lblOffset val="20"/>
        <c:tickMarkSkip val="12"/>
        <c:noMultiLvlLbl val="0"/>
      </c:catAx>
      <c:valAx>
        <c:axId val="167361728"/>
        <c:scaling>
          <c:orientation val="minMax"/>
          <c:max val="160"/>
          <c:min val="9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in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Fira Sans" panose="020B0503050000020004" pitchFamily="34" charset="0"/>
                <a:ea typeface="+mn-ea"/>
                <a:cs typeface="+mn-cs"/>
              </a:defRPr>
            </a:pPr>
            <a:endParaRPr lang="pl-PL"/>
          </a:p>
        </c:txPr>
        <c:crossAx val="16736608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Fira Sans" panose="020B0503050000020004" pitchFamily="34" charset="0"/>
              <a:ea typeface="+mn-ea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0.24652</cdr:x>
      <cdr:y>0.22237</cdr:y>
    </cdr:from>
    <cdr:to>
      <cdr:x>0.4167</cdr:x>
      <cdr:y>0.34367</cdr:y>
    </cdr:to>
    <cdr:sp macro="" textlink="">
      <cdr:nvSpPr>
        <cdr:cNvPr id="3" name="Text Box 1032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 rot="10800000" flipV="1">
          <a:off x="1242135" y="576263"/>
          <a:ext cx="857491" cy="314325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>
          <a:noFill/>
          <a:miter lim="800000"/>
          <a:headEnd/>
          <a:tailEnd/>
        </a:ln>
      </cdr:spPr>
      <cdr:txBody>
        <a:bodyPr xmlns:a="http://schemas.openxmlformats.org/drawingml/2006/main" vertOverflow="clip" wrap="square" lIns="36576" tIns="22860" rIns="0" bIns="0" anchor="t" anchorCtr="0" upright="1"/>
        <a:lstStyle xmlns:a="http://schemas.openxmlformats.org/drawingml/2006/main"/>
        <a:p xmlns:a="http://schemas.openxmlformats.org/drawingml/2006/main">
          <a:pPr algn="ctr" rtl="0">
            <a:defRPr sz="1000"/>
          </a:pPr>
          <a:endParaRPr lang="pl-PL" sz="900" b="1" i="1" u="none" strike="noStrike" baseline="0">
            <a:solidFill>
              <a:srgbClr val="FF0000"/>
            </a:solidFill>
            <a:latin typeface="Fira Sans" pitchFamily="34" charset="0"/>
            <a:ea typeface="Fira Sans" pitchFamily="34" charset="0"/>
            <a:cs typeface="Arial CE"/>
          </a:endParaRPr>
        </a:p>
        <a:p xmlns:a="http://schemas.openxmlformats.org/drawingml/2006/main">
          <a:pPr algn="ctr" rtl="0">
            <a:lnSpc>
              <a:spcPts val="800"/>
            </a:lnSpc>
            <a:defRPr sz="1000"/>
          </a:pPr>
          <a:r>
            <a:rPr lang="pl-PL" sz="800" b="1" i="1" u="none" strike="noStrike" baseline="0">
              <a:solidFill>
                <a:srgbClr val="339D68"/>
              </a:solidFill>
              <a:latin typeface="Fira Sans" pitchFamily="34" charset="0"/>
              <a:ea typeface="Fira Sans" pitchFamily="34" charset="0"/>
              <a:cs typeface="Arial CE"/>
            </a:rPr>
            <a:t>Ogółem 110,6</a:t>
          </a:r>
        </a:p>
      </cdr:txBody>
    </cdr:sp>
  </cdr:relSizeAnchor>
  <cdr:relSizeAnchor xmlns:cdr="http://schemas.openxmlformats.org/drawingml/2006/chartDrawing">
    <cdr:from>
      <cdr:x>0.27304</cdr:x>
      <cdr:y>0.34357</cdr:y>
    </cdr:from>
    <cdr:to>
      <cdr:x>0.33353</cdr:x>
      <cdr:y>0.53356</cdr:y>
    </cdr:to>
    <cdr:sp macro="" textlink="">
      <cdr:nvSpPr>
        <cdr:cNvPr id="4" name="Line 1033"/>
        <cdr:cNvSpPr>
          <a:spLocks xmlns:a="http://schemas.openxmlformats.org/drawingml/2006/main" noChangeShapeType="1"/>
        </cdr:cNvSpPr>
      </cdr:nvSpPr>
      <cdr:spPr bwMode="auto">
        <a:xfrm xmlns:a="http://schemas.openxmlformats.org/drawingml/2006/main" flipH="1">
          <a:off x="1375760" y="890349"/>
          <a:ext cx="304792" cy="492346"/>
        </a:xfrm>
        <a:prstGeom xmlns:a="http://schemas.openxmlformats.org/drawingml/2006/main" prst="line">
          <a:avLst/>
        </a:prstGeom>
        <a:noFill xmlns:a="http://schemas.openxmlformats.org/drawingml/2006/main"/>
        <a:ln xmlns:a="http://schemas.openxmlformats.org/drawingml/2006/main" w="19050">
          <a:solidFill>
            <a:srgbClr val="339D68"/>
          </a:solidFill>
          <a:round/>
          <a:headEnd/>
          <a:tailEnd type="triangle" w="med" len="med"/>
        </a:ln>
      </cdr:spPr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pl-PL"/>
        </a:p>
      </cdr:txBody>
    </cdr:sp>
  </cdr:relSizeAnchor>
  <cdr:relSizeAnchor xmlns:cdr="http://schemas.openxmlformats.org/drawingml/2006/chartDrawing">
    <cdr:from>
      <cdr:x>0.05947</cdr:x>
      <cdr:y>0.5414</cdr:y>
    </cdr:from>
    <cdr:to>
      <cdr:x>0.99818</cdr:x>
      <cdr:y>0.5414</cdr:y>
    </cdr:to>
    <cdr:sp macro="" textlink="">
      <cdr:nvSpPr>
        <cdr:cNvPr id="5" name="Line 1034"/>
        <cdr:cNvSpPr>
          <a:spLocks xmlns:a="http://schemas.openxmlformats.org/drawingml/2006/main" noChangeShapeType="1"/>
        </cdr:cNvSpPr>
      </cdr:nvSpPr>
      <cdr:spPr bwMode="auto">
        <a:xfrm xmlns:a="http://schemas.openxmlformats.org/drawingml/2006/main">
          <a:off x="299655" y="1403000"/>
          <a:ext cx="4729901" cy="0"/>
        </a:xfrm>
        <a:prstGeom xmlns:a="http://schemas.openxmlformats.org/drawingml/2006/main" prst="line">
          <a:avLst/>
        </a:prstGeom>
        <a:noFill xmlns:a="http://schemas.openxmlformats.org/drawingml/2006/main"/>
        <a:ln xmlns:a="http://schemas.openxmlformats.org/drawingml/2006/main" w="34925">
          <a:solidFill>
            <a:srgbClr val="339D68"/>
          </a:solidFill>
          <a:round/>
          <a:headEnd/>
          <a:tailEnd/>
        </a:ln>
      </cdr:spPr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pl-PL"/>
        </a:p>
      </cdr:txBody>
    </cdr:sp>
  </cdr:relSizeAnchor>
</c:userShape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8C029B3F-2CC4-4A59-AF0D-A90575FA3373">Informacja sygnalna HU styczeń _II 2022.docx.docx</NazwaPliku>
    <_SourceUrl xmlns="http://schemas.microsoft.com/sharepoint/v3" xsi:nil="true"/>
    <Odbiorcy2 xmlns="8C029B3F-2CC4-4A59-AF0D-A90575FA3373" xsi:nil="true"/>
    <xd_ProgID xmlns="http://schemas.microsoft.com/sharepoint/v3" xsi:nil="true"/>
    <Osoba xmlns="8C029B3F-2CC4-4A59-AF0D-A90575FA3373">STAT\BIERNATJ</Osoba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3F9B028CC42C594AAF0DA90575FA3373" ma:contentTypeVersion="" ma:contentTypeDescription="" ma:contentTypeScope="" ma:versionID="a80ed856fbc5a997d44bfc997ced819f">
  <xsd:schema xmlns:xsd="http://www.w3.org/2001/XMLSchema" xmlns:xs="http://www.w3.org/2001/XMLSchema" xmlns:p="http://schemas.microsoft.com/office/2006/metadata/properties" xmlns:ns1="http://schemas.microsoft.com/sharepoint/v3" xmlns:ns2="8C029B3F-2CC4-4A59-AF0D-A90575FA3373" targetNamespace="http://schemas.microsoft.com/office/2006/metadata/properties" ma:root="true" ma:fieldsID="e61943d334749cc2f7f8fac3c3188088" ns1:_="" ns2:_="">
    <xsd:import namespace="http://schemas.microsoft.com/sharepoint/v3"/>
    <xsd:import namespace="8C029B3F-2CC4-4A59-AF0D-A90575FA3373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29B3F-2CC4-4A59-AF0D-A90575FA3373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/>
</file>

<file path=customXml/itemProps2.xml><?xml version="1.0" encoding="utf-8"?>
<ds:datastoreItem xmlns:ds="http://schemas.openxmlformats.org/officeDocument/2006/customXml" ds:itemID="{07A2B634-1102-40FC-A770-996E2E7199F2}"/>
</file>

<file path=customXml/itemProps3.xml><?xml version="1.0" encoding="utf-8"?>
<ds:datastoreItem xmlns:ds="http://schemas.openxmlformats.org/officeDocument/2006/customXml" ds:itemID="{4DF37BB0-204B-46C5-AC37-B98800CE909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717</Words>
  <Characters>4307</Characters>
  <Application>Microsoft Office Word</Application>
  <DocSecurity>0</DocSecurity>
  <Lines>35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2019-02-21T09:45:00Z</cp:lastPrinted>
  <dcterms:created xsi:type="dcterms:W3CDTF">2022-02-18T11:58:00Z</dcterms:created>
  <dcterms:modified xsi:type="dcterms:W3CDTF">2022-02-18T11:58:00Z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ZnakPisma">
    <vt:lpwstr/>
  </property>
  <property fmtid="{D5CDD505-2E9C-101B-9397-08002B2CF9AE}" pid="4" name="UNPPisma">
    <vt:lpwstr>2022-28926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Morawska Beata</vt:lpwstr>
  </property>
  <property fmtid="{D5CDD505-2E9C-101B-9397-08002B2CF9AE}" pid="8" name="AutorInicjaly">
    <vt:lpwstr>BM</vt:lpwstr>
  </property>
  <property fmtid="{D5CDD505-2E9C-101B-9397-08002B2CF9AE}" pid="9" name="AutorNrTelefonu">
    <vt:lpwstr>37-15</vt:lpwstr>
  </property>
  <property fmtid="{D5CDD505-2E9C-101B-9397-08002B2CF9AE}" pid="10" name="Stanowisko">
    <vt:lpwstr>główny specjalista</vt:lpwstr>
  </property>
  <property fmtid="{D5CDD505-2E9C-101B-9397-08002B2CF9AE}" pid="11" name="OpisPisma">
    <vt:lpwstr>Wzory informacji sygnalnych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2022-02-04</vt:lpwstr>
  </property>
  <property fmtid="{D5CDD505-2E9C-101B-9397-08002B2CF9AE}" pid="15" name="Wydzial">
    <vt:lpwstr>Wydział Opracowań Graficznych</vt:lpwstr>
  </property>
  <property fmtid="{D5CDD505-2E9C-101B-9397-08002B2CF9AE}" pid="16" name="KodWydzialu">
    <vt:lpwstr>OS-03</vt:lpwstr>
  </property>
  <property fmtid="{D5CDD505-2E9C-101B-9397-08002B2CF9AE}" pid="17" name="ZaakceptowanePrzez">
    <vt:lpwstr>n/d</vt:lpwstr>
  </property>
  <property fmtid="{D5CDD505-2E9C-101B-9397-08002B2CF9AE}" pid="18" name="PrzekazanieDo">
    <vt:lpwstr>Karolina Banaszek</vt:lpwstr>
  </property>
  <property fmtid="{D5CDD505-2E9C-101B-9397-08002B2CF9AE}" pid="19" name="PrzekazanieDoStanowisko">
    <vt:lpwstr>zastępca dyrektora departamentu</vt:lpwstr>
  </property>
  <property fmtid="{D5CDD505-2E9C-101B-9397-08002B2CF9AE}" pid="20" name="PrzekazanieDoKomorkaPracownika">
    <vt:lpwstr>Z-ca Dyrektora DK(DK-II)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