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B855AF" w:rsidRDefault="009C156D" w:rsidP="00AD4947">
      <w:pPr>
        <w:pStyle w:val="tytuinformacji"/>
        <w:rPr>
          <w:sz w:val="32"/>
        </w:rPr>
      </w:pPr>
      <w:r w:rsidRPr="00B855AF">
        <w:t>Szybki szacunek wskaźnika cen towarów i u</w:t>
      </w:r>
      <w:r w:rsidR="00F32346" w:rsidRPr="00B855AF">
        <w:t>sług konsumpcyjnych w</w:t>
      </w:r>
      <w:r w:rsidR="00AB5CB6">
        <w:t xml:space="preserve"> </w:t>
      </w:r>
      <w:r w:rsidR="002544E3">
        <w:t>sierpniu</w:t>
      </w:r>
      <w:r w:rsidR="00617CB7">
        <w:t xml:space="preserve"> 2021</w:t>
      </w:r>
      <w:r w:rsidRPr="00B855AF">
        <w:t xml:space="preserve"> r.</w:t>
      </w:r>
      <w:r w:rsidRPr="00B855AF">
        <w:br/>
      </w:r>
    </w:p>
    <w:p w:rsidR="009C156D" w:rsidRPr="007F7386" w:rsidRDefault="00622953" w:rsidP="003F5245">
      <w:pPr>
        <w:pStyle w:val="LID"/>
        <w:rPr>
          <w:color w:val="000000" w:themeColor="text1"/>
        </w:rPr>
      </w:pPr>
      <w:r w:rsidRPr="007F7386">
        <w:rPr>
          <w:color w:val="000000" w:themeColor="text1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590656" behindDoc="0" locked="0" layoutInCell="1" allowOverlap="1" wp14:anchorId="05F7BD3B" wp14:editId="0C23333D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9C3DFC" w:rsidRDefault="00D32B9F" w:rsidP="0037005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 </w:t>
                            </w:r>
                            <w:r w:rsidR="00B855AF"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216769FD" wp14:editId="1759CBAE">
                                  <wp:extent cx="334645" cy="334645"/>
                                  <wp:effectExtent l="0" t="0" r="8255" b="8255"/>
                                  <wp:docPr id="13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55AF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</w:t>
                            </w:r>
                            <w:r w:rsidR="009C156D"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2544E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5,4</w:t>
                            </w:r>
                            <w:r w:rsidR="004F529E" w:rsidRPr="0073192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B855AF" w:rsidRDefault="00B855AF" w:rsidP="00B855AF">
                            <w:pPr>
                              <w:pStyle w:val="tekstnaniebieskimtle"/>
                            </w:pPr>
                            <w:r>
                              <w:t>wzrost w porównaniu</w:t>
                            </w:r>
                          </w:p>
                          <w:p w:rsidR="00B855AF" w:rsidRDefault="00B855AF" w:rsidP="00B855AF">
                            <w:pPr>
                              <w:pStyle w:val="tekstnaniebieskimtle"/>
                            </w:pPr>
                            <w:r>
                              <w:t>z analogicznym miesiącem</w:t>
                            </w:r>
                          </w:p>
                          <w:p w:rsidR="009C156D" w:rsidRPr="00D538E4" w:rsidRDefault="00B855AF" w:rsidP="00B855A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poprzedniego ro</w:t>
                            </w:r>
                            <w:r w:rsidR="00482A56">
                              <w:t>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013D02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5906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9C156D" w:rsidRPr="009C3DFC" w:rsidRDefault="00D32B9F" w:rsidP="0037005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 </w:t>
                      </w:r>
                      <w:r w:rsidR="00B855AF"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EEEEBCE" wp14:editId="4ED8F4AF">
                            <wp:extent cx="334645" cy="334645"/>
                            <wp:effectExtent l="0" t="0" r="8255" b="8255"/>
                            <wp:docPr id="13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55AF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</w:t>
                      </w:r>
                      <w:r w:rsidR="009C156D"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2544E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5,4</w:t>
                      </w:r>
                      <w:r w:rsidR="004F529E" w:rsidRPr="0073192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B855AF" w:rsidRDefault="00B855AF" w:rsidP="00B855AF">
                      <w:pPr>
                        <w:pStyle w:val="tekstnaniebieskimtle"/>
                      </w:pPr>
                      <w:r>
                        <w:t>wzrost w porównaniu</w:t>
                      </w:r>
                    </w:p>
                    <w:p w:rsidR="00B855AF" w:rsidRDefault="00B855AF" w:rsidP="00B855AF">
                      <w:pPr>
                        <w:pStyle w:val="tekstnaniebieskimtle"/>
                      </w:pPr>
                      <w:r>
                        <w:t>z analogicznym miesiącem</w:t>
                      </w:r>
                    </w:p>
                    <w:p w:rsidR="009C156D" w:rsidRPr="00D538E4" w:rsidRDefault="00B855AF" w:rsidP="00B855A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poprzedniego ro</w:t>
                      </w:r>
                      <w:r w:rsidR="00482A56">
                        <w:t>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156D" w:rsidRPr="007F7386">
        <w:rPr>
          <w:color w:val="000000" w:themeColor="text1"/>
        </w:rPr>
        <w:t>C</w:t>
      </w:r>
      <w:r w:rsidR="009C156D" w:rsidRPr="00493683">
        <w:rPr>
          <w:color w:val="000000" w:themeColor="text1"/>
        </w:rPr>
        <w:t xml:space="preserve">eny towarów i usług konsumpcyjnych według </w:t>
      </w:r>
      <w:r w:rsidR="00FC38A5" w:rsidRPr="00493683">
        <w:rPr>
          <w:color w:val="000000" w:themeColor="text1"/>
        </w:rPr>
        <w:t xml:space="preserve">szybkiego </w:t>
      </w:r>
      <w:r w:rsidR="009C156D" w:rsidRPr="00493683">
        <w:rPr>
          <w:color w:val="000000" w:themeColor="text1"/>
        </w:rPr>
        <w:t>szacunku w</w:t>
      </w:r>
      <w:r w:rsidR="00AB5CB6" w:rsidRPr="00493683">
        <w:rPr>
          <w:color w:val="000000" w:themeColor="text1"/>
        </w:rPr>
        <w:t xml:space="preserve"> </w:t>
      </w:r>
      <w:r w:rsidR="002544E3">
        <w:rPr>
          <w:color w:val="000000" w:themeColor="text1"/>
        </w:rPr>
        <w:t>sierpniu</w:t>
      </w:r>
      <w:r w:rsidR="00522A1D" w:rsidRPr="00493683">
        <w:rPr>
          <w:color w:val="000000" w:themeColor="text1"/>
        </w:rPr>
        <w:t xml:space="preserve"> </w:t>
      </w:r>
      <w:r w:rsidR="007C793B" w:rsidRPr="00493683">
        <w:rPr>
          <w:color w:val="000000" w:themeColor="text1"/>
        </w:rPr>
        <w:t>2021</w:t>
      </w:r>
      <w:r w:rsidR="00FC38A5" w:rsidRPr="00493683">
        <w:rPr>
          <w:color w:val="000000" w:themeColor="text1"/>
        </w:rPr>
        <w:t xml:space="preserve"> r. </w:t>
      </w:r>
      <w:r w:rsidR="00285C34" w:rsidRPr="00493683">
        <w:rPr>
          <w:color w:val="000000" w:themeColor="text1"/>
        </w:rPr>
        <w:t>w</w:t>
      </w:r>
      <w:r w:rsidR="00F1617D" w:rsidRPr="00493683">
        <w:rPr>
          <w:color w:val="000000" w:themeColor="text1"/>
        </w:rPr>
        <w:t xml:space="preserve"> </w:t>
      </w:r>
      <w:r w:rsidR="00285C34" w:rsidRPr="00493683">
        <w:rPr>
          <w:color w:val="000000" w:themeColor="text1"/>
        </w:rPr>
        <w:t>porównan</w:t>
      </w:r>
      <w:r w:rsidR="00F1617D" w:rsidRPr="00493683">
        <w:rPr>
          <w:color w:val="000000" w:themeColor="text1"/>
        </w:rPr>
        <w:t xml:space="preserve">iu z analogicznym miesiącem ub. </w:t>
      </w:r>
      <w:r w:rsidR="002544E3">
        <w:rPr>
          <w:color w:val="000000" w:themeColor="text1"/>
        </w:rPr>
        <w:t>roku wzrosły o 5,4</w:t>
      </w:r>
      <w:r w:rsidR="00496F01" w:rsidRPr="00493683">
        <w:rPr>
          <w:color w:val="000000" w:themeColor="text1"/>
        </w:rPr>
        <w:t xml:space="preserve">% (wskaźnik cen </w:t>
      </w:r>
      <w:r w:rsidR="0036447A" w:rsidRPr="00493683">
        <w:rPr>
          <w:color w:val="000000" w:themeColor="text1"/>
        </w:rPr>
        <w:t>10</w:t>
      </w:r>
      <w:r w:rsidR="002544E3">
        <w:rPr>
          <w:color w:val="000000" w:themeColor="text1"/>
        </w:rPr>
        <w:t>5,4</w:t>
      </w:r>
      <w:r w:rsidR="00285C34" w:rsidRPr="00493683">
        <w:rPr>
          <w:color w:val="000000" w:themeColor="text1"/>
        </w:rPr>
        <w:t>)</w:t>
      </w:r>
      <w:r w:rsidR="0091345C" w:rsidRPr="00493683">
        <w:rPr>
          <w:color w:val="000000" w:themeColor="text1"/>
        </w:rPr>
        <w:t xml:space="preserve">, a </w:t>
      </w:r>
      <w:r w:rsidR="00E63AAB" w:rsidRPr="00493683">
        <w:rPr>
          <w:color w:val="000000" w:themeColor="text1"/>
        </w:rPr>
        <w:t>w stosunku do</w:t>
      </w:r>
      <w:r w:rsidR="00F1617D" w:rsidRPr="00493683">
        <w:rPr>
          <w:color w:val="000000" w:themeColor="text1"/>
        </w:rPr>
        <w:t xml:space="preserve"> </w:t>
      </w:r>
      <w:r w:rsidR="007018FE" w:rsidRPr="00493683">
        <w:rPr>
          <w:color w:val="000000" w:themeColor="text1"/>
        </w:rPr>
        <w:t xml:space="preserve">poprzedniego miesiąca </w:t>
      </w:r>
      <w:r w:rsidR="002544E3">
        <w:rPr>
          <w:color w:val="000000" w:themeColor="text1"/>
        </w:rPr>
        <w:t>wzrosły o 0,2</w:t>
      </w:r>
      <w:r w:rsidR="00F1617D" w:rsidRPr="00493683">
        <w:rPr>
          <w:color w:val="000000" w:themeColor="text1"/>
        </w:rPr>
        <w:t xml:space="preserve">% (wskaźnik cen </w:t>
      </w:r>
      <w:r w:rsidR="00AB5CB6" w:rsidRPr="00493683">
        <w:rPr>
          <w:color w:val="000000" w:themeColor="text1"/>
        </w:rPr>
        <w:t>10</w:t>
      </w:r>
      <w:r w:rsidR="002544E3">
        <w:rPr>
          <w:color w:val="000000" w:themeColor="text1"/>
        </w:rPr>
        <w:t>0,2</w:t>
      </w:r>
      <w:r w:rsidR="00B855AF" w:rsidRPr="00493683">
        <w:rPr>
          <w:color w:val="000000" w:themeColor="text1"/>
        </w:rPr>
        <w:t>)</w:t>
      </w:r>
      <w:r w:rsidR="009C156D" w:rsidRPr="00493683">
        <w:rPr>
          <w:color w:val="000000" w:themeColor="text1"/>
        </w:rPr>
        <w:t>.</w:t>
      </w:r>
    </w:p>
    <w:p w:rsidR="006A07DC" w:rsidRPr="00B855AF" w:rsidRDefault="006A07DC" w:rsidP="00FA5BDD">
      <w:pPr>
        <w:pStyle w:val="LID"/>
        <w:rPr>
          <w:highlight w:val="yellow"/>
        </w:rPr>
      </w:pPr>
    </w:p>
    <w:p w:rsidR="00F8191A" w:rsidRDefault="00F8191A" w:rsidP="00D538E4">
      <w:pPr>
        <w:pStyle w:val="tytuwykresu"/>
      </w:pPr>
    </w:p>
    <w:p w:rsidR="00AD4947" w:rsidRPr="00404B5F" w:rsidRDefault="00AD4947" w:rsidP="00E1053F">
      <w:pPr>
        <w:pStyle w:val="tytuwykresu"/>
        <w:spacing w:before="240"/>
      </w:pPr>
      <w:r w:rsidRPr="00404B5F">
        <w:t>Tablica 1.</w:t>
      </w:r>
      <w:r w:rsidRPr="00404B5F">
        <w:rPr>
          <w:shd w:val="clear" w:color="auto" w:fill="FFFFFF"/>
        </w:rPr>
        <w:t xml:space="preserve"> </w:t>
      </w:r>
      <w:r w:rsidR="003F5245" w:rsidRPr="00404B5F">
        <w:t>Szybki szacunek wskaźnika cen towarów i u</w:t>
      </w:r>
      <w:r w:rsidR="00E8329E" w:rsidRPr="00404B5F">
        <w:t xml:space="preserve">sług konsumpcyjnych </w:t>
      </w:r>
      <w:r w:rsidR="00565F55">
        <w:t xml:space="preserve">w </w:t>
      </w:r>
      <w:r w:rsidR="002544E3">
        <w:t>sierpniu</w:t>
      </w:r>
      <w:r w:rsidR="00522A1D">
        <w:t xml:space="preserve"> </w:t>
      </w:r>
      <w:r w:rsidR="00C953AE">
        <w:t>2021</w:t>
      </w:r>
      <w:r w:rsidR="003F5245" w:rsidRPr="00404B5F">
        <w:t xml:space="preserve"> r.</w:t>
      </w:r>
    </w:p>
    <w:tbl>
      <w:tblPr>
        <w:tblpPr w:leftFromText="142" w:rightFromText="142" w:vertAnchor="text" w:horzAnchor="margin" w:tblpY="58"/>
        <w:tblOverlap w:val="never"/>
        <w:tblW w:w="8330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864"/>
        <w:gridCol w:w="2340"/>
        <w:gridCol w:w="2126"/>
      </w:tblGrid>
      <w:tr w:rsidR="007C793B" w:rsidRPr="00496F01" w:rsidTr="007C793B">
        <w:trPr>
          <w:trHeight w:val="57"/>
        </w:trPr>
        <w:tc>
          <w:tcPr>
            <w:tcW w:w="386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496F01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46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7C793B" w:rsidRPr="00496F01" w:rsidRDefault="002544E3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08</w:t>
            </w:r>
            <w:r w:rsidR="00522A1D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>2021</w:t>
            </w:r>
          </w:p>
        </w:tc>
      </w:tr>
      <w:tr w:rsidR="007C793B" w:rsidRPr="00496F01" w:rsidTr="007C793B">
        <w:trPr>
          <w:trHeight w:val="57"/>
        </w:trPr>
        <w:tc>
          <w:tcPr>
            <w:tcW w:w="3864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40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2544E3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08</w:t>
            </w:r>
            <w:r w:rsidR="00522A1D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>2020</w:t>
            </w:r>
            <w:r w:rsidR="007C793B"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2126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2544E3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07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2021</w:t>
            </w:r>
            <w:r w:rsidR="007C793B"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</w:tr>
      <w:tr w:rsidR="007C793B" w:rsidRPr="00496F01" w:rsidTr="007C793B">
        <w:trPr>
          <w:trHeight w:hRule="exact" w:val="397"/>
        </w:trPr>
        <w:tc>
          <w:tcPr>
            <w:tcW w:w="386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/>
                <w:sz w:val="16"/>
                <w:szCs w:val="16"/>
              </w:rPr>
            </w:pPr>
            <w:r w:rsidRPr="00496F01">
              <w:rPr>
                <w:rFonts w:eastAsiaTheme="majorEastAsia" w:cstheme="majorBidi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2340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2544E3" w:rsidP="008216FB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2126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2544E3" w:rsidP="008216FB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100,2</w:t>
            </w:r>
          </w:p>
        </w:tc>
      </w:tr>
      <w:tr w:rsidR="007C793B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496F01" w:rsidRDefault="00494BF1" w:rsidP="00496F0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/>
                <w:sz w:val="16"/>
                <w:szCs w:val="16"/>
              </w:rPr>
              <w:t>Żywność i napoje bezalkoholowe</w:t>
            </w:r>
          </w:p>
        </w:tc>
        <w:tc>
          <w:tcPr>
            <w:tcW w:w="23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2544E3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212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7425F3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</w:tr>
      <w:tr w:rsidR="007C793B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</w:rPr>
            </w:pPr>
            <w:r w:rsidRPr="00496F01">
              <w:rPr>
                <w:bCs/>
                <w:color w:val="000000"/>
                <w:sz w:val="16"/>
                <w:szCs w:val="16"/>
              </w:rPr>
              <w:t>Nośniki energii</w:t>
            </w:r>
          </w:p>
        </w:tc>
        <w:tc>
          <w:tcPr>
            <w:tcW w:w="23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7425F3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212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7425F3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</w:tr>
      <w:tr w:rsidR="007C793B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Paliwa do prywatnych środków transportu</w:t>
            </w:r>
          </w:p>
        </w:tc>
        <w:tc>
          <w:tcPr>
            <w:tcW w:w="2340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C793B" w:rsidRPr="00B47BCC" w:rsidRDefault="007425F3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</w:t>
            </w:r>
            <w:r w:rsidR="00DC10ED">
              <w:rPr>
                <w:rFonts w:cs="Arial"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2126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C793B" w:rsidRPr="00B47BCC" w:rsidRDefault="007425F3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</w:tr>
    </w:tbl>
    <w:p w:rsidR="003279D3" w:rsidRPr="00404B5F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BB7B98" w:rsidRDefault="00BB7B98" w:rsidP="00BB7B98">
      <w:pPr>
        <w:tabs>
          <w:tab w:val="left" w:pos="4935"/>
        </w:tabs>
        <w:ind w:left="851" w:hanging="851"/>
        <w:rPr>
          <w:b/>
          <w:noProof/>
          <w:szCs w:val="19"/>
          <w:lang w:eastAsia="pl-PL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1824" behindDoc="0" locked="0" layoutInCell="1" allowOverlap="1" wp14:anchorId="3D71647B" wp14:editId="42289ACD">
            <wp:simplePos x="0" y="0"/>
            <wp:positionH relativeFrom="column">
              <wp:posOffset>-43870</wp:posOffset>
            </wp:positionH>
            <wp:positionV relativeFrom="paragraph">
              <wp:posOffset>386329</wp:posOffset>
            </wp:positionV>
            <wp:extent cx="5122545" cy="2559685"/>
            <wp:effectExtent l="0" t="0" r="0" b="1206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D87084" w:rsidRPr="00087888">
        <w:rPr>
          <w:b/>
          <w:noProof/>
          <w:szCs w:val="19"/>
          <w:lang w:eastAsia="pl-PL"/>
        </w:rPr>
        <w:t xml:space="preserve">Wykres 1. </w:t>
      </w:r>
      <w:r w:rsidR="00537C06">
        <w:rPr>
          <w:b/>
          <w:noProof/>
          <w:szCs w:val="19"/>
          <w:lang w:eastAsia="pl-PL"/>
        </w:rPr>
        <w:t>Zmiany cen</w:t>
      </w:r>
      <w:r w:rsidR="00F65610" w:rsidRPr="00F65610">
        <w:rPr>
          <w:b/>
          <w:noProof/>
          <w:szCs w:val="19"/>
          <w:lang w:eastAsia="pl-PL"/>
        </w:rPr>
        <w:t xml:space="preserve"> towarów i usług konsumpcyj</w:t>
      </w:r>
      <w:bookmarkStart w:id="0" w:name="_GoBack"/>
      <w:bookmarkEnd w:id="0"/>
      <w:r w:rsidR="00F65610" w:rsidRPr="00F65610">
        <w:rPr>
          <w:b/>
          <w:noProof/>
          <w:szCs w:val="19"/>
          <w:lang w:eastAsia="pl-PL"/>
        </w:rPr>
        <w:t>nych</w:t>
      </w:r>
      <w:r w:rsidR="00F65610" w:rsidRPr="00087888">
        <w:rPr>
          <w:b/>
          <w:noProof/>
          <w:szCs w:val="19"/>
          <w:lang w:eastAsia="pl-PL"/>
        </w:rPr>
        <w:t>*</w:t>
      </w:r>
      <w:r w:rsidR="00F65610" w:rsidRPr="00F65610">
        <w:rPr>
          <w:b/>
          <w:noProof/>
          <w:szCs w:val="19"/>
          <w:lang w:eastAsia="pl-PL"/>
        </w:rPr>
        <w:t xml:space="preserve"> w stosunku do analogicznego okresu roku poprzedniego (w %)</w:t>
      </w:r>
      <w:r w:rsidRPr="00BB7B98">
        <w:rPr>
          <w:noProof/>
          <w:lang w:eastAsia="pl-PL"/>
        </w:rPr>
        <w:t xml:space="preserve"> </w:t>
      </w:r>
    </w:p>
    <w:p w:rsidR="005D2957" w:rsidRDefault="005D2957" w:rsidP="00F068B0">
      <w:pPr>
        <w:tabs>
          <w:tab w:val="left" w:pos="4935"/>
        </w:tabs>
        <w:rPr>
          <w:b/>
          <w:noProof/>
          <w:szCs w:val="19"/>
          <w:lang w:eastAsia="pl-PL"/>
        </w:rPr>
      </w:pPr>
    </w:p>
    <w:p w:rsidR="005E2988" w:rsidRDefault="00B93CB1" w:rsidP="005D2957">
      <w:pPr>
        <w:spacing w:before="240"/>
        <w:rPr>
          <w:b/>
          <w:noProof/>
          <w:szCs w:val="19"/>
          <w:highlight w:val="yellow"/>
          <w:lang w:eastAsia="pl-PL"/>
        </w:rPr>
      </w:pPr>
      <w:r w:rsidRPr="00087888">
        <w:rPr>
          <w:noProof/>
          <w:sz w:val="16"/>
          <w:szCs w:val="19"/>
          <w:lang w:eastAsia="pl-PL"/>
        </w:rPr>
        <w:t>* D</w:t>
      </w:r>
      <w:r w:rsidR="004F529E" w:rsidRPr="00087888">
        <w:rPr>
          <w:noProof/>
          <w:sz w:val="16"/>
          <w:szCs w:val="19"/>
          <w:lang w:eastAsia="pl-PL"/>
        </w:rPr>
        <w:t>ane ostateczne z</w:t>
      </w:r>
      <w:r w:rsidR="003F5245" w:rsidRPr="00087888">
        <w:rPr>
          <w:noProof/>
          <w:sz w:val="16"/>
          <w:szCs w:val="19"/>
          <w:lang w:eastAsia="pl-PL"/>
        </w:rPr>
        <w:t xml:space="preserve"> wyjątkiem </w:t>
      </w:r>
      <w:r w:rsidRPr="00087888">
        <w:rPr>
          <w:noProof/>
          <w:sz w:val="16"/>
          <w:szCs w:val="19"/>
          <w:lang w:eastAsia="pl-PL"/>
        </w:rPr>
        <w:t xml:space="preserve">informacji opracowanej według </w:t>
      </w:r>
      <w:r w:rsidR="006039C0" w:rsidRPr="00087888">
        <w:rPr>
          <w:noProof/>
          <w:sz w:val="16"/>
          <w:szCs w:val="19"/>
          <w:lang w:eastAsia="pl-PL"/>
        </w:rPr>
        <w:t>szybki</w:t>
      </w:r>
      <w:r w:rsidRPr="00087888">
        <w:rPr>
          <w:noProof/>
          <w:sz w:val="16"/>
          <w:szCs w:val="19"/>
          <w:lang w:eastAsia="pl-PL"/>
        </w:rPr>
        <w:t>ego</w:t>
      </w:r>
      <w:r w:rsidR="006039C0" w:rsidRPr="00087888">
        <w:rPr>
          <w:noProof/>
          <w:sz w:val="16"/>
          <w:szCs w:val="19"/>
          <w:lang w:eastAsia="pl-PL"/>
        </w:rPr>
        <w:t xml:space="preserve"> szacun</w:t>
      </w:r>
      <w:r w:rsidR="007356A6" w:rsidRPr="00087888">
        <w:rPr>
          <w:noProof/>
          <w:sz w:val="16"/>
          <w:szCs w:val="19"/>
          <w:lang w:eastAsia="pl-PL"/>
        </w:rPr>
        <w:t>ku w</w:t>
      </w:r>
      <w:r w:rsidR="00AB5CB6">
        <w:rPr>
          <w:noProof/>
          <w:sz w:val="16"/>
          <w:szCs w:val="19"/>
          <w:lang w:eastAsia="pl-PL"/>
        </w:rPr>
        <w:t xml:space="preserve"> </w:t>
      </w:r>
      <w:r w:rsidR="00A06BD6">
        <w:rPr>
          <w:noProof/>
          <w:sz w:val="16"/>
          <w:szCs w:val="19"/>
          <w:lang w:eastAsia="pl-PL"/>
        </w:rPr>
        <w:t>sierpniu</w:t>
      </w:r>
      <w:r w:rsidR="003E469B">
        <w:rPr>
          <w:noProof/>
          <w:sz w:val="16"/>
          <w:szCs w:val="19"/>
          <w:lang w:eastAsia="pl-PL"/>
        </w:rPr>
        <w:t xml:space="preserve"> 2021</w:t>
      </w:r>
      <w:r w:rsidRPr="00087888">
        <w:rPr>
          <w:noProof/>
          <w:sz w:val="16"/>
          <w:szCs w:val="19"/>
          <w:lang w:eastAsia="pl-PL"/>
        </w:rPr>
        <w:t xml:space="preserve"> r.</w:t>
      </w:r>
    </w:p>
    <w:p w:rsidR="009A4EBA" w:rsidRPr="00B855AF" w:rsidRDefault="009A4EBA" w:rsidP="00F65610">
      <w:pPr>
        <w:spacing w:before="600" w:after="0"/>
        <w:rPr>
          <w:b/>
          <w:noProof/>
          <w:szCs w:val="19"/>
          <w:highlight w:val="yellow"/>
          <w:lang w:eastAsia="pl-PL"/>
        </w:rPr>
        <w:sectPr w:rsidR="009A4EBA" w:rsidRPr="00B855AF" w:rsidSect="00F068B0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0" w:right="3119" w:bottom="0" w:left="720" w:header="284" w:footer="283" w:gutter="0"/>
          <w:cols w:space="708"/>
          <w:titlePg/>
          <w:docGrid w:linePitch="360"/>
        </w:sectPr>
      </w:pPr>
      <w:r w:rsidRPr="002E267F">
        <w:rPr>
          <w:szCs w:val="19"/>
          <w:lang w:eastAsia="pl-PL"/>
        </w:rPr>
        <w:t>W przypadku cytowania danych Głównego Urzędu Statystycznego prosimy o zamieszczenie informacji: „Źródło danych GUS”, a w przypadku publikowania obliczeń dokonanych na danych opublikowanych przez GUS prosimy o zamieszczenie informacji: „Opracowanie własne na podstawie danych GUS”.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087888" w:rsidTr="00106181">
        <w:trPr>
          <w:trHeight w:val="1912"/>
        </w:trPr>
        <w:tc>
          <w:tcPr>
            <w:tcW w:w="4248" w:type="dxa"/>
          </w:tcPr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87888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883763" w:rsidRPr="000E2EA8" w:rsidRDefault="00DA7201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E2EA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Dyrektor </w:t>
            </w:r>
            <w:r w:rsidR="003D378A" w:rsidRPr="000E2EA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Ewa Adach-Stankiewicz</w:t>
            </w:r>
          </w:p>
          <w:p w:rsidR="00883763" w:rsidRPr="00087888" w:rsidRDefault="00010BB6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22 608 31 </w:t>
            </w:r>
            <w:r w:rsidR="00883763" w:rsidRPr="0008788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</w:p>
          <w:p w:rsidR="00883763" w:rsidRPr="00087888" w:rsidRDefault="00883763" w:rsidP="00102C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19" w:type="dxa"/>
          </w:tcPr>
          <w:p w:rsidR="00102C97" w:rsidRPr="0008788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8788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8788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4622B" w:rsidRPr="0008788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08788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4227B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87888" w:rsidRDefault="000470AA" w:rsidP="000470AA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087888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087888" w:rsidRDefault="000470AA" w:rsidP="007356A6">
            <w:pPr>
              <w:spacing w:before="0"/>
              <w:ind w:left="142"/>
              <w:rPr>
                <w:b/>
                <w:sz w:val="20"/>
              </w:rPr>
            </w:pPr>
            <w:r w:rsidRPr="00087888">
              <w:rPr>
                <w:b/>
                <w:sz w:val="20"/>
              </w:rPr>
              <w:t xml:space="preserve">Wydział Współpracy z Mediami </w:t>
            </w:r>
          </w:p>
          <w:p w:rsidR="000470AA" w:rsidRPr="00087888" w:rsidRDefault="00C4622B" w:rsidP="00A33F84">
            <w:pPr>
              <w:ind w:left="142"/>
              <w:rPr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097840" w:rsidRPr="00087888">
              <w:rPr>
                <w:sz w:val="20"/>
              </w:rPr>
              <w:t>22 608 34 91, 22</w:t>
            </w:r>
            <w:r w:rsidR="000470AA" w:rsidRPr="00087888">
              <w:rPr>
                <w:sz w:val="20"/>
              </w:rPr>
              <w:t xml:space="preserve"> 608 38 04 </w:t>
            </w:r>
          </w:p>
          <w:p w:rsidR="000470AA" w:rsidRPr="00087888" w:rsidRDefault="000470AA" w:rsidP="00A33F84">
            <w:pPr>
              <w:ind w:left="142"/>
              <w:rPr>
                <w:b/>
                <w:sz w:val="18"/>
                <w:lang w:val="en-US"/>
              </w:rPr>
            </w:pPr>
            <w:r w:rsidRPr="00087888">
              <w:rPr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19" w:history="1">
              <w:r w:rsidRPr="00087888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  <w:lang w:val="en-US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6704" behindDoc="0" locked="0" layoutInCell="1" allowOverlap="1" wp14:anchorId="2AC77554" wp14:editId="40ECDC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87888" w:rsidRDefault="000121E1" w:rsidP="000470AA">
            <w:pPr>
              <w:rPr>
                <w:sz w:val="18"/>
              </w:rPr>
            </w:pPr>
            <w:hyperlink r:id="rId21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www.stat.gov.pl</w:t>
              </w:r>
            </w:hyperlink>
          </w:p>
        </w:tc>
      </w:tr>
      <w:tr w:rsidR="000470AA" w:rsidRPr="00087888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8752" behindDoc="0" locked="0" layoutInCell="1" allowOverlap="1" wp14:anchorId="59D7C58D" wp14:editId="45C2A89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87888" w:rsidRDefault="000121E1" w:rsidP="000470AA">
            <w:pPr>
              <w:rPr>
                <w:sz w:val="18"/>
              </w:rPr>
            </w:pPr>
            <w:hyperlink r:id="rId23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7728" behindDoc="0" locked="0" layoutInCell="1" allowOverlap="1" wp14:anchorId="57CB4236" wp14:editId="2BB7EDC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C0823" w:rsidRDefault="000121E1" w:rsidP="000470AA">
            <w:pPr>
              <w:rPr>
                <w:sz w:val="20"/>
              </w:rPr>
            </w:pPr>
            <w:hyperlink r:id="rId25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4A29D52B" wp14:editId="41E39F59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</w:rPr>
                            </w:pPr>
                            <w:r w:rsidRPr="00A21A3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C156D" w:rsidRPr="00A21A31" w:rsidRDefault="000121E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9C156D" w:rsidRPr="00A21A31" w:rsidRDefault="000121E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C156D" w:rsidRPr="00A21A31" w:rsidRDefault="000121E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9C156D" w:rsidRPr="00A21A31" w:rsidRDefault="000121E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9C156D" w:rsidRPr="00A21A31" w:rsidRDefault="000121E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C156D" w:rsidRPr="00A21A31" w:rsidRDefault="000121E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9C156D" w:rsidRPr="00A21A31" w:rsidRDefault="000121E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9C156D" w:rsidRPr="00A21A31" w:rsidRDefault="000121E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9C156D" w:rsidRPr="00A21A31" w:rsidRDefault="000121E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BF70F44" id="_x0000_s1027" type="#_x0000_t202" style="position:absolute;margin-left:1.5pt;margin-top:34.7pt;width:516.5pt;height:349.8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</w:rPr>
                      </w:pPr>
                      <w:r w:rsidRPr="00A21A31">
                        <w:rPr>
                          <w:b/>
                        </w:rPr>
                        <w:t>Powiązane opracowania</w:t>
                      </w:r>
                    </w:p>
                    <w:p w:rsidR="009C156D" w:rsidRPr="00A21A31" w:rsidRDefault="00A431A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9C156D" w:rsidRPr="00A21A31" w:rsidRDefault="00A431A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C156D" w:rsidRPr="00A21A31" w:rsidRDefault="00A431A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9C156D" w:rsidRPr="00A21A31" w:rsidRDefault="00A431A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9C156D" w:rsidRPr="00A21A31" w:rsidRDefault="00A431A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C156D" w:rsidRPr="00A21A31" w:rsidRDefault="00A431A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9C156D" w:rsidRPr="00A21A31" w:rsidRDefault="00A431A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9C156D" w:rsidRPr="00A21A31" w:rsidRDefault="00A431A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9C156D" w:rsidRPr="00A21A31" w:rsidRDefault="00A431A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4"/>
      <w:footerReference w:type="default" r:id="rId45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783" w:rsidRDefault="00ED5783" w:rsidP="000662E2">
      <w:pPr>
        <w:spacing w:after="0" w:line="240" w:lineRule="auto"/>
      </w:pPr>
      <w:r>
        <w:separator/>
      </w:r>
    </w:p>
  </w:endnote>
  <w:endnote w:type="continuationSeparator" w:id="0">
    <w:p w:rsidR="00ED5783" w:rsidRDefault="00ED578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505447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7B9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1657783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21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21E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783" w:rsidRDefault="00ED5783" w:rsidP="000662E2">
      <w:pPr>
        <w:spacing w:after="0" w:line="240" w:lineRule="auto"/>
      </w:pPr>
      <w:r>
        <w:separator/>
      </w:r>
    </w:p>
  </w:footnote>
  <w:footnote w:type="continuationSeparator" w:id="0">
    <w:p w:rsidR="00ED5783" w:rsidRDefault="00ED578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622953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0832" behindDoc="1" locked="0" layoutInCell="1" allowOverlap="1" wp14:anchorId="2CA69CF6" wp14:editId="0EE0439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3813600" id="Prostokąt 24" o:spid="_x0000_s1026" style="position:absolute;margin-left:410.6pt;margin-top:-14.05pt;width:147.6pt;height:1785.85pt;z-index:-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C8DB080" wp14:editId="72B904A0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6E2AA7C" id="Prostokąt 10" o:spid="_x0000_s1026" style="position:absolute;margin-left:410.9pt;margin-top:15.65pt;width:147.4pt;height:811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EF35E11" wp14:editId="196C9A4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9C156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A9CAE8C" id="Schemat blokowy: opóźnienie 6" o:spid="_x0000_s1028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9C156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371FF">
      <w:rPr>
        <w:noProof/>
        <w:lang w:val="en-GB" w:eastAsia="en-GB"/>
      </w:rPr>
      <w:drawing>
        <wp:inline distT="0" distB="0" distL="0" distR="0" wp14:anchorId="76666E8D" wp14:editId="52AC073D">
          <wp:extent cx="1153274" cy="720000"/>
          <wp:effectExtent l="0" t="0" r="0" b="4445"/>
          <wp:docPr id="211" name="Obraz 211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89984" behindDoc="0" locked="0" layoutInCell="1" allowOverlap="1" wp14:anchorId="2C9E9E48" wp14:editId="5C2AF1F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2544E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</w:t>
                          </w:r>
                          <w:r w:rsidR="00496F01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496F01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0E2EA8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9C156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10B395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2544E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</w:t>
                    </w:r>
                    <w:r w:rsidR="00496F01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496F01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0E2EA8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9C156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4.4pt;visibility:visible" o:bullet="t">
        <v:imagedata r:id="rId1" o:title=""/>
      </v:shape>
    </w:pict>
  </w:numPicBullet>
  <w:numPicBullet w:numPicBulletId="1">
    <w:pict>
      <v:shape id="_x0000_i1027" type="#_x0000_t75" style="width:123.85pt;height:124.4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0BB6"/>
    <w:rsid w:val="000121E1"/>
    <w:rsid w:val="000152F5"/>
    <w:rsid w:val="000259DC"/>
    <w:rsid w:val="00034160"/>
    <w:rsid w:val="0004582E"/>
    <w:rsid w:val="0004646A"/>
    <w:rsid w:val="000470AA"/>
    <w:rsid w:val="00057CA1"/>
    <w:rsid w:val="000662E2"/>
    <w:rsid w:val="0006686F"/>
    <w:rsid w:val="00066883"/>
    <w:rsid w:val="00074DD8"/>
    <w:rsid w:val="000806F7"/>
    <w:rsid w:val="00087888"/>
    <w:rsid w:val="00096BEE"/>
    <w:rsid w:val="00097840"/>
    <w:rsid w:val="000A6963"/>
    <w:rsid w:val="000A74C2"/>
    <w:rsid w:val="000A7F1A"/>
    <w:rsid w:val="000B0727"/>
    <w:rsid w:val="000B3099"/>
    <w:rsid w:val="000B69D7"/>
    <w:rsid w:val="000B767C"/>
    <w:rsid w:val="000C0823"/>
    <w:rsid w:val="000C135D"/>
    <w:rsid w:val="000C2BC6"/>
    <w:rsid w:val="000D1D43"/>
    <w:rsid w:val="000D225C"/>
    <w:rsid w:val="000D2A5C"/>
    <w:rsid w:val="000E0918"/>
    <w:rsid w:val="000E1DE8"/>
    <w:rsid w:val="000E2EA8"/>
    <w:rsid w:val="000E2F9D"/>
    <w:rsid w:val="000E3DF4"/>
    <w:rsid w:val="000F6C8D"/>
    <w:rsid w:val="001011C3"/>
    <w:rsid w:val="00102C97"/>
    <w:rsid w:val="00106181"/>
    <w:rsid w:val="00110D87"/>
    <w:rsid w:val="001149A1"/>
    <w:rsid w:val="00114DB9"/>
    <w:rsid w:val="00116087"/>
    <w:rsid w:val="00130296"/>
    <w:rsid w:val="001358A1"/>
    <w:rsid w:val="00135B65"/>
    <w:rsid w:val="00142037"/>
    <w:rsid w:val="001423B6"/>
    <w:rsid w:val="001448A7"/>
    <w:rsid w:val="00146621"/>
    <w:rsid w:val="00162325"/>
    <w:rsid w:val="001951DA"/>
    <w:rsid w:val="001B1586"/>
    <w:rsid w:val="001B6916"/>
    <w:rsid w:val="001C090B"/>
    <w:rsid w:val="001C3269"/>
    <w:rsid w:val="001C32BE"/>
    <w:rsid w:val="001D1DB4"/>
    <w:rsid w:val="001D63F2"/>
    <w:rsid w:val="001E1D94"/>
    <w:rsid w:val="001E7DBB"/>
    <w:rsid w:val="001E7EF8"/>
    <w:rsid w:val="001F005E"/>
    <w:rsid w:val="00213B00"/>
    <w:rsid w:val="00232659"/>
    <w:rsid w:val="00244940"/>
    <w:rsid w:val="00245FBA"/>
    <w:rsid w:val="002532A4"/>
    <w:rsid w:val="002544E3"/>
    <w:rsid w:val="00256394"/>
    <w:rsid w:val="002574F9"/>
    <w:rsid w:val="00262B61"/>
    <w:rsid w:val="00276811"/>
    <w:rsid w:val="00276C9A"/>
    <w:rsid w:val="00282699"/>
    <w:rsid w:val="00285C34"/>
    <w:rsid w:val="002926DF"/>
    <w:rsid w:val="00296697"/>
    <w:rsid w:val="002A4D80"/>
    <w:rsid w:val="002B0472"/>
    <w:rsid w:val="002B6B12"/>
    <w:rsid w:val="002C32AD"/>
    <w:rsid w:val="002D0020"/>
    <w:rsid w:val="002E6140"/>
    <w:rsid w:val="002E6985"/>
    <w:rsid w:val="002E71B6"/>
    <w:rsid w:val="002F77C8"/>
    <w:rsid w:val="00301B6A"/>
    <w:rsid w:val="00304F22"/>
    <w:rsid w:val="00305162"/>
    <w:rsid w:val="00306C7C"/>
    <w:rsid w:val="00313C0D"/>
    <w:rsid w:val="003226C0"/>
    <w:rsid w:val="00322EDD"/>
    <w:rsid w:val="003279D3"/>
    <w:rsid w:val="00332320"/>
    <w:rsid w:val="00347D72"/>
    <w:rsid w:val="00356025"/>
    <w:rsid w:val="00357611"/>
    <w:rsid w:val="00362835"/>
    <w:rsid w:val="0036447A"/>
    <w:rsid w:val="00367237"/>
    <w:rsid w:val="00370059"/>
    <w:rsid w:val="0037077F"/>
    <w:rsid w:val="00372411"/>
    <w:rsid w:val="00373882"/>
    <w:rsid w:val="0038166F"/>
    <w:rsid w:val="00381FE4"/>
    <w:rsid w:val="003843DB"/>
    <w:rsid w:val="003901AC"/>
    <w:rsid w:val="003911CC"/>
    <w:rsid w:val="00393761"/>
    <w:rsid w:val="00397D18"/>
    <w:rsid w:val="003A1B36"/>
    <w:rsid w:val="003A440F"/>
    <w:rsid w:val="003B1454"/>
    <w:rsid w:val="003B18B6"/>
    <w:rsid w:val="003B5C99"/>
    <w:rsid w:val="003C59E0"/>
    <w:rsid w:val="003C6C8D"/>
    <w:rsid w:val="003C6D21"/>
    <w:rsid w:val="003D1E39"/>
    <w:rsid w:val="003D3260"/>
    <w:rsid w:val="003D378A"/>
    <w:rsid w:val="003D4F95"/>
    <w:rsid w:val="003D5F42"/>
    <w:rsid w:val="003D60A9"/>
    <w:rsid w:val="003E469B"/>
    <w:rsid w:val="003F4C97"/>
    <w:rsid w:val="003F5245"/>
    <w:rsid w:val="003F72AD"/>
    <w:rsid w:val="003F7FE6"/>
    <w:rsid w:val="00400193"/>
    <w:rsid w:val="00404B5F"/>
    <w:rsid w:val="00421054"/>
    <w:rsid w:val="004212E7"/>
    <w:rsid w:val="004227B2"/>
    <w:rsid w:val="0042446D"/>
    <w:rsid w:val="004245B6"/>
    <w:rsid w:val="00426ECB"/>
    <w:rsid w:val="00427BF8"/>
    <w:rsid w:val="00431C02"/>
    <w:rsid w:val="00435875"/>
    <w:rsid w:val="00437395"/>
    <w:rsid w:val="00444CA9"/>
    <w:rsid w:val="00445047"/>
    <w:rsid w:val="004460F4"/>
    <w:rsid w:val="00454F47"/>
    <w:rsid w:val="004566AB"/>
    <w:rsid w:val="004601AC"/>
    <w:rsid w:val="00463E39"/>
    <w:rsid w:val="004657FC"/>
    <w:rsid w:val="00472A6A"/>
    <w:rsid w:val="004733F6"/>
    <w:rsid w:val="00474E69"/>
    <w:rsid w:val="00476792"/>
    <w:rsid w:val="00481C69"/>
    <w:rsid w:val="00482A56"/>
    <w:rsid w:val="00493683"/>
    <w:rsid w:val="00494BF1"/>
    <w:rsid w:val="0049621B"/>
    <w:rsid w:val="00496F01"/>
    <w:rsid w:val="004C1895"/>
    <w:rsid w:val="004C6D40"/>
    <w:rsid w:val="004E053C"/>
    <w:rsid w:val="004E408E"/>
    <w:rsid w:val="004E6396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0C4"/>
    <w:rsid w:val="00521BC3"/>
    <w:rsid w:val="00522A1D"/>
    <w:rsid w:val="00522A55"/>
    <w:rsid w:val="00526A58"/>
    <w:rsid w:val="00533632"/>
    <w:rsid w:val="0053648F"/>
    <w:rsid w:val="00537C06"/>
    <w:rsid w:val="00541E6E"/>
    <w:rsid w:val="0054251F"/>
    <w:rsid w:val="005520D8"/>
    <w:rsid w:val="005533D8"/>
    <w:rsid w:val="00556698"/>
    <w:rsid w:val="00556CF1"/>
    <w:rsid w:val="00565F55"/>
    <w:rsid w:val="00571E8F"/>
    <w:rsid w:val="005724CD"/>
    <w:rsid w:val="005741D2"/>
    <w:rsid w:val="005762A7"/>
    <w:rsid w:val="00577337"/>
    <w:rsid w:val="005813F4"/>
    <w:rsid w:val="00581F7B"/>
    <w:rsid w:val="00582EEC"/>
    <w:rsid w:val="005877DE"/>
    <w:rsid w:val="005916D7"/>
    <w:rsid w:val="005A698C"/>
    <w:rsid w:val="005B5F36"/>
    <w:rsid w:val="005C1AF8"/>
    <w:rsid w:val="005D2957"/>
    <w:rsid w:val="005D470D"/>
    <w:rsid w:val="005E0799"/>
    <w:rsid w:val="005E2988"/>
    <w:rsid w:val="005F5A80"/>
    <w:rsid w:val="006039C0"/>
    <w:rsid w:val="006044FF"/>
    <w:rsid w:val="00607CC5"/>
    <w:rsid w:val="00617CB7"/>
    <w:rsid w:val="00622953"/>
    <w:rsid w:val="00633014"/>
    <w:rsid w:val="0063437B"/>
    <w:rsid w:val="00635314"/>
    <w:rsid w:val="00637C1E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0D4D"/>
    <w:rsid w:val="006A4686"/>
    <w:rsid w:val="006B0E9E"/>
    <w:rsid w:val="006B208D"/>
    <w:rsid w:val="006B5AE4"/>
    <w:rsid w:val="006B7304"/>
    <w:rsid w:val="006C6ABD"/>
    <w:rsid w:val="006D1507"/>
    <w:rsid w:val="006D4054"/>
    <w:rsid w:val="006D6B72"/>
    <w:rsid w:val="006E0185"/>
    <w:rsid w:val="006E02EC"/>
    <w:rsid w:val="006E703D"/>
    <w:rsid w:val="006F4F57"/>
    <w:rsid w:val="007018FE"/>
    <w:rsid w:val="0070337D"/>
    <w:rsid w:val="007059D5"/>
    <w:rsid w:val="007162EB"/>
    <w:rsid w:val="007170D2"/>
    <w:rsid w:val="007211B1"/>
    <w:rsid w:val="00731927"/>
    <w:rsid w:val="00733D55"/>
    <w:rsid w:val="007356A6"/>
    <w:rsid w:val="007425F3"/>
    <w:rsid w:val="00742FC1"/>
    <w:rsid w:val="00746187"/>
    <w:rsid w:val="00752A67"/>
    <w:rsid w:val="007601B7"/>
    <w:rsid w:val="00761070"/>
    <w:rsid w:val="0076254F"/>
    <w:rsid w:val="00762A35"/>
    <w:rsid w:val="007718FD"/>
    <w:rsid w:val="007801F5"/>
    <w:rsid w:val="00783CA4"/>
    <w:rsid w:val="007842FB"/>
    <w:rsid w:val="00786124"/>
    <w:rsid w:val="0078756B"/>
    <w:rsid w:val="007908F3"/>
    <w:rsid w:val="0079514B"/>
    <w:rsid w:val="007A2DC1"/>
    <w:rsid w:val="007B2E70"/>
    <w:rsid w:val="007B74D8"/>
    <w:rsid w:val="007C793B"/>
    <w:rsid w:val="007D3319"/>
    <w:rsid w:val="007D335D"/>
    <w:rsid w:val="007E3314"/>
    <w:rsid w:val="007E4B03"/>
    <w:rsid w:val="007F02CC"/>
    <w:rsid w:val="007F324B"/>
    <w:rsid w:val="007F7386"/>
    <w:rsid w:val="007F7463"/>
    <w:rsid w:val="00800472"/>
    <w:rsid w:val="00802A9A"/>
    <w:rsid w:val="0080553C"/>
    <w:rsid w:val="00805B46"/>
    <w:rsid w:val="00820B10"/>
    <w:rsid w:val="00821373"/>
    <w:rsid w:val="008216FB"/>
    <w:rsid w:val="0082498D"/>
    <w:rsid w:val="00825DC2"/>
    <w:rsid w:val="00831172"/>
    <w:rsid w:val="00831DEF"/>
    <w:rsid w:val="0083402E"/>
    <w:rsid w:val="00834AD3"/>
    <w:rsid w:val="00835461"/>
    <w:rsid w:val="008363C7"/>
    <w:rsid w:val="00841597"/>
    <w:rsid w:val="00843795"/>
    <w:rsid w:val="00843B1B"/>
    <w:rsid w:val="00847F0F"/>
    <w:rsid w:val="00852448"/>
    <w:rsid w:val="0088258A"/>
    <w:rsid w:val="008832C4"/>
    <w:rsid w:val="00883395"/>
    <w:rsid w:val="00883763"/>
    <w:rsid w:val="0088591B"/>
    <w:rsid w:val="00886332"/>
    <w:rsid w:val="008952C6"/>
    <w:rsid w:val="008A0124"/>
    <w:rsid w:val="008A2078"/>
    <w:rsid w:val="008A26D9"/>
    <w:rsid w:val="008C0C29"/>
    <w:rsid w:val="008C7A01"/>
    <w:rsid w:val="008F3638"/>
    <w:rsid w:val="008F4441"/>
    <w:rsid w:val="008F4E3A"/>
    <w:rsid w:val="008F6F31"/>
    <w:rsid w:val="008F74DF"/>
    <w:rsid w:val="00902339"/>
    <w:rsid w:val="009127BA"/>
    <w:rsid w:val="0091345C"/>
    <w:rsid w:val="00914378"/>
    <w:rsid w:val="00916782"/>
    <w:rsid w:val="009227A6"/>
    <w:rsid w:val="00933B26"/>
    <w:rsid w:val="00933EC1"/>
    <w:rsid w:val="009530DB"/>
    <w:rsid w:val="00953676"/>
    <w:rsid w:val="00954BD3"/>
    <w:rsid w:val="00961907"/>
    <w:rsid w:val="009705EE"/>
    <w:rsid w:val="00977927"/>
    <w:rsid w:val="0098135C"/>
    <w:rsid w:val="0098156A"/>
    <w:rsid w:val="0098260A"/>
    <w:rsid w:val="00984AC4"/>
    <w:rsid w:val="00985747"/>
    <w:rsid w:val="009869A7"/>
    <w:rsid w:val="00990133"/>
    <w:rsid w:val="0099079F"/>
    <w:rsid w:val="00991BAC"/>
    <w:rsid w:val="00996FF7"/>
    <w:rsid w:val="009A4EBA"/>
    <w:rsid w:val="009A6EA0"/>
    <w:rsid w:val="009B1399"/>
    <w:rsid w:val="009C1335"/>
    <w:rsid w:val="009C156D"/>
    <w:rsid w:val="009C1AB2"/>
    <w:rsid w:val="009C3DFC"/>
    <w:rsid w:val="009C5407"/>
    <w:rsid w:val="009C7251"/>
    <w:rsid w:val="009D63C8"/>
    <w:rsid w:val="009E2E91"/>
    <w:rsid w:val="009E3BF4"/>
    <w:rsid w:val="009F5815"/>
    <w:rsid w:val="00A05423"/>
    <w:rsid w:val="00A06BD6"/>
    <w:rsid w:val="00A07F00"/>
    <w:rsid w:val="00A12435"/>
    <w:rsid w:val="00A139F5"/>
    <w:rsid w:val="00A2104E"/>
    <w:rsid w:val="00A2136A"/>
    <w:rsid w:val="00A216AE"/>
    <w:rsid w:val="00A21A31"/>
    <w:rsid w:val="00A33F84"/>
    <w:rsid w:val="00A34C24"/>
    <w:rsid w:val="00A365F4"/>
    <w:rsid w:val="00A371FF"/>
    <w:rsid w:val="00A37CE0"/>
    <w:rsid w:val="00A431A1"/>
    <w:rsid w:val="00A460E6"/>
    <w:rsid w:val="00A46BD5"/>
    <w:rsid w:val="00A47D80"/>
    <w:rsid w:val="00A51E49"/>
    <w:rsid w:val="00A53132"/>
    <w:rsid w:val="00A563F2"/>
    <w:rsid w:val="00A566E8"/>
    <w:rsid w:val="00A61BA6"/>
    <w:rsid w:val="00A65B97"/>
    <w:rsid w:val="00A76691"/>
    <w:rsid w:val="00A810F9"/>
    <w:rsid w:val="00A8672C"/>
    <w:rsid w:val="00A86ECC"/>
    <w:rsid w:val="00A86FCC"/>
    <w:rsid w:val="00A910EC"/>
    <w:rsid w:val="00AA710D"/>
    <w:rsid w:val="00AB5CB6"/>
    <w:rsid w:val="00AB6D25"/>
    <w:rsid w:val="00AD3AF8"/>
    <w:rsid w:val="00AD4947"/>
    <w:rsid w:val="00AE20FD"/>
    <w:rsid w:val="00AE2D4B"/>
    <w:rsid w:val="00AE3075"/>
    <w:rsid w:val="00AE4F99"/>
    <w:rsid w:val="00AE5DBE"/>
    <w:rsid w:val="00B005AA"/>
    <w:rsid w:val="00B11B69"/>
    <w:rsid w:val="00B14952"/>
    <w:rsid w:val="00B21DEB"/>
    <w:rsid w:val="00B31E5A"/>
    <w:rsid w:val="00B322EC"/>
    <w:rsid w:val="00B47BCC"/>
    <w:rsid w:val="00B50227"/>
    <w:rsid w:val="00B609CE"/>
    <w:rsid w:val="00B63A9C"/>
    <w:rsid w:val="00B653AB"/>
    <w:rsid w:val="00B65F9E"/>
    <w:rsid w:val="00B66B19"/>
    <w:rsid w:val="00B855AF"/>
    <w:rsid w:val="00B85F65"/>
    <w:rsid w:val="00B914E9"/>
    <w:rsid w:val="00B93CB1"/>
    <w:rsid w:val="00B94737"/>
    <w:rsid w:val="00B9508E"/>
    <w:rsid w:val="00B956EE"/>
    <w:rsid w:val="00B97152"/>
    <w:rsid w:val="00BA2BA1"/>
    <w:rsid w:val="00BA3562"/>
    <w:rsid w:val="00BA5A42"/>
    <w:rsid w:val="00BB4F09"/>
    <w:rsid w:val="00BB7B98"/>
    <w:rsid w:val="00BC2C5D"/>
    <w:rsid w:val="00BD4E33"/>
    <w:rsid w:val="00BD5D67"/>
    <w:rsid w:val="00BF0238"/>
    <w:rsid w:val="00BF10BE"/>
    <w:rsid w:val="00C00EDA"/>
    <w:rsid w:val="00C030DE"/>
    <w:rsid w:val="00C20439"/>
    <w:rsid w:val="00C22105"/>
    <w:rsid w:val="00C244B6"/>
    <w:rsid w:val="00C24B3B"/>
    <w:rsid w:val="00C2754B"/>
    <w:rsid w:val="00C27D75"/>
    <w:rsid w:val="00C346D5"/>
    <w:rsid w:val="00C3702F"/>
    <w:rsid w:val="00C44C30"/>
    <w:rsid w:val="00C4500A"/>
    <w:rsid w:val="00C4622B"/>
    <w:rsid w:val="00C521BC"/>
    <w:rsid w:val="00C53C0F"/>
    <w:rsid w:val="00C55C91"/>
    <w:rsid w:val="00C64A37"/>
    <w:rsid w:val="00C7158E"/>
    <w:rsid w:val="00C7250B"/>
    <w:rsid w:val="00C7346B"/>
    <w:rsid w:val="00C77C0E"/>
    <w:rsid w:val="00C8000E"/>
    <w:rsid w:val="00C91687"/>
    <w:rsid w:val="00C924A8"/>
    <w:rsid w:val="00C93CA7"/>
    <w:rsid w:val="00C945FE"/>
    <w:rsid w:val="00C950B4"/>
    <w:rsid w:val="00C953AE"/>
    <w:rsid w:val="00C96FAA"/>
    <w:rsid w:val="00C97A04"/>
    <w:rsid w:val="00CA107B"/>
    <w:rsid w:val="00CA484D"/>
    <w:rsid w:val="00CA4FB6"/>
    <w:rsid w:val="00CC739E"/>
    <w:rsid w:val="00CD1E2E"/>
    <w:rsid w:val="00CD1FDD"/>
    <w:rsid w:val="00CD58B7"/>
    <w:rsid w:val="00CE54F2"/>
    <w:rsid w:val="00CE7B14"/>
    <w:rsid w:val="00CF4099"/>
    <w:rsid w:val="00CF616D"/>
    <w:rsid w:val="00D00796"/>
    <w:rsid w:val="00D02D2C"/>
    <w:rsid w:val="00D13EC8"/>
    <w:rsid w:val="00D21D7A"/>
    <w:rsid w:val="00D2235B"/>
    <w:rsid w:val="00D22C1B"/>
    <w:rsid w:val="00D261A2"/>
    <w:rsid w:val="00D261AE"/>
    <w:rsid w:val="00D3128E"/>
    <w:rsid w:val="00D32B9F"/>
    <w:rsid w:val="00D478C0"/>
    <w:rsid w:val="00D532FB"/>
    <w:rsid w:val="00D538E4"/>
    <w:rsid w:val="00D54C37"/>
    <w:rsid w:val="00D616D2"/>
    <w:rsid w:val="00D62A6B"/>
    <w:rsid w:val="00D6328D"/>
    <w:rsid w:val="00D63B5F"/>
    <w:rsid w:val="00D67022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4256"/>
    <w:rsid w:val="00DA433C"/>
    <w:rsid w:val="00DA7201"/>
    <w:rsid w:val="00DA7C1C"/>
    <w:rsid w:val="00DB147A"/>
    <w:rsid w:val="00DB1B7A"/>
    <w:rsid w:val="00DB71D2"/>
    <w:rsid w:val="00DC10ED"/>
    <w:rsid w:val="00DC6708"/>
    <w:rsid w:val="00DF2890"/>
    <w:rsid w:val="00DF712D"/>
    <w:rsid w:val="00E01436"/>
    <w:rsid w:val="00E045BD"/>
    <w:rsid w:val="00E1053F"/>
    <w:rsid w:val="00E17A9F"/>
    <w:rsid w:val="00E17B77"/>
    <w:rsid w:val="00E23337"/>
    <w:rsid w:val="00E259EA"/>
    <w:rsid w:val="00E2737C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55A61"/>
    <w:rsid w:val="00E636FF"/>
    <w:rsid w:val="00E63AAB"/>
    <w:rsid w:val="00E664C5"/>
    <w:rsid w:val="00E671A2"/>
    <w:rsid w:val="00E76D26"/>
    <w:rsid w:val="00E8329E"/>
    <w:rsid w:val="00E84561"/>
    <w:rsid w:val="00EB02C9"/>
    <w:rsid w:val="00EB1390"/>
    <w:rsid w:val="00EB2C71"/>
    <w:rsid w:val="00EB4340"/>
    <w:rsid w:val="00EB556D"/>
    <w:rsid w:val="00EB5A7D"/>
    <w:rsid w:val="00EC22BD"/>
    <w:rsid w:val="00EC5034"/>
    <w:rsid w:val="00ED55C0"/>
    <w:rsid w:val="00ED5783"/>
    <w:rsid w:val="00ED682B"/>
    <w:rsid w:val="00EE156E"/>
    <w:rsid w:val="00EE2FEE"/>
    <w:rsid w:val="00EE41D5"/>
    <w:rsid w:val="00EE696D"/>
    <w:rsid w:val="00EF7B36"/>
    <w:rsid w:val="00F037A4"/>
    <w:rsid w:val="00F068B0"/>
    <w:rsid w:val="00F12F46"/>
    <w:rsid w:val="00F12FEC"/>
    <w:rsid w:val="00F1617D"/>
    <w:rsid w:val="00F17C38"/>
    <w:rsid w:val="00F26013"/>
    <w:rsid w:val="00F27C8F"/>
    <w:rsid w:val="00F30A0C"/>
    <w:rsid w:val="00F32346"/>
    <w:rsid w:val="00F32749"/>
    <w:rsid w:val="00F37172"/>
    <w:rsid w:val="00F4029A"/>
    <w:rsid w:val="00F4477E"/>
    <w:rsid w:val="00F45717"/>
    <w:rsid w:val="00F50EAC"/>
    <w:rsid w:val="00F63706"/>
    <w:rsid w:val="00F64D1C"/>
    <w:rsid w:val="00F65610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6024"/>
    <w:rsid w:val="00F8611A"/>
    <w:rsid w:val="00F8631C"/>
    <w:rsid w:val="00F86C02"/>
    <w:rsid w:val="00F90BB1"/>
    <w:rsid w:val="00FA5128"/>
    <w:rsid w:val="00FA5BDD"/>
    <w:rsid w:val="00FB42D4"/>
    <w:rsid w:val="00FB5906"/>
    <w:rsid w:val="00FB5EDF"/>
    <w:rsid w:val="00FB762F"/>
    <w:rsid w:val="00FC2AED"/>
    <w:rsid w:val="00FC38A5"/>
    <w:rsid w:val="00FD5DCF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D1E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D1E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0.emf"/><Relationship Id="rId18" Type="http://schemas.openxmlformats.org/officeDocument/2006/relationships/footer" Target="footer2.xml"/><Relationship Id="rId26" Type="http://schemas.openxmlformats.org/officeDocument/2006/relationships/hyperlink" Target="http://stat.gov.pl/sygnalne/komunikaty-i-obwieszczenia/" TargetMode="External"/><Relationship Id="rId39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" TargetMode="External"/><Relationship Id="rId34" Type="http://schemas.openxmlformats.org/officeDocument/2006/relationships/hyperlink" Target="http://stat.gov.pl/metainformacje/slownik-pojec/pojecia-stosowane-w-statystyce-publicznej/32,pojecie.html" TargetMode="External"/><Relationship Id="rId42" Type="http://schemas.openxmlformats.org/officeDocument/2006/relationships/hyperlink" Target="http://stat.gov.pl/metainformacje/slownik-pojec/pojecia-stosowane-w-statystyce-publicznej/711,pojecie.html" TargetMode="External"/><Relationship Id="rId47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://stat.gov.pl/metainformacje/slownik-pojec/pojecia-stosowane-w-statystyce-publicznej/711,pojecie.html" TargetMode="External"/><Relationship Id="rId38" Type="http://schemas.openxmlformats.org/officeDocument/2006/relationships/hyperlink" Target="http://bdm.stat.gov.pl/" TargetMode="External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://bdm.stat.gov.pl/" TargetMode="External"/><Relationship Id="rId41" Type="http://schemas.openxmlformats.org/officeDocument/2006/relationships/hyperlink" Target="http://stat.gov.pl/obszary-tematyczne/ceny-handel/ceny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7.png"/><Relationship Id="rId32" Type="http://schemas.openxmlformats.org/officeDocument/2006/relationships/hyperlink" Target="http://stat.gov.pl/obszary-tematyczne/ceny-handel/ceny/" TargetMode="External"/><Relationship Id="rId37" Type="http://schemas.openxmlformats.org/officeDocument/2006/relationships/hyperlink" Target="http://swaid.stat.gov.pl/SitePagesDBW/Ceny.aspx" TargetMode="External"/><Relationship Id="rId40" Type="http://schemas.openxmlformats.org/officeDocument/2006/relationships/hyperlink" Target="http://stat.gov.pl/obszary-tematyczne/ceny-handel/wskazniki-cen/" TargetMode="External"/><Relationship Id="rId45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twitter.com/GUS_STAT" TargetMode="External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hyperlink" Target="http://stat.gov.pl/sygnalne/informacje-sygnalne/" TargetMode="External"/><Relationship Id="rId10" Type="http://schemas.openxmlformats.org/officeDocument/2006/relationships/footnotes" Target="foot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ceny-handel/wskazniki-cen/" TargetMode="External"/><Relationship Id="rId44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1.xml"/><Relationship Id="rId22" Type="http://schemas.openxmlformats.org/officeDocument/2006/relationships/image" Target="media/image6.png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yperlink" Target="http://stat.gov.pl/sygnalne/komunikaty-i-obwieszczenia/" TargetMode="External"/><Relationship Id="rId43" Type="http://schemas.openxmlformats.org/officeDocument/2006/relationships/hyperlink" Target="http://stat.gov.pl/metainformacje/slownik-pojec/pojecia-stosowane-w-statystyce-publicznej/32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bubble3D val="0"/>
          </c:dPt>
          <c:dPt>
            <c:idx val="16"/>
            <c:bubble3D val="0"/>
          </c:dPt>
          <c:dPt>
            <c:idx val="17"/>
            <c:bubble3D val="0"/>
          </c:dPt>
          <c:dPt>
            <c:idx val="18"/>
            <c:bubble3D val="0"/>
          </c:dPt>
          <c:dPt>
            <c:idx val="19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  <a:effectLst>
                  <a:softEdge rad="0"/>
                </a:effectLst>
              </c:spPr>
            </c:marker>
            <c:bubble3D val="0"/>
            <c:spPr>
              <a:ln w="22225">
                <a:solidFill>
                  <a:srgbClr val="001D77"/>
                </a:solidFill>
              </a:ln>
              <a:effectLst>
                <a:softEdge rad="0"/>
              </a:effectLst>
            </c:spPr>
          </c:dPt>
          <c:dPt>
            <c:idx val="20"/>
            <c:bubble3D val="0"/>
          </c:dPt>
          <c:dPt>
            <c:idx val="21"/>
            <c:bubble3D val="0"/>
          </c:dPt>
          <c:dPt>
            <c:idx val="22"/>
            <c:bubble3D val="0"/>
          </c:dPt>
          <c:dPt>
            <c:idx val="23"/>
            <c:bubble3D val="0"/>
          </c:dPt>
          <c:dPt>
            <c:idx val="26"/>
            <c:marker>
              <c:symbol val="diamond"/>
              <c:size val="8"/>
            </c:marker>
            <c:bubble3D val="0"/>
          </c:dPt>
          <c:dPt>
            <c:idx val="27"/>
            <c:marker>
              <c:symbol val="diamond"/>
              <c:size val="8"/>
            </c:marker>
            <c:bubble3D val="0"/>
          </c:dPt>
          <c:dLbls>
            <c:dLbl>
              <c:idx val="0"/>
              <c:layout>
                <c:manualLayout>
                  <c:x val="-4.4709674259123193E-2"/>
                  <c:y val="-3.60325696185312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1461396163956771E-2"/>
                  <c:y val="-2.62222572013222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8524867270081947E-2"/>
                  <c:y val="-3.57341159069046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4555305647872365E-2"/>
                  <c:y val="3.19764984199498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5.4891419858659966E-2"/>
                  <c:y val="2.65436240843973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5033111844692162E-2"/>
                  <c:y val="4.11517571726813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5.2319432465582509E-2"/>
                  <c:y val="2.6643019864684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5.2319236936664078E-2"/>
                  <c:y val="2.66430198646846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251893681238438E-2"/>
                  <c:y val="3.63155202266645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2217104361409399E-2"/>
                  <c:y val="3.63160191723416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2493038652516885E-2"/>
                  <c:y val="3.64768613253581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0029917879809548E-2"/>
                  <c:y val="3.7708702576597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5063027769212524E-2"/>
                  <c:y val="-4.10679752889142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2011878103398006E-2"/>
                  <c:y val="3.6477254840232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3020270678502945E-2"/>
                  <c:y val="1.22329166834865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2402722542149086E-2"/>
                  <c:y val="8.27548078401769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3981487659058944E-2"/>
                  <c:y val="-4.00894942674759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0148094031844953E-2"/>
                      <c:h val="6.2016597442832687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1.7005939051698959E-2"/>
                  <c:y val="2.35624901621281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1.4223593936217251E-2"/>
                  <c:y val="2.28184327368406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1.2521705519424609E-2"/>
                  <c:y val="-1.541986611633864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5.6818025961302962E-2"/>
                  <c:y val="-1.68720729124157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2.5266323781533186E-2"/>
                  <c:y val="-3.61309003284168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1.7816311535635562E-2"/>
                  <c:y val="-3.13325171495753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2.9645260837619397E-2"/>
                  <c:y val="3.79163994636506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5017585108988489E-2"/>
                  <c:y val="-4.09689267183583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2516678912564288E-2"/>
                  <c:y val="3.30709885539944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9.7969764581226915E-3"/>
                  <c:y val="-1.679826769530509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1.0137783362952705E-2"/>
                  <c:y val="-1.11243300305499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(+FE)'!$B$50:$B$69</c:f>
              <c:strCache>
                <c:ptCount val="20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'M-12 (+FE)'!$C$50:$C$69</c:f>
              <c:numCache>
                <c:formatCode>0.0</c:formatCode>
                <c:ptCount val="20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  <c:pt idx="18">
                  <c:v>5</c:v>
                </c:pt>
                <c:pt idx="19">
                  <c:v>5.4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8127616"/>
        <c:axId val="138141696"/>
      </c:lineChart>
      <c:dateAx>
        <c:axId val="13812761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38141696"/>
        <c:crossesAt val="0"/>
        <c:auto val="0"/>
        <c:lblOffset val="100"/>
        <c:baseTimeUnit val="days"/>
      </c:dateAx>
      <c:valAx>
        <c:axId val="138141696"/>
        <c:scaling>
          <c:orientation val="minMax"/>
          <c:max val="6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38127616"/>
        <c:crossesAt val="1"/>
        <c:crossBetween val="between"/>
        <c:majorUnit val="0.5"/>
      </c:valAx>
      <c:spPr>
        <a:noFill/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0.06942</cdr:x>
      <cdr:y>0.5262</cdr:y>
    </cdr:from>
    <cdr:to>
      <cdr:x>0.92967</cdr:x>
      <cdr:y>0.5262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5600" y="1390648"/>
          <a:ext cx="4406899" cy="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0.07106</cdr:x>
      <cdr:y>0.66198</cdr:y>
    </cdr:from>
    <cdr:to>
      <cdr:x>0.92721</cdr:x>
      <cdr:y>0.66198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 flipV="1">
          <a:off x="364008" y="1694460"/>
          <a:ext cx="4385667" cy="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0.06855</cdr:x>
      <cdr:y>0.93191</cdr:y>
    </cdr:from>
    <cdr:to>
      <cdr:x>0.58386</cdr:x>
      <cdr:y>0.99578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51150" y="2385391"/>
          <a:ext cx="2639699" cy="16349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0.3393</cdr:x>
      <cdr:y>0.31442</cdr:y>
    </cdr:from>
    <cdr:to>
      <cdr:x>0.64919</cdr:x>
      <cdr:y>0.37449</cdr:y>
    </cdr:to>
    <cdr:sp macro="" textlink="">
      <cdr:nvSpPr>
        <cdr:cNvPr id="26" name="pole tekstowe 1"/>
        <cdr:cNvSpPr txBox="1"/>
      </cdr:nvSpPr>
      <cdr:spPr>
        <a:xfrm xmlns:a="http://schemas.openxmlformats.org/drawingml/2006/main">
          <a:off x="1738079" y="804816"/>
          <a:ext cx="1587426" cy="15376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0.33745</cdr:x>
      <cdr:y>0.6579</cdr:y>
    </cdr:from>
    <cdr:to>
      <cdr:x>0.64737</cdr:x>
      <cdr:y>0.72622</cdr:y>
    </cdr:to>
    <cdr:sp macro="" textlink="">
      <cdr:nvSpPr>
        <cdr:cNvPr id="27" name="pole tekstowe 1"/>
        <cdr:cNvSpPr txBox="1"/>
      </cdr:nvSpPr>
      <cdr:spPr>
        <a:xfrm xmlns:a="http://schemas.openxmlformats.org/drawingml/2006/main">
          <a:off x="1728612" y="1684017"/>
          <a:ext cx="1587579" cy="1748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0.58674</cdr:x>
      <cdr:y>0.93191</cdr:y>
    </cdr:from>
    <cdr:to>
      <cdr:x>0.92978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005593" y="2385391"/>
          <a:ext cx="1757237" cy="1742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0.07099</cdr:x>
      <cdr:y>0.3894</cdr:y>
    </cdr:from>
    <cdr:to>
      <cdr:x>0.92806</cdr:x>
      <cdr:y>0.39033</cdr:y>
    </cdr:to>
    <cdr:sp macro="" textlink="">
      <cdr:nvSpPr>
        <cdr:cNvPr id="9" name="Łącznik prosty 8"/>
        <cdr:cNvSpPr/>
      </cdr:nvSpPr>
      <cdr:spPr bwMode="auto">
        <a:xfrm xmlns:a="http://schemas.openxmlformats.org/drawingml/2006/main" flipV="1">
          <a:off x="363641" y="996738"/>
          <a:ext cx="4390371" cy="2393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sp>
  </cdr:relSizeAnchor>
  <cdr:relSizeAnchor xmlns:cdr="http://schemas.openxmlformats.org/drawingml/2006/chartDrawing">
    <cdr:from>
      <cdr:x>0.73376</cdr:x>
      <cdr:y>0.5151</cdr:y>
    </cdr:from>
    <cdr:to>
      <cdr:x>0.92512</cdr:x>
      <cdr:y>0.60885</cdr:y>
    </cdr:to>
    <cdr:sp macro="" textlink="">
      <cdr:nvSpPr>
        <cdr:cNvPr id="10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758704" y="1318504"/>
          <a:ext cx="980274" cy="2399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</a:rPr>
            <a:t>Cel</a:t>
          </a:r>
          <a:r>
            <a:rPr lang="pl-PL" sz="700" baseline="0">
              <a:latin typeface="Fira Sans" panose="020B0503050000020004" pitchFamily="34" charset="0"/>
              <a:ea typeface="Fira Sans" panose="020B0503050000020004" pitchFamily="34" charset="0"/>
            </a:rPr>
            <a:t> inflacyjny 2,5</a:t>
          </a:r>
          <a:endParaRPr lang="pl-PL" sz="7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0.58475</cdr:x>
      <cdr:y>0.86684</cdr:y>
    </cdr:from>
    <cdr:to>
      <cdr:x>0.58475</cdr:x>
      <cdr:y>0.954</cdr:y>
    </cdr:to>
    <cdr:cxnSp macro="">
      <cdr:nvCxnSpPr>
        <cdr:cNvPr id="3" name="Łącznik prosty 2"/>
        <cdr:cNvCxnSpPr/>
      </cdr:nvCxnSpPr>
      <cdr:spPr>
        <a:xfrm xmlns:a="http://schemas.openxmlformats.org/drawingml/2006/main">
          <a:off x="2995428" y="2218834"/>
          <a:ext cx="0" cy="223114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bg1">
              <a:lumMod val="50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30d47203-49ec-4c8c-a442-62231931aab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3CA9B8-343D-4DF1-BD38-39A958DE6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Sobocińska Aleksandra</cp:lastModifiedBy>
  <cp:revision>4</cp:revision>
  <cp:lastPrinted>2021-08-30T08:01:00Z</cp:lastPrinted>
  <dcterms:created xsi:type="dcterms:W3CDTF">2021-08-30T08:00:00Z</dcterms:created>
  <dcterms:modified xsi:type="dcterms:W3CDTF">2021-08-30T08:02:00Z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