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DD" w:rsidRDefault="00B656DD" w:rsidP="00B656DD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Obrót nieruchomościami w 20</w:t>
      </w:r>
      <w:r w:rsidR="00624C6A">
        <w:rPr>
          <w:shd w:val="clear" w:color="auto" w:fill="FFFFFF"/>
        </w:rPr>
        <w:t>20</w:t>
      </w:r>
      <w:r w:rsidRPr="00BF0C5F">
        <w:rPr>
          <w:shd w:val="clear" w:color="auto" w:fill="FFFFFF"/>
        </w:rPr>
        <w:t xml:space="preserve"> r.</w:t>
      </w:r>
    </w:p>
    <w:p w:rsidR="00B656DD" w:rsidRPr="00001C5B" w:rsidRDefault="00B656DD" w:rsidP="00B656DD">
      <w:pPr>
        <w:pStyle w:val="tytuinformacji"/>
        <w:rPr>
          <w:sz w:val="32"/>
        </w:rPr>
      </w:pPr>
    </w:p>
    <w:p w:rsidR="00005BF5" w:rsidRPr="00005BF5" w:rsidRDefault="00B656DD" w:rsidP="00005BF5">
      <w:pPr>
        <w:pStyle w:val="LID"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F132A77" wp14:editId="10F33149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409700"/>
                <wp:effectExtent l="0" t="0" r="0" b="0"/>
                <wp:wrapSquare wrapText="bothSides"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6DD" w:rsidRPr="00B66B19" w:rsidRDefault="00B656DD" w:rsidP="00B656DD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B43FB31" wp14:editId="5A086A75">
                                  <wp:extent cx="333375" cy="333375"/>
                                  <wp:effectExtent l="0" t="0" r="9525" b="9525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24C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656DD" w:rsidRPr="00074DD8" w:rsidRDefault="00933917" w:rsidP="00B656D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t>w</w:t>
                            </w:r>
                            <w:r w:rsidR="00B656DD">
                              <w:t>zrost</w:t>
                            </w:r>
                            <w:proofErr w:type="gramEnd"/>
                            <w:r w:rsidR="00B656DD">
                              <w:t xml:space="preserve"> liczby aktów notarialnych dot. sprzedaży </w:t>
                            </w:r>
                            <w:r w:rsidR="00B656DD">
                              <w:br/>
                              <w:t>nieruchomości</w:t>
                            </w:r>
                            <w:r>
                              <w:t xml:space="preserve"> w porównaniu z 2019</w:t>
                            </w:r>
                            <w:r w:rsidR="006E6B15">
                              <w:t xml:space="preserve"> r.</w:t>
                            </w:r>
                          </w:p>
                          <w:p w:rsidR="00B656DD" w:rsidRPr="00074DD8" w:rsidRDefault="00B656DD" w:rsidP="00B656DD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32A77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margin-left:0;margin-top:6.5pt;width:2in;height:111pt;z-index:251801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" fillcolor="#001d77" stroked="f">
                <v:textbox>
                  <w:txbxContent>
                    <w:p w:rsidR="00B656DD" w:rsidRPr="00B66B19" w:rsidRDefault="00B656DD" w:rsidP="00B656DD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B43FB31" wp14:editId="5A086A75">
                            <wp:extent cx="333375" cy="333375"/>
                            <wp:effectExtent l="0" t="0" r="9525" b="9525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24C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656DD" w:rsidRPr="00074DD8" w:rsidRDefault="00933917" w:rsidP="00B656D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B656DD">
                        <w:t xml:space="preserve">zrost liczby aktów notarialnych dot. sprzedaży </w:t>
                      </w:r>
                      <w:r w:rsidR="00B656DD">
                        <w:br/>
                        <w:t>nieruchomości</w:t>
                      </w:r>
                      <w:r>
                        <w:t xml:space="preserve"> w porównaniu z 2019</w:t>
                      </w:r>
                      <w:r w:rsidR="006E6B15">
                        <w:t xml:space="preserve"> r.</w:t>
                      </w:r>
                    </w:p>
                    <w:p w:rsidR="00B656DD" w:rsidRPr="00074DD8" w:rsidRDefault="00B656DD" w:rsidP="00B656DD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68CE">
        <w:t xml:space="preserve"> </w:t>
      </w:r>
      <w:r>
        <w:t>W 20</w:t>
      </w:r>
      <w:r w:rsidR="00624C6A">
        <w:t>20</w:t>
      </w:r>
      <w:r>
        <w:t xml:space="preserve"> r</w:t>
      </w:r>
      <w:r w:rsidR="009676CA">
        <w:t>.</w:t>
      </w:r>
      <w:r>
        <w:t xml:space="preserve"> podpisano 56</w:t>
      </w:r>
      <w:r w:rsidR="00624C6A">
        <w:t>4,3</w:t>
      </w:r>
      <w:r>
        <w:t xml:space="preserve"> </w:t>
      </w:r>
      <w:r w:rsidRPr="007068CE">
        <w:t>tys. aktów notarialnych dotycząc</w:t>
      </w:r>
      <w:r>
        <w:t xml:space="preserve">ych sprzedaży nieruchomości, o </w:t>
      </w:r>
      <w:r w:rsidR="00624C6A">
        <w:t>0,4</w:t>
      </w:r>
      <w:r>
        <w:t>% więcej niż rok wcześ</w:t>
      </w:r>
      <w:r w:rsidRPr="007068CE">
        <w:t>niej.</w:t>
      </w:r>
      <w:r>
        <w:t xml:space="preserve"> </w:t>
      </w:r>
      <w:r>
        <w:rPr>
          <w:shd w:val="clear" w:color="auto" w:fill="FFFFFF"/>
        </w:rPr>
        <w:t xml:space="preserve">W porównaniu z </w:t>
      </w:r>
      <w:r w:rsidR="00624C6A">
        <w:rPr>
          <w:shd w:val="clear" w:color="auto" w:fill="FFFFFF"/>
        </w:rPr>
        <w:t>2019</w:t>
      </w:r>
      <w:r w:rsidR="00860B98">
        <w:rPr>
          <w:shd w:val="clear" w:color="auto" w:fill="FFFFFF"/>
        </w:rPr>
        <w:t xml:space="preserve"> r.</w:t>
      </w:r>
      <w:r w:rsidRPr="007068CE">
        <w:rPr>
          <w:shd w:val="clear" w:color="auto" w:fill="FFFFFF"/>
        </w:rPr>
        <w:t xml:space="preserve"> </w:t>
      </w:r>
      <w:r w:rsidRPr="00933917">
        <w:rPr>
          <w:noProof w:val="0"/>
          <w:lang w:eastAsia="en-US"/>
        </w:rPr>
        <w:t>największy wzrost liczby aktów notarialnych wystąpił w przypadku sprzedaży działek niezabudowanych (o 1</w:t>
      </w:r>
      <w:r w:rsidR="00624C6A" w:rsidRPr="00933917">
        <w:rPr>
          <w:noProof w:val="0"/>
          <w:lang w:eastAsia="en-US"/>
        </w:rPr>
        <w:t>7,1</w:t>
      </w:r>
      <w:r w:rsidRPr="00933917">
        <w:rPr>
          <w:noProof w:val="0"/>
          <w:lang w:eastAsia="en-US"/>
        </w:rPr>
        <w:t>%)</w:t>
      </w:r>
      <w:r w:rsidR="00624C6A" w:rsidRPr="00933917">
        <w:rPr>
          <w:noProof w:val="0"/>
          <w:lang w:eastAsia="en-US"/>
        </w:rPr>
        <w:t xml:space="preserve">. </w:t>
      </w:r>
      <w:r w:rsidRPr="00933917">
        <w:rPr>
          <w:noProof w:val="0"/>
          <w:lang w:eastAsia="en-US"/>
        </w:rPr>
        <w:t xml:space="preserve">Największy </w:t>
      </w:r>
      <w:r w:rsidR="00706967">
        <w:rPr>
          <w:noProof w:val="0"/>
          <w:lang w:eastAsia="en-US"/>
        </w:rPr>
        <w:br/>
      </w:r>
      <w:r w:rsidRPr="00933917">
        <w:rPr>
          <w:noProof w:val="0"/>
          <w:lang w:eastAsia="en-US"/>
        </w:rPr>
        <w:t xml:space="preserve">spadek odnotowano natomiast w przypadku aktów notarialnych dotyczących </w:t>
      </w:r>
      <w:r w:rsidR="00624C6A" w:rsidRPr="00933917">
        <w:rPr>
          <w:noProof w:val="0"/>
          <w:lang w:eastAsia="en-US"/>
        </w:rPr>
        <w:t xml:space="preserve">sprzedaży nieruchomości na rzecz Skarbu Państwa lub jednostek samorządu terytorialnego (o 22,9%) i sprzedaży spółdzielczego własnościowego prawa do lokalu </w:t>
      </w:r>
      <w:r w:rsidR="00005BF5" w:rsidRPr="00933917">
        <w:rPr>
          <w:noProof w:val="0"/>
          <w:lang w:eastAsia="en-US"/>
        </w:rPr>
        <w:t>(o</w:t>
      </w:r>
      <w:r w:rsidR="00005BF5" w:rsidRPr="00005BF5">
        <w:rPr>
          <w:shd w:val="clear" w:color="auto" w:fill="FFFFFF"/>
        </w:rPr>
        <w:t xml:space="preserve"> </w:t>
      </w:r>
      <w:r w:rsidR="00624C6A">
        <w:rPr>
          <w:shd w:val="clear" w:color="auto" w:fill="FFFFFF"/>
        </w:rPr>
        <w:t>15,0</w:t>
      </w:r>
      <w:r w:rsidR="00005BF5" w:rsidRPr="00005BF5">
        <w:rPr>
          <w:shd w:val="clear" w:color="auto" w:fill="FFFFFF"/>
        </w:rPr>
        <w:t>%)</w:t>
      </w:r>
      <w:r w:rsidR="00005BF5">
        <w:rPr>
          <w:shd w:val="clear" w:color="auto" w:fill="FFFFFF"/>
        </w:rPr>
        <w:t>.</w:t>
      </w:r>
    </w:p>
    <w:p w:rsidR="00B656DD" w:rsidRDefault="00B656DD" w:rsidP="00B656DD">
      <w:pPr>
        <w:pStyle w:val="Nagwek1"/>
        <w:rPr>
          <w:rFonts w:ascii="Fira Sans" w:hAnsi="Fira Sans"/>
          <w:b/>
          <w:color w:val="auto"/>
          <w:sz w:val="18"/>
          <w:szCs w:val="18"/>
        </w:rPr>
      </w:pPr>
    </w:p>
    <w:p w:rsidR="00B656DD" w:rsidRDefault="00BE6E48" w:rsidP="00B656DD">
      <w:pPr>
        <w:pStyle w:val="Nagwek1"/>
        <w:rPr>
          <w:rFonts w:ascii="Fira Sans" w:hAnsi="Fira Sans"/>
          <w:b/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3911451D" wp14:editId="66952AB9">
                <wp:simplePos x="0" y="0"/>
                <wp:positionH relativeFrom="column">
                  <wp:posOffset>5363845</wp:posOffset>
                </wp:positionH>
                <wp:positionV relativeFrom="paragraph">
                  <wp:posOffset>1026795</wp:posOffset>
                </wp:positionV>
                <wp:extent cx="1725295" cy="1300480"/>
                <wp:effectExtent l="0" t="0" r="0" b="0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6DD" w:rsidRPr="00074DD8" w:rsidRDefault="009F1C47" w:rsidP="00B656DD">
                            <w:pPr>
                              <w:pStyle w:val="tekstzboku"/>
                            </w:pPr>
                            <w:r>
                              <w:t>W 2020 r. n</w:t>
                            </w:r>
                            <w:r w:rsidR="00B656DD" w:rsidRPr="00437162">
                              <w:t xml:space="preserve">ajwiększy wzrost liczby aktów notarialnych </w:t>
                            </w:r>
                            <w:r>
                              <w:br/>
                            </w:r>
                            <w:r w:rsidR="00B656DD" w:rsidRPr="00437162">
                              <w:t xml:space="preserve">odnotowano </w:t>
                            </w:r>
                            <w:r w:rsidR="00B656DD">
                              <w:t>w przypadku</w:t>
                            </w:r>
                            <w:r w:rsidR="00B656DD" w:rsidRPr="00437162">
                              <w:t xml:space="preserve"> sprzedaży działek </w:t>
                            </w:r>
                            <w:r w:rsidR="00B656DD">
                              <w:t>nie</w:t>
                            </w:r>
                            <w:r w:rsidR="00B656DD" w:rsidRPr="00437162">
                              <w:t xml:space="preserve">zabudowanych </w:t>
                            </w:r>
                            <w:r w:rsidR="00B656DD">
                              <w:t xml:space="preserve">(o </w:t>
                            </w:r>
                            <w:r w:rsidR="00624C6A">
                              <w:t>17,1</w:t>
                            </w:r>
                            <w:r w:rsidR="00B656DD" w:rsidRPr="00437162">
                              <w:t>%)</w:t>
                            </w:r>
                            <w:r>
                              <w:t xml:space="preserve"> w porównaniu z rokiem poprzednim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1451D" id="_x0000_t202" coordsize="21600,21600" o:spt="202" path="m,l,21600r21600,l21600,xe">
                <v:stroke joinstyle="miter"/>
                <v:path gradientshapeok="t" o:connecttype="rect"/>
              </v:shapetype>
              <v:shape id="Pole tekstowe 28" o:spid="_x0000_s1027" type="#_x0000_t202" style="position:absolute;margin-left:422.35pt;margin-top:80.85pt;width:135.85pt;height:102.4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" filled="f" stroked="f">
                <v:textbox>
                  <w:txbxContent>
                    <w:p w:rsidR="00B656DD" w:rsidRPr="00074DD8" w:rsidRDefault="009F1C47" w:rsidP="00B656DD">
                      <w:pPr>
                        <w:pStyle w:val="tekstzboku"/>
                      </w:pPr>
                      <w:r>
                        <w:t>W</w:t>
                      </w:r>
                      <w:r>
                        <w:t xml:space="preserve"> 2020 r. </w:t>
                      </w:r>
                      <w:r>
                        <w:t>n</w:t>
                      </w:r>
                      <w:r w:rsidR="00B656DD" w:rsidRPr="00437162">
                        <w:t xml:space="preserve">ajwiększy wzrost liczby aktów notarialnych </w:t>
                      </w:r>
                      <w:r>
                        <w:br/>
                      </w:r>
                      <w:r w:rsidR="00B656DD" w:rsidRPr="00437162">
                        <w:t xml:space="preserve">odnotowano </w:t>
                      </w:r>
                      <w:r w:rsidR="00B656DD">
                        <w:t>w przypadku</w:t>
                      </w:r>
                      <w:r w:rsidR="00B656DD" w:rsidRPr="00437162">
                        <w:t xml:space="preserve"> sprzedaży działek </w:t>
                      </w:r>
                      <w:r w:rsidR="00B656DD">
                        <w:t>nie</w:t>
                      </w:r>
                      <w:r w:rsidR="00B656DD" w:rsidRPr="00437162">
                        <w:t xml:space="preserve">zabudowanych </w:t>
                      </w:r>
                      <w:r w:rsidR="00B656DD">
                        <w:t xml:space="preserve">(o </w:t>
                      </w:r>
                      <w:r w:rsidR="00624C6A">
                        <w:t>17,1</w:t>
                      </w:r>
                      <w:r w:rsidR="00B656DD" w:rsidRPr="00437162">
                        <w:t>%)</w:t>
                      </w:r>
                      <w:r>
                        <w:t xml:space="preserve"> </w:t>
                      </w:r>
                      <w:r>
                        <w:t>w porównaniu z rokiem poprzednim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656DD" w:rsidRPr="007068CE">
        <w:rPr>
          <w:rFonts w:ascii="Fira Sans" w:hAnsi="Fira Sans"/>
          <w:b/>
          <w:color w:val="auto"/>
          <w:sz w:val="18"/>
          <w:szCs w:val="18"/>
        </w:rPr>
        <w:t>Tablica 1. Akty notarialne dot. sprzed</w:t>
      </w:r>
      <w:r w:rsidR="00B656DD">
        <w:rPr>
          <w:rFonts w:ascii="Fira Sans" w:hAnsi="Fira Sans"/>
          <w:b/>
          <w:color w:val="auto"/>
          <w:sz w:val="18"/>
          <w:szCs w:val="18"/>
        </w:rPr>
        <w:t>aży nieruchomości zawarte w 20</w:t>
      </w:r>
      <w:r w:rsidR="00624C6A">
        <w:rPr>
          <w:rFonts w:ascii="Fira Sans" w:hAnsi="Fira Sans"/>
          <w:b/>
          <w:color w:val="auto"/>
          <w:sz w:val="18"/>
          <w:szCs w:val="18"/>
        </w:rPr>
        <w:t>20</w:t>
      </w:r>
      <w:r w:rsidR="00B656DD">
        <w:rPr>
          <w:rFonts w:ascii="Fira Sans" w:hAnsi="Fira Sans"/>
          <w:b/>
          <w:color w:val="auto"/>
          <w:sz w:val="18"/>
          <w:szCs w:val="18"/>
        </w:rPr>
        <w:t xml:space="preserve"> r.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491"/>
        <w:gridCol w:w="1289"/>
        <w:gridCol w:w="1287"/>
      </w:tblGrid>
      <w:tr w:rsidR="00B656DD" w:rsidRPr="00907E1E" w:rsidTr="00085DC0">
        <w:trPr>
          <w:trHeight w:val="510"/>
        </w:trPr>
        <w:tc>
          <w:tcPr>
            <w:tcW w:w="3403" w:type="pct"/>
            <w:tcBorders>
              <w:bottom w:val="single" w:sz="12" w:space="0" w:color="002060"/>
            </w:tcBorders>
            <w:vAlign w:val="center"/>
          </w:tcPr>
          <w:p w:rsidR="00B656DD" w:rsidRPr="00907E1E" w:rsidRDefault="00B656DD" w:rsidP="00085DC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 w:cs="Arial"/>
                <w:color w:val="000000" w:themeColor="text1"/>
                <w:sz w:val="16"/>
                <w:szCs w:val="18"/>
              </w:rPr>
              <w:t>WYSZCZEGÓLNIENIE</w:t>
            </w:r>
          </w:p>
        </w:tc>
        <w:tc>
          <w:tcPr>
            <w:tcW w:w="799" w:type="pct"/>
            <w:tcBorders>
              <w:bottom w:val="single" w:sz="12" w:space="0" w:color="002060"/>
            </w:tcBorders>
          </w:tcPr>
          <w:p w:rsidR="00B656DD" w:rsidRPr="00AB4EEE" w:rsidRDefault="00B656DD" w:rsidP="00624C6A">
            <w:pPr>
              <w:jc w:val="center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20</w:t>
            </w:r>
            <w:r w:rsidR="00624C6A">
              <w:rPr>
                <w:sz w:val="16"/>
                <w:szCs w:val="18"/>
              </w:rPr>
              <w:t>20</w:t>
            </w:r>
          </w:p>
        </w:tc>
        <w:tc>
          <w:tcPr>
            <w:tcW w:w="798" w:type="pct"/>
            <w:tcBorders>
              <w:bottom w:val="single" w:sz="12" w:space="0" w:color="002060"/>
            </w:tcBorders>
          </w:tcPr>
          <w:p w:rsidR="00B656DD" w:rsidRPr="00AB4EEE" w:rsidRDefault="00624C6A" w:rsidP="00085DC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2019</w:t>
            </w:r>
            <w:r w:rsidR="00B656DD" w:rsidRPr="00AB4EEE">
              <w:rPr>
                <w:sz w:val="16"/>
                <w:szCs w:val="18"/>
              </w:rPr>
              <w:t>=100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  <w:tcBorders>
              <w:top w:val="single" w:sz="12" w:space="0" w:color="002060"/>
            </w:tcBorders>
            <w:vAlign w:val="center"/>
          </w:tcPr>
          <w:p w:rsidR="00624C6A" w:rsidRPr="00907E1E" w:rsidRDefault="00624C6A" w:rsidP="00624C6A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>OGÓŁEM</w:t>
            </w:r>
          </w:p>
        </w:tc>
        <w:tc>
          <w:tcPr>
            <w:tcW w:w="799" w:type="pct"/>
            <w:tcBorders>
              <w:top w:val="single" w:sz="12" w:space="0" w:color="002060"/>
            </w:tcBorders>
          </w:tcPr>
          <w:p w:rsidR="00624C6A" w:rsidRPr="00624C6A" w:rsidRDefault="00624C6A" w:rsidP="00624C6A">
            <w:pPr>
              <w:jc w:val="right"/>
              <w:rPr>
                <w:b/>
                <w:sz w:val="16"/>
                <w:szCs w:val="16"/>
              </w:rPr>
            </w:pPr>
            <w:r w:rsidRPr="00624C6A">
              <w:rPr>
                <w:b/>
                <w:sz w:val="16"/>
                <w:szCs w:val="16"/>
              </w:rPr>
              <w:t>564 344</w:t>
            </w:r>
          </w:p>
        </w:tc>
        <w:tc>
          <w:tcPr>
            <w:tcW w:w="798" w:type="pct"/>
            <w:tcBorders>
              <w:top w:val="single" w:sz="12" w:space="0" w:color="002060"/>
            </w:tcBorders>
          </w:tcPr>
          <w:p w:rsidR="00624C6A" w:rsidRPr="00624C6A" w:rsidRDefault="00624C6A" w:rsidP="00624C6A">
            <w:pPr>
              <w:jc w:val="right"/>
              <w:rPr>
                <w:b/>
                <w:sz w:val="16"/>
                <w:szCs w:val="16"/>
              </w:rPr>
            </w:pPr>
            <w:r w:rsidRPr="00624C6A">
              <w:rPr>
                <w:b/>
                <w:sz w:val="16"/>
                <w:szCs w:val="16"/>
              </w:rPr>
              <w:t>100,4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lokali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209 335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95,8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niezabudowanych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141 333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117,1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rolnych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62 880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103,1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zabudowanych budynkiem mieszkalnym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59 949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97,0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spółdzielczego własnościowego prawa do lokalu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43 253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85,0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innych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23 299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97,3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zabudowanych budynkiem o innym przeznaczeniu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16 259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100,3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prawa użytkowania wieczystego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5 250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91,5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na rzecz Skarbu Państwa lub JST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2 616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77,1</w:t>
            </w:r>
          </w:p>
        </w:tc>
      </w:tr>
      <w:tr w:rsidR="00624C6A" w:rsidRPr="00624C6A" w:rsidTr="00085DC0">
        <w:trPr>
          <w:trHeight w:val="510"/>
        </w:trPr>
        <w:tc>
          <w:tcPr>
            <w:tcW w:w="3403" w:type="pct"/>
          </w:tcPr>
          <w:p w:rsidR="00624C6A" w:rsidRPr="00907E1E" w:rsidRDefault="00624C6A" w:rsidP="00624C6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Oddanie przez Skarb Państwa lub jedno</w:t>
            </w:r>
            <w:r>
              <w:rPr>
                <w:sz w:val="16"/>
                <w:szCs w:val="18"/>
              </w:rPr>
              <w:t>stki samorządu terytorialnego w </w:t>
            </w:r>
            <w:r w:rsidRPr="00907E1E">
              <w:rPr>
                <w:sz w:val="16"/>
                <w:szCs w:val="18"/>
              </w:rPr>
              <w:t>użytkowanie wieczyste wraz ze sprzedażą budynku</w:t>
            </w:r>
          </w:p>
        </w:tc>
        <w:tc>
          <w:tcPr>
            <w:tcW w:w="799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170</w:t>
            </w:r>
          </w:p>
        </w:tc>
        <w:tc>
          <w:tcPr>
            <w:tcW w:w="798" w:type="pct"/>
          </w:tcPr>
          <w:p w:rsidR="00624C6A" w:rsidRPr="00624C6A" w:rsidRDefault="00624C6A" w:rsidP="00624C6A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91,4</w:t>
            </w:r>
          </w:p>
        </w:tc>
      </w:tr>
    </w:tbl>
    <w:p w:rsidR="00FC51AE" w:rsidRPr="00B656DD" w:rsidRDefault="00B656DD" w:rsidP="00FC51AE">
      <w:pPr>
        <w:pStyle w:val="LID"/>
        <w:rPr>
          <w:b w:val="0"/>
        </w:rPr>
      </w:pPr>
      <w:r w:rsidRPr="00B656DD">
        <w:rPr>
          <w:b w:val="0"/>
          <w:sz w:val="16"/>
          <w:shd w:val="clear" w:color="auto" w:fill="FFFFFF"/>
        </w:rPr>
        <w:t>Źródło: dane Ministerstwa Sprawiedliwości</w:t>
      </w:r>
    </w:p>
    <w:p w:rsidR="00FC51AE" w:rsidRDefault="00FC51AE" w:rsidP="00FC51AE">
      <w:pPr>
        <w:pStyle w:val="LID"/>
        <w:rPr>
          <w:b w:val="0"/>
        </w:rPr>
      </w:pPr>
    </w:p>
    <w:p w:rsidR="00FC51AE" w:rsidRDefault="00FC51AE" w:rsidP="00FC51AE">
      <w:pPr>
        <w:pStyle w:val="LID"/>
      </w:pPr>
      <w:r>
        <w:rPr>
          <w:b w:val="0"/>
        </w:rPr>
        <w:t xml:space="preserve"> </w:t>
      </w:r>
    </w:p>
    <w:p w:rsidR="004E6AB7" w:rsidRDefault="004E6AB7">
      <w:pPr>
        <w:spacing w:before="0" w:after="160" w:line="259" w:lineRule="auto"/>
        <w:rPr>
          <w:noProof/>
          <w:szCs w:val="19"/>
          <w:lang w:eastAsia="pl-PL"/>
        </w:rPr>
      </w:pPr>
      <w:r>
        <w:rPr>
          <w:b/>
        </w:rPr>
        <w:br w:type="page"/>
      </w:r>
    </w:p>
    <w:p w:rsidR="00584789" w:rsidRPr="00584789" w:rsidRDefault="00584789" w:rsidP="00584789">
      <w:pPr>
        <w:pStyle w:val="LID"/>
        <w:rPr>
          <w:color w:val="FF0000"/>
        </w:rPr>
      </w:pPr>
      <w:r w:rsidRPr="00FD2D95">
        <w:rPr>
          <w:b w:val="0"/>
        </w:rPr>
        <w:lastRenderedPageBreak/>
        <w:t>Według danych pozyskanych z Rejestru Cen Nieruchomości (RCN) w 20</w:t>
      </w:r>
      <w:r w:rsidR="004E6AB7">
        <w:rPr>
          <w:b w:val="0"/>
        </w:rPr>
        <w:t>20</w:t>
      </w:r>
      <w:r w:rsidRPr="00FD2D95">
        <w:rPr>
          <w:b w:val="0"/>
        </w:rPr>
        <w:t xml:space="preserve"> r. </w:t>
      </w:r>
      <w:r w:rsidRPr="000577AB">
        <w:rPr>
          <w:b w:val="0"/>
        </w:rPr>
        <w:t xml:space="preserve">zawarto </w:t>
      </w:r>
      <w:r w:rsidR="004E6AB7">
        <w:rPr>
          <w:b w:val="0"/>
        </w:rPr>
        <w:t>510,3</w:t>
      </w:r>
      <w:r w:rsidRPr="000577AB">
        <w:rPr>
          <w:b w:val="0"/>
        </w:rPr>
        <w:t xml:space="preserve"> tys. transakcji kupna/sprzedaży nieuchomości na łączną wartość </w:t>
      </w:r>
      <w:r w:rsidR="0060175C" w:rsidRPr="000577AB">
        <w:rPr>
          <w:b w:val="0"/>
        </w:rPr>
        <w:t xml:space="preserve">ponad </w:t>
      </w:r>
      <w:r w:rsidR="004E6AB7">
        <w:rPr>
          <w:b w:val="0"/>
        </w:rPr>
        <w:t>145</w:t>
      </w:r>
      <w:r w:rsidRPr="000577AB">
        <w:rPr>
          <w:b w:val="0"/>
        </w:rPr>
        <w:t xml:space="preserve"> mld zł. </w:t>
      </w:r>
    </w:p>
    <w:p w:rsidR="00FC51AE" w:rsidRDefault="00FC51AE" w:rsidP="00FC51AE">
      <w:pPr>
        <w:pStyle w:val="LID"/>
        <w:rPr>
          <w:sz w:val="18"/>
          <w:szCs w:val="18"/>
        </w:rPr>
      </w:pPr>
    </w:p>
    <w:p w:rsidR="00FC51AE" w:rsidRDefault="00FC51AE" w:rsidP="00FC51AE">
      <w:pPr>
        <w:pStyle w:val="LID"/>
        <w:rPr>
          <w:sz w:val="18"/>
          <w:szCs w:val="18"/>
        </w:rPr>
      </w:pPr>
      <w:r w:rsidRPr="0050294D">
        <w:rPr>
          <w:sz w:val="18"/>
          <w:szCs w:val="18"/>
        </w:rPr>
        <w:t>Tablica 2. Wielkość obrotu nieruchomoś</w:t>
      </w:r>
      <w:r>
        <w:rPr>
          <w:sz w:val="18"/>
          <w:szCs w:val="18"/>
        </w:rPr>
        <w:t>ciami (wg stanu RCN w dniu 2</w:t>
      </w:r>
      <w:r w:rsidR="004E6AB7">
        <w:rPr>
          <w:sz w:val="18"/>
          <w:szCs w:val="18"/>
        </w:rPr>
        <w:t>3</w:t>
      </w:r>
      <w:r>
        <w:rPr>
          <w:sz w:val="18"/>
          <w:szCs w:val="18"/>
        </w:rPr>
        <w:t xml:space="preserve"> kwietnia 20</w:t>
      </w:r>
      <w:r w:rsidR="00891A93">
        <w:rPr>
          <w:sz w:val="18"/>
          <w:szCs w:val="18"/>
        </w:rPr>
        <w:t>2</w:t>
      </w:r>
      <w:r w:rsidR="004E6AB7">
        <w:rPr>
          <w:sz w:val="18"/>
          <w:szCs w:val="18"/>
        </w:rPr>
        <w:t>1</w:t>
      </w:r>
      <w:r w:rsidR="00891A93">
        <w:rPr>
          <w:sz w:val="18"/>
          <w:szCs w:val="18"/>
        </w:rPr>
        <w:t xml:space="preserve"> r.</w:t>
      </w:r>
      <w:r w:rsidRPr="0050294D">
        <w:rPr>
          <w:sz w:val="18"/>
          <w:szCs w:val="18"/>
        </w:rPr>
        <w:t>)</w:t>
      </w:r>
    </w:p>
    <w:p w:rsidR="00634382" w:rsidRDefault="00C277EB" w:rsidP="00FC51AE">
      <w:pPr>
        <w:pStyle w:val="LID"/>
        <w:rPr>
          <w:b w:val="0"/>
        </w:rPr>
      </w:pPr>
      <w:r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0394D619" wp14:editId="3ACA4C85">
                <wp:simplePos x="0" y="0"/>
                <wp:positionH relativeFrom="column">
                  <wp:posOffset>5365750</wp:posOffset>
                </wp:positionH>
                <wp:positionV relativeFrom="paragraph">
                  <wp:posOffset>1177925</wp:posOffset>
                </wp:positionV>
                <wp:extent cx="1610995" cy="1402080"/>
                <wp:effectExtent l="0" t="0" r="0" b="0"/>
                <wp:wrapTight wrapText="bothSides">
                  <wp:wrapPolygon edited="0">
                    <wp:start x="766" y="0"/>
                    <wp:lineTo x="766" y="21130"/>
                    <wp:lineTo x="20689" y="21130"/>
                    <wp:lineTo x="20689" y="0"/>
                    <wp:lineTo x="76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1AE" w:rsidRDefault="00FC51AE" w:rsidP="00FC51AE">
                            <w:pPr>
                              <w:pStyle w:val="tekstzboku"/>
                            </w:pPr>
                            <w:r w:rsidRPr="007C475F">
                              <w:t>W 20</w:t>
                            </w:r>
                            <w:r w:rsidR="004E6AB7">
                              <w:t>20</w:t>
                            </w:r>
                            <w:r w:rsidRPr="007C475F">
                              <w:t xml:space="preserve"> r</w:t>
                            </w:r>
                            <w:r w:rsidR="009676CA">
                              <w:t>.</w:t>
                            </w:r>
                            <w:r w:rsidRPr="007C475F">
                              <w:t xml:space="preserve"> </w:t>
                            </w:r>
                            <w:r w:rsidR="00860B98" w:rsidRPr="007C475F">
                              <w:t>naj</w:t>
                            </w:r>
                            <w:r w:rsidR="0046113F">
                              <w:t>większy</w:t>
                            </w:r>
                            <w:r w:rsidR="00860B98">
                              <w:t xml:space="preserve"> udział</w:t>
                            </w:r>
                            <w:r w:rsidR="00A71C78">
                              <w:t xml:space="preserve"> zarówno</w:t>
                            </w:r>
                            <w:r w:rsidR="00860B98">
                              <w:t xml:space="preserve"> w liczbie</w:t>
                            </w:r>
                            <w:r w:rsidR="00375B98">
                              <w:t>, jak i</w:t>
                            </w:r>
                            <w:r w:rsidR="00AF4493">
                              <w:t xml:space="preserve"> w </w:t>
                            </w:r>
                            <w:r w:rsidR="00375B98">
                              <w:t>wartości</w:t>
                            </w:r>
                            <w:r w:rsidR="00860B98">
                              <w:t xml:space="preserve"> </w:t>
                            </w:r>
                            <w:r w:rsidRPr="007C475F">
                              <w:t xml:space="preserve">transakcji kupna/sprzedaży </w:t>
                            </w:r>
                            <w:r w:rsidR="00AF4493">
                              <w:br/>
                            </w:r>
                            <w:r w:rsidRPr="007C475F">
                              <w:t xml:space="preserve">nieruchomości dotyczył sprzedaży nieruchomości lokalowych </w:t>
                            </w:r>
                            <w:r w:rsidR="00891A93">
                              <w:t>(</w:t>
                            </w:r>
                            <w:r w:rsidR="00E84F6F">
                              <w:t xml:space="preserve">odpowiednio </w:t>
                            </w:r>
                            <w:r w:rsidR="00891A93" w:rsidRPr="000577AB">
                              <w:t>4</w:t>
                            </w:r>
                            <w:r w:rsidR="004E6AB7">
                              <w:t>4</w:t>
                            </w:r>
                            <w:r w:rsidR="00FD2D95" w:rsidRPr="000577AB">
                              <w:t>,3</w:t>
                            </w:r>
                            <w:r w:rsidRPr="00B4095C">
                              <w:t>%</w:t>
                            </w:r>
                            <w:r w:rsidR="00E84F6F">
                              <w:t xml:space="preserve"> i 48,0%</w:t>
                            </w:r>
                            <w:r w:rsidRPr="00B4095C">
                              <w:t>)</w:t>
                            </w:r>
                          </w:p>
                          <w:p w:rsidR="00FC51AE" w:rsidRPr="00074DD8" w:rsidRDefault="00FC51AE" w:rsidP="00FC51AE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D619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8" type="#_x0000_t202" style="position:absolute;margin-left:422.5pt;margin-top:92.75pt;width:126.85pt;height:110.4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" filled="f" stroked="f">
                <v:textbox>
                  <w:txbxContent>
                    <w:p w:rsidR="00FC51AE" w:rsidRDefault="00FC51AE" w:rsidP="00FC51AE">
                      <w:pPr>
                        <w:pStyle w:val="tekstzboku"/>
                      </w:pPr>
                      <w:r w:rsidRPr="007C475F">
                        <w:t>W 20</w:t>
                      </w:r>
                      <w:r w:rsidR="004E6AB7">
                        <w:t>20</w:t>
                      </w:r>
                      <w:r w:rsidRPr="007C475F">
                        <w:t xml:space="preserve"> r</w:t>
                      </w:r>
                      <w:r w:rsidR="009676CA">
                        <w:t>.</w:t>
                      </w:r>
                      <w:r w:rsidRPr="007C475F">
                        <w:t xml:space="preserve"> </w:t>
                      </w:r>
                      <w:r w:rsidR="00860B98" w:rsidRPr="007C475F">
                        <w:t>naj</w:t>
                      </w:r>
                      <w:r w:rsidR="0046113F">
                        <w:t>większy</w:t>
                      </w:r>
                      <w:r w:rsidR="00860B98">
                        <w:t xml:space="preserve"> udział</w:t>
                      </w:r>
                      <w:r w:rsidR="00A71C78">
                        <w:t xml:space="preserve"> zarówno</w:t>
                      </w:r>
                      <w:r w:rsidR="00860B98">
                        <w:t xml:space="preserve"> w liczbie</w:t>
                      </w:r>
                      <w:r w:rsidR="00375B98">
                        <w:t>, jak i</w:t>
                      </w:r>
                      <w:r w:rsidR="00AF4493">
                        <w:t xml:space="preserve"> w </w:t>
                      </w:r>
                      <w:r w:rsidR="00375B98">
                        <w:t>wartości</w:t>
                      </w:r>
                      <w:r w:rsidR="00860B98">
                        <w:t xml:space="preserve"> </w:t>
                      </w:r>
                      <w:r w:rsidRPr="007C475F">
                        <w:t xml:space="preserve">transakcji kupna/sprzedaży </w:t>
                      </w:r>
                      <w:r w:rsidR="00AF4493">
                        <w:br/>
                      </w:r>
                      <w:r w:rsidRPr="007C475F">
                        <w:t xml:space="preserve">nieruchomości dotyczył sprzedaży nieruchomości lokalowych </w:t>
                      </w:r>
                      <w:r w:rsidR="00891A93">
                        <w:t>(</w:t>
                      </w:r>
                      <w:r w:rsidR="00E84F6F">
                        <w:t xml:space="preserve">odpowiednio </w:t>
                      </w:r>
                      <w:r w:rsidR="00891A93" w:rsidRPr="000577AB">
                        <w:t>4</w:t>
                      </w:r>
                      <w:r w:rsidR="004E6AB7">
                        <w:t>4</w:t>
                      </w:r>
                      <w:r w:rsidR="00FD2D95" w:rsidRPr="000577AB">
                        <w:t>,3</w:t>
                      </w:r>
                      <w:r w:rsidRPr="00B4095C">
                        <w:t>%</w:t>
                      </w:r>
                      <w:r w:rsidR="00E84F6F">
                        <w:t xml:space="preserve"> i 48,0%</w:t>
                      </w:r>
                      <w:r w:rsidRPr="00B4095C">
                        <w:t>)</w:t>
                      </w:r>
                    </w:p>
                    <w:p w:rsidR="00FC51AE" w:rsidRPr="00074DD8" w:rsidRDefault="00FC51AE" w:rsidP="00FC51AE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851"/>
        <w:gridCol w:w="850"/>
        <w:gridCol w:w="850"/>
        <w:gridCol w:w="851"/>
        <w:gridCol w:w="850"/>
        <w:gridCol w:w="142"/>
      </w:tblGrid>
      <w:tr w:rsidR="004A0769" w:rsidRPr="00634382" w:rsidTr="00F87B6A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A0769" w:rsidRPr="00634382" w:rsidRDefault="004A0769" w:rsidP="00F87B6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A0769" w:rsidRPr="00634382" w:rsidRDefault="004A0769" w:rsidP="00F87B6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transakcji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A0769" w:rsidRPr="00634382" w:rsidRDefault="004A0769" w:rsidP="00F87B6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Wartość transakcji</w:t>
            </w:r>
          </w:p>
        </w:tc>
      </w:tr>
      <w:tr w:rsidR="004A0769" w:rsidRPr="00634382" w:rsidTr="00F87B6A">
        <w:trPr>
          <w:trHeight w:val="315"/>
        </w:trPr>
        <w:tc>
          <w:tcPr>
            <w:tcW w:w="2552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4A0769" w:rsidRPr="00634382" w:rsidRDefault="004A0769" w:rsidP="00F87B6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A0769" w:rsidRPr="00634382" w:rsidRDefault="00624C6A" w:rsidP="00F87B6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A0769" w:rsidRPr="00634382" w:rsidRDefault="004A0769" w:rsidP="004E6AB7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  <w:r w:rsidR="004E6AB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A0769" w:rsidRPr="00634382" w:rsidRDefault="00624C6A" w:rsidP="00F87B6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843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A0769" w:rsidRPr="00634382" w:rsidRDefault="004A0769" w:rsidP="004E6AB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  <w:r w:rsidR="004E6AB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648F2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</w:tr>
      <w:tr w:rsidR="004A0769" w:rsidRPr="00634382" w:rsidTr="00F87B6A">
        <w:trPr>
          <w:trHeight w:val="315"/>
        </w:trPr>
        <w:tc>
          <w:tcPr>
            <w:tcW w:w="2552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4A0769" w:rsidRPr="00634382" w:rsidRDefault="004A0769" w:rsidP="00F87B6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212492"/>
              <w:left w:val="nil"/>
              <w:bottom w:val="single" w:sz="12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A0769" w:rsidRPr="00634382" w:rsidRDefault="004A0769" w:rsidP="00F87B6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szt.</w:t>
            </w:r>
          </w:p>
        </w:tc>
        <w:tc>
          <w:tcPr>
            <w:tcW w:w="850" w:type="dxa"/>
            <w:tcBorders>
              <w:top w:val="single" w:sz="4" w:space="0" w:color="212492"/>
              <w:left w:val="nil"/>
              <w:bottom w:val="single" w:sz="12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A0769" w:rsidRPr="00634382" w:rsidRDefault="00624C6A" w:rsidP="00F87B6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  <w:r w:rsidR="004A07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701" w:type="dxa"/>
            <w:gridSpan w:val="2"/>
            <w:tcBorders>
              <w:top w:val="single" w:sz="8" w:space="0" w:color="212492"/>
              <w:left w:val="nil"/>
              <w:bottom w:val="single" w:sz="12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A0769" w:rsidRPr="00634382" w:rsidRDefault="004A0769" w:rsidP="00F87B6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mln zł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A0769" w:rsidRPr="00634382" w:rsidRDefault="00624C6A" w:rsidP="00F87B6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  <w:r w:rsidR="004A07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E6AB7" w:rsidRPr="00634382" w:rsidTr="004E6AB7">
        <w:trPr>
          <w:gridAfter w:val="1"/>
          <w:wAfter w:w="142" w:type="dxa"/>
          <w:trHeight w:val="330"/>
        </w:trPr>
        <w:tc>
          <w:tcPr>
            <w:tcW w:w="25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6AB7" w:rsidRPr="00634382" w:rsidRDefault="004E6AB7" w:rsidP="004E6AB7">
            <w:pPr>
              <w:spacing w:before="0"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6AB7" w:rsidRPr="004E6AB7" w:rsidRDefault="004E6AB7" w:rsidP="004E6AB7">
            <w:pPr>
              <w:jc w:val="right"/>
              <w:rPr>
                <w:b/>
                <w:sz w:val="16"/>
                <w:szCs w:val="16"/>
              </w:rPr>
            </w:pPr>
            <w:r w:rsidRPr="004E6AB7">
              <w:rPr>
                <w:b/>
                <w:sz w:val="16"/>
                <w:szCs w:val="16"/>
              </w:rPr>
              <w:t>468 314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E6AB7">
              <w:rPr>
                <w:b/>
                <w:sz w:val="16"/>
                <w:szCs w:val="16"/>
              </w:rPr>
              <w:t>510 312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ind w:firstLineChars="100" w:firstLine="161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E6AB7">
              <w:rPr>
                <w:b/>
                <w:sz w:val="16"/>
                <w:szCs w:val="16"/>
              </w:rPr>
              <w:t>109,0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E6AB7">
              <w:rPr>
                <w:b/>
                <w:sz w:val="16"/>
                <w:szCs w:val="16"/>
              </w:rPr>
              <w:t>121 728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E6AB7">
              <w:rPr>
                <w:b/>
                <w:sz w:val="16"/>
                <w:szCs w:val="16"/>
              </w:rPr>
              <w:t>145 146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hideMark/>
          </w:tcPr>
          <w:p w:rsidR="004E6AB7" w:rsidRPr="004E6AB7" w:rsidRDefault="004E6AB7" w:rsidP="004E6AB7">
            <w:pPr>
              <w:ind w:firstLineChars="100" w:firstLine="161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E6AB7">
              <w:rPr>
                <w:b/>
                <w:sz w:val="16"/>
                <w:szCs w:val="16"/>
              </w:rPr>
              <w:t>119,2</w:t>
            </w:r>
          </w:p>
        </w:tc>
      </w:tr>
      <w:tr w:rsidR="004E6AB7" w:rsidRPr="00634382" w:rsidTr="00D1702F">
        <w:trPr>
          <w:gridAfter w:val="1"/>
          <w:wAfter w:w="142" w:type="dxa"/>
          <w:trHeight w:val="315"/>
        </w:trPr>
        <w:tc>
          <w:tcPr>
            <w:tcW w:w="25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6AB7" w:rsidRPr="00634382" w:rsidRDefault="004E6AB7" w:rsidP="004E6A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Nieruchomości lokalowe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231 296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226 309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64 086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69 689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hideMark/>
          </w:tcPr>
          <w:p w:rsidR="004E6AB7" w:rsidRPr="004E6AB7" w:rsidRDefault="004E6AB7" w:rsidP="004E6AB7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108,7</w:t>
            </w:r>
          </w:p>
        </w:tc>
      </w:tr>
      <w:tr w:rsidR="004E6AB7" w:rsidRPr="00634382" w:rsidTr="00D1702F">
        <w:trPr>
          <w:gridAfter w:val="1"/>
          <w:wAfter w:w="142" w:type="dxa"/>
          <w:trHeight w:val="315"/>
        </w:trPr>
        <w:tc>
          <w:tcPr>
            <w:tcW w:w="25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6AB7" w:rsidRPr="00634382" w:rsidRDefault="004E6AB7" w:rsidP="004E6A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Nieruchomości zabudowane </w:t>
            </w:r>
            <w:r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79 429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84 238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33 134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40 985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hideMark/>
          </w:tcPr>
          <w:p w:rsidR="004E6AB7" w:rsidRPr="004E6AB7" w:rsidRDefault="004E6AB7" w:rsidP="004E6AB7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123,7</w:t>
            </w:r>
          </w:p>
        </w:tc>
      </w:tr>
      <w:tr w:rsidR="004E6AB7" w:rsidRPr="00634382" w:rsidTr="00D1702F">
        <w:trPr>
          <w:gridAfter w:val="1"/>
          <w:wAfter w:w="142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6AB7" w:rsidRPr="00634382" w:rsidRDefault="004E6AB7" w:rsidP="004E6A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Nieruchomości niezabudowane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157 589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199 765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126,8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24 508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hideMark/>
          </w:tcPr>
          <w:p w:rsidR="004E6AB7" w:rsidRPr="004E6AB7" w:rsidRDefault="004E6AB7" w:rsidP="004E6AB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34 472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AB7" w:rsidRPr="004E6AB7" w:rsidRDefault="004E6AB7" w:rsidP="004E6AB7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140,7</w:t>
            </w:r>
          </w:p>
        </w:tc>
      </w:tr>
    </w:tbl>
    <w:p w:rsidR="004A0769" w:rsidRPr="000303A9" w:rsidRDefault="004A0769" w:rsidP="00CD4BCD">
      <w:pPr>
        <w:pStyle w:val="Tekstprzypisudolnego"/>
        <w:ind w:right="-13"/>
        <w:rPr>
          <w:color w:val="FF0000"/>
          <w:sz w:val="16"/>
          <w:szCs w:val="18"/>
        </w:rPr>
      </w:pPr>
      <w:proofErr w:type="gramStart"/>
      <w:r w:rsidRPr="00177074">
        <w:rPr>
          <w:sz w:val="16"/>
          <w:szCs w:val="18"/>
          <w:vertAlign w:val="superscript"/>
        </w:rPr>
        <w:t xml:space="preserve">1  </w:t>
      </w:r>
      <w:r>
        <w:rPr>
          <w:sz w:val="16"/>
          <w:szCs w:val="18"/>
        </w:rPr>
        <w:t>Dane</w:t>
      </w:r>
      <w:proofErr w:type="gramEnd"/>
      <w:r>
        <w:rPr>
          <w:sz w:val="16"/>
          <w:szCs w:val="18"/>
        </w:rPr>
        <w:t xml:space="preserve"> częściowo szacunkowe; w </w:t>
      </w:r>
      <w:r w:rsidRPr="00177074">
        <w:rPr>
          <w:sz w:val="16"/>
          <w:szCs w:val="18"/>
        </w:rPr>
        <w:t xml:space="preserve">związku z </w:t>
      </w:r>
      <w:r w:rsidR="004E6AB7">
        <w:rPr>
          <w:sz w:val="16"/>
          <w:szCs w:val="18"/>
        </w:rPr>
        <w:t>pan</w:t>
      </w:r>
      <w:r w:rsidRPr="00177074">
        <w:rPr>
          <w:sz w:val="16"/>
          <w:szCs w:val="18"/>
        </w:rPr>
        <w:t xml:space="preserve">demią </w:t>
      </w:r>
      <w:r w:rsidR="004E6AB7">
        <w:rPr>
          <w:sz w:val="16"/>
          <w:szCs w:val="18"/>
        </w:rPr>
        <w:t>COVID-19</w:t>
      </w:r>
      <w:r w:rsidRPr="00177074">
        <w:rPr>
          <w:sz w:val="16"/>
          <w:szCs w:val="18"/>
        </w:rPr>
        <w:t xml:space="preserve"> </w:t>
      </w:r>
      <w:r>
        <w:rPr>
          <w:sz w:val="16"/>
          <w:szCs w:val="18"/>
        </w:rPr>
        <w:t xml:space="preserve">uwzględniono szacunek </w:t>
      </w:r>
      <w:r w:rsidR="007077A0">
        <w:rPr>
          <w:sz w:val="16"/>
          <w:szCs w:val="18"/>
        </w:rPr>
        <w:t xml:space="preserve">dla </w:t>
      </w:r>
      <w:r>
        <w:rPr>
          <w:sz w:val="16"/>
          <w:szCs w:val="18"/>
        </w:rPr>
        <w:t xml:space="preserve">niezaewidencjonowanych </w:t>
      </w:r>
      <w:r w:rsidRPr="00177074">
        <w:rPr>
          <w:sz w:val="16"/>
          <w:szCs w:val="18"/>
        </w:rPr>
        <w:t>transakcj</w:t>
      </w:r>
      <w:r>
        <w:rPr>
          <w:sz w:val="16"/>
          <w:szCs w:val="18"/>
        </w:rPr>
        <w:t>i</w:t>
      </w:r>
      <w:r w:rsidRPr="00177074">
        <w:rPr>
          <w:sz w:val="16"/>
          <w:szCs w:val="18"/>
        </w:rPr>
        <w:t xml:space="preserve"> kupna/sprzedaży nieruchomości dokonanych w </w:t>
      </w:r>
      <w:r w:rsidR="004E6AB7">
        <w:rPr>
          <w:sz w:val="16"/>
          <w:szCs w:val="18"/>
        </w:rPr>
        <w:t xml:space="preserve">4 </w:t>
      </w:r>
      <w:r w:rsidRPr="00177074">
        <w:rPr>
          <w:sz w:val="16"/>
          <w:szCs w:val="18"/>
        </w:rPr>
        <w:t xml:space="preserve">miastach na prawach powiatu, których </w:t>
      </w:r>
      <w:r w:rsidR="00CD4BCD">
        <w:rPr>
          <w:sz w:val="16"/>
          <w:szCs w:val="18"/>
        </w:rPr>
        <w:br/>
      </w:r>
      <w:r w:rsidRPr="00177074">
        <w:rPr>
          <w:sz w:val="16"/>
          <w:szCs w:val="18"/>
        </w:rPr>
        <w:t>proces rejestracji odbywał się w okresie do 2</w:t>
      </w:r>
      <w:r w:rsidR="004E6AB7">
        <w:rPr>
          <w:sz w:val="16"/>
          <w:szCs w:val="18"/>
        </w:rPr>
        <w:t>3</w:t>
      </w:r>
      <w:r w:rsidRPr="00177074">
        <w:rPr>
          <w:sz w:val="16"/>
          <w:szCs w:val="18"/>
        </w:rPr>
        <w:t xml:space="preserve"> kwietnia 202</w:t>
      </w:r>
      <w:r w:rsidR="004E6AB7">
        <w:rPr>
          <w:sz w:val="16"/>
          <w:szCs w:val="18"/>
        </w:rPr>
        <w:t>1</w:t>
      </w:r>
      <w:r w:rsidRPr="00177074">
        <w:rPr>
          <w:sz w:val="16"/>
          <w:szCs w:val="18"/>
        </w:rPr>
        <w:t xml:space="preserve"> r.</w:t>
      </w:r>
      <w:r w:rsidRPr="004A0769">
        <w:rPr>
          <w:sz w:val="16"/>
          <w:szCs w:val="18"/>
        </w:rPr>
        <w:t xml:space="preserve"> </w:t>
      </w:r>
    </w:p>
    <w:p w:rsidR="004A0769" w:rsidRDefault="004A0769" w:rsidP="004A0769">
      <w:pPr>
        <w:pStyle w:val="Tekstprzypisudolnego"/>
        <w:rPr>
          <w:sz w:val="16"/>
          <w:szCs w:val="18"/>
        </w:rPr>
      </w:pPr>
      <w:r>
        <w:rPr>
          <w:sz w:val="16"/>
          <w:szCs w:val="18"/>
          <w:vertAlign w:val="superscript"/>
        </w:rPr>
        <w:t>2</w:t>
      </w:r>
      <w:r>
        <w:rPr>
          <w:sz w:val="16"/>
          <w:szCs w:val="18"/>
        </w:rPr>
        <w:t xml:space="preserve"> </w:t>
      </w:r>
      <w:r w:rsidRPr="00B86DF8">
        <w:rPr>
          <w:sz w:val="16"/>
          <w:szCs w:val="18"/>
        </w:rPr>
        <w:t>Obejmuje nieruchomości zabudowane budynkami mieszkalnymi, zabudowane nieruchomości rolne, nieruchomości zabudowane budynkami pełniącymi inne funkcje niż zagrodowa i mieszkaniowa oraz nieruchomości budynkowe</w:t>
      </w:r>
      <w:r>
        <w:rPr>
          <w:sz w:val="16"/>
          <w:szCs w:val="18"/>
        </w:rPr>
        <w:t>.</w:t>
      </w:r>
    </w:p>
    <w:p w:rsidR="00FC51AE" w:rsidRPr="006B0714" w:rsidRDefault="00584789" w:rsidP="00FC51AE">
      <w:pPr>
        <w:rPr>
          <w:szCs w:val="19"/>
        </w:rPr>
      </w:pPr>
      <w:r>
        <w:rPr>
          <w:szCs w:val="19"/>
        </w:rPr>
        <w:t>Największy udział w</w:t>
      </w:r>
      <w:r w:rsidR="00FC51AE" w:rsidRPr="007C475F">
        <w:rPr>
          <w:szCs w:val="19"/>
        </w:rPr>
        <w:t xml:space="preserve"> ogólnej liczbie transakcji kupna/sprzedaży nieruchomości </w:t>
      </w:r>
      <w:r>
        <w:rPr>
          <w:szCs w:val="19"/>
        </w:rPr>
        <w:t xml:space="preserve">stanowiły </w:t>
      </w:r>
      <w:r w:rsidR="00CD4BCD">
        <w:rPr>
          <w:szCs w:val="19"/>
        </w:rPr>
        <w:br/>
      </w:r>
      <w:proofErr w:type="gramStart"/>
      <w:r>
        <w:rPr>
          <w:szCs w:val="19"/>
        </w:rPr>
        <w:t xml:space="preserve">lokale </w:t>
      </w:r>
      <w:r w:rsidRPr="007C475F">
        <w:rPr>
          <w:szCs w:val="19"/>
        </w:rPr>
        <w:t xml:space="preserve"> </w:t>
      </w:r>
      <w:r w:rsidRPr="00CD4BCD">
        <w:rPr>
          <w:szCs w:val="19"/>
        </w:rPr>
        <w:t>(</w:t>
      </w:r>
      <w:r w:rsidR="00FC51AE" w:rsidRPr="00CD4BCD">
        <w:rPr>
          <w:szCs w:val="19"/>
        </w:rPr>
        <w:t>w</w:t>
      </w:r>
      <w:proofErr w:type="gramEnd"/>
      <w:r w:rsidR="00FC51AE" w:rsidRPr="00CD4BCD">
        <w:rPr>
          <w:szCs w:val="19"/>
        </w:rPr>
        <w:t> województw</w:t>
      </w:r>
      <w:r w:rsidR="005D4FBE" w:rsidRPr="00CD4BCD">
        <w:rPr>
          <w:szCs w:val="19"/>
        </w:rPr>
        <w:t>ach:</w:t>
      </w:r>
      <w:r w:rsidR="00FC51AE" w:rsidRPr="00CD4BCD">
        <w:rPr>
          <w:szCs w:val="19"/>
        </w:rPr>
        <w:t xml:space="preserve"> </w:t>
      </w:r>
      <w:r w:rsidR="00CD4BCD" w:rsidRPr="00CD4BCD">
        <w:rPr>
          <w:szCs w:val="19"/>
        </w:rPr>
        <w:t xml:space="preserve">dolnośląskim, </w:t>
      </w:r>
      <w:r w:rsidR="00FC51AE" w:rsidRPr="00CD4BCD">
        <w:rPr>
          <w:szCs w:val="19"/>
        </w:rPr>
        <w:t xml:space="preserve">pomorskim, mazowieckim </w:t>
      </w:r>
      <w:r w:rsidRPr="00CD4BCD">
        <w:rPr>
          <w:szCs w:val="19"/>
        </w:rPr>
        <w:t>i zachodniopomorski</w:t>
      </w:r>
      <w:r w:rsidR="00CD4BCD" w:rsidRPr="00CD4BCD">
        <w:rPr>
          <w:szCs w:val="19"/>
        </w:rPr>
        <w:t>m</w:t>
      </w:r>
      <w:r w:rsidRPr="00CD4BCD">
        <w:rPr>
          <w:szCs w:val="19"/>
        </w:rPr>
        <w:t xml:space="preserve">) oraz </w:t>
      </w:r>
      <w:r w:rsidR="00FC51AE" w:rsidRPr="00CD4BCD">
        <w:rPr>
          <w:szCs w:val="19"/>
        </w:rPr>
        <w:t>nieruchomości</w:t>
      </w:r>
      <w:r w:rsidRPr="00CD4BCD">
        <w:rPr>
          <w:szCs w:val="19"/>
        </w:rPr>
        <w:t xml:space="preserve"> niezabudowane (w </w:t>
      </w:r>
      <w:r w:rsidR="00FC51AE" w:rsidRPr="00CD4BCD">
        <w:rPr>
          <w:szCs w:val="19"/>
        </w:rPr>
        <w:t>województw</w:t>
      </w:r>
      <w:r w:rsidR="005D4FBE" w:rsidRPr="00CD4BCD">
        <w:rPr>
          <w:szCs w:val="19"/>
        </w:rPr>
        <w:t>ach:</w:t>
      </w:r>
      <w:r w:rsidR="00FC51AE" w:rsidRPr="00CD4BCD">
        <w:rPr>
          <w:szCs w:val="19"/>
        </w:rPr>
        <w:t xml:space="preserve"> podkarpackim</w:t>
      </w:r>
      <w:r w:rsidR="00CD4BCD" w:rsidRPr="00CD4BCD">
        <w:rPr>
          <w:szCs w:val="19"/>
        </w:rPr>
        <w:t>,</w:t>
      </w:r>
      <w:r w:rsidR="00FC51AE" w:rsidRPr="00CD4BCD">
        <w:rPr>
          <w:szCs w:val="19"/>
        </w:rPr>
        <w:t xml:space="preserve"> </w:t>
      </w:r>
      <w:r w:rsidR="00CD4BCD" w:rsidRPr="00CD4BCD">
        <w:rPr>
          <w:szCs w:val="19"/>
        </w:rPr>
        <w:t>lubelskim</w:t>
      </w:r>
      <w:r w:rsidR="00964F91">
        <w:rPr>
          <w:szCs w:val="19"/>
        </w:rPr>
        <w:t xml:space="preserve"> i </w:t>
      </w:r>
      <w:r w:rsidR="00964F91" w:rsidRPr="00CD4BCD">
        <w:rPr>
          <w:szCs w:val="19"/>
        </w:rPr>
        <w:t>świętokrzyskim</w:t>
      </w:r>
      <w:r w:rsidRPr="00CD4BCD">
        <w:rPr>
          <w:szCs w:val="19"/>
        </w:rPr>
        <w:t>)</w:t>
      </w:r>
      <w:r w:rsidR="00FC51AE" w:rsidRPr="00CD4BCD">
        <w:rPr>
          <w:szCs w:val="19"/>
        </w:rPr>
        <w:t>.</w:t>
      </w:r>
    </w:p>
    <w:p w:rsidR="00FC51AE" w:rsidRPr="00662D82" w:rsidRDefault="00FC51AE" w:rsidP="00FC51AE">
      <w:pPr>
        <w:rPr>
          <w:lang w:eastAsia="pl-PL"/>
        </w:rPr>
      </w:pPr>
    </w:p>
    <w:p w:rsidR="00FC51AE" w:rsidRDefault="00FC51AE" w:rsidP="00FC51AE">
      <w:pPr>
        <w:ind w:left="851" w:hanging="851"/>
        <w:rPr>
          <w:b/>
          <w:sz w:val="18"/>
          <w:szCs w:val="18"/>
          <w:shd w:val="clear" w:color="auto" w:fill="FFFFFF"/>
        </w:rPr>
      </w:pPr>
      <w:r w:rsidRPr="007C475F">
        <w:rPr>
          <w:b/>
          <w:sz w:val="18"/>
          <w:szCs w:val="18"/>
        </w:rPr>
        <w:t>Wykres 1.</w:t>
      </w:r>
      <w:r>
        <w:rPr>
          <w:b/>
          <w:sz w:val="18"/>
          <w:szCs w:val="18"/>
          <w:shd w:val="clear" w:color="auto" w:fill="FFFFFF"/>
        </w:rPr>
        <w:t xml:space="preserve">  Struktura liczby</w:t>
      </w:r>
      <w:r w:rsidRPr="007C475F">
        <w:rPr>
          <w:b/>
          <w:sz w:val="18"/>
          <w:szCs w:val="18"/>
          <w:shd w:val="clear" w:color="auto" w:fill="FFFFFF"/>
        </w:rPr>
        <w:t xml:space="preserve"> transakcji kupna/sprzedaży nieruchomości w</w:t>
      </w:r>
      <w:r>
        <w:rPr>
          <w:b/>
          <w:sz w:val="18"/>
          <w:szCs w:val="18"/>
          <w:shd w:val="clear" w:color="auto" w:fill="FFFFFF"/>
        </w:rPr>
        <w:t>g rodzaju w województwach w 20</w:t>
      </w:r>
      <w:r w:rsidR="004E6AB7">
        <w:rPr>
          <w:b/>
          <w:sz w:val="18"/>
          <w:szCs w:val="18"/>
          <w:shd w:val="clear" w:color="auto" w:fill="FFFFFF"/>
        </w:rPr>
        <w:t>20</w:t>
      </w:r>
      <w:r w:rsidRPr="007C475F">
        <w:rPr>
          <w:b/>
          <w:sz w:val="18"/>
          <w:szCs w:val="18"/>
          <w:shd w:val="clear" w:color="auto" w:fill="FFFFFF"/>
        </w:rPr>
        <w:t xml:space="preserve"> r</w:t>
      </w:r>
      <w:r w:rsidR="009676CA">
        <w:rPr>
          <w:b/>
          <w:sz w:val="18"/>
          <w:szCs w:val="18"/>
          <w:shd w:val="clear" w:color="auto" w:fill="FFFFFF"/>
        </w:rPr>
        <w:t>.</w:t>
      </w:r>
    </w:p>
    <w:p w:rsidR="00891A93" w:rsidRDefault="004E6AB7" w:rsidP="0044250C">
      <w:pPr>
        <w:spacing w:before="0" w:after="160" w:line="259" w:lineRule="auto"/>
        <w:jc w:val="both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787DAD26" wp14:editId="2844D295">
            <wp:extent cx="5122545" cy="3282950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51AE" w:rsidRDefault="00FC51AE" w:rsidP="00FC51AE">
      <w:pPr>
        <w:spacing w:before="240"/>
        <w:rPr>
          <w:b/>
          <w:spacing w:val="-2"/>
          <w:sz w:val="18"/>
          <w:shd w:val="clear" w:color="auto" w:fill="FFFFFF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12DCB889" wp14:editId="08184ADF">
                <wp:simplePos x="0" y="0"/>
                <wp:positionH relativeFrom="column">
                  <wp:posOffset>5309235</wp:posOffset>
                </wp:positionH>
                <wp:positionV relativeFrom="paragraph">
                  <wp:posOffset>-164465</wp:posOffset>
                </wp:positionV>
                <wp:extent cx="1725295" cy="1167765"/>
                <wp:effectExtent l="0" t="0" r="0" b="0"/>
                <wp:wrapTight wrapText="bothSides">
                  <wp:wrapPolygon edited="0">
                    <wp:start x="715" y="0"/>
                    <wp:lineTo x="715" y="21142"/>
                    <wp:lineTo x="20749" y="21142"/>
                    <wp:lineTo x="20749" y="0"/>
                    <wp:lineTo x="715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1AE" w:rsidRPr="00074DD8" w:rsidRDefault="00FC51AE" w:rsidP="00FC51AE">
                            <w:pPr>
                              <w:pStyle w:val="tekstzboku"/>
                            </w:pPr>
                            <w:r w:rsidRPr="00907E1E">
                              <w:t xml:space="preserve">Ceny lokali mieszkalnych </w:t>
                            </w:r>
                            <w:r>
                              <w:br/>
                              <w:t>w 20</w:t>
                            </w:r>
                            <w:r w:rsidR="00C35C37">
                              <w:t>20</w:t>
                            </w:r>
                            <w:r>
                              <w:t xml:space="preserve"> </w:t>
                            </w:r>
                            <w:r w:rsidR="009676CA">
                              <w:t>r.</w:t>
                            </w:r>
                            <w:r w:rsidR="009676CA" w:rsidRPr="00907E1E">
                              <w:t xml:space="preserve"> </w:t>
                            </w:r>
                            <w:r w:rsidRPr="00907E1E">
                              <w:t xml:space="preserve">w stosunku do </w:t>
                            </w:r>
                            <w:r>
                              <w:br/>
                            </w:r>
                            <w:r w:rsidR="00891A93">
                              <w:t xml:space="preserve">roku </w:t>
                            </w:r>
                            <w:r w:rsidRPr="00907E1E">
                              <w:t xml:space="preserve">poprzedniego wzrosły </w:t>
                            </w:r>
                            <w:r>
                              <w:br/>
                              <w:t xml:space="preserve">o </w:t>
                            </w:r>
                            <w:r w:rsidR="00C35C37">
                              <w:t>10,5</w:t>
                            </w:r>
                            <w:r w:rsidRPr="00907E1E">
                              <w:t xml:space="preserve">% </w:t>
                            </w:r>
                            <w:r>
                              <w:t xml:space="preserve">(w tym na rynku pierwotnym – o </w:t>
                            </w:r>
                            <w:r w:rsidR="00C35C37">
                              <w:t>6,2</w:t>
                            </w:r>
                            <w:r>
                              <w:t xml:space="preserve">% i na rynku wtórnym – o </w:t>
                            </w:r>
                            <w:r w:rsidR="00C35C37">
                              <w:t>13,8</w:t>
                            </w:r>
                            <w: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B889" id="Pole tekstowe 17" o:spid="_x0000_s1029" type="#_x0000_t202" style="position:absolute;margin-left:418.05pt;margin-top:-12.95pt;width:135.85pt;height:91.9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" filled="f" stroked="f">
                <v:textbox>
                  <w:txbxContent>
                    <w:p w:rsidR="00FC51AE" w:rsidRPr="00074DD8" w:rsidRDefault="00FC51AE" w:rsidP="00FC51AE">
                      <w:pPr>
                        <w:pStyle w:val="tekstzboku"/>
                      </w:pPr>
                      <w:r w:rsidRPr="00907E1E">
                        <w:t xml:space="preserve">Ceny lokali mieszkalnych </w:t>
                      </w:r>
                      <w:r>
                        <w:br/>
                        <w:t>w 20</w:t>
                      </w:r>
                      <w:r w:rsidR="00C35C37">
                        <w:t>20</w:t>
                      </w:r>
                      <w:r>
                        <w:t xml:space="preserve"> </w:t>
                      </w:r>
                      <w:r w:rsidR="009676CA">
                        <w:t>r.</w:t>
                      </w:r>
                      <w:r w:rsidR="009676CA" w:rsidRPr="00907E1E">
                        <w:t xml:space="preserve"> </w:t>
                      </w:r>
                      <w:r w:rsidRPr="00907E1E">
                        <w:t xml:space="preserve">w stosunku do </w:t>
                      </w:r>
                      <w:r>
                        <w:br/>
                      </w:r>
                      <w:r w:rsidR="00891A93">
                        <w:t xml:space="preserve">roku </w:t>
                      </w:r>
                      <w:r w:rsidRPr="00907E1E">
                        <w:t xml:space="preserve">poprzedniego wzrosły </w:t>
                      </w:r>
                      <w:r>
                        <w:br/>
                        <w:t xml:space="preserve">o </w:t>
                      </w:r>
                      <w:r w:rsidR="00C35C37">
                        <w:t>10,5</w:t>
                      </w:r>
                      <w:r w:rsidRPr="00907E1E">
                        <w:t xml:space="preserve">% </w:t>
                      </w:r>
                      <w:r>
                        <w:t xml:space="preserve">(w tym na rynku pierwotnym – o </w:t>
                      </w:r>
                      <w:r w:rsidR="00C35C37">
                        <w:t>6,2</w:t>
                      </w:r>
                      <w:r>
                        <w:t xml:space="preserve">% i na rynku wtórnym – o </w:t>
                      </w:r>
                      <w:r w:rsidR="00C35C37">
                        <w:t>13,8</w:t>
                      </w:r>
                      <w: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pacing w:val="-2"/>
          <w:sz w:val="18"/>
          <w:shd w:val="clear" w:color="auto" w:fill="FFFFFF"/>
        </w:rPr>
        <w:t>Tablica 3</w:t>
      </w:r>
      <w:r w:rsidRPr="00BA3562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Wskaźniki cen lokali mieszkalnych w 20</w:t>
      </w:r>
      <w:r w:rsidR="004E6AB7">
        <w:rPr>
          <w:b/>
          <w:spacing w:val="-2"/>
          <w:sz w:val="18"/>
          <w:shd w:val="clear" w:color="auto" w:fill="FFFFFF"/>
        </w:rPr>
        <w:t>20</w:t>
      </w:r>
      <w:r w:rsidR="0044250C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31"/>
        <w:gridCol w:w="2306"/>
        <w:gridCol w:w="2126"/>
      </w:tblGrid>
      <w:tr w:rsidR="00FC51AE" w:rsidRPr="00BA474D" w:rsidTr="00085DC0">
        <w:trPr>
          <w:trHeight w:val="57"/>
        </w:trPr>
        <w:tc>
          <w:tcPr>
            <w:tcW w:w="3331" w:type="dxa"/>
            <w:vMerge w:val="restart"/>
            <w:vAlign w:val="center"/>
          </w:tcPr>
          <w:p w:rsidR="00FC51AE" w:rsidRPr="00437A70" w:rsidRDefault="00FC51AE" w:rsidP="00085DC0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32" w:type="dxa"/>
            <w:gridSpan w:val="2"/>
            <w:vAlign w:val="center"/>
          </w:tcPr>
          <w:p w:rsidR="00FC51AE" w:rsidRPr="00437A70" w:rsidRDefault="00662CA4" w:rsidP="004E6AB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 w:rsidR="004E6AB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FC51AE" w:rsidRPr="001A0E04" w:rsidTr="00085DC0">
        <w:trPr>
          <w:trHeight w:val="57"/>
        </w:trPr>
        <w:tc>
          <w:tcPr>
            <w:tcW w:w="3331" w:type="dxa"/>
            <w:vMerge/>
            <w:tcBorders>
              <w:bottom w:val="single" w:sz="12" w:space="0" w:color="212492"/>
            </w:tcBorders>
            <w:vAlign w:val="center"/>
          </w:tcPr>
          <w:p w:rsidR="00FC51AE" w:rsidRPr="00437A70" w:rsidRDefault="00FC51AE" w:rsidP="00085DC0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06" w:type="dxa"/>
            <w:tcBorders>
              <w:bottom w:val="single" w:sz="12" w:space="0" w:color="212492"/>
            </w:tcBorders>
            <w:vAlign w:val="center"/>
          </w:tcPr>
          <w:p w:rsidR="00FC51AE" w:rsidRPr="00437A70" w:rsidRDefault="004E6AB7" w:rsidP="00085DC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  <w:r w:rsidR="00FC51AE" w:rsidRPr="00437A7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vAlign w:val="center"/>
          </w:tcPr>
          <w:p w:rsidR="00FC51AE" w:rsidRPr="00437A70" w:rsidRDefault="00FC51AE" w:rsidP="00085D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C35C37" w:rsidRPr="00437A70" w:rsidTr="00DA48E4">
        <w:trPr>
          <w:trHeight w:val="57"/>
        </w:trPr>
        <w:tc>
          <w:tcPr>
            <w:tcW w:w="3331" w:type="dxa"/>
            <w:vAlign w:val="center"/>
          </w:tcPr>
          <w:p w:rsidR="00C35C37" w:rsidRPr="00C35C37" w:rsidRDefault="00C35C37" w:rsidP="00C35C3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35C3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35C37" w:rsidRPr="00C35C37" w:rsidRDefault="00C35C37" w:rsidP="00C35C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5C37">
              <w:rPr>
                <w:b/>
                <w:sz w:val="16"/>
                <w:szCs w:val="16"/>
              </w:rPr>
              <w:t>110,5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35C37" w:rsidRPr="00C35C37" w:rsidRDefault="00C35C37" w:rsidP="00C35C37">
            <w:pPr>
              <w:jc w:val="center"/>
              <w:rPr>
                <w:b/>
                <w:sz w:val="16"/>
                <w:szCs w:val="16"/>
              </w:rPr>
            </w:pPr>
            <w:r w:rsidRPr="00C35C37">
              <w:rPr>
                <w:b/>
                <w:sz w:val="16"/>
                <w:szCs w:val="16"/>
              </w:rPr>
              <w:t>135,4</w:t>
            </w:r>
          </w:p>
        </w:tc>
      </w:tr>
      <w:tr w:rsidR="00C35C37" w:rsidRPr="00437A70" w:rsidTr="00DA48E4">
        <w:trPr>
          <w:trHeight w:val="57"/>
        </w:trPr>
        <w:tc>
          <w:tcPr>
            <w:tcW w:w="3331" w:type="dxa"/>
            <w:vAlign w:val="center"/>
          </w:tcPr>
          <w:p w:rsidR="00C35C37" w:rsidRPr="00C35C37" w:rsidRDefault="00C35C37" w:rsidP="00C35C3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35C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35C37" w:rsidRPr="00C35C37" w:rsidRDefault="00C35C37" w:rsidP="00C35C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5C37">
              <w:rPr>
                <w:sz w:val="16"/>
                <w:szCs w:val="16"/>
              </w:rPr>
              <w:t>106,2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35C37" w:rsidRPr="00C35C37" w:rsidRDefault="00C35C37" w:rsidP="00C35C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5C37">
              <w:rPr>
                <w:sz w:val="16"/>
                <w:szCs w:val="16"/>
              </w:rPr>
              <w:t>124,7</w:t>
            </w:r>
          </w:p>
        </w:tc>
      </w:tr>
      <w:tr w:rsidR="00C35C37" w:rsidRPr="00437A70" w:rsidTr="00DA48E4">
        <w:trPr>
          <w:trHeight w:val="57"/>
        </w:trPr>
        <w:tc>
          <w:tcPr>
            <w:tcW w:w="3331" w:type="dxa"/>
            <w:vAlign w:val="center"/>
          </w:tcPr>
          <w:p w:rsidR="00C35C37" w:rsidRPr="00C35C37" w:rsidRDefault="00C35C37" w:rsidP="00C35C3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C35C37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35C37" w:rsidRPr="00C35C37" w:rsidRDefault="00C35C37" w:rsidP="00C35C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5C37">
              <w:rPr>
                <w:sz w:val="16"/>
                <w:szCs w:val="16"/>
              </w:rPr>
              <w:t>113,8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C37" w:rsidRPr="00C35C37" w:rsidRDefault="00C35C37" w:rsidP="00C35C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5C37">
              <w:rPr>
                <w:sz w:val="16"/>
                <w:szCs w:val="16"/>
              </w:rPr>
              <w:t>144,7</w:t>
            </w:r>
          </w:p>
        </w:tc>
      </w:tr>
    </w:tbl>
    <w:p w:rsidR="00FC51AE" w:rsidRDefault="00FC51AE" w:rsidP="00FC51AE">
      <w:pPr>
        <w:rPr>
          <w:b/>
          <w:sz w:val="18"/>
        </w:rPr>
      </w:pPr>
      <w:r>
        <w:rPr>
          <w:b/>
          <w:sz w:val="18"/>
        </w:rPr>
        <w:t>Wykres 2</w:t>
      </w:r>
      <w:r w:rsidRPr="00853416">
        <w:rPr>
          <w:b/>
          <w:sz w:val="18"/>
        </w:rPr>
        <w:t xml:space="preserve">. </w:t>
      </w:r>
      <w:r w:rsidR="0044250C">
        <w:rPr>
          <w:b/>
          <w:sz w:val="18"/>
        </w:rPr>
        <w:t>Zmiany c</w:t>
      </w:r>
      <w:r w:rsidRPr="00853416">
        <w:rPr>
          <w:b/>
          <w:sz w:val="18"/>
        </w:rPr>
        <w:t xml:space="preserve">en lokali mieszkalnych w stosunku do </w:t>
      </w:r>
      <w:r>
        <w:rPr>
          <w:b/>
          <w:sz w:val="18"/>
        </w:rPr>
        <w:t>roku</w:t>
      </w:r>
      <w:r w:rsidR="0044250C">
        <w:rPr>
          <w:b/>
          <w:sz w:val="18"/>
        </w:rPr>
        <w:t xml:space="preserve"> poprzedniego</w:t>
      </w:r>
    </w:p>
    <w:p w:rsidR="0044250C" w:rsidRDefault="00A639D0" w:rsidP="00FC51AE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 wp14:anchorId="0A01F677" wp14:editId="14917D6A">
            <wp:simplePos x="0" y="0"/>
            <wp:positionH relativeFrom="column">
              <wp:posOffset>0</wp:posOffset>
            </wp:positionH>
            <wp:positionV relativeFrom="paragraph">
              <wp:posOffset>58233</wp:posOffset>
            </wp:positionV>
            <wp:extent cx="5122545" cy="2829560"/>
            <wp:effectExtent l="0" t="0" r="1905" b="8890"/>
            <wp:wrapNone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C37" w:rsidRDefault="00C35C37" w:rsidP="00FC51AE">
      <w:pPr>
        <w:rPr>
          <w:noProof/>
          <w:lang w:eastAsia="pl-PL"/>
        </w:rPr>
      </w:pPr>
    </w:p>
    <w:p w:rsidR="00C35C37" w:rsidRDefault="00C35C37" w:rsidP="00FC51AE">
      <w:pPr>
        <w:rPr>
          <w:noProof/>
          <w:lang w:eastAsia="pl-PL"/>
        </w:rPr>
      </w:pPr>
    </w:p>
    <w:p w:rsidR="00C35C37" w:rsidRDefault="00C35C37" w:rsidP="00FC51AE">
      <w:pPr>
        <w:rPr>
          <w:noProof/>
          <w:lang w:eastAsia="pl-PL"/>
        </w:rPr>
      </w:pPr>
    </w:p>
    <w:p w:rsidR="00C35C37" w:rsidRDefault="00C35C37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FC51AE" w:rsidRDefault="00FC51AE" w:rsidP="00FC51AE">
      <w:pPr>
        <w:rPr>
          <w:b/>
          <w:sz w:val="18"/>
        </w:rPr>
      </w:pPr>
      <w:r>
        <w:rPr>
          <w:b/>
          <w:sz w:val="18"/>
        </w:rPr>
        <w:t>Wykres 3</w:t>
      </w:r>
      <w:r w:rsidRPr="00853416">
        <w:rPr>
          <w:b/>
          <w:sz w:val="18"/>
        </w:rPr>
        <w:t xml:space="preserve">. </w:t>
      </w:r>
      <w:r w:rsidR="00044459">
        <w:rPr>
          <w:b/>
          <w:sz w:val="18"/>
        </w:rPr>
        <w:t>Zmiany c</w:t>
      </w:r>
      <w:r w:rsidRPr="00853416">
        <w:rPr>
          <w:b/>
          <w:sz w:val="18"/>
        </w:rPr>
        <w:t>en lokali mieszkalnych w stosunku do 201</w:t>
      </w:r>
      <w:r>
        <w:rPr>
          <w:b/>
          <w:sz w:val="18"/>
        </w:rPr>
        <w:t>5</w:t>
      </w:r>
      <w:r w:rsidRPr="00853416">
        <w:rPr>
          <w:b/>
          <w:sz w:val="18"/>
        </w:rPr>
        <w:t xml:space="preserve"> r.</w:t>
      </w:r>
    </w:p>
    <w:p w:rsidR="00044459" w:rsidRDefault="00A639D0" w:rsidP="00FC51AE">
      <w:pPr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0A2B7225" wp14:editId="605E64A3">
            <wp:simplePos x="0" y="0"/>
            <wp:positionH relativeFrom="column">
              <wp:posOffset>1</wp:posOffset>
            </wp:positionH>
            <wp:positionV relativeFrom="paragraph">
              <wp:posOffset>58044</wp:posOffset>
            </wp:positionV>
            <wp:extent cx="5154742" cy="3502660"/>
            <wp:effectExtent l="0" t="0" r="8255" b="2540"/>
            <wp:wrapNone/>
            <wp:docPr id="32" name="Wykres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A639D0" w:rsidRDefault="00A639D0" w:rsidP="00E76D26"/>
    <w:p w:rsidR="002021D2" w:rsidRDefault="002021D2" w:rsidP="00E76D26">
      <w:pPr>
        <w:rPr>
          <w:b/>
          <w:sz w:val="18"/>
          <w:szCs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CA7351" w:rsidRPr="007C4E57" w:rsidTr="0035791A">
        <w:trPr>
          <w:trHeight w:val="1912"/>
        </w:trPr>
        <w:tc>
          <w:tcPr>
            <w:tcW w:w="4356" w:type="dxa"/>
          </w:tcPr>
          <w:p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6481177B" wp14:editId="476EACB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</w:p>
        </w:tc>
      </w:tr>
      <w:tr w:rsidR="00CA7351" w:rsidTr="001F4FD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7BE5AD71" wp14:editId="353BBFA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1F4FD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5033A628" wp14:editId="687A337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E940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315E58D" wp14:editId="6A143354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3785235"/>
                <wp:effectExtent l="0" t="0" r="12700" b="2476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78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BD7" w:rsidRDefault="00F22BD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22BD7" w:rsidRPr="00EE456A" w:rsidRDefault="00F22BD7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22BD7" w:rsidRPr="003F6BAB" w:rsidRDefault="00244AD5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Obwieszczenie w sprawie wskaźników zmian cen dla lokali mieszkalnych z podziałem na województwa</w:t>
                              </w:r>
                            </w:hyperlink>
                          </w:p>
                          <w:p w:rsidR="002B382F" w:rsidRPr="003F6BAB" w:rsidRDefault="006F47D9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42307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"https://stat.gov.pl/sygnalne/komunikaty-i-obwieszczenia/lista-komunikatow-i-obwieszczen/komunikat-w-sprawie-ceny-1-m2-powierzchni-uzytkowej-budynku-mieszkalnego-za-i-kwartal-2021-r-,265,30.html" \o "Główny Urząd Statystyczny / Opracowania sygnalne / Komunikaty i Obwieszczenia / Lista komunikatów i obwieszczeń / Komunikat w sprawie ceny 1 m2 powierzchni użytkowej budynku mieszkalnego za I kwartał 2019 r."</w:instrTex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="002B382F" w:rsidRPr="00562C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:rsidR="00F22BD7" w:rsidRPr="003F6BAB" w:rsidRDefault="006F47D9" w:rsidP="00CA7351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3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Obrót nieruchomościami w </w:t>
                              </w:r>
                              <w:r w:rsidR="00624C6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2019</w:t>
                              </w:r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:rsidR="00F22BD7" w:rsidRPr="00EE456A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22BD7" w:rsidRPr="003F6BAB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22BD7"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"http://swaid.stat.gov.pl/SitePagesDBW/Ceny.aspx" 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22BD7"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Dziedzinowa Baza Wiedzy (DBW) Ceny</w:t>
                            </w:r>
                            <w:r w:rsidR="001E4ED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4EDE" w:rsidRPr="001E4ED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1E4ED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Ceny nieruchomości</w:t>
                            </w:r>
                          </w:p>
                          <w:p w:rsidR="00F22BD7" w:rsidRPr="00B2514C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73274E" w:rsidRPr="00B2514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– Rynek nieruchomości</w:t>
                              </w:r>
                            </w:hyperlink>
                          </w:p>
                          <w:p w:rsidR="0073274E" w:rsidRDefault="0073274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22BD7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22BD7" w:rsidRPr="003F6BAB" w:rsidRDefault="00244AD5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:rsidR="00F22BD7" w:rsidRPr="003F6BAB" w:rsidRDefault="00244AD5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741F3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Nieruchomości</w:t>
                              </w:r>
                            </w:hyperlink>
                          </w:p>
                          <w:p w:rsidR="00F22BD7" w:rsidRDefault="00244AD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22BD7" w:rsidRPr="002044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:rsidR="00723E94" w:rsidRPr="00723E94" w:rsidRDefault="00244AD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8" w:history="1">
                              <w:r w:rsidR="00723E94" w:rsidRP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5E58D" id="Pole tekstowe 2" o:spid="_x0000_s1030" type="#_x0000_t202" style="position:absolute;margin-left:1.5pt;margin-top:33.5pt;width:516.5pt;height:29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" fillcolor="#f2f2f2 [3052]" strokecolor="white [3212]">
                <v:textbox>
                  <w:txbxContent>
                    <w:p w:rsidR="00F22BD7" w:rsidRDefault="00F22BD7" w:rsidP="00AB6D25">
                      <w:pPr>
                        <w:rPr>
                          <w:b/>
                        </w:rPr>
                      </w:pPr>
                    </w:p>
                    <w:p w:rsidR="00F22BD7" w:rsidRPr="00EE456A" w:rsidRDefault="00F22BD7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:rsidR="00F22BD7" w:rsidRPr="003F6BAB" w:rsidRDefault="00936E45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Obwieszczenie w sprawie wskaźników zmian cen dla lokali mieszkalnych z podziałem na województwa</w:t>
                        </w:r>
                      </w:hyperlink>
                    </w:p>
                    <w:p w:rsidR="002B382F" w:rsidRPr="003F6BAB" w:rsidRDefault="006F47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42307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"https://stat.gov.pl/sygnalne/komunikaty-i-obwieszczenia/lista-komunikatow-i-obwieszczen/komunikat-w-sprawie-ceny-1-m2-powierzchni-uzytkowej-budynku-mieszkalnego-za-i-kwartal-2021-r-,265,30.html" \o "Główny Urząd Statystyczny / Opracowania sygnalne / Komunikaty i Obwieszczenia / Lista komunikatów i obwieszczeń / Komunikat w sprawie ceny 1 m2 powierzchni użytkowej budynku mieszkalnego za I kwartał 2019 r."</w:instrText>
                      </w: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Komunikat w sprawie ceny 1 m</w:t>
                      </w:r>
                      <w:r w:rsidR="002B382F" w:rsidRPr="00562C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vertAlign w:val="superscript"/>
                        </w:rPr>
                        <w:t>2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powierzchni użytkowej budynku mieszkalnego</w:t>
                      </w:r>
                    </w:p>
                    <w:p w:rsidR="00F22BD7" w:rsidRPr="003F6BAB" w:rsidRDefault="006F47D9" w:rsidP="00CA7351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0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Obrót nieruchomościami w </w:t>
                        </w:r>
                        <w:r w:rsidR="00624C6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2019</w:t>
                        </w:r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:rsidR="00F22BD7" w:rsidRPr="00EE456A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22BD7" w:rsidRPr="003F6BAB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22BD7" w:rsidRPr="003F6BAB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"http://swaid.stat.gov.pl/SitePagesDBW/Ceny.aspx" </w:instrText>
                      </w: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Dziedzinowa Baza Wiedzy (DBW) Ceny</w:t>
                      </w:r>
                      <w:r w:rsidR="001E4EDE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1E4EDE" w:rsidRPr="001E4EDE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– </w:t>
                      </w:r>
                      <w:r w:rsidR="001E4EDE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Ceny nieruchomości</w:t>
                      </w:r>
                    </w:p>
                    <w:p w:rsidR="00F22BD7" w:rsidRPr="00B2514C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– Rynek nieruchomości</w:t>
                        </w:r>
                      </w:hyperlink>
                    </w:p>
                    <w:p w:rsidR="0073274E" w:rsidRDefault="0073274E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22BD7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22BD7" w:rsidRPr="003F6BAB" w:rsidRDefault="00936E45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:rsidR="00F22BD7" w:rsidRPr="003F6BAB" w:rsidRDefault="00936E45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741F3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Rejestr Cen Nieruchomości</w:t>
                        </w:r>
                      </w:hyperlink>
                    </w:p>
                    <w:p w:rsidR="00F22BD7" w:rsidRDefault="00936E4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F22BD7" w:rsidRPr="0020444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Lokal</w:t>
                        </w:r>
                      </w:hyperlink>
                    </w:p>
                    <w:p w:rsidR="00723E94" w:rsidRPr="00723E94" w:rsidRDefault="00936E45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5" w:history="1">
                        <w:r w:rsidR="00723E94" w:rsidRP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lokali mieszkalnych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D5" w:rsidRDefault="00244AD5" w:rsidP="000662E2">
      <w:pPr>
        <w:spacing w:after="0" w:line="240" w:lineRule="auto"/>
      </w:pPr>
      <w:r>
        <w:separator/>
      </w:r>
    </w:p>
  </w:endnote>
  <w:endnote w:type="continuationSeparator" w:id="0">
    <w:p w:rsidR="00244AD5" w:rsidRDefault="00244A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21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21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21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D5" w:rsidRDefault="00244AD5" w:rsidP="000662E2">
      <w:pPr>
        <w:spacing w:after="0" w:line="240" w:lineRule="auto"/>
      </w:pPr>
      <w:r>
        <w:separator/>
      </w:r>
    </w:p>
  </w:footnote>
  <w:footnote w:type="continuationSeparator" w:id="0">
    <w:p w:rsidR="00244AD5" w:rsidRDefault="00244AD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D86A7B" wp14:editId="3D79BE7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751C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28C7D2D" wp14:editId="62AAE5B0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16F3" w:rsidRPr="00C97596" w:rsidRDefault="00BE6E48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27</w:t>
                          </w:r>
                          <w:r w:rsidR="00B4363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C4844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B16F3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24C6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8C7D2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3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" filled="f" stroked="f">
              <v:textbox>
                <w:txbxContent>
                  <w:p w:rsidR="00FB16F3" w:rsidRPr="00C97596" w:rsidRDefault="00BE6E48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27</w:t>
                    </w:r>
                    <w:r w:rsidR="00B4363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C4844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B16F3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24C6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513A6F93" wp14:editId="49D734B1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0D3F6B" wp14:editId="7746D2E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00D3F6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3159206" wp14:editId="1D8FF3AE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626715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6842BA9" wp14:editId="078BB6E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842BA9"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F22BD7">
    <w:pPr>
      <w:pStyle w:val="Nagwek"/>
    </w:pPr>
  </w:p>
  <w:p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116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5BF5"/>
    <w:rsid w:val="0000709F"/>
    <w:rsid w:val="000108B8"/>
    <w:rsid w:val="00015039"/>
    <w:rsid w:val="000152F5"/>
    <w:rsid w:val="0002593D"/>
    <w:rsid w:val="000303A9"/>
    <w:rsid w:val="00032582"/>
    <w:rsid w:val="00033383"/>
    <w:rsid w:val="000359A8"/>
    <w:rsid w:val="000361EC"/>
    <w:rsid w:val="00043692"/>
    <w:rsid w:val="00044459"/>
    <w:rsid w:val="0004582E"/>
    <w:rsid w:val="000470AA"/>
    <w:rsid w:val="00053CA1"/>
    <w:rsid w:val="000577AB"/>
    <w:rsid w:val="00057CA1"/>
    <w:rsid w:val="00057DB8"/>
    <w:rsid w:val="000631B8"/>
    <w:rsid w:val="000648F2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47E6A"/>
    <w:rsid w:val="0015664B"/>
    <w:rsid w:val="00162325"/>
    <w:rsid w:val="00171C8A"/>
    <w:rsid w:val="00177074"/>
    <w:rsid w:val="00177518"/>
    <w:rsid w:val="001829BB"/>
    <w:rsid w:val="0018393E"/>
    <w:rsid w:val="001951DA"/>
    <w:rsid w:val="001A297A"/>
    <w:rsid w:val="001A3839"/>
    <w:rsid w:val="001B12D0"/>
    <w:rsid w:val="001C3269"/>
    <w:rsid w:val="001C6A8D"/>
    <w:rsid w:val="001D1DB4"/>
    <w:rsid w:val="001E05F2"/>
    <w:rsid w:val="001E1388"/>
    <w:rsid w:val="001E4EDE"/>
    <w:rsid w:val="001F043B"/>
    <w:rsid w:val="001F32F0"/>
    <w:rsid w:val="001F4522"/>
    <w:rsid w:val="001F4FD0"/>
    <w:rsid w:val="002021D2"/>
    <w:rsid w:val="002021F0"/>
    <w:rsid w:val="00204445"/>
    <w:rsid w:val="00211688"/>
    <w:rsid w:val="00213227"/>
    <w:rsid w:val="0021361D"/>
    <w:rsid w:val="002240B0"/>
    <w:rsid w:val="00233ED1"/>
    <w:rsid w:val="00241DC5"/>
    <w:rsid w:val="00244AD5"/>
    <w:rsid w:val="0025161B"/>
    <w:rsid w:val="002535A3"/>
    <w:rsid w:val="0025568B"/>
    <w:rsid w:val="002574F1"/>
    <w:rsid w:val="002574F9"/>
    <w:rsid w:val="00262B61"/>
    <w:rsid w:val="00266F56"/>
    <w:rsid w:val="00276811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5DCE"/>
    <w:rsid w:val="002F77C8"/>
    <w:rsid w:val="0030228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75B98"/>
    <w:rsid w:val="003843DB"/>
    <w:rsid w:val="00393761"/>
    <w:rsid w:val="003971EE"/>
    <w:rsid w:val="00397D18"/>
    <w:rsid w:val="003A04BD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3071"/>
    <w:rsid w:val="0042446D"/>
    <w:rsid w:val="00427BF8"/>
    <w:rsid w:val="004313A1"/>
    <w:rsid w:val="00431C02"/>
    <w:rsid w:val="00431FFC"/>
    <w:rsid w:val="00437162"/>
    <w:rsid w:val="00437395"/>
    <w:rsid w:val="00437A70"/>
    <w:rsid w:val="0044250C"/>
    <w:rsid w:val="00445047"/>
    <w:rsid w:val="0046113F"/>
    <w:rsid w:val="00462BE1"/>
    <w:rsid w:val="00463E39"/>
    <w:rsid w:val="004657FC"/>
    <w:rsid w:val="00471400"/>
    <w:rsid w:val="004733F6"/>
    <w:rsid w:val="00474E69"/>
    <w:rsid w:val="00480C23"/>
    <w:rsid w:val="004922E6"/>
    <w:rsid w:val="0049621B"/>
    <w:rsid w:val="004A0769"/>
    <w:rsid w:val="004A2309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E6AB7"/>
    <w:rsid w:val="004F0C3C"/>
    <w:rsid w:val="004F1692"/>
    <w:rsid w:val="004F407F"/>
    <w:rsid w:val="004F5944"/>
    <w:rsid w:val="004F63FC"/>
    <w:rsid w:val="004F7947"/>
    <w:rsid w:val="0050168A"/>
    <w:rsid w:val="00505A92"/>
    <w:rsid w:val="00516876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37CD"/>
    <w:rsid w:val="00556CF1"/>
    <w:rsid w:val="00562CA5"/>
    <w:rsid w:val="00563A09"/>
    <w:rsid w:val="005649A4"/>
    <w:rsid w:val="00573E8B"/>
    <w:rsid w:val="00574B3E"/>
    <w:rsid w:val="00575628"/>
    <w:rsid w:val="005762A7"/>
    <w:rsid w:val="005767A1"/>
    <w:rsid w:val="00577E69"/>
    <w:rsid w:val="0058478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D4FBE"/>
    <w:rsid w:val="005E0799"/>
    <w:rsid w:val="005E2468"/>
    <w:rsid w:val="005E3B8D"/>
    <w:rsid w:val="005F5A80"/>
    <w:rsid w:val="005F65FB"/>
    <w:rsid w:val="005F746D"/>
    <w:rsid w:val="0060175C"/>
    <w:rsid w:val="006044FF"/>
    <w:rsid w:val="00607CC5"/>
    <w:rsid w:val="00611B9A"/>
    <w:rsid w:val="0061228C"/>
    <w:rsid w:val="0061700A"/>
    <w:rsid w:val="006214C4"/>
    <w:rsid w:val="00624C6A"/>
    <w:rsid w:val="006254B7"/>
    <w:rsid w:val="00633014"/>
    <w:rsid w:val="0063437B"/>
    <w:rsid w:val="00634382"/>
    <w:rsid w:val="0064699F"/>
    <w:rsid w:val="00652B3E"/>
    <w:rsid w:val="00652F27"/>
    <w:rsid w:val="00653B61"/>
    <w:rsid w:val="00662CA4"/>
    <w:rsid w:val="00663083"/>
    <w:rsid w:val="00666E74"/>
    <w:rsid w:val="006673CA"/>
    <w:rsid w:val="00672450"/>
    <w:rsid w:val="00673C26"/>
    <w:rsid w:val="006755C8"/>
    <w:rsid w:val="006812AF"/>
    <w:rsid w:val="0068327D"/>
    <w:rsid w:val="00687D91"/>
    <w:rsid w:val="00694AF0"/>
    <w:rsid w:val="006A014C"/>
    <w:rsid w:val="006A2B3A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2B55"/>
    <w:rsid w:val="006D4054"/>
    <w:rsid w:val="006E01B6"/>
    <w:rsid w:val="006E02EC"/>
    <w:rsid w:val="006E095C"/>
    <w:rsid w:val="006E6B15"/>
    <w:rsid w:val="006F2F4D"/>
    <w:rsid w:val="006F46FF"/>
    <w:rsid w:val="006F47D9"/>
    <w:rsid w:val="006F57E5"/>
    <w:rsid w:val="0070110C"/>
    <w:rsid w:val="00705D93"/>
    <w:rsid w:val="007068CE"/>
    <w:rsid w:val="00706967"/>
    <w:rsid w:val="007077A0"/>
    <w:rsid w:val="00712005"/>
    <w:rsid w:val="00713D6B"/>
    <w:rsid w:val="007211B1"/>
    <w:rsid w:val="00721227"/>
    <w:rsid w:val="0072213E"/>
    <w:rsid w:val="00723E94"/>
    <w:rsid w:val="007306DB"/>
    <w:rsid w:val="0073274E"/>
    <w:rsid w:val="007343FA"/>
    <w:rsid w:val="007347BF"/>
    <w:rsid w:val="00741F37"/>
    <w:rsid w:val="00743605"/>
    <w:rsid w:val="00746187"/>
    <w:rsid w:val="00746E58"/>
    <w:rsid w:val="00747143"/>
    <w:rsid w:val="00755AF9"/>
    <w:rsid w:val="0076254F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A4C"/>
    <w:rsid w:val="00841D7A"/>
    <w:rsid w:val="00843795"/>
    <w:rsid w:val="008464A2"/>
    <w:rsid w:val="008468D8"/>
    <w:rsid w:val="00847F0F"/>
    <w:rsid w:val="00852448"/>
    <w:rsid w:val="00854874"/>
    <w:rsid w:val="00855753"/>
    <w:rsid w:val="00860B98"/>
    <w:rsid w:val="0087115A"/>
    <w:rsid w:val="0088088D"/>
    <w:rsid w:val="0088258A"/>
    <w:rsid w:val="0088490C"/>
    <w:rsid w:val="00885566"/>
    <w:rsid w:val="00886332"/>
    <w:rsid w:val="008916D9"/>
    <w:rsid w:val="00891A93"/>
    <w:rsid w:val="008A080B"/>
    <w:rsid w:val="008A26D9"/>
    <w:rsid w:val="008A6DEF"/>
    <w:rsid w:val="008B15C2"/>
    <w:rsid w:val="008B5D9F"/>
    <w:rsid w:val="008B63C3"/>
    <w:rsid w:val="008B6C7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059"/>
    <w:rsid w:val="0090392A"/>
    <w:rsid w:val="00907E1E"/>
    <w:rsid w:val="009127BA"/>
    <w:rsid w:val="00914BE5"/>
    <w:rsid w:val="00921153"/>
    <w:rsid w:val="009227A6"/>
    <w:rsid w:val="00923C49"/>
    <w:rsid w:val="00925DF7"/>
    <w:rsid w:val="00933917"/>
    <w:rsid w:val="00933EC1"/>
    <w:rsid w:val="00936E45"/>
    <w:rsid w:val="009530DB"/>
    <w:rsid w:val="00953676"/>
    <w:rsid w:val="00964F91"/>
    <w:rsid w:val="0096551C"/>
    <w:rsid w:val="009676CA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1C47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636"/>
    <w:rsid w:val="00A42BEF"/>
    <w:rsid w:val="00A47D80"/>
    <w:rsid w:val="00A5235A"/>
    <w:rsid w:val="00A53132"/>
    <w:rsid w:val="00A55A03"/>
    <w:rsid w:val="00A563F2"/>
    <w:rsid w:val="00A566E8"/>
    <w:rsid w:val="00A56866"/>
    <w:rsid w:val="00A6355F"/>
    <w:rsid w:val="00A639D0"/>
    <w:rsid w:val="00A665AD"/>
    <w:rsid w:val="00A66CBC"/>
    <w:rsid w:val="00A71C78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AF4493"/>
    <w:rsid w:val="00B0437F"/>
    <w:rsid w:val="00B05AE7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2F77"/>
    <w:rsid w:val="00B4363A"/>
    <w:rsid w:val="00B51CB3"/>
    <w:rsid w:val="00B523E7"/>
    <w:rsid w:val="00B653AB"/>
    <w:rsid w:val="00B656DD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70E"/>
    <w:rsid w:val="00BC4844"/>
    <w:rsid w:val="00BC7A84"/>
    <w:rsid w:val="00BD4E33"/>
    <w:rsid w:val="00BD5E55"/>
    <w:rsid w:val="00BE6E48"/>
    <w:rsid w:val="00BF0C5F"/>
    <w:rsid w:val="00BF5920"/>
    <w:rsid w:val="00C02346"/>
    <w:rsid w:val="00C030DE"/>
    <w:rsid w:val="00C073C5"/>
    <w:rsid w:val="00C135F6"/>
    <w:rsid w:val="00C1695A"/>
    <w:rsid w:val="00C22105"/>
    <w:rsid w:val="00C244B6"/>
    <w:rsid w:val="00C25A0A"/>
    <w:rsid w:val="00C277EB"/>
    <w:rsid w:val="00C3032C"/>
    <w:rsid w:val="00C33B6A"/>
    <w:rsid w:val="00C356C0"/>
    <w:rsid w:val="00C35C37"/>
    <w:rsid w:val="00C366D2"/>
    <w:rsid w:val="00C3702F"/>
    <w:rsid w:val="00C44EB3"/>
    <w:rsid w:val="00C4500A"/>
    <w:rsid w:val="00C454D0"/>
    <w:rsid w:val="00C45AAB"/>
    <w:rsid w:val="00C47C55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4BCD"/>
    <w:rsid w:val="00CD5410"/>
    <w:rsid w:val="00CD58B7"/>
    <w:rsid w:val="00CD75A6"/>
    <w:rsid w:val="00CE0575"/>
    <w:rsid w:val="00CE4556"/>
    <w:rsid w:val="00CE5833"/>
    <w:rsid w:val="00CF3D9C"/>
    <w:rsid w:val="00CF4099"/>
    <w:rsid w:val="00D00796"/>
    <w:rsid w:val="00D04E46"/>
    <w:rsid w:val="00D17E99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4742E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2FF9"/>
    <w:rsid w:val="00E43A8F"/>
    <w:rsid w:val="00E465DD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4F6F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EF4CB9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2AED"/>
    <w:rsid w:val="00FC370E"/>
    <w:rsid w:val="00FC3B75"/>
    <w:rsid w:val="00FC4E4F"/>
    <w:rsid w:val="00FC5121"/>
    <w:rsid w:val="00FC51AE"/>
    <w:rsid w:val="00FD22C1"/>
    <w:rsid w:val="00FD2D95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6C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6CA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stat.gov.pl/metainformacje/slownik-pojec/pojecia-stosowane-w-statystyce-publicznej/4491,pojecie.html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7.png"/><Relationship Id="rId34" Type="http://schemas.openxmlformats.org/officeDocument/2006/relationships/hyperlink" Target="http://stat.gov.pl/metainformacje/slownik-pojec/pojecia-stosowane-w-statystyce-publicznej/1984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966,pojecie.html" TargetMode="External"/><Relationship Id="rId33" Type="http://schemas.openxmlformats.org/officeDocument/2006/relationships/hyperlink" Target="https://stat.gov.pl/metainformacje/slownik-pojec/pojecia-stosowane-w-statystyce-publicznej/4491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s://stat.gov.pl/sygnalne/komunikaty-i-obwieszczenia/8,2021,kategoria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://stat.gov.pl/metainformacje/slownik-pojec/pojecia-stosowane-w-statystyce-publicznej/966,pojecie.html" TargetMode="External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28" Type="http://schemas.openxmlformats.org/officeDocument/2006/relationships/hyperlink" Target="https://stat.gov.pl/metainformacje/slownik-pojec/pojecia-stosowane-w-statystyce-publicznej/4103,pojecie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hyperlink" Target="https://stat.gov.pl/sygnalne/komunikaty-i-obwieszczenia/8,2021,kategoria.html" TargetMode="External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35" Type="http://schemas.openxmlformats.org/officeDocument/2006/relationships/hyperlink" Target="https://stat.gov.pl/metainformacje/slownik-pojec/pojecia-stosowane-w-statystyce-publicznej/4103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mfgus01a\d04\W8_Nieruchomo&#347;ci\9_Informacje_sygnalne\Obr&#243;t_nieruchomo&#347;ciami\2020\Wykresy_do_info_syg_obr&#243;t_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9_Informacje_sygnalne\Obr&#243;t_nieruchomo&#347;ciami\2020\Wykresy_do_info_syg_obr&#243;t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9_Informacje_sygnalne\Obr&#243;t_nieruchomo&#347;ciami\2020\Wykresy_do_info_syg_obr&#243;t_2020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nieruchomości lokalowe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wykres_1!$B$3:$B$19</c:f>
              <c:numCache>
                <c:formatCode>0.0</c:formatCode>
                <c:ptCount val="17"/>
                <c:pt idx="0">
                  <c:v>44.4</c:v>
                </c:pt>
                <c:pt idx="1">
                  <c:v>55.4</c:v>
                </c:pt>
                <c:pt idx="2">
                  <c:v>36.5</c:v>
                </c:pt>
                <c:pt idx="3">
                  <c:v>32.299999999999997</c:v>
                </c:pt>
                <c:pt idx="4">
                  <c:v>46.6</c:v>
                </c:pt>
                <c:pt idx="5">
                  <c:v>41</c:v>
                </c:pt>
                <c:pt idx="6">
                  <c:v>43.9</c:v>
                </c:pt>
                <c:pt idx="7">
                  <c:v>52.3</c:v>
                </c:pt>
                <c:pt idx="8">
                  <c:v>42.1</c:v>
                </c:pt>
                <c:pt idx="9">
                  <c:v>28</c:v>
                </c:pt>
                <c:pt idx="10">
                  <c:v>36.700000000000003</c:v>
                </c:pt>
                <c:pt idx="11">
                  <c:v>55.2</c:v>
                </c:pt>
                <c:pt idx="12">
                  <c:v>43.1</c:v>
                </c:pt>
                <c:pt idx="13">
                  <c:v>28.3</c:v>
                </c:pt>
                <c:pt idx="14">
                  <c:v>40.6</c:v>
                </c:pt>
                <c:pt idx="15">
                  <c:v>39.5</c:v>
                </c:pt>
                <c:pt idx="16">
                  <c:v>50.5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8A-4E03-A4F1-3DE1567C03BA}"/>
            </c:ext>
          </c:extLst>
        </c:ser>
        <c:ser>
          <c:idx val="1"/>
          <c:order val="1"/>
          <c:tx>
            <c:strRef>
              <c:f>wykres_1!$C$2</c:f>
              <c:strCache>
                <c:ptCount val="1"/>
                <c:pt idx="0">
                  <c:v>nieruchomości zabudowane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wykres_1!$C$3:$C$19</c:f>
              <c:numCache>
                <c:formatCode>0.0</c:formatCode>
                <c:ptCount val="17"/>
                <c:pt idx="0">
                  <c:v>16.5</c:v>
                </c:pt>
                <c:pt idx="1">
                  <c:v>13.7</c:v>
                </c:pt>
                <c:pt idx="2">
                  <c:v>18.100000000000001</c:v>
                </c:pt>
                <c:pt idx="3">
                  <c:v>16.899999999999999</c:v>
                </c:pt>
                <c:pt idx="4">
                  <c:v>16.2</c:v>
                </c:pt>
                <c:pt idx="5">
                  <c:v>17.2</c:v>
                </c:pt>
                <c:pt idx="6">
                  <c:v>14.4</c:v>
                </c:pt>
                <c:pt idx="7">
                  <c:v>15.3</c:v>
                </c:pt>
                <c:pt idx="8">
                  <c:v>19.5</c:v>
                </c:pt>
                <c:pt idx="9">
                  <c:v>15.8</c:v>
                </c:pt>
                <c:pt idx="10">
                  <c:v>19</c:v>
                </c:pt>
                <c:pt idx="11">
                  <c:v>11.8</c:v>
                </c:pt>
                <c:pt idx="12">
                  <c:v>24</c:v>
                </c:pt>
                <c:pt idx="13">
                  <c:v>21.3</c:v>
                </c:pt>
                <c:pt idx="14">
                  <c:v>15.4</c:v>
                </c:pt>
                <c:pt idx="15">
                  <c:v>17.899999999999999</c:v>
                </c:pt>
                <c:pt idx="16">
                  <c:v>13.1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8A-4E03-A4F1-3DE1567C03BA}"/>
            </c:ext>
          </c:extLst>
        </c:ser>
        <c:ser>
          <c:idx val="2"/>
          <c:order val="2"/>
          <c:tx>
            <c:strRef>
              <c:f>wykres_1!$D$2</c:f>
              <c:strCache>
                <c:ptCount val="1"/>
                <c:pt idx="0">
                  <c:v>nieruchomości niezabudowane</c:v>
                </c:pt>
              </c:strCache>
            </c:strRef>
          </c:tx>
          <c:spPr>
            <a:solidFill>
              <a:srgbClr val="AAA9A9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rgbClr val="AAA9A9"/>
              </a:solidFill>
              <a:ln>
                <a:solidFill>
                  <a:schemeClr val="accen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8A-4E03-A4F1-3DE1567C03BA}"/>
              </c:ext>
            </c:extLst>
          </c:dPt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wykres_1!$D$3:$D$19</c:f>
              <c:numCache>
                <c:formatCode>0.0</c:formatCode>
                <c:ptCount val="17"/>
                <c:pt idx="0">
                  <c:v>39.1</c:v>
                </c:pt>
                <c:pt idx="1">
                  <c:v>30.9</c:v>
                </c:pt>
                <c:pt idx="2">
                  <c:v>45.4</c:v>
                </c:pt>
                <c:pt idx="3">
                  <c:v>50.8</c:v>
                </c:pt>
                <c:pt idx="4">
                  <c:v>37.200000000000003</c:v>
                </c:pt>
                <c:pt idx="5">
                  <c:v>41.8</c:v>
                </c:pt>
                <c:pt idx="6">
                  <c:v>41.7</c:v>
                </c:pt>
                <c:pt idx="7">
                  <c:v>32.4</c:v>
                </c:pt>
                <c:pt idx="8">
                  <c:v>38.4</c:v>
                </c:pt>
                <c:pt idx="9">
                  <c:v>56.2</c:v>
                </c:pt>
                <c:pt idx="10">
                  <c:v>44.3</c:v>
                </c:pt>
                <c:pt idx="11">
                  <c:v>33</c:v>
                </c:pt>
                <c:pt idx="12">
                  <c:v>32.9</c:v>
                </c:pt>
                <c:pt idx="13">
                  <c:v>50.4</c:v>
                </c:pt>
                <c:pt idx="14">
                  <c:v>44</c:v>
                </c:pt>
                <c:pt idx="15">
                  <c:v>42.6</c:v>
                </c:pt>
                <c:pt idx="16">
                  <c:v>36.4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F8A-4E03-A4F1-3DE1567C03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8949360"/>
        <c:axId val="-28948816"/>
      </c:barChart>
      <c:catAx>
        <c:axId val="-2894936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8948816"/>
        <c:crosses val="autoZero"/>
        <c:auto val="1"/>
        <c:lblAlgn val="ctr"/>
        <c:lblOffset val="100"/>
        <c:noMultiLvlLbl val="0"/>
      </c:catAx>
      <c:valAx>
        <c:axId val="-2894881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94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8.7428273343766287E-3"/>
          <c:y val="7.554296506137866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5327878616111955E-2"/>
          <c:y val="9.0651558073654395E-2"/>
          <c:w val="0.94841234047621981"/>
          <c:h val="0.74847761593540185"/>
        </c:manualLayout>
      </c:layout>
      <c:lineChart>
        <c:grouping val="standard"/>
        <c:varyColors val="0"/>
        <c:ser>
          <c:idx val="1"/>
          <c:order val="1"/>
          <c:tx>
            <c:strRef>
              <c:f>wykres_2!$A$8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AAA9A9"/>
                </a:solidFill>
              </a:ln>
            </c:spPr>
          </c:marker>
          <c:cat>
            <c:numRef>
              <c:f>wykres_2!$B$7:$K$7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wykres_2!$B$8:$K$8</c:f>
              <c:numCache>
                <c:formatCode>0.0</c:formatCode>
                <c:ptCount val="10"/>
                <c:pt idx="0">
                  <c:v>9.9999999999994316E-2</c:v>
                </c:pt>
                <c:pt idx="1">
                  <c:v>-3.5</c:v>
                </c:pt>
                <c:pt idx="2">
                  <c:v>-4.2999999999999972</c:v>
                </c:pt>
                <c:pt idx="3">
                  <c:v>1</c:v>
                </c:pt>
                <c:pt idx="4">
                  <c:v>1.5</c:v>
                </c:pt>
                <c:pt idx="5">
                  <c:v>1.7999999999999972</c:v>
                </c:pt>
                <c:pt idx="6">
                  <c:v>3.7999999999999972</c:v>
                </c:pt>
                <c:pt idx="7">
                  <c:v>6.5</c:v>
                </c:pt>
                <c:pt idx="8">
                  <c:v>8.7000000000000028</c:v>
                </c:pt>
                <c:pt idx="9" formatCode="General">
                  <c:v>10.5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2AE-45E8-BC70-3C95C231A2B6}"/>
            </c:ext>
          </c:extLst>
        </c:ser>
        <c:ser>
          <c:idx val="2"/>
          <c:order val="2"/>
          <c:tx>
            <c:strRef>
              <c:f>wykres_2!$A$9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001D77"/>
                </a:solidFill>
              </a:ln>
            </c:spPr>
          </c:marker>
          <c:cat>
            <c:numRef>
              <c:f>wykres_2!$B$7:$K$7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wykres_2!$B$9:$K$9</c:f>
              <c:numCache>
                <c:formatCode>0.0</c:formatCode>
                <c:ptCount val="10"/>
                <c:pt idx="0">
                  <c:v>1.0999999999999943</c:v>
                </c:pt>
                <c:pt idx="1">
                  <c:v>-0.5</c:v>
                </c:pt>
                <c:pt idx="2">
                  <c:v>-4.9000000000000057</c:v>
                </c:pt>
                <c:pt idx="3">
                  <c:v>0.5</c:v>
                </c:pt>
                <c:pt idx="4">
                  <c:v>2.5999999999999943</c:v>
                </c:pt>
                <c:pt idx="5">
                  <c:v>1.0999999999999943</c:v>
                </c:pt>
                <c:pt idx="6">
                  <c:v>3.2000000000000028</c:v>
                </c:pt>
                <c:pt idx="7">
                  <c:v>5.5</c:v>
                </c:pt>
                <c:pt idx="8">
                  <c:v>6.7000000000000028</c:v>
                </c:pt>
                <c:pt idx="9" formatCode="General">
                  <c:v>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2AE-45E8-BC70-3C95C231A2B6}"/>
            </c:ext>
          </c:extLst>
        </c:ser>
        <c:ser>
          <c:idx val="3"/>
          <c:order val="3"/>
          <c:tx>
            <c:strRef>
              <c:f>wykres_2!$A$10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008542"/>
                </a:solidFill>
              </a:ln>
            </c:spPr>
          </c:marker>
          <c:cat>
            <c:numRef>
              <c:f>wykres_2!$B$7:$K$7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wykres_2!$B$10:$K$10</c:f>
              <c:numCache>
                <c:formatCode>0.0</c:formatCode>
                <c:ptCount val="10"/>
                <c:pt idx="0">
                  <c:v>-0.40000000000000568</c:v>
                </c:pt>
                <c:pt idx="1">
                  <c:v>-5.0999999999999943</c:v>
                </c:pt>
                <c:pt idx="2">
                  <c:v>-3.7000000000000028</c:v>
                </c:pt>
                <c:pt idx="3">
                  <c:v>1.2999999999999972</c:v>
                </c:pt>
                <c:pt idx="4">
                  <c:v>0.70000000000000284</c:v>
                </c:pt>
                <c:pt idx="5">
                  <c:v>2.5999999999999943</c:v>
                </c:pt>
                <c:pt idx="6">
                  <c:v>4.5</c:v>
                </c:pt>
                <c:pt idx="7">
                  <c:v>7.5999999999999943</c:v>
                </c:pt>
                <c:pt idx="8">
                  <c:v>10.400000000000006</c:v>
                </c:pt>
                <c:pt idx="9" formatCode="General">
                  <c:v>13.8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2AE-45E8-BC70-3C95C231A2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8945552"/>
        <c:axId val="-28947728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wykres_2!$A$7</c15:sqref>
                        </c15:formulaRef>
                      </c:ext>
                    </c:extLst>
                    <c:strCache>
                      <c:ptCount val="1"/>
                      <c:pt idx="0">
                        <c:v>zmiana w %</c:v>
                      </c:pt>
                    </c:strCache>
                  </c:strRef>
                </c:tx>
                <c:marker>
                  <c:symbol val="circle"/>
                  <c:size val="4"/>
                  <c:spPr>
                    <a:solidFill>
                      <a:sysClr val="window" lastClr="FFFFFF"/>
                    </a:solidFill>
                    <a:ln w="12700">
                      <a:solidFill>
                        <a:srgbClr val="AAA9A9"/>
                      </a:solidFill>
                    </a:ln>
                  </c:spPr>
                </c:marker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wykres_2!$B$7:$K$7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2011</c:v>
                      </c:pt>
                      <c:pt idx="1">
                        <c:v>2012</c:v>
                      </c:pt>
                      <c:pt idx="2">
                        <c:v>2013</c:v>
                      </c:pt>
                      <c:pt idx="3">
                        <c:v>2014</c:v>
                      </c:pt>
                      <c:pt idx="4">
                        <c:v>2015</c:v>
                      </c:pt>
                      <c:pt idx="5">
                        <c:v>2016</c:v>
                      </c:pt>
                      <c:pt idx="6">
                        <c:v>2017</c:v>
                      </c:pt>
                      <c:pt idx="7">
                        <c:v>2018</c:v>
                      </c:pt>
                      <c:pt idx="8">
                        <c:v>2019</c:v>
                      </c:pt>
                      <c:pt idx="9">
                        <c:v>2020</c:v>
                      </c:pt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wykres_2!$B$7:$K$7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2011</c:v>
                      </c:pt>
                      <c:pt idx="1">
                        <c:v>2012</c:v>
                      </c:pt>
                      <c:pt idx="2">
                        <c:v>2013</c:v>
                      </c:pt>
                      <c:pt idx="3">
                        <c:v>2014</c:v>
                      </c:pt>
                      <c:pt idx="4">
                        <c:v>2015</c:v>
                      </c:pt>
                      <c:pt idx="5">
                        <c:v>2016</c:v>
                      </c:pt>
                      <c:pt idx="6">
                        <c:v>2017</c:v>
                      </c:pt>
                      <c:pt idx="7">
                        <c:v>2018</c:v>
                      </c:pt>
                      <c:pt idx="8">
                        <c:v>2019</c:v>
                      </c:pt>
                      <c:pt idx="9">
                        <c:v>2020</c:v>
                      </c:pt>
                    </c:numCache>
                  </c:numRef>
                </c:val>
                <c:smooth val="0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3-F2AE-45E8-BC70-3C95C231A2B6}"/>
                  </c:ext>
                </c:extLst>
              </c15:ser>
            </c15:filteredLineSeries>
          </c:ext>
        </c:extLst>
      </c:lineChart>
      <c:catAx>
        <c:axId val="-2894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947728"/>
        <c:crosses val="autoZero"/>
        <c:auto val="0"/>
        <c:lblAlgn val="ctr"/>
        <c:lblOffset val="100"/>
        <c:noMultiLvlLbl val="0"/>
      </c:catAx>
      <c:valAx>
        <c:axId val="-28947728"/>
        <c:scaling>
          <c:orientation val="minMax"/>
          <c:max val="14"/>
          <c:min val="-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94555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703409145258849"/>
          <c:y val="0.91694821809751359"/>
          <c:w val="0.61089009466973931"/>
          <c:h val="6.95867908791472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2.1508839844257104E-3"/>
          <c:y val="4.539407193390162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1916420021965342E-2"/>
          <c:y val="5.5363637920894396E-2"/>
          <c:w val="0.95051856815770364"/>
          <c:h val="0.78376548109151334"/>
        </c:manualLayout>
      </c:layout>
      <c:lineChart>
        <c:grouping val="standard"/>
        <c:varyColors val="0"/>
        <c:ser>
          <c:idx val="1"/>
          <c:order val="1"/>
          <c:tx>
            <c:strRef>
              <c:f>wykres_3!$A$8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AAA9A9"/>
                </a:solidFill>
              </a:ln>
            </c:spPr>
          </c:marker>
          <c:cat>
            <c:numRef>
              <c:f>wykres_3!$B$7:$L$7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wykres_3!$B$8:$L$8</c:f>
              <c:numCache>
                <c:formatCode>0.0</c:formatCode>
                <c:ptCount val="11"/>
                <c:pt idx="0">
                  <c:v>5.5999999999999943</c:v>
                </c:pt>
                <c:pt idx="1">
                  <c:v>5.7000000000000028</c:v>
                </c:pt>
                <c:pt idx="2">
                  <c:v>2</c:v>
                </c:pt>
                <c:pt idx="3">
                  <c:v>-2.5</c:v>
                </c:pt>
                <c:pt idx="4">
                  <c:v>-1.5</c:v>
                </c:pt>
                <c:pt idx="5">
                  <c:v>0</c:v>
                </c:pt>
                <c:pt idx="6">
                  <c:v>1.9000000000000057</c:v>
                </c:pt>
                <c:pt idx="7">
                  <c:v>5.7999999999999972</c:v>
                </c:pt>
                <c:pt idx="8">
                  <c:v>12.700000000000003</c:v>
                </c:pt>
                <c:pt idx="9">
                  <c:v>22.5</c:v>
                </c:pt>
                <c:pt idx="10" formatCode="General">
                  <c:v>35.4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275-4B72-B764-D9C0C025EF9D}"/>
            </c:ext>
          </c:extLst>
        </c:ser>
        <c:ser>
          <c:idx val="2"/>
          <c:order val="2"/>
          <c:tx>
            <c:strRef>
              <c:f>wykres_3!$A$9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9050">
                <a:solidFill>
                  <a:srgbClr val="001D77"/>
                </a:solidFill>
              </a:ln>
            </c:spPr>
          </c:marker>
          <c:cat>
            <c:numRef>
              <c:f>wykres_3!$B$7:$L$7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wykres_3!$B$9:$L$9</c:f>
              <c:numCache>
                <c:formatCode>0.0</c:formatCode>
                <c:ptCount val="11"/>
                <c:pt idx="0">
                  <c:v>1.2999999999999972</c:v>
                </c:pt>
                <c:pt idx="1">
                  <c:v>2.4000000000000057</c:v>
                </c:pt>
                <c:pt idx="2">
                  <c:v>1.9000000000000057</c:v>
                </c:pt>
                <c:pt idx="3">
                  <c:v>-3</c:v>
                </c:pt>
                <c:pt idx="4">
                  <c:v>-2.5</c:v>
                </c:pt>
                <c:pt idx="5">
                  <c:v>0</c:v>
                </c:pt>
                <c:pt idx="6">
                  <c:v>1.0999999999999943</c:v>
                </c:pt>
                <c:pt idx="7">
                  <c:v>4.2999999999999972</c:v>
                </c:pt>
                <c:pt idx="8">
                  <c:v>10</c:v>
                </c:pt>
                <c:pt idx="9">
                  <c:v>17.400000000000006</c:v>
                </c:pt>
                <c:pt idx="10" formatCode="General">
                  <c:v>24.7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275-4B72-B764-D9C0C025EF9D}"/>
            </c:ext>
          </c:extLst>
        </c:ser>
        <c:ser>
          <c:idx val="3"/>
          <c:order val="3"/>
          <c:tx>
            <c:strRef>
              <c:f>wykres_3!$A$10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008542"/>
                </a:solidFill>
              </a:ln>
            </c:spPr>
          </c:marker>
          <c:cat>
            <c:numRef>
              <c:f>wykres_3!$B$7:$L$7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wykres_3!$B$10:$L$10</c:f>
              <c:numCache>
                <c:formatCode>0.0</c:formatCode>
                <c:ptCount val="11"/>
                <c:pt idx="0">
                  <c:v>7.7000000000000028</c:v>
                </c:pt>
                <c:pt idx="1">
                  <c:v>7.2999999999999972</c:v>
                </c:pt>
                <c:pt idx="2">
                  <c:v>1.9000000000000057</c:v>
                </c:pt>
                <c:pt idx="3">
                  <c:v>-1.9000000000000057</c:v>
                </c:pt>
                <c:pt idx="4">
                  <c:v>-0.70000000000000284</c:v>
                </c:pt>
                <c:pt idx="5">
                  <c:v>0</c:v>
                </c:pt>
                <c:pt idx="6">
                  <c:v>2.5</c:v>
                </c:pt>
                <c:pt idx="7">
                  <c:v>7.0999999999999943</c:v>
                </c:pt>
                <c:pt idx="8">
                  <c:v>15.200000000000003</c:v>
                </c:pt>
                <c:pt idx="9">
                  <c:v>27.200000000000003</c:v>
                </c:pt>
                <c:pt idx="10" formatCode="General">
                  <c:v>44.7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275-4B72-B764-D9C0C025EF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8948272"/>
        <c:axId val="-2894718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wykres_3!$A$7</c15:sqref>
                        </c15:formulaRef>
                      </c:ext>
                    </c:extLst>
                    <c:strCache>
                      <c:ptCount val="1"/>
                      <c:pt idx="0">
                        <c:v>zmiana w %</c:v>
                      </c:pt>
                    </c:strCache>
                  </c:strRef>
                </c:tx>
                <c:marker>
                  <c:symbol val="circle"/>
                  <c:size val="4"/>
                  <c:spPr>
                    <a:solidFill>
                      <a:sysClr val="window" lastClr="FFFFFF"/>
                    </a:solidFill>
                    <a:ln w="12700">
                      <a:solidFill>
                        <a:srgbClr val="AAA9A9"/>
                      </a:solidFill>
                    </a:ln>
                  </c:spPr>
                </c:marker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wykres_3!$B$7:$L$7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  <c:pt idx="6">
                        <c:v>2016</c:v>
                      </c:pt>
                      <c:pt idx="7">
                        <c:v>2017</c:v>
                      </c:pt>
                      <c:pt idx="8">
                        <c:v>2018</c:v>
                      </c:pt>
                      <c:pt idx="9">
                        <c:v>2019</c:v>
                      </c:pt>
                      <c:pt idx="10">
                        <c:v>2020</c:v>
                      </c:pt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wykres_3!$B$7:$L$7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  <c:pt idx="6">
                        <c:v>2016</c:v>
                      </c:pt>
                      <c:pt idx="7">
                        <c:v>2017</c:v>
                      </c:pt>
                      <c:pt idx="8">
                        <c:v>2018</c:v>
                      </c:pt>
                      <c:pt idx="9">
                        <c:v>2019</c:v>
                      </c:pt>
                      <c:pt idx="10">
                        <c:v>2020</c:v>
                      </c:pt>
                    </c:numCache>
                  </c:numRef>
                </c:val>
                <c:smooth val="0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3-F275-4B72-B764-D9C0C025EF9D}"/>
                  </c:ext>
                </c:extLst>
              </c15:ser>
            </c15:filteredLineSeries>
          </c:ext>
        </c:extLst>
      </c:lineChart>
      <c:catAx>
        <c:axId val="-2894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947184"/>
        <c:crosses val="autoZero"/>
        <c:auto val="0"/>
        <c:lblAlgn val="ctr"/>
        <c:lblOffset val="100"/>
        <c:noMultiLvlLbl val="0"/>
      </c:catAx>
      <c:valAx>
        <c:axId val="-28947184"/>
        <c:scaling>
          <c:orientation val="minMax"/>
          <c:max val="48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94827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Obrót_nieruchomości_w_2020.docx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A6E2DFA-553D-4C17-ABC8-F7AE7112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49C3C-0BDF-4BB6-B434-98461CC9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Obrót nieruchomościami w 2020 roku</dc:title>
  <dc:subject>Obrót nieruchomościami</dc:subject>
  <dc:creator>Główny Urząd Statystyczny</dc:creator>
  <cp:keywords>obrót nieruchomościami; sprzedaż nieruchomości; rynek nieruchomości; transakcje kupna sprzedaży nieruchomości; akty notarialne; wskaźniki cen lokali mieszkalnych</cp:keywords>
  <cp:lastPrinted>2021-07-23T08:39:00Z</cp:lastPrinted>
  <dcterms:created xsi:type="dcterms:W3CDTF">2021-07-23T12:44:00Z</dcterms:created>
  <dcterms:modified xsi:type="dcterms:W3CDTF">2021-07-23T12:44:00Z</dcterms:modified>
  <cp:category>Nieruchomości; budynki; infrastruktura komunalna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