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theme/themeOverride1.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2.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3.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drawings/drawing8.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drawings/drawing9.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49198" w14:textId="343B3FA0" w:rsidR="009F2047" w:rsidRDefault="00B16AF1" w:rsidP="00271E09">
      <w:pPr>
        <w:pStyle w:val="tytuinformacji"/>
        <w:spacing w:after="120"/>
        <w:rPr>
          <w:color w:val="auto"/>
          <w:sz w:val="20"/>
          <w:szCs w:val="20"/>
        </w:rPr>
      </w:pPr>
      <w:r>
        <w:rPr>
          <w:noProof/>
          <w:lang w:eastAsia="pl-PL"/>
        </w:rPr>
        <mc:AlternateContent>
          <mc:Choice Requires="wps">
            <w:drawing>
              <wp:anchor distT="45720" distB="45720" distL="114300" distR="114300" simplePos="0" relativeHeight="251778048" behindDoc="0" locked="0" layoutInCell="1" allowOverlap="1" wp14:anchorId="204BA55E" wp14:editId="1113D680">
                <wp:simplePos x="0" y="0"/>
                <wp:positionH relativeFrom="column">
                  <wp:posOffset>5287645</wp:posOffset>
                </wp:positionH>
                <wp:positionV relativeFrom="paragraph">
                  <wp:posOffset>571500</wp:posOffset>
                </wp:positionV>
                <wp:extent cx="1758315" cy="1127760"/>
                <wp:effectExtent l="0" t="0" r="0" b="0"/>
                <wp:wrapNone/>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1127760"/>
                        </a:xfrm>
                        <a:prstGeom prst="rect">
                          <a:avLst/>
                        </a:prstGeom>
                        <a:noFill/>
                        <a:ln w="9525">
                          <a:noFill/>
                          <a:miter lim="800000"/>
                          <a:headEnd/>
                          <a:tailEnd/>
                        </a:ln>
                      </wps:spPr>
                      <wps:txbx>
                        <w:txbxContent>
                          <w:p w14:paraId="4E6AA4FF" w14:textId="77777777" w:rsidR="004F7C9F" w:rsidRPr="00330E56" w:rsidRDefault="004F7C9F" w:rsidP="00D47534">
                            <w:pPr>
                              <w:suppressAutoHyphens/>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4BA55E" id="_x0000_t202" coordsize="21600,21600" o:spt="202" path="m,l,21600r21600,l21600,xe">
                <v:stroke joinstyle="miter"/>
                <v:path gradientshapeok="t" o:connecttype="rect"/>
              </v:shapetype>
              <v:shape id="Pole tekstowe 2" o:spid="_x0000_s1026" type="#_x0000_t202" style="position:absolute;margin-left:416.35pt;margin-top:45pt;width:138.45pt;height:88.8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" filled="f" stroked="f">
                <v:textbox>
                  <w:txbxContent>
                    <w:p w14:paraId="4E6AA4FF" w14:textId="77777777" w:rsidR="004F7C9F" w:rsidRPr="00330E56" w:rsidRDefault="004F7C9F" w:rsidP="00D47534">
                      <w:pPr>
                        <w:suppressAutoHyphens/>
                        <w:rPr>
                          <w:color w:val="001D77"/>
                          <w:sz w:val="18"/>
                        </w:rPr>
                      </w:pPr>
                    </w:p>
                  </w:txbxContent>
                </v:textbox>
              </v:shape>
            </w:pict>
          </mc:Fallback>
        </mc:AlternateContent>
      </w:r>
      <w:r>
        <w:rPr>
          <w:noProof/>
          <w:szCs w:val="19"/>
          <w:lang w:eastAsia="pl-PL"/>
        </w:rPr>
        <mc:AlternateContent>
          <mc:Choice Requires="wps">
            <w:drawing>
              <wp:anchor distT="45720" distB="45720" distL="114300" distR="114300" simplePos="0" relativeHeight="251776000" behindDoc="0" locked="0" layoutInCell="1" allowOverlap="1" wp14:anchorId="4118ADB0" wp14:editId="6ACC13D3">
                <wp:simplePos x="0" y="0"/>
                <wp:positionH relativeFrom="column">
                  <wp:posOffset>5213350</wp:posOffset>
                </wp:positionH>
                <wp:positionV relativeFrom="paragraph">
                  <wp:posOffset>40005</wp:posOffset>
                </wp:positionV>
                <wp:extent cx="1758315" cy="396240"/>
                <wp:effectExtent l="0" t="0" r="0" b="0"/>
                <wp:wrapNone/>
                <wp:docPr id="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396240"/>
                        </a:xfrm>
                        <a:prstGeom prst="rect">
                          <a:avLst/>
                        </a:prstGeom>
                        <a:noFill/>
                        <a:ln w="9525">
                          <a:noFill/>
                          <a:miter lim="800000"/>
                          <a:headEnd/>
                          <a:tailEnd/>
                        </a:ln>
                      </wps:spPr>
                      <wps:txbx>
                        <w:txbxContent>
                          <w:p w14:paraId="3D72849C" w14:textId="77777777" w:rsidR="004F7C9F" w:rsidRPr="00330E56" w:rsidRDefault="004F7C9F">
                            <w:pPr>
                              <w:rPr>
                                <w:rFonts w:ascii="Fira Sans SemiBold" w:hAnsi="Fira Sans SemiBold"/>
                                <w:color w:val="001D77"/>
                              </w:rPr>
                            </w:pPr>
                            <w:r>
                              <w:rPr>
                                <w:rFonts w:ascii="Fira Sans SemiBold" w:hAnsi="Fira Sans SemiBold"/>
                                <w:color w:val="001D77"/>
                              </w:rPr>
                              <w:t>30</w:t>
                            </w:r>
                            <w:r w:rsidRPr="00330E56">
                              <w:rPr>
                                <w:rFonts w:ascii="Fira Sans SemiBold" w:hAnsi="Fira Sans SemiBold"/>
                                <w:color w:val="001D77"/>
                              </w:rPr>
                              <w:t>.0</w:t>
                            </w:r>
                            <w:r>
                              <w:rPr>
                                <w:rFonts w:ascii="Fira Sans SemiBold" w:hAnsi="Fira Sans SemiBold"/>
                                <w:color w:val="001D77"/>
                              </w:rPr>
                              <w:t>6</w:t>
                            </w:r>
                            <w:r w:rsidRPr="00330E56">
                              <w:rPr>
                                <w:rFonts w:ascii="Fira Sans SemiBold" w:hAnsi="Fira Sans SemiBold"/>
                                <w:color w:val="001D77"/>
                              </w:rPr>
                              <w:t>.20</w:t>
                            </w:r>
                            <w:r w:rsidR="00526DF2">
                              <w:rPr>
                                <w:rFonts w:ascii="Fira Sans SemiBold" w:hAnsi="Fira Sans SemiBold"/>
                                <w:color w:val="001D77"/>
                              </w:rPr>
                              <w:t>21</w:t>
                            </w:r>
                            <w:r w:rsidRPr="00330E56">
                              <w:rPr>
                                <w:rFonts w:ascii="Fira Sans SemiBold" w:hAnsi="Fira Sans SemiBold"/>
                                <w:color w:val="001D77"/>
                              </w:rPr>
                              <w:t xml:space="preserve"> 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18ADB0" id="_x0000_s1027" type="#_x0000_t202" style="position:absolute;margin-left:410.5pt;margin-top:3.15pt;width:138.45pt;height:31.2pt;z-index:251776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" filled="f" stroked="f">
                <v:textbox style="mso-fit-shape-to-text:t">
                  <w:txbxContent>
                    <w:p w14:paraId="3D72849C" w14:textId="77777777" w:rsidR="004F7C9F" w:rsidRPr="00330E56" w:rsidRDefault="004F7C9F">
                      <w:pPr>
                        <w:rPr>
                          <w:rFonts w:ascii="Fira Sans SemiBold" w:hAnsi="Fira Sans SemiBold"/>
                          <w:color w:val="001D77"/>
                        </w:rPr>
                      </w:pPr>
                      <w:r>
                        <w:rPr>
                          <w:rFonts w:ascii="Fira Sans SemiBold" w:hAnsi="Fira Sans SemiBold"/>
                          <w:color w:val="001D77"/>
                        </w:rPr>
                        <w:t>30</w:t>
                      </w:r>
                      <w:r w:rsidRPr="00330E56">
                        <w:rPr>
                          <w:rFonts w:ascii="Fira Sans SemiBold" w:hAnsi="Fira Sans SemiBold"/>
                          <w:color w:val="001D77"/>
                        </w:rPr>
                        <w:t>.0</w:t>
                      </w:r>
                      <w:r>
                        <w:rPr>
                          <w:rFonts w:ascii="Fira Sans SemiBold" w:hAnsi="Fira Sans SemiBold"/>
                          <w:color w:val="001D77"/>
                        </w:rPr>
                        <w:t>6</w:t>
                      </w:r>
                      <w:r w:rsidRPr="00330E56">
                        <w:rPr>
                          <w:rFonts w:ascii="Fira Sans SemiBold" w:hAnsi="Fira Sans SemiBold"/>
                          <w:color w:val="001D77"/>
                        </w:rPr>
                        <w:t>.20</w:t>
                      </w:r>
                      <w:r w:rsidR="00526DF2">
                        <w:rPr>
                          <w:rFonts w:ascii="Fira Sans SemiBold" w:hAnsi="Fira Sans SemiBold"/>
                          <w:color w:val="001D77"/>
                        </w:rPr>
                        <w:t>21</w:t>
                      </w:r>
                      <w:r w:rsidRPr="00330E56">
                        <w:rPr>
                          <w:rFonts w:ascii="Fira Sans SemiBold" w:hAnsi="Fira Sans SemiBold"/>
                          <w:color w:val="001D77"/>
                        </w:rPr>
                        <w:t xml:space="preserve"> r.</w:t>
                      </w:r>
                    </w:p>
                  </w:txbxContent>
                </v:textbox>
              </v:shape>
            </w:pict>
          </mc:Fallback>
        </mc:AlternateContent>
      </w:r>
      <w:r w:rsidR="00F93B25" w:rsidRPr="00F93B25">
        <w:t>Zasięg ubós</w:t>
      </w:r>
      <w:r w:rsidR="00526DF2">
        <w:t>twa ekonomicznego w Polsce w 2020</w:t>
      </w:r>
      <w:r w:rsidR="00F93B25" w:rsidRPr="00F93B25">
        <w:t xml:space="preserve"> r.</w:t>
      </w:r>
      <w:r w:rsidR="009C156D">
        <w:br/>
      </w:r>
      <w:r w:rsidR="00650F9C" w:rsidRPr="00F510DE">
        <w:rPr>
          <w:sz w:val="20"/>
          <w:szCs w:val="20"/>
        </w:rPr>
        <w:t xml:space="preserve">(na podstawie wyników badania </w:t>
      </w:r>
      <w:r w:rsidR="00650F9C" w:rsidRPr="00F510DE">
        <w:rPr>
          <w:color w:val="auto"/>
          <w:sz w:val="20"/>
          <w:szCs w:val="20"/>
        </w:rPr>
        <w:t>budżetów gospodarstw domowych)</w:t>
      </w:r>
    </w:p>
    <w:p w14:paraId="22672832" w14:textId="77777777" w:rsidR="009F2047" w:rsidRPr="00F510DE" w:rsidRDefault="009F2047" w:rsidP="00271E09">
      <w:pPr>
        <w:pStyle w:val="tytuinformacji"/>
        <w:spacing w:after="120"/>
        <w:rPr>
          <w:color w:val="auto"/>
          <w:sz w:val="20"/>
          <w:szCs w:val="20"/>
        </w:rPr>
      </w:pPr>
    </w:p>
    <w:p w14:paraId="74AEE52F" w14:textId="77777777" w:rsidR="001E44F7" w:rsidRDefault="00D5188B" w:rsidP="007F184E">
      <w:pPr>
        <w:pStyle w:val="LID"/>
      </w:pPr>
      <w:r>
        <w:rPr>
          <w:highlight w:val="yellow"/>
        </w:rPr>
        <mc:AlternateContent>
          <mc:Choice Requires="wps">
            <w:drawing>
              <wp:anchor distT="45720" distB="45720" distL="114300" distR="114300" simplePos="0" relativeHeight="251772928" behindDoc="1" locked="0" layoutInCell="1" allowOverlap="1" wp14:anchorId="32216C28" wp14:editId="473F0097">
                <wp:simplePos x="0" y="0"/>
                <wp:positionH relativeFrom="margin">
                  <wp:posOffset>3810</wp:posOffset>
                </wp:positionH>
                <wp:positionV relativeFrom="paragraph">
                  <wp:posOffset>48260</wp:posOffset>
                </wp:positionV>
                <wp:extent cx="1207770" cy="1284605"/>
                <wp:effectExtent l="0" t="0" r="0" b="0"/>
                <wp:wrapTight wrapText="bothSides">
                  <wp:wrapPolygon edited="0">
                    <wp:start x="0" y="0"/>
                    <wp:lineTo x="0" y="21141"/>
                    <wp:lineTo x="21123" y="21141"/>
                    <wp:lineTo x="21123" y="0"/>
                    <wp:lineTo x="0" y="0"/>
                  </wp:wrapPolygon>
                </wp:wrapTight>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7770" cy="1284605"/>
                        </a:xfrm>
                        <a:prstGeom prst="rect">
                          <a:avLst/>
                        </a:prstGeom>
                        <a:solidFill>
                          <a:srgbClr val="001D77"/>
                        </a:solidFill>
                        <a:ln w="9525">
                          <a:noFill/>
                          <a:miter lim="800000"/>
                          <a:headEnd/>
                          <a:tailEnd/>
                        </a:ln>
                      </wps:spPr>
                      <wps:txbx>
                        <w:txbxContent>
                          <w:p w14:paraId="1C0FC29D" w14:textId="77777777" w:rsidR="004F7C9F" w:rsidRPr="00D538E4" w:rsidRDefault="004F7C9F" w:rsidP="00815D0F">
                            <w:pPr>
                              <w:spacing w:before="60" w:after="0" w:line="240" w:lineRule="auto"/>
                              <w:rPr>
                                <w:rFonts w:ascii="Fira Sans SemiBold" w:hAnsi="Fira Sans SemiBold"/>
                                <w:color w:val="FFFFFF" w:themeColor="background1"/>
                                <w:sz w:val="72"/>
                              </w:rPr>
                            </w:pPr>
                            <w:r w:rsidRPr="00D538E4">
                              <w:rPr>
                                <w:noProof/>
                                <w:color w:val="001D77"/>
                                <w:lang w:eastAsia="pl-PL"/>
                              </w:rPr>
                              <w:t xml:space="preserve"> </w:t>
                            </w:r>
                            <w:r w:rsidR="004C0AF5">
                              <w:rPr>
                                <w:rFonts w:ascii="Fira Sans SemiBold" w:hAnsi="Fira Sans SemiBold"/>
                                <w:color w:val="FFFFFF" w:themeColor="background1"/>
                                <w:sz w:val="72"/>
                              </w:rPr>
                              <w:t>5</w:t>
                            </w:r>
                            <w:r>
                              <w:rPr>
                                <w:rFonts w:ascii="Fira Sans SemiBold" w:hAnsi="Fira Sans SemiBold"/>
                                <w:color w:val="FFFFFF" w:themeColor="background1"/>
                                <w:sz w:val="72"/>
                              </w:rPr>
                              <w:t>,2%</w:t>
                            </w:r>
                          </w:p>
                          <w:p w14:paraId="23A9B650" w14:textId="77777777" w:rsidR="004F7C9F" w:rsidRPr="00D538E4" w:rsidRDefault="004F7C9F" w:rsidP="00D538E4">
                            <w:pPr>
                              <w:pStyle w:val="tekstnaniebieskimtle"/>
                              <w:rPr>
                                <w:color w:val="FFFFFF" w:themeColor="background1"/>
                                <w:sz w:val="18"/>
                                <w:szCs w:val="20"/>
                              </w:rPr>
                            </w:pPr>
                            <w:r>
                              <w:t>Zasięg ubóstwa skrajnego w Polsce w 20</w:t>
                            </w:r>
                            <w:r w:rsidR="00F86119">
                              <w:t>20</w:t>
                            </w:r>
                            <w:r>
                              <w:t xml:space="preserve"> r.</w:t>
                            </w:r>
                            <w:r w:rsidRPr="00D538E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216C28" id="_x0000_s1028" type="#_x0000_t202" style="position:absolute;left:0;text-align:left;margin-left:.3pt;margin-top:3.8pt;width:95.1pt;height:101.15pt;z-index:-251543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" fillcolor="#001d77" stroked="f">
                <v:textbox>
                  <w:txbxContent>
                    <w:p w14:paraId="1C0FC29D" w14:textId="77777777" w:rsidR="004F7C9F" w:rsidRPr="00D538E4" w:rsidRDefault="004F7C9F" w:rsidP="00815D0F">
                      <w:pPr>
                        <w:spacing w:before="60" w:after="0" w:line="240" w:lineRule="auto"/>
                        <w:rPr>
                          <w:rFonts w:ascii="Fira Sans SemiBold" w:hAnsi="Fira Sans SemiBold"/>
                          <w:color w:val="FFFFFF" w:themeColor="background1"/>
                          <w:sz w:val="72"/>
                        </w:rPr>
                      </w:pPr>
                      <w:r w:rsidRPr="00D538E4">
                        <w:rPr>
                          <w:noProof/>
                          <w:color w:val="001D77"/>
                          <w:lang w:eastAsia="pl-PL"/>
                        </w:rPr>
                        <w:t xml:space="preserve"> </w:t>
                      </w:r>
                      <w:r w:rsidR="004C0AF5">
                        <w:rPr>
                          <w:rFonts w:ascii="Fira Sans SemiBold" w:hAnsi="Fira Sans SemiBold"/>
                          <w:color w:val="FFFFFF" w:themeColor="background1"/>
                          <w:sz w:val="72"/>
                        </w:rPr>
                        <w:t>5</w:t>
                      </w:r>
                      <w:r>
                        <w:rPr>
                          <w:rFonts w:ascii="Fira Sans SemiBold" w:hAnsi="Fira Sans SemiBold"/>
                          <w:color w:val="FFFFFF" w:themeColor="background1"/>
                          <w:sz w:val="72"/>
                        </w:rPr>
                        <w:t>,2%</w:t>
                      </w:r>
                    </w:p>
                    <w:p w14:paraId="23A9B650" w14:textId="77777777" w:rsidR="004F7C9F" w:rsidRPr="00D538E4" w:rsidRDefault="004F7C9F" w:rsidP="00D538E4">
                      <w:pPr>
                        <w:pStyle w:val="tekstnaniebieskimtle"/>
                        <w:rPr>
                          <w:color w:val="FFFFFF" w:themeColor="background1"/>
                          <w:sz w:val="18"/>
                          <w:szCs w:val="20"/>
                        </w:rPr>
                      </w:pPr>
                      <w:r>
                        <w:t>Zasięg ubóstwa skrajnego w Polsce w 20</w:t>
                      </w:r>
                      <w:r w:rsidR="00F86119">
                        <w:t>20</w:t>
                      </w:r>
                      <w:r>
                        <w:t xml:space="preserve"> r.</w:t>
                      </w:r>
                      <w:r w:rsidRPr="00D538E4">
                        <w:t xml:space="preserve"> </w:t>
                      </w:r>
                    </w:p>
                  </w:txbxContent>
                </v:textbox>
                <w10:wrap type="tight" anchorx="margin"/>
              </v:shape>
            </w:pict>
          </mc:Fallback>
        </mc:AlternateContent>
      </w:r>
      <w:r w:rsidRPr="000B192E">
        <w:t>W 2020 r. odnotowano</w:t>
      </w:r>
      <w:r w:rsidR="001E44F7">
        <w:t xml:space="preserve"> wzrost odsetka osób skrajnie ubogich</w:t>
      </w:r>
      <w:r w:rsidRPr="000B192E">
        <w:t xml:space="preserve"> z ok.</w:t>
      </w:r>
      <w:r w:rsidR="007B5CBB">
        <w:t xml:space="preserve"> </w:t>
      </w:r>
      <w:r w:rsidRPr="000B192E">
        <w:t>4% osób w 2019 r. do ok.</w:t>
      </w:r>
      <w:r w:rsidR="001E44F7">
        <w:t xml:space="preserve"> </w:t>
      </w:r>
      <w:r w:rsidRPr="000B192E">
        <w:t xml:space="preserve">5% </w:t>
      </w:r>
      <w:r w:rsidR="001E44F7">
        <w:t>przy wyraźnym spadku poziomu wydatków gospodarstw domowych</w:t>
      </w:r>
      <w:r w:rsidRPr="000B192E">
        <w:t>. Pogorszenie się sytuacji materialnej części gospodarstw domowych i wzrost ubóstwa skrajnego</w:t>
      </w:r>
      <w:r w:rsidR="006F42BD">
        <w:t xml:space="preserve"> </w:t>
      </w:r>
      <w:r w:rsidR="002A647B">
        <w:t>w Polsce</w:t>
      </w:r>
      <w:r w:rsidRPr="000B192E">
        <w:t xml:space="preserve"> wiąże się z wprowadzeniem </w:t>
      </w:r>
      <w:r w:rsidR="002D606E">
        <w:t>od marca</w:t>
      </w:r>
      <w:r w:rsidRPr="000B192E">
        <w:t xml:space="preserve"> 2020 r. zamrożenia części gospodarki i</w:t>
      </w:r>
      <w:r w:rsidR="007C79FF">
        <w:t> </w:t>
      </w:r>
      <w:r w:rsidRPr="000B192E">
        <w:t xml:space="preserve">ograniczeń w kontaktach społecznych, </w:t>
      </w:r>
      <w:r w:rsidR="001E44F7">
        <w:t>w odpowiedzi na</w:t>
      </w:r>
      <w:r w:rsidRPr="000B192E">
        <w:t xml:space="preserve"> pojawienie się w Polsce koronawirusa </w:t>
      </w:r>
      <w:r w:rsidR="006F42BD">
        <w:t xml:space="preserve">i </w:t>
      </w:r>
      <w:r w:rsidR="001E44F7">
        <w:t xml:space="preserve">rozwój </w:t>
      </w:r>
      <w:r w:rsidR="006F42BD">
        <w:t xml:space="preserve">pandemii </w:t>
      </w:r>
      <w:r w:rsidRPr="000B192E">
        <w:t xml:space="preserve">COVID 19. Wyższy niż w 2019 r. poziom ubóstwa skrajnego dotyczył większości branych pod uwagę grup ludności, przy czym poziom i tempo zmian były zróżnicowane. Nie wpłynęło to jednak na zmianę obrazu społecznego zróżnicowania zasięgu </w:t>
      </w:r>
      <w:r w:rsidR="006F42BD">
        <w:t>ubóstwa skrajnego</w:t>
      </w:r>
      <w:r w:rsidRPr="000B192E">
        <w:t xml:space="preserve"> w Polsce.</w:t>
      </w:r>
    </w:p>
    <w:p w14:paraId="6DC1A2FF" w14:textId="749B2DBD" w:rsidR="00D5188B" w:rsidRDefault="00DD5B9B" w:rsidP="007F184E">
      <w:pPr>
        <w:pStyle w:val="LID"/>
      </w:pPr>
      <w:r w:rsidRPr="00DD5B9B">
        <w:t>Wartość wskaźnika zasięgu ubóstwa relatywnego spadła do ok.</w:t>
      </w:r>
      <w:r w:rsidR="00666ECA">
        <w:t xml:space="preserve"> </w:t>
      </w:r>
      <w:r w:rsidRPr="00DD5B9B">
        <w:t>12% (o ok.</w:t>
      </w:r>
      <w:r w:rsidR="00F93C39">
        <w:t xml:space="preserve"> </w:t>
      </w:r>
      <w:r w:rsidRPr="00DD5B9B">
        <w:t>1 p.</w:t>
      </w:r>
      <w:r w:rsidR="000D3C59">
        <w:t xml:space="preserve"> </w:t>
      </w:r>
      <w:r w:rsidRPr="00DD5B9B">
        <w:t>proc.) a</w:t>
      </w:r>
      <w:r w:rsidR="007C79FF">
        <w:t> </w:t>
      </w:r>
      <w:r w:rsidRPr="00DD5B9B">
        <w:t>wskaźnika ubóstwa ustawowego pozostała na poziomie ok.</w:t>
      </w:r>
      <w:r w:rsidR="00EA5DBF">
        <w:t xml:space="preserve"> </w:t>
      </w:r>
      <w:r w:rsidRPr="00DD5B9B">
        <w:t>9%.</w:t>
      </w:r>
    </w:p>
    <w:p w14:paraId="38970D3E" w14:textId="6CDA296C" w:rsidR="003279D3" w:rsidRPr="00F93B25" w:rsidRDefault="00B841AF" w:rsidP="001B2ADE">
      <w:pPr>
        <w:spacing w:before="240" w:line="240" w:lineRule="auto"/>
        <w:rPr>
          <w:rFonts w:ascii="Fira Sans SemiBold" w:eastAsia="Times New Roman" w:hAnsi="Fira Sans SemiBold" w:cs="Times New Roman"/>
          <w:bCs/>
          <w:color w:val="001D77"/>
          <w:szCs w:val="24"/>
          <w:shd w:val="clear" w:color="auto" w:fill="FFFFFF"/>
          <w:lang w:eastAsia="pl-PL"/>
        </w:rPr>
      </w:pPr>
      <w:r>
        <w:rPr>
          <w:rFonts w:ascii="Fira Sans SemiBold" w:eastAsia="Times New Roman" w:hAnsi="Fira Sans SemiBold" w:cs="Times New Roman"/>
          <w:b/>
          <w:bCs/>
          <w:color w:val="001D77"/>
          <w:szCs w:val="24"/>
          <w:shd w:val="clear" w:color="auto" w:fill="FFFFFF"/>
          <w:lang w:eastAsia="pl-PL"/>
        </w:rPr>
        <w:t>Z</w:t>
      </w:r>
      <w:r w:rsidR="00693CA3" w:rsidRPr="00693CA3">
        <w:rPr>
          <w:rFonts w:ascii="Fira Sans SemiBold" w:eastAsia="Times New Roman" w:hAnsi="Fira Sans SemiBold" w:cs="Times New Roman"/>
          <w:b/>
          <w:bCs/>
          <w:color w:val="001D77"/>
          <w:szCs w:val="24"/>
          <w:shd w:val="clear" w:color="auto" w:fill="FFFFFF"/>
          <w:lang w:eastAsia="pl-PL"/>
        </w:rPr>
        <w:t>as</w:t>
      </w:r>
      <w:r w:rsidR="00E651E3">
        <w:rPr>
          <w:rFonts w:ascii="Fira Sans SemiBold" w:eastAsia="Times New Roman" w:hAnsi="Fira Sans SemiBold" w:cs="Times New Roman"/>
          <w:b/>
          <w:bCs/>
          <w:color w:val="001D77"/>
          <w:szCs w:val="24"/>
          <w:shd w:val="clear" w:color="auto" w:fill="FFFFFF"/>
          <w:lang w:eastAsia="pl-PL"/>
        </w:rPr>
        <w:t>ięg ubóstwa ekonomicznego w 20</w:t>
      </w:r>
      <w:r w:rsidR="00C4278C">
        <w:rPr>
          <w:rFonts w:ascii="Fira Sans SemiBold" w:eastAsia="Times New Roman" w:hAnsi="Fira Sans SemiBold" w:cs="Times New Roman"/>
          <w:b/>
          <w:bCs/>
          <w:color w:val="001D77"/>
          <w:szCs w:val="24"/>
          <w:shd w:val="clear" w:color="auto" w:fill="FFFFFF"/>
          <w:lang w:eastAsia="pl-PL"/>
        </w:rPr>
        <w:t>20</w:t>
      </w:r>
      <w:r w:rsidR="00693CA3" w:rsidRPr="00693CA3">
        <w:rPr>
          <w:rFonts w:ascii="Fira Sans SemiBold" w:eastAsia="Times New Roman" w:hAnsi="Fira Sans SemiBold" w:cs="Times New Roman"/>
          <w:b/>
          <w:bCs/>
          <w:color w:val="001D77"/>
          <w:szCs w:val="24"/>
          <w:shd w:val="clear" w:color="auto" w:fill="FFFFFF"/>
          <w:lang w:eastAsia="pl-PL"/>
        </w:rPr>
        <w:t xml:space="preserve"> r. </w:t>
      </w:r>
      <w:r w:rsidR="0095033A">
        <w:rPr>
          <w:rFonts w:ascii="Fira Sans SemiBold" w:eastAsia="Times New Roman" w:hAnsi="Fira Sans SemiBold" w:cs="Times New Roman"/>
          <w:b/>
          <w:bCs/>
          <w:color w:val="001D77"/>
          <w:szCs w:val="24"/>
          <w:shd w:val="clear" w:color="auto" w:fill="FFFFFF"/>
          <w:lang w:eastAsia="pl-PL"/>
        </w:rPr>
        <w:t xml:space="preserve">Jakie zmiany </w:t>
      </w:r>
      <w:r w:rsidR="00693CA3" w:rsidRPr="00693CA3">
        <w:rPr>
          <w:rFonts w:ascii="Fira Sans SemiBold" w:eastAsia="Times New Roman" w:hAnsi="Fira Sans SemiBold" w:cs="Times New Roman"/>
          <w:b/>
          <w:bCs/>
          <w:color w:val="001D77"/>
          <w:szCs w:val="24"/>
          <w:shd w:val="clear" w:color="auto" w:fill="FFFFFF"/>
          <w:lang w:eastAsia="pl-PL"/>
        </w:rPr>
        <w:t xml:space="preserve">nastąpiły </w:t>
      </w:r>
      <w:r w:rsidR="0095033A">
        <w:rPr>
          <w:rFonts w:ascii="Fira Sans SemiBold" w:eastAsia="Times New Roman" w:hAnsi="Fira Sans SemiBold" w:cs="Times New Roman"/>
          <w:b/>
          <w:bCs/>
          <w:color w:val="001D77"/>
          <w:szCs w:val="24"/>
          <w:shd w:val="clear" w:color="auto" w:fill="FFFFFF"/>
          <w:lang w:eastAsia="pl-PL"/>
        </w:rPr>
        <w:t>w czasie jeśli chodzi o</w:t>
      </w:r>
      <w:r w:rsidR="00F65469">
        <w:rPr>
          <w:rFonts w:ascii="Fira Sans SemiBold" w:eastAsia="Times New Roman" w:hAnsi="Fira Sans SemiBold" w:cs="Times New Roman"/>
          <w:b/>
          <w:bCs/>
          <w:color w:val="001D77"/>
          <w:szCs w:val="24"/>
          <w:shd w:val="clear" w:color="auto" w:fill="FFFFFF"/>
          <w:lang w:eastAsia="pl-PL"/>
        </w:rPr>
        <w:t> </w:t>
      </w:r>
      <w:r w:rsidR="0095033A">
        <w:rPr>
          <w:rFonts w:ascii="Fira Sans SemiBold" w:eastAsia="Times New Roman" w:hAnsi="Fira Sans SemiBold" w:cs="Times New Roman"/>
          <w:b/>
          <w:bCs/>
          <w:color w:val="001D77"/>
          <w:szCs w:val="24"/>
          <w:shd w:val="clear" w:color="auto" w:fill="FFFFFF"/>
          <w:lang w:eastAsia="pl-PL"/>
        </w:rPr>
        <w:t>granice i zasięg ubóstwa</w:t>
      </w:r>
      <w:r w:rsidR="00693CA3" w:rsidRPr="00693CA3">
        <w:rPr>
          <w:rFonts w:ascii="Fira Sans SemiBold" w:eastAsia="Times New Roman" w:hAnsi="Fira Sans SemiBold" w:cs="Times New Roman"/>
          <w:b/>
          <w:bCs/>
          <w:color w:val="001D77"/>
          <w:szCs w:val="24"/>
          <w:shd w:val="clear" w:color="auto" w:fill="FFFFFF"/>
          <w:lang w:eastAsia="pl-PL"/>
        </w:rPr>
        <w:t>?</w:t>
      </w:r>
    </w:p>
    <w:p w14:paraId="15E3E010" w14:textId="77777777" w:rsidR="00C4278C" w:rsidRPr="00C4278C" w:rsidRDefault="001B2ADE" w:rsidP="00DD7A58">
      <w:pPr>
        <w:spacing w:after="240" w:line="240" w:lineRule="auto"/>
        <w:rPr>
          <w:noProof/>
          <w:szCs w:val="19"/>
          <w:lang w:eastAsia="pl-PL"/>
        </w:rPr>
      </w:pPr>
      <w:r w:rsidRPr="00F531E1">
        <w:rPr>
          <w:noProof/>
          <w:color w:val="001D77"/>
          <w:szCs w:val="19"/>
          <w:lang w:eastAsia="pl-PL"/>
        </w:rPr>
        <mc:AlternateContent>
          <mc:Choice Requires="wps">
            <w:drawing>
              <wp:anchor distT="45720" distB="45720" distL="114300" distR="114300" simplePos="0" relativeHeight="251827200" behindDoc="0" locked="0" layoutInCell="1" allowOverlap="1" wp14:anchorId="57067453" wp14:editId="2DA97B54">
                <wp:simplePos x="0" y="0"/>
                <wp:positionH relativeFrom="margin">
                  <wp:posOffset>5290457</wp:posOffset>
                </wp:positionH>
                <wp:positionV relativeFrom="paragraph">
                  <wp:posOffset>258396</wp:posOffset>
                </wp:positionV>
                <wp:extent cx="1617199" cy="1310640"/>
                <wp:effectExtent l="0" t="0" r="0" b="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199" cy="1310640"/>
                        </a:xfrm>
                        <a:prstGeom prst="rect">
                          <a:avLst/>
                        </a:prstGeom>
                        <a:noFill/>
                        <a:ln w="9525">
                          <a:noFill/>
                          <a:miter lim="800000"/>
                          <a:headEnd/>
                          <a:tailEnd/>
                        </a:ln>
                      </wps:spPr>
                      <wps:txbx>
                        <w:txbxContent>
                          <w:p w14:paraId="33AEEC1B" w14:textId="77777777" w:rsidR="000630B9" w:rsidRPr="00330E56" w:rsidRDefault="000630B9" w:rsidP="000630B9">
                            <w:pPr>
                              <w:suppressAutoHyphens/>
                              <w:rPr>
                                <w:color w:val="001D77"/>
                                <w:sz w:val="18"/>
                              </w:rPr>
                            </w:pPr>
                            <w:r>
                              <w:rPr>
                                <w:color w:val="001D77"/>
                                <w:sz w:val="18"/>
                              </w:rPr>
                              <w:t xml:space="preserve">W 2020 r. </w:t>
                            </w:r>
                            <w:r w:rsidR="00227BED">
                              <w:rPr>
                                <w:color w:val="001D77"/>
                                <w:sz w:val="18"/>
                              </w:rPr>
                              <w:t>wy</w:t>
                            </w:r>
                            <w:r>
                              <w:rPr>
                                <w:color w:val="001D77"/>
                                <w:sz w:val="18"/>
                              </w:rPr>
                              <w:t xml:space="preserve">stąpił wzrost zasięgu ubóstwa skrajnego (o 1 p. proc.), spadek zasięgu ubóstwa relatywnego (o ponad </w:t>
                            </w:r>
                            <w:r w:rsidR="006C71AC">
                              <w:rPr>
                                <w:color w:val="001D77"/>
                                <w:sz w:val="18"/>
                              </w:rPr>
                              <w:t xml:space="preserve">       </w:t>
                            </w:r>
                            <w:r>
                              <w:rPr>
                                <w:color w:val="001D77"/>
                                <w:sz w:val="18"/>
                              </w:rPr>
                              <w:t>1 p. proc.), natomiast zasięg</w:t>
                            </w:r>
                            <w:r w:rsidR="00334978">
                              <w:rPr>
                                <w:color w:val="001D77"/>
                                <w:sz w:val="18"/>
                              </w:rPr>
                              <w:t xml:space="preserve"> tzw. </w:t>
                            </w:r>
                            <w:r>
                              <w:rPr>
                                <w:color w:val="001D77"/>
                                <w:sz w:val="18"/>
                              </w:rPr>
                              <w:t xml:space="preserve">ubóstwa ustawowego pozostał na </w:t>
                            </w:r>
                            <w:r w:rsidR="0057773F">
                              <w:rPr>
                                <w:color w:val="001D77"/>
                                <w:sz w:val="18"/>
                              </w:rPr>
                              <w:t>zbliżonym poziomie w</w:t>
                            </w:r>
                            <w:r w:rsidR="006C71AC">
                              <w:rPr>
                                <w:color w:val="001D77"/>
                                <w:sz w:val="18"/>
                              </w:rPr>
                              <w:t> </w:t>
                            </w:r>
                            <w:r w:rsidR="00227BED">
                              <w:rPr>
                                <w:color w:val="001D77"/>
                                <w:sz w:val="18"/>
                              </w:rPr>
                              <w:t>porównaniu</w:t>
                            </w:r>
                            <w:r w:rsidR="0057773F">
                              <w:rPr>
                                <w:color w:val="001D77"/>
                                <w:sz w:val="18"/>
                              </w:rPr>
                              <w:t xml:space="preserve"> do 2019 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067453" id="_x0000_s1029" type="#_x0000_t202" style="position:absolute;margin-left:416.55pt;margin-top:20.35pt;width:127.35pt;height:103.2pt;z-index:2518272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" filled="f" stroked="f">
                <v:textbox style="mso-fit-shape-to-text:t">
                  <w:txbxContent>
                    <w:p w14:paraId="33AEEC1B" w14:textId="77777777" w:rsidR="000630B9" w:rsidRPr="00330E56" w:rsidRDefault="000630B9" w:rsidP="000630B9">
                      <w:pPr>
                        <w:suppressAutoHyphens/>
                        <w:rPr>
                          <w:color w:val="001D77"/>
                          <w:sz w:val="18"/>
                        </w:rPr>
                      </w:pPr>
                      <w:r>
                        <w:rPr>
                          <w:color w:val="001D77"/>
                          <w:sz w:val="18"/>
                        </w:rPr>
                        <w:t xml:space="preserve">W 2020 r. </w:t>
                      </w:r>
                      <w:r w:rsidR="00227BED">
                        <w:rPr>
                          <w:color w:val="001D77"/>
                          <w:sz w:val="18"/>
                        </w:rPr>
                        <w:t>wy</w:t>
                      </w:r>
                      <w:r>
                        <w:rPr>
                          <w:color w:val="001D77"/>
                          <w:sz w:val="18"/>
                        </w:rPr>
                        <w:t xml:space="preserve">stąpił wzrost zasięgu ubóstwa skrajnego (o 1 p. proc.), spadek zasięgu ubóstwa relatywnego (o ponad </w:t>
                      </w:r>
                      <w:r w:rsidR="006C71AC">
                        <w:rPr>
                          <w:color w:val="001D77"/>
                          <w:sz w:val="18"/>
                        </w:rPr>
                        <w:t xml:space="preserve">       </w:t>
                      </w:r>
                      <w:r>
                        <w:rPr>
                          <w:color w:val="001D77"/>
                          <w:sz w:val="18"/>
                        </w:rPr>
                        <w:t>1 p. proc.), natomiast zasięg</w:t>
                      </w:r>
                      <w:r w:rsidR="00334978">
                        <w:rPr>
                          <w:color w:val="001D77"/>
                          <w:sz w:val="18"/>
                        </w:rPr>
                        <w:t xml:space="preserve"> tzw. </w:t>
                      </w:r>
                      <w:r>
                        <w:rPr>
                          <w:color w:val="001D77"/>
                          <w:sz w:val="18"/>
                        </w:rPr>
                        <w:t xml:space="preserve">ubóstwa ustawowego pozostał na </w:t>
                      </w:r>
                      <w:r w:rsidR="0057773F">
                        <w:rPr>
                          <w:color w:val="001D77"/>
                          <w:sz w:val="18"/>
                        </w:rPr>
                        <w:t>zbliżonym poziomie w</w:t>
                      </w:r>
                      <w:r w:rsidR="006C71AC">
                        <w:rPr>
                          <w:color w:val="001D77"/>
                          <w:sz w:val="18"/>
                        </w:rPr>
                        <w:t> </w:t>
                      </w:r>
                      <w:r w:rsidR="00227BED">
                        <w:rPr>
                          <w:color w:val="001D77"/>
                          <w:sz w:val="18"/>
                        </w:rPr>
                        <w:t>porównaniu</w:t>
                      </w:r>
                      <w:r w:rsidR="0057773F">
                        <w:rPr>
                          <w:color w:val="001D77"/>
                          <w:sz w:val="18"/>
                        </w:rPr>
                        <w:t xml:space="preserve"> do 2019 r. </w:t>
                      </w:r>
                    </w:p>
                  </w:txbxContent>
                </v:textbox>
                <w10:wrap anchorx="margin"/>
              </v:shape>
            </w:pict>
          </mc:Fallback>
        </mc:AlternateContent>
      </w:r>
      <w:r w:rsidR="00C4278C" w:rsidRPr="00C4278C">
        <w:rPr>
          <w:noProof/>
          <w:szCs w:val="19"/>
          <w:lang w:eastAsia="pl-PL"/>
        </w:rPr>
        <w:t>GUS regularnie, co rok, oblicza i publikuje wskaźniki dotyczące zasięgu ubóstwa</w:t>
      </w:r>
      <w:r w:rsidR="00930F95">
        <w:rPr>
          <w:noProof/>
          <w:szCs w:val="19"/>
          <w:lang w:eastAsia="pl-PL"/>
        </w:rPr>
        <w:t xml:space="preserve"> </w:t>
      </w:r>
      <w:r w:rsidR="00C4278C" w:rsidRPr="00C4278C">
        <w:rPr>
          <w:noProof/>
          <w:szCs w:val="19"/>
          <w:lang w:eastAsia="pl-PL"/>
        </w:rPr>
        <w:t xml:space="preserve">ekonomicznego </w:t>
      </w:r>
      <w:r w:rsidR="00930F95">
        <w:rPr>
          <w:noProof/>
          <w:szCs w:val="19"/>
          <w:lang w:eastAsia="pl-PL"/>
        </w:rPr>
        <w:t xml:space="preserve">(tzw. stopa ubóstwa) </w:t>
      </w:r>
      <w:r w:rsidR="00C4278C" w:rsidRPr="00C4278C">
        <w:rPr>
          <w:noProof/>
          <w:szCs w:val="19"/>
          <w:lang w:eastAsia="pl-PL"/>
        </w:rPr>
        <w:t>w Polsce opierając się na wynikach badań budżetów gospodarstw domowych</w:t>
      </w:r>
      <w:r w:rsidR="00C4278C" w:rsidRPr="00C4278C">
        <w:rPr>
          <w:noProof/>
          <w:szCs w:val="19"/>
          <w:vertAlign w:val="superscript"/>
          <w:lang w:eastAsia="pl-PL"/>
        </w:rPr>
        <w:footnoteReference w:id="1"/>
      </w:r>
      <w:r w:rsidR="00C4278C" w:rsidRPr="00C4278C">
        <w:rPr>
          <w:noProof/>
          <w:szCs w:val="19"/>
          <w:lang w:eastAsia="pl-PL"/>
        </w:rPr>
        <w:t>. Prezentowane wskaźniki są danymi średniorocznymi. W</w:t>
      </w:r>
      <w:r w:rsidR="00125CCD">
        <w:rPr>
          <w:noProof/>
          <w:szCs w:val="19"/>
          <w:lang w:eastAsia="pl-PL"/>
        </w:rPr>
        <w:t> </w:t>
      </w:r>
      <w:r w:rsidR="00C4278C" w:rsidRPr="00C4278C">
        <w:rPr>
          <w:noProof/>
          <w:szCs w:val="19"/>
          <w:lang w:eastAsia="pl-PL"/>
        </w:rPr>
        <w:t>obliczeniach uwzględnione zostały trzy różne progi (granice) ubóstwa: granica ubóstwa skrajnego, relatywnego oraz ustawowa granica ubóstwa. Za ubogie uznane zostały osoby żyjące w gospodarstwach domowych, w których poziom wydatków</w:t>
      </w:r>
      <w:r w:rsidR="000E375E">
        <w:rPr>
          <w:rStyle w:val="Odwoanieprzypisudolnego"/>
          <w:noProof/>
          <w:szCs w:val="19"/>
          <w:lang w:eastAsia="pl-PL"/>
        </w:rPr>
        <w:footnoteReference w:id="2"/>
      </w:r>
      <w:r w:rsidR="00C4278C" w:rsidRPr="00C4278C">
        <w:rPr>
          <w:noProof/>
          <w:szCs w:val="19"/>
          <w:lang w:eastAsia="pl-PL"/>
        </w:rPr>
        <w:t xml:space="preserve"> był niższy od przyjętych progów ubóstwa.</w:t>
      </w:r>
    </w:p>
    <w:p w14:paraId="621785CD" w14:textId="1D912CBF" w:rsidR="00125CCD" w:rsidRPr="007C79FF" w:rsidRDefault="00125CCD" w:rsidP="00DD7A58">
      <w:pPr>
        <w:spacing w:after="240" w:line="240" w:lineRule="auto"/>
        <w:rPr>
          <w:noProof/>
          <w:szCs w:val="19"/>
          <w:lang w:eastAsia="pl-PL"/>
        </w:rPr>
      </w:pPr>
      <w:r w:rsidRPr="007C79FF">
        <w:rPr>
          <w:noProof/>
          <w:szCs w:val="19"/>
          <w:lang w:eastAsia="pl-PL"/>
        </w:rPr>
        <w:t>•</w:t>
      </w:r>
      <w:r w:rsidRPr="007C79FF">
        <w:rPr>
          <w:noProof/>
          <w:szCs w:val="19"/>
          <w:lang w:eastAsia="pl-PL"/>
        </w:rPr>
        <w:tab/>
        <w:t>Podstawę wyznaczania granicy ubóstwa skrajnego stanowi minimum egzystencji szacowane przez Instytut Pracy i Spraw Socjalnych (IPiSS). Kategoria minimum egzystencji wyznacza bardzo niski poziom zaspokojenia potrzeb. Konsumpcja poniżej tego poziomu utrudnia przeżycie i stanowi zagrożenie dla psychofizycznego rozwoju człowieka. W 2020 r. stopa ubóstwa skrajnego wyniosła 5,2%, to jest o 1 p.</w:t>
      </w:r>
      <w:r w:rsidR="000D3C59">
        <w:rPr>
          <w:noProof/>
          <w:szCs w:val="19"/>
          <w:lang w:eastAsia="pl-PL"/>
        </w:rPr>
        <w:t xml:space="preserve"> </w:t>
      </w:r>
      <w:r w:rsidRPr="007C79FF">
        <w:rPr>
          <w:noProof/>
          <w:szCs w:val="19"/>
          <w:lang w:eastAsia="pl-PL"/>
        </w:rPr>
        <w:t>proc. więcej niż w 2019 r.</w:t>
      </w:r>
    </w:p>
    <w:p w14:paraId="3B74E7F5" w14:textId="77777777" w:rsidR="00125CCD" w:rsidRPr="007C79FF" w:rsidRDefault="00125CCD" w:rsidP="00DD7A58">
      <w:pPr>
        <w:spacing w:after="240" w:line="240" w:lineRule="auto"/>
        <w:rPr>
          <w:noProof/>
          <w:szCs w:val="19"/>
          <w:lang w:eastAsia="pl-PL"/>
        </w:rPr>
      </w:pPr>
      <w:r w:rsidRPr="007C79FF">
        <w:rPr>
          <w:noProof/>
          <w:szCs w:val="19"/>
          <w:lang w:eastAsia="pl-PL"/>
        </w:rPr>
        <w:t>•</w:t>
      </w:r>
      <w:r w:rsidRPr="007C79FF">
        <w:rPr>
          <w:noProof/>
          <w:szCs w:val="19"/>
          <w:lang w:eastAsia="pl-PL"/>
        </w:rPr>
        <w:tab/>
        <w:t>Uwzględnienie tzw. granicy ustawowej wskazuje na grupę osób, które zgodnie z obowiązującymi przepisami są potencjalnie uprawnione do ubiegania się o przyznanie świadczenia pieniężnego z pomocy społecznej. W 2020 r. zasięg ubóstwa ustawowego wyniósł 9,1%. Kształtował się więc na prawie takim samym poziomie jak w 2019 r. (9,0%).</w:t>
      </w:r>
    </w:p>
    <w:p w14:paraId="0EF37DB8" w14:textId="656E6723" w:rsidR="00125CCD" w:rsidRPr="007C79FF" w:rsidRDefault="00125CCD" w:rsidP="00DD7A58">
      <w:pPr>
        <w:spacing w:after="240" w:line="240" w:lineRule="auto"/>
        <w:rPr>
          <w:noProof/>
          <w:szCs w:val="19"/>
          <w:lang w:eastAsia="pl-PL"/>
        </w:rPr>
      </w:pPr>
      <w:r w:rsidRPr="007C79FF">
        <w:rPr>
          <w:noProof/>
          <w:szCs w:val="19"/>
          <w:lang w:eastAsia="pl-PL"/>
        </w:rPr>
        <w:t>•</w:t>
      </w:r>
      <w:r w:rsidRPr="007C79FF">
        <w:rPr>
          <w:noProof/>
          <w:szCs w:val="19"/>
          <w:lang w:eastAsia="pl-PL"/>
        </w:rPr>
        <w:tab/>
      </w:r>
      <w:r w:rsidR="002D606E" w:rsidRPr="002D606E">
        <w:rPr>
          <w:noProof/>
          <w:szCs w:val="19"/>
          <w:lang w:eastAsia="pl-PL"/>
        </w:rPr>
        <w:t>Zastosowanie relatywnej granicy ubóstwa na poziomie 50% kwoty, którą średnio w miesiącu wydają gospodarstwa domowe</w:t>
      </w:r>
      <w:r w:rsidR="002D606E" w:rsidRPr="002D606E">
        <w:rPr>
          <w:noProof/>
          <w:szCs w:val="19"/>
          <w:vertAlign w:val="superscript"/>
          <w:lang w:eastAsia="pl-PL"/>
        </w:rPr>
        <w:footnoteReference w:id="3"/>
      </w:r>
      <w:r w:rsidR="002D606E" w:rsidRPr="002D606E">
        <w:rPr>
          <w:noProof/>
          <w:szCs w:val="19"/>
          <w:lang w:eastAsia="pl-PL"/>
        </w:rPr>
        <w:t xml:space="preserve"> w Polsce umożliwia wyodrębnienie tych gospodarstw i osób, których poziom konsumpcji znacząco odbiega od poziomu przeciętnego. Według tego kryterium w 2020 r. stopa ubóstwa relatywnego wyniosła 11,8%</w:t>
      </w:r>
      <w:r w:rsidR="00422417">
        <w:rPr>
          <w:noProof/>
          <w:szCs w:val="19"/>
          <w:lang w:eastAsia="pl-PL"/>
        </w:rPr>
        <w:t>,</w:t>
      </w:r>
      <w:r w:rsidR="002D606E" w:rsidRPr="002D606E">
        <w:rPr>
          <w:noProof/>
          <w:szCs w:val="19"/>
          <w:lang w:eastAsia="pl-PL"/>
        </w:rPr>
        <w:t xml:space="preserve"> czyli o ponad 1 p.</w:t>
      </w:r>
      <w:r w:rsidR="000D3C59">
        <w:rPr>
          <w:noProof/>
          <w:szCs w:val="19"/>
          <w:lang w:eastAsia="pl-PL"/>
        </w:rPr>
        <w:t xml:space="preserve"> </w:t>
      </w:r>
      <w:r w:rsidR="002D606E" w:rsidRPr="002D606E">
        <w:rPr>
          <w:noProof/>
          <w:szCs w:val="19"/>
          <w:lang w:eastAsia="pl-PL"/>
        </w:rPr>
        <w:t>proc. mniej niż w roku poprzednim (13,0%).</w:t>
      </w:r>
    </w:p>
    <w:p w14:paraId="2E2ABBE9" w14:textId="77777777" w:rsidR="00125CCD" w:rsidRDefault="00125CCD" w:rsidP="00DD7A58">
      <w:pPr>
        <w:spacing w:after="240" w:line="259" w:lineRule="auto"/>
        <w:rPr>
          <w:rFonts w:eastAsia="Times New Roman" w:cs="Times New Roman"/>
          <w:bCs/>
          <w:szCs w:val="24"/>
          <w:shd w:val="clear" w:color="auto" w:fill="FFFFFF"/>
          <w:lang w:eastAsia="pl-PL"/>
        </w:rPr>
      </w:pPr>
      <w:r w:rsidRPr="007C79FF">
        <w:rPr>
          <w:rFonts w:eastAsia="Times New Roman" w:cs="Times New Roman"/>
          <w:bCs/>
          <w:szCs w:val="24"/>
          <w:shd w:val="clear" w:color="auto" w:fill="FFFFFF"/>
          <w:lang w:eastAsia="pl-PL"/>
        </w:rPr>
        <w:t>Odnotowany w 2020 r. jednopunktowy wzrost odsetka osób skrajnie ubogich miał miejsce przy nieco wyższym poziomie granic ubóstwa niż w 2019 r. W przypadku ubóstwa ustawowego poziom granic w 2020 r. był taki sam jak w 2019 r., natomiast odnotowany w 2020 r. spadek ubóstwa relatywnego nastąpił przy niższym poziomie progów ubóstwa niż w 2019 r.</w:t>
      </w:r>
    </w:p>
    <w:p w14:paraId="387798BC" w14:textId="77777777" w:rsidR="00E565EA" w:rsidRDefault="00E565EA" w:rsidP="001B2ADE">
      <w:pPr>
        <w:spacing w:line="259" w:lineRule="auto"/>
        <w:rPr>
          <w:rFonts w:eastAsia="Times New Roman" w:cs="Times New Roman"/>
          <w:bCs/>
          <w:szCs w:val="24"/>
          <w:shd w:val="clear" w:color="auto" w:fill="FFFFFF"/>
          <w:lang w:eastAsia="pl-PL"/>
        </w:rPr>
      </w:pPr>
    </w:p>
    <w:p w14:paraId="5F2B3BE3" w14:textId="77777777" w:rsidR="00F91C76" w:rsidRDefault="00F91C76" w:rsidP="001B2ADE">
      <w:pPr>
        <w:spacing w:line="259" w:lineRule="auto"/>
        <w:rPr>
          <w:rFonts w:eastAsia="Times New Roman" w:cs="Times New Roman"/>
          <w:bCs/>
          <w:szCs w:val="24"/>
          <w:shd w:val="clear" w:color="auto" w:fill="FFFFFF"/>
          <w:lang w:eastAsia="pl-PL"/>
        </w:rPr>
      </w:pPr>
    </w:p>
    <w:p w14:paraId="18A55A45" w14:textId="77777777" w:rsidR="00FC2590" w:rsidRPr="00AC6C54" w:rsidRDefault="00FC2590" w:rsidP="00FC2590">
      <w:pPr>
        <w:spacing w:after="0" w:line="240" w:lineRule="auto"/>
        <w:rPr>
          <w:noProof/>
          <w:sz w:val="18"/>
          <w:szCs w:val="18"/>
          <w:lang w:eastAsia="pl-PL"/>
        </w:rPr>
      </w:pPr>
      <w:r w:rsidRPr="00AC6C54">
        <w:rPr>
          <w:b/>
          <w:bCs/>
          <w:color w:val="000000"/>
          <w:sz w:val="18"/>
          <w:szCs w:val="18"/>
          <w:lang w:eastAsia="pl-PL"/>
        </w:rPr>
        <w:t xml:space="preserve">Wykres </w:t>
      </w:r>
      <w:r>
        <w:rPr>
          <w:b/>
          <w:bCs/>
          <w:color w:val="000000"/>
          <w:sz w:val="18"/>
          <w:szCs w:val="18"/>
          <w:lang w:eastAsia="pl-PL"/>
        </w:rPr>
        <w:t>1</w:t>
      </w:r>
      <w:r w:rsidRPr="00AC6C54">
        <w:rPr>
          <w:b/>
          <w:bCs/>
          <w:color w:val="000000"/>
          <w:sz w:val="18"/>
          <w:szCs w:val="18"/>
          <w:lang w:eastAsia="pl-PL"/>
        </w:rPr>
        <w:t xml:space="preserve">. </w:t>
      </w:r>
      <w:r w:rsidRPr="00C342F0">
        <w:rPr>
          <w:b/>
          <w:bCs/>
          <w:color w:val="000000"/>
          <w:sz w:val="18"/>
          <w:szCs w:val="18"/>
          <w:lang w:eastAsia="pl-PL"/>
        </w:rPr>
        <w:t xml:space="preserve">Granice </w:t>
      </w:r>
      <w:proofErr w:type="spellStart"/>
      <w:r w:rsidRPr="00C342F0">
        <w:rPr>
          <w:b/>
          <w:bCs/>
          <w:color w:val="000000"/>
          <w:sz w:val="18"/>
          <w:szCs w:val="18"/>
          <w:lang w:eastAsia="pl-PL"/>
        </w:rPr>
        <w:t>ubóstwa</w:t>
      </w:r>
      <w:r>
        <w:rPr>
          <w:b/>
          <w:bCs/>
          <w:color w:val="000000"/>
          <w:sz w:val="18"/>
          <w:szCs w:val="18"/>
          <w:vertAlign w:val="superscript"/>
          <w:lang w:eastAsia="pl-PL"/>
        </w:rPr>
        <w:t>a</w:t>
      </w:r>
      <w:proofErr w:type="spellEnd"/>
      <w:r w:rsidRPr="00C342F0">
        <w:rPr>
          <w:b/>
          <w:bCs/>
          <w:color w:val="000000"/>
          <w:sz w:val="18"/>
          <w:szCs w:val="18"/>
          <w:lang w:eastAsia="pl-PL"/>
        </w:rPr>
        <w:t xml:space="preserve"> dla wybranych typów gospodarstw w latach 2019-2020</w:t>
      </w:r>
    </w:p>
    <w:p w14:paraId="1A84C4A3" w14:textId="77777777" w:rsidR="00E565EA" w:rsidRDefault="00FC2590" w:rsidP="001B2ADE">
      <w:pPr>
        <w:spacing w:line="259" w:lineRule="auto"/>
        <w:rPr>
          <w:rFonts w:eastAsia="Times New Roman" w:cs="Times New Roman"/>
          <w:bCs/>
          <w:szCs w:val="24"/>
          <w:shd w:val="clear" w:color="auto" w:fill="FFFFFF"/>
          <w:lang w:eastAsia="pl-PL"/>
        </w:rPr>
      </w:pPr>
      <w:r w:rsidRPr="000C2E6A">
        <w:rPr>
          <w:noProof/>
          <w:color w:val="001D77"/>
          <w:szCs w:val="19"/>
          <w:highlight w:val="yellow"/>
          <w:lang w:eastAsia="pl-PL"/>
        </w:rPr>
        <mc:AlternateContent>
          <mc:Choice Requires="wps">
            <w:drawing>
              <wp:anchor distT="45720" distB="45720" distL="114300" distR="114300" simplePos="0" relativeHeight="251829248" behindDoc="0" locked="0" layoutInCell="1" allowOverlap="1" wp14:anchorId="59ED23ED" wp14:editId="79880FD7">
                <wp:simplePos x="0" y="0"/>
                <wp:positionH relativeFrom="margin">
                  <wp:posOffset>5365456</wp:posOffset>
                </wp:positionH>
                <wp:positionV relativeFrom="paragraph">
                  <wp:posOffset>285018</wp:posOffset>
                </wp:positionV>
                <wp:extent cx="1595609" cy="1512000"/>
                <wp:effectExtent l="0" t="0" r="0" b="0"/>
                <wp:wrapNone/>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5609" cy="1512000"/>
                        </a:xfrm>
                        <a:prstGeom prst="rect">
                          <a:avLst/>
                        </a:prstGeom>
                        <a:noFill/>
                        <a:ln w="9525">
                          <a:noFill/>
                          <a:miter lim="800000"/>
                          <a:headEnd/>
                          <a:tailEnd/>
                        </a:ln>
                      </wps:spPr>
                      <wps:txbx>
                        <w:txbxContent>
                          <w:p w14:paraId="3E759381" w14:textId="77777777" w:rsidR="0057773F" w:rsidRPr="00330E56" w:rsidRDefault="0057773F" w:rsidP="0057773F">
                            <w:pPr>
                              <w:suppressAutoHyphens/>
                              <w:rPr>
                                <w:color w:val="001D77"/>
                                <w:sz w:val="18"/>
                              </w:rPr>
                            </w:pPr>
                            <w:r>
                              <w:rPr>
                                <w:color w:val="001D77"/>
                                <w:sz w:val="18"/>
                              </w:rPr>
                              <w:t xml:space="preserve">W 2020 r. </w:t>
                            </w:r>
                            <w:r w:rsidR="00C52893">
                              <w:rPr>
                                <w:color w:val="001D77"/>
                                <w:sz w:val="18"/>
                              </w:rPr>
                              <w:t>wzr</w:t>
                            </w:r>
                            <w:r w:rsidR="00AC76BB">
                              <w:rPr>
                                <w:color w:val="001D77"/>
                                <w:sz w:val="18"/>
                              </w:rPr>
                              <w:t>ósł poziom</w:t>
                            </w:r>
                            <w:r w:rsidR="005C6682">
                              <w:rPr>
                                <w:color w:val="001D77"/>
                                <w:sz w:val="18"/>
                              </w:rPr>
                              <w:t xml:space="preserve"> progu</w:t>
                            </w:r>
                            <w:r w:rsidR="00C52893">
                              <w:rPr>
                                <w:color w:val="001D77"/>
                                <w:sz w:val="18"/>
                              </w:rPr>
                              <w:t xml:space="preserve"> ubóstwa skrajnego, </w:t>
                            </w:r>
                            <w:r w:rsidR="005C6682">
                              <w:rPr>
                                <w:color w:val="001D77"/>
                                <w:sz w:val="18"/>
                              </w:rPr>
                              <w:t xml:space="preserve">obniżył się poziom </w:t>
                            </w:r>
                            <w:r w:rsidR="00C52893">
                              <w:rPr>
                                <w:color w:val="001D77"/>
                                <w:sz w:val="18"/>
                              </w:rPr>
                              <w:t>granic</w:t>
                            </w:r>
                            <w:r w:rsidR="005C6682">
                              <w:rPr>
                                <w:color w:val="001D77"/>
                                <w:sz w:val="18"/>
                              </w:rPr>
                              <w:t>y</w:t>
                            </w:r>
                            <w:r w:rsidR="00C52893">
                              <w:rPr>
                                <w:color w:val="001D77"/>
                                <w:sz w:val="18"/>
                              </w:rPr>
                              <w:t xml:space="preserve"> ubóstwa relatywnego, natomiast </w:t>
                            </w:r>
                            <w:r w:rsidR="00AC76BB">
                              <w:rPr>
                                <w:color w:val="001D77"/>
                                <w:sz w:val="18"/>
                              </w:rPr>
                              <w:t xml:space="preserve">poziom </w:t>
                            </w:r>
                            <w:r w:rsidR="00C52893">
                              <w:rPr>
                                <w:color w:val="001D77"/>
                                <w:sz w:val="18"/>
                              </w:rPr>
                              <w:t>granic</w:t>
                            </w:r>
                            <w:r w:rsidR="00AC76BB">
                              <w:rPr>
                                <w:color w:val="001D77"/>
                                <w:sz w:val="18"/>
                              </w:rPr>
                              <w:t>y</w:t>
                            </w:r>
                            <w:r w:rsidR="00C52893">
                              <w:rPr>
                                <w:color w:val="001D77"/>
                                <w:sz w:val="18"/>
                              </w:rPr>
                              <w:t xml:space="preserve"> ubóstwa ustawowego nie zmienił się w stosunku do 2019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ED23ED" id="_x0000_s1030" type="#_x0000_t202" style="position:absolute;margin-left:422.5pt;margin-top:22.45pt;width:125.65pt;height:119.05pt;z-index:251829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" filled="f" stroked="f">
                <v:textbox>
                  <w:txbxContent>
                    <w:p w14:paraId="3E759381" w14:textId="77777777" w:rsidR="0057773F" w:rsidRPr="00330E56" w:rsidRDefault="0057773F" w:rsidP="0057773F">
                      <w:pPr>
                        <w:suppressAutoHyphens/>
                        <w:rPr>
                          <w:color w:val="001D77"/>
                          <w:sz w:val="18"/>
                        </w:rPr>
                      </w:pPr>
                      <w:r>
                        <w:rPr>
                          <w:color w:val="001D77"/>
                          <w:sz w:val="18"/>
                        </w:rPr>
                        <w:t xml:space="preserve">W 2020 r. </w:t>
                      </w:r>
                      <w:r w:rsidR="00C52893">
                        <w:rPr>
                          <w:color w:val="001D77"/>
                          <w:sz w:val="18"/>
                        </w:rPr>
                        <w:t>wzr</w:t>
                      </w:r>
                      <w:r w:rsidR="00AC76BB">
                        <w:rPr>
                          <w:color w:val="001D77"/>
                          <w:sz w:val="18"/>
                        </w:rPr>
                        <w:t>ósł poziom</w:t>
                      </w:r>
                      <w:r w:rsidR="005C6682">
                        <w:rPr>
                          <w:color w:val="001D77"/>
                          <w:sz w:val="18"/>
                        </w:rPr>
                        <w:t xml:space="preserve"> progu</w:t>
                      </w:r>
                      <w:r w:rsidR="00C52893">
                        <w:rPr>
                          <w:color w:val="001D77"/>
                          <w:sz w:val="18"/>
                        </w:rPr>
                        <w:t xml:space="preserve"> ubóstwa skrajnego, </w:t>
                      </w:r>
                      <w:r w:rsidR="005C6682">
                        <w:rPr>
                          <w:color w:val="001D77"/>
                          <w:sz w:val="18"/>
                        </w:rPr>
                        <w:t xml:space="preserve">obniżył się poziom </w:t>
                      </w:r>
                      <w:r w:rsidR="00C52893">
                        <w:rPr>
                          <w:color w:val="001D77"/>
                          <w:sz w:val="18"/>
                        </w:rPr>
                        <w:t>granic</w:t>
                      </w:r>
                      <w:r w:rsidR="005C6682">
                        <w:rPr>
                          <w:color w:val="001D77"/>
                          <w:sz w:val="18"/>
                        </w:rPr>
                        <w:t>y</w:t>
                      </w:r>
                      <w:r w:rsidR="00C52893">
                        <w:rPr>
                          <w:color w:val="001D77"/>
                          <w:sz w:val="18"/>
                        </w:rPr>
                        <w:t xml:space="preserve"> ubóstwa relatywnego, natomiast </w:t>
                      </w:r>
                      <w:r w:rsidR="00AC76BB">
                        <w:rPr>
                          <w:color w:val="001D77"/>
                          <w:sz w:val="18"/>
                        </w:rPr>
                        <w:t xml:space="preserve">poziom </w:t>
                      </w:r>
                      <w:r w:rsidR="00C52893">
                        <w:rPr>
                          <w:color w:val="001D77"/>
                          <w:sz w:val="18"/>
                        </w:rPr>
                        <w:t>granic</w:t>
                      </w:r>
                      <w:r w:rsidR="00AC76BB">
                        <w:rPr>
                          <w:color w:val="001D77"/>
                          <w:sz w:val="18"/>
                        </w:rPr>
                        <w:t>y</w:t>
                      </w:r>
                      <w:r w:rsidR="00C52893">
                        <w:rPr>
                          <w:color w:val="001D77"/>
                          <w:sz w:val="18"/>
                        </w:rPr>
                        <w:t xml:space="preserve"> ubóstwa ustawowego nie zmienił się w stosunku do 2019 r.</w:t>
                      </w:r>
                    </w:p>
                  </w:txbxContent>
                </v:textbox>
                <w10:wrap anchorx="margin"/>
              </v:shape>
            </w:pict>
          </mc:Fallback>
        </mc:AlternateContent>
      </w:r>
      <w:r>
        <w:rPr>
          <w:noProof/>
          <w:lang w:eastAsia="pl-PL"/>
        </w:rPr>
        <w:drawing>
          <wp:inline distT="0" distB="0" distL="0" distR="0" wp14:anchorId="73D495A7" wp14:editId="3D7E0CE6">
            <wp:extent cx="5039995" cy="3717890"/>
            <wp:effectExtent l="0" t="0" r="8255" b="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2786433" w14:textId="77777777" w:rsidR="00FC2590" w:rsidRPr="002D606E" w:rsidRDefault="00FC2590" w:rsidP="00FC2590">
      <w:pPr>
        <w:spacing w:before="0" w:line="240" w:lineRule="auto"/>
        <w:rPr>
          <w:noProof/>
          <w:sz w:val="18"/>
          <w:szCs w:val="18"/>
          <w:lang w:eastAsia="pl-PL"/>
        </w:rPr>
      </w:pPr>
      <w:r w:rsidRPr="002D606E">
        <w:rPr>
          <w:rFonts w:eastAsia="Calibri" w:cs="Arial"/>
          <w:sz w:val="16"/>
          <w:szCs w:val="16"/>
          <w:vertAlign w:val="superscript"/>
          <w:lang w:eastAsia="pl-PL"/>
        </w:rPr>
        <w:t>a</w:t>
      </w:r>
      <w:r w:rsidRPr="002D606E">
        <w:rPr>
          <w:rFonts w:eastAsia="Calibri" w:cs="Times New Roman"/>
          <w:sz w:val="16"/>
          <w:szCs w:val="16"/>
          <w:lang w:eastAsia="pl-PL"/>
        </w:rPr>
        <w:t xml:space="preserve"> </w:t>
      </w:r>
      <w:r w:rsidR="002D606E" w:rsidRPr="002D606E">
        <w:rPr>
          <w:rFonts w:eastAsia="Calibri" w:cs="Arial"/>
          <w:sz w:val="16"/>
          <w:szCs w:val="16"/>
          <w:lang w:eastAsia="pl-PL"/>
        </w:rPr>
        <w:t>Średnio w miesiącu w IV kwartale.</w:t>
      </w:r>
    </w:p>
    <w:p w14:paraId="0FA8E135" w14:textId="05079DDC" w:rsidR="00DE7B65" w:rsidRDefault="002D606E" w:rsidP="00F91C76">
      <w:pPr>
        <w:spacing w:before="240" w:after="240" w:line="259" w:lineRule="auto"/>
      </w:pPr>
      <w:r w:rsidRPr="002D606E">
        <w:rPr>
          <w:rFonts w:eastAsia="Times New Roman" w:cs="Times New Roman"/>
          <w:bCs/>
          <w:szCs w:val="24"/>
          <w:shd w:val="clear" w:color="auto" w:fill="FFFFFF"/>
          <w:lang w:eastAsia="pl-PL"/>
        </w:rPr>
        <w:t>Zaobserwowany w 2020 r. wzrost zasięgu ubóstwa skrajnego miał miejsce w sytuacji nieco większego niż w 2019 r. zróżnicowania sytuacji dochodowej oraz niższego (zarówno w</w:t>
      </w:r>
      <w:r w:rsidR="00F76BDA">
        <w:rPr>
          <w:rFonts w:eastAsia="Times New Roman" w:cs="Times New Roman"/>
          <w:bCs/>
          <w:szCs w:val="24"/>
          <w:shd w:val="clear" w:color="auto" w:fill="FFFFFF"/>
          <w:lang w:eastAsia="pl-PL"/>
        </w:rPr>
        <w:t xml:space="preserve"> </w:t>
      </w:r>
      <w:r w:rsidRPr="002D606E">
        <w:rPr>
          <w:rFonts w:eastAsia="Times New Roman" w:cs="Times New Roman"/>
          <w:bCs/>
          <w:szCs w:val="24"/>
          <w:shd w:val="clear" w:color="auto" w:fill="FFFFFF"/>
          <w:lang w:eastAsia="pl-PL"/>
        </w:rPr>
        <w:t>ujęciu nominalnym, jak i realnym</w:t>
      </w:r>
      <w:r w:rsidRPr="002D606E">
        <w:rPr>
          <w:rFonts w:eastAsia="Times New Roman" w:cs="Times New Roman"/>
          <w:bCs/>
          <w:szCs w:val="24"/>
          <w:shd w:val="clear" w:color="auto" w:fill="FFFFFF"/>
          <w:vertAlign w:val="superscript"/>
          <w:lang w:eastAsia="pl-PL"/>
        </w:rPr>
        <w:footnoteReference w:id="4"/>
      </w:r>
      <w:r w:rsidRPr="002D606E">
        <w:rPr>
          <w:rFonts w:eastAsia="Times New Roman" w:cs="Times New Roman"/>
          <w:bCs/>
          <w:szCs w:val="24"/>
          <w:shd w:val="clear" w:color="auto" w:fill="FFFFFF"/>
          <w:lang w:eastAsia="pl-PL"/>
        </w:rPr>
        <w:t>) poziomu wydatków gospodarstw domowych</w:t>
      </w:r>
      <w:r w:rsidRPr="002D606E">
        <w:rPr>
          <w:rFonts w:eastAsia="Times New Roman" w:cs="Times New Roman"/>
          <w:bCs/>
          <w:szCs w:val="24"/>
          <w:shd w:val="clear" w:color="auto" w:fill="FFFFFF"/>
          <w:vertAlign w:val="superscript"/>
          <w:lang w:eastAsia="pl-PL"/>
        </w:rPr>
        <w:footnoteReference w:id="5"/>
      </w:r>
      <w:r w:rsidRPr="002D606E">
        <w:rPr>
          <w:rFonts w:eastAsia="Times New Roman" w:cs="Times New Roman"/>
          <w:bCs/>
          <w:szCs w:val="24"/>
          <w:shd w:val="clear" w:color="auto" w:fill="FFFFFF"/>
          <w:lang w:eastAsia="pl-PL"/>
        </w:rPr>
        <w:t>, co znajduje także odzwierciedlenie w danych makroekonomicznych dotyczących dynamiki spożycia w sektorze gospodarstw domowych</w:t>
      </w:r>
      <w:r w:rsidRPr="002D606E">
        <w:rPr>
          <w:rFonts w:eastAsia="Times New Roman" w:cs="Times New Roman"/>
          <w:bCs/>
          <w:szCs w:val="24"/>
          <w:shd w:val="clear" w:color="auto" w:fill="FFFFFF"/>
          <w:vertAlign w:val="superscript"/>
          <w:lang w:eastAsia="pl-PL"/>
        </w:rPr>
        <w:footnoteReference w:id="6"/>
      </w:r>
      <w:r w:rsidRPr="002D606E">
        <w:rPr>
          <w:rFonts w:eastAsia="Times New Roman" w:cs="Times New Roman"/>
          <w:bCs/>
          <w:szCs w:val="24"/>
          <w:shd w:val="clear" w:color="auto" w:fill="FFFFFF"/>
          <w:lang w:eastAsia="pl-PL"/>
        </w:rPr>
        <w:t>.</w:t>
      </w:r>
      <w:r w:rsidR="001D1BCC">
        <w:rPr>
          <w:rFonts w:eastAsia="Times New Roman" w:cs="Times New Roman"/>
          <w:bCs/>
          <w:szCs w:val="24"/>
          <w:shd w:val="clear" w:color="auto" w:fill="FFFFFF"/>
          <w:lang w:eastAsia="pl-PL"/>
        </w:rPr>
        <w:t xml:space="preserve"> </w:t>
      </w:r>
      <w:r w:rsidRPr="002D606E">
        <w:rPr>
          <w:rFonts w:eastAsia="Times New Roman" w:cs="Times New Roman"/>
          <w:bCs/>
          <w:szCs w:val="24"/>
          <w:shd w:val="clear" w:color="auto" w:fill="FFFFFF"/>
          <w:lang w:eastAsia="pl-PL"/>
        </w:rPr>
        <w:t>Zarówno w</w:t>
      </w:r>
      <w:r w:rsidR="003B45FF">
        <w:rPr>
          <w:rFonts w:eastAsia="Times New Roman" w:cs="Times New Roman"/>
          <w:bCs/>
          <w:szCs w:val="24"/>
          <w:shd w:val="clear" w:color="auto" w:fill="FFFFFF"/>
          <w:lang w:eastAsia="pl-PL"/>
        </w:rPr>
        <w:t xml:space="preserve"> </w:t>
      </w:r>
      <w:r w:rsidRPr="002D606E">
        <w:rPr>
          <w:rFonts w:eastAsia="Times New Roman" w:cs="Times New Roman"/>
          <w:bCs/>
          <w:szCs w:val="24"/>
          <w:shd w:val="clear" w:color="auto" w:fill="FFFFFF"/>
          <w:lang w:eastAsia="pl-PL"/>
        </w:rPr>
        <w:t>przypadku wzrostu ubóstwa skrajnego, jak i spadku spożycia w sektorze gospodarstw domowych, najgorszą sytuację odnotowano w II kwartale, co wiąże się z wprowadzeniem od marca 2020 r. zamrożenia znacznej części gospodarki i</w:t>
      </w:r>
      <w:r w:rsidR="005366B6">
        <w:rPr>
          <w:rFonts w:eastAsia="Times New Roman" w:cs="Times New Roman"/>
          <w:bCs/>
          <w:szCs w:val="24"/>
          <w:shd w:val="clear" w:color="auto" w:fill="FFFFFF"/>
          <w:lang w:eastAsia="pl-PL"/>
        </w:rPr>
        <w:t> </w:t>
      </w:r>
      <w:r w:rsidRPr="002D606E">
        <w:rPr>
          <w:rFonts w:eastAsia="Times New Roman" w:cs="Times New Roman"/>
          <w:bCs/>
          <w:szCs w:val="24"/>
          <w:shd w:val="clear" w:color="auto" w:fill="FFFFFF"/>
          <w:lang w:eastAsia="pl-PL"/>
        </w:rPr>
        <w:t xml:space="preserve">ograniczeń w kontaktach społecznych w reakcji na pojawienie się w Polsce </w:t>
      </w:r>
      <w:proofErr w:type="spellStart"/>
      <w:r w:rsidRPr="002D606E">
        <w:rPr>
          <w:rFonts w:eastAsia="Times New Roman" w:cs="Times New Roman"/>
          <w:bCs/>
          <w:szCs w:val="24"/>
          <w:shd w:val="clear" w:color="auto" w:fill="FFFFFF"/>
          <w:lang w:eastAsia="pl-PL"/>
        </w:rPr>
        <w:t>koronawirusa</w:t>
      </w:r>
      <w:proofErr w:type="spellEnd"/>
      <w:r w:rsidR="001E44F7">
        <w:rPr>
          <w:rFonts w:eastAsia="Times New Roman" w:cs="Times New Roman"/>
          <w:bCs/>
          <w:szCs w:val="24"/>
          <w:shd w:val="clear" w:color="auto" w:fill="FFFFFF"/>
          <w:lang w:eastAsia="pl-PL"/>
        </w:rPr>
        <w:t xml:space="preserve"> i rozwój pandemii </w:t>
      </w:r>
      <w:r w:rsidR="00212C16">
        <w:rPr>
          <w:rFonts w:eastAsia="Times New Roman" w:cs="Times New Roman"/>
          <w:bCs/>
          <w:szCs w:val="24"/>
          <w:shd w:val="clear" w:color="auto" w:fill="FFFFFF"/>
          <w:lang w:eastAsia="pl-PL"/>
        </w:rPr>
        <w:t>COVI</w:t>
      </w:r>
      <w:r w:rsidR="001E44F7">
        <w:rPr>
          <w:rFonts w:eastAsia="Times New Roman" w:cs="Times New Roman"/>
          <w:bCs/>
          <w:szCs w:val="24"/>
          <w:shd w:val="clear" w:color="auto" w:fill="FFFFFF"/>
          <w:lang w:eastAsia="pl-PL"/>
        </w:rPr>
        <w:t>D-19</w:t>
      </w:r>
      <w:r w:rsidRPr="002D606E">
        <w:rPr>
          <w:rFonts w:eastAsia="Times New Roman" w:cs="Times New Roman"/>
          <w:bCs/>
          <w:szCs w:val="24"/>
          <w:shd w:val="clear" w:color="auto" w:fill="FFFFFF"/>
          <w:lang w:eastAsia="pl-PL"/>
        </w:rPr>
        <w:t>.</w:t>
      </w:r>
    </w:p>
    <w:p w14:paraId="5CD4584A" w14:textId="77777777" w:rsidR="00DE7B65" w:rsidRPr="00DE7B65" w:rsidRDefault="00DE7B65" w:rsidP="00DD7A58">
      <w:pPr>
        <w:spacing w:after="240" w:line="259" w:lineRule="auto"/>
        <w:rPr>
          <w:rFonts w:eastAsia="Times New Roman" w:cs="Times New Roman"/>
          <w:bCs/>
          <w:szCs w:val="24"/>
          <w:shd w:val="clear" w:color="auto" w:fill="FFFFFF"/>
          <w:lang w:eastAsia="pl-PL"/>
        </w:rPr>
      </w:pPr>
      <w:r w:rsidRPr="00DE7B65">
        <w:rPr>
          <w:rFonts w:eastAsia="Times New Roman" w:cs="Times New Roman"/>
          <w:bCs/>
          <w:szCs w:val="24"/>
          <w:shd w:val="clear" w:color="auto" w:fill="FFFFFF"/>
          <w:lang w:eastAsia="pl-PL"/>
        </w:rPr>
        <w:t>Z porównania danych dotyczących zasięgu ubóstwa ekonomicznego w Polsce obejmującego lata 2008-2020 (wykres 2) wynika, że w przypadku wszystkich trzech branych pod uwagę rodzajów ubóstwa, wartość stóp ubóstwa w roku 2020 była niższa niż w 2008 r. Przy czym w</w:t>
      </w:r>
      <w:r w:rsidR="006C71AC">
        <w:rPr>
          <w:rFonts w:eastAsia="Times New Roman" w:cs="Times New Roman"/>
          <w:bCs/>
          <w:szCs w:val="24"/>
          <w:shd w:val="clear" w:color="auto" w:fill="FFFFFF"/>
          <w:lang w:eastAsia="pl-PL"/>
        </w:rPr>
        <w:t> </w:t>
      </w:r>
      <w:r w:rsidRPr="00DE7B65">
        <w:rPr>
          <w:rFonts w:eastAsia="Times New Roman" w:cs="Times New Roman"/>
          <w:bCs/>
          <w:szCs w:val="24"/>
          <w:shd w:val="clear" w:color="auto" w:fill="FFFFFF"/>
          <w:lang w:eastAsia="pl-PL"/>
        </w:rPr>
        <w:t>przypadku ubóstwa relatywnego można mówić o systematycznym spadku odsetka osób ubogich natomiast zmiany zasięgu ubóstwa skrajnego, a zwłaszcza</w:t>
      </w:r>
      <w:r w:rsidR="00F02FE5">
        <w:rPr>
          <w:rFonts w:eastAsia="Times New Roman" w:cs="Times New Roman"/>
          <w:bCs/>
          <w:szCs w:val="24"/>
          <w:shd w:val="clear" w:color="auto" w:fill="FFFFFF"/>
          <w:lang w:eastAsia="pl-PL"/>
        </w:rPr>
        <w:t xml:space="preserve"> ubóstwa </w:t>
      </w:r>
      <w:r w:rsidRPr="00DE7B65">
        <w:rPr>
          <w:rFonts w:eastAsia="Times New Roman" w:cs="Times New Roman"/>
          <w:bCs/>
          <w:szCs w:val="24"/>
          <w:shd w:val="clear" w:color="auto" w:fill="FFFFFF"/>
          <w:lang w:eastAsia="pl-PL"/>
        </w:rPr>
        <w:t>ustawowego, nie</w:t>
      </w:r>
      <w:r w:rsidR="006C71AC">
        <w:rPr>
          <w:rFonts w:eastAsia="Times New Roman" w:cs="Times New Roman"/>
          <w:bCs/>
          <w:szCs w:val="24"/>
          <w:shd w:val="clear" w:color="auto" w:fill="FFFFFF"/>
          <w:lang w:eastAsia="pl-PL"/>
        </w:rPr>
        <w:t> </w:t>
      </w:r>
      <w:r w:rsidRPr="00DE7B65">
        <w:rPr>
          <w:rFonts w:eastAsia="Times New Roman" w:cs="Times New Roman"/>
          <w:bCs/>
          <w:szCs w:val="24"/>
          <w:shd w:val="clear" w:color="auto" w:fill="FFFFFF"/>
          <w:lang w:eastAsia="pl-PL"/>
        </w:rPr>
        <w:t>były już tak jednoznacznie ukierunkowane i podlegały wahaniom.</w:t>
      </w:r>
    </w:p>
    <w:p w14:paraId="594BE4E6" w14:textId="44800DEC" w:rsidR="00DE7B65" w:rsidRPr="00DE7B65" w:rsidRDefault="00DE7B65" w:rsidP="00DD7A58">
      <w:pPr>
        <w:spacing w:after="240" w:line="259" w:lineRule="auto"/>
        <w:rPr>
          <w:rFonts w:eastAsia="Times New Roman" w:cs="Times New Roman"/>
          <w:bCs/>
          <w:szCs w:val="24"/>
          <w:shd w:val="clear" w:color="auto" w:fill="FFFFFF"/>
          <w:lang w:eastAsia="pl-PL"/>
        </w:rPr>
      </w:pPr>
      <w:r w:rsidRPr="00DE7B65">
        <w:rPr>
          <w:rFonts w:eastAsia="Times New Roman" w:cs="Times New Roman"/>
          <w:bCs/>
          <w:szCs w:val="24"/>
          <w:shd w:val="clear" w:color="auto" w:fill="FFFFFF"/>
          <w:lang w:eastAsia="pl-PL"/>
        </w:rPr>
        <w:t>Przy przyjętych w danym roku progach (granicach) ubóstwa, zasięg ubóstwa relatywnego zmniejszył się z niecałych 18% osób w 2008 r. do ok.</w:t>
      </w:r>
      <w:r w:rsidR="001562D4">
        <w:rPr>
          <w:rFonts w:eastAsia="Times New Roman" w:cs="Times New Roman"/>
          <w:bCs/>
          <w:szCs w:val="24"/>
          <w:shd w:val="clear" w:color="auto" w:fill="FFFFFF"/>
          <w:lang w:eastAsia="pl-PL"/>
        </w:rPr>
        <w:t xml:space="preserve"> </w:t>
      </w:r>
      <w:r w:rsidRPr="00DE7B65">
        <w:rPr>
          <w:rFonts w:eastAsia="Times New Roman" w:cs="Times New Roman"/>
          <w:bCs/>
          <w:szCs w:val="24"/>
          <w:shd w:val="clear" w:color="auto" w:fill="FFFFFF"/>
          <w:lang w:eastAsia="pl-PL"/>
        </w:rPr>
        <w:t>12% w 2020 r.</w:t>
      </w:r>
    </w:p>
    <w:p w14:paraId="4F993979" w14:textId="2280DA7A" w:rsidR="002D606E" w:rsidRPr="002D606E" w:rsidRDefault="002D606E" w:rsidP="002D606E">
      <w:pPr>
        <w:spacing w:line="259" w:lineRule="auto"/>
        <w:rPr>
          <w:rFonts w:eastAsia="Times New Roman" w:cs="Times New Roman"/>
          <w:bCs/>
          <w:szCs w:val="24"/>
          <w:shd w:val="clear" w:color="auto" w:fill="FFFFFF"/>
          <w:lang w:eastAsia="pl-PL"/>
        </w:rPr>
      </w:pPr>
      <w:r w:rsidRPr="002D606E">
        <w:rPr>
          <w:rFonts w:eastAsia="Times New Roman" w:cs="Times New Roman"/>
          <w:bCs/>
          <w:szCs w:val="24"/>
          <w:shd w:val="clear" w:color="auto" w:fill="FFFFFF"/>
          <w:lang w:eastAsia="pl-PL"/>
        </w:rPr>
        <w:t>Wartość stopy ubóstwa ustawowego w 2008 r. wynosiła niecałe 11%. W latach 2009-2012 zasięg ubóstwa ustawowego wynosił ok.</w:t>
      </w:r>
      <w:r w:rsidR="003B45FF">
        <w:rPr>
          <w:rFonts w:eastAsia="Times New Roman" w:cs="Times New Roman"/>
          <w:bCs/>
          <w:szCs w:val="24"/>
          <w:shd w:val="clear" w:color="auto" w:fill="FFFFFF"/>
          <w:lang w:eastAsia="pl-PL"/>
        </w:rPr>
        <w:t xml:space="preserve"> </w:t>
      </w:r>
      <w:r w:rsidRPr="002D606E">
        <w:rPr>
          <w:rFonts w:eastAsia="Times New Roman" w:cs="Times New Roman"/>
          <w:bCs/>
          <w:szCs w:val="24"/>
          <w:shd w:val="clear" w:color="auto" w:fill="FFFFFF"/>
          <w:lang w:eastAsia="pl-PL"/>
        </w:rPr>
        <w:t>7-8%. Przez kolejne 4 lata (2013-2016) stopa ubóstwa ustawowego utrzymywała się na poziomie 12-13%</w:t>
      </w:r>
      <w:r w:rsidR="00825BCC">
        <w:rPr>
          <w:rFonts w:eastAsia="Times New Roman" w:cs="Times New Roman"/>
          <w:bCs/>
          <w:szCs w:val="24"/>
          <w:shd w:val="clear" w:color="auto" w:fill="FFFFFF"/>
          <w:lang w:eastAsia="pl-PL"/>
        </w:rPr>
        <w:t>,</w:t>
      </w:r>
      <w:r w:rsidRPr="002D606E">
        <w:rPr>
          <w:rFonts w:eastAsia="Times New Roman" w:cs="Times New Roman"/>
          <w:bCs/>
          <w:szCs w:val="24"/>
          <w:shd w:val="clear" w:color="auto" w:fill="FFFFFF"/>
          <w:lang w:eastAsia="pl-PL"/>
        </w:rPr>
        <w:t xml:space="preserve"> a </w:t>
      </w:r>
      <w:r w:rsidR="001E44F7">
        <w:rPr>
          <w:rFonts w:eastAsia="Times New Roman" w:cs="Times New Roman"/>
          <w:bCs/>
          <w:szCs w:val="24"/>
          <w:shd w:val="clear" w:color="auto" w:fill="FFFFFF"/>
          <w:lang w:eastAsia="pl-PL"/>
        </w:rPr>
        <w:t xml:space="preserve">następnie </w:t>
      </w:r>
      <w:r w:rsidRPr="002D606E">
        <w:rPr>
          <w:rFonts w:eastAsia="Times New Roman" w:cs="Times New Roman"/>
          <w:bCs/>
          <w:szCs w:val="24"/>
          <w:shd w:val="clear" w:color="auto" w:fill="FFFFFF"/>
          <w:lang w:eastAsia="pl-PL"/>
        </w:rPr>
        <w:t>spadła do poziomu ok.</w:t>
      </w:r>
      <w:r w:rsidR="00F11405">
        <w:rPr>
          <w:rFonts w:eastAsia="Times New Roman" w:cs="Times New Roman"/>
          <w:bCs/>
          <w:szCs w:val="24"/>
          <w:shd w:val="clear" w:color="auto" w:fill="FFFFFF"/>
          <w:lang w:eastAsia="pl-PL"/>
        </w:rPr>
        <w:t xml:space="preserve"> </w:t>
      </w:r>
      <w:r w:rsidRPr="002D606E">
        <w:rPr>
          <w:rFonts w:eastAsia="Times New Roman" w:cs="Times New Roman"/>
          <w:bCs/>
          <w:szCs w:val="24"/>
          <w:shd w:val="clear" w:color="auto" w:fill="FFFFFF"/>
          <w:lang w:eastAsia="pl-PL"/>
        </w:rPr>
        <w:t>9%</w:t>
      </w:r>
      <w:r w:rsidR="001E44F7">
        <w:rPr>
          <w:rFonts w:eastAsia="Times New Roman" w:cs="Times New Roman"/>
          <w:bCs/>
          <w:szCs w:val="24"/>
          <w:shd w:val="clear" w:color="auto" w:fill="FFFFFF"/>
          <w:lang w:eastAsia="pl-PL"/>
        </w:rPr>
        <w:t xml:space="preserve"> w</w:t>
      </w:r>
      <w:r w:rsidR="005031AC">
        <w:rPr>
          <w:rFonts w:eastAsia="Times New Roman" w:cs="Times New Roman"/>
          <w:bCs/>
          <w:szCs w:val="24"/>
          <w:shd w:val="clear" w:color="auto" w:fill="FFFFFF"/>
          <w:lang w:eastAsia="pl-PL"/>
        </w:rPr>
        <w:t> </w:t>
      </w:r>
      <w:r w:rsidR="001E44F7">
        <w:rPr>
          <w:rFonts w:eastAsia="Times New Roman" w:cs="Times New Roman"/>
          <w:bCs/>
          <w:szCs w:val="24"/>
          <w:shd w:val="clear" w:color="auto" w:fill="FFFFFF"/>
          <w:lang w:eastAsia="pl-PL"/>
        </w:rPr>
        <w:t>latach 2019 i 2020.</w:t>
      </w:r>
    </w:p>
    <w:p w14:paraId="443EC2B4" w14:textId="77777777" w:rsidR="003B45FF" w:rsidRDefault="002D606E" w:rsidP="002D606E">
      <w:pPr>
        <w:spacing w:line="259" w:lineRule="auto"/>
        <w:rPr>
          <w:rFonts w:eastAsia="Times New Roman" w:cs="Times New Roman"/>
          <w:bCs/>
          <w:szCs w:val="24"/>
          <w:shd w:val="clear" w:color="auto" w:fill="FFFFFF"/>
          <w:lang w:eastAsia="pl-PL"/>
        </w:rPr>
      </w:pPr>
      <w:r w:rsidRPr="002D606E">
        <w:rPr>
          <w:rFonts w:eastAsia="Times New Roman" w:cs="Times New Roman"/>
          <w:bCs/>
          <w:szCs w:val="24"/>
          <w:shd w:val="clear" w:color="auto" w:fill="FFFFFF"/>
          <w:lang w:eastAsia="pl-PL"/>
        </w:rPr>
        <w:lastRenderedPageBreak/>
        <w:t>Zasięg ubóstwa skrajnego w 2008 r. wyniósł niecałe 6% i na takim poziomie utrzymywał się do roku 2010. Przez kolejne 5 lat (2011-2015) stopa ubóstwa skrajnego wynosiła ok.</w:t>
      </w:r>
      <w:r w:rsidR="003B45FF">
        <w:rPr>
          <w:rFonts w:eastAsia="Times New Roman" w:cs="Times New Roman"/>
          <w:bCs/>
          <w:szCs w:val="24"/>
          <w:shd w:val="clear" w:color="auto" w:fill="FFFFFF"/>
          <w:lang w:eastAsia="pl-PL"/>
        </w:rPr>
        <w:t xml:space="preserve"> </w:t>
      </w:r>
      <w:r w:rsidRPr="002D606E">
        <w:rPr>
          <w:rFonts w:eastAsia="Times New Roman" w:cs="Times New Roman"/>
          <w:bCs/>
          <w:szCs w:val="24"/>
          <w:shd w:val="clear" w:color="auto" w:fill="FFFFFF"/>
          <w:lang w:eastAsia="pl-PL"/>
        </w:rPr>
        <w:t xml:space="preserve">7%. W roku 2016 stopa ubóstwa skrajnego spadła i w latach 2016-2020 pozostawała na poziomie </w:t>
      </w:r>
      <w:r w:rsidR="00F11405">
        <w:rPr>
          <w:rFonts w:eastAsia="Times New Roman" w:cs="Times New Roman"/>
          <w:bCs/>
          <w:szCs w:val="24"/>
          <w:shd w:val="clear" w:color="auto" w:fill="FFFFFF"/>
          <w:lang w:eastAsia="pl-PL"/>
        </w:rPr>
        <w:t xml:space="preserve">             </w:t>
      </w:r>
      <w:r w:rsidRPr="002D606E">
        <w:rPr>
          <w:rFonts w:eastAsia="Times New Roman" w:cs="Times New Roman"/>
          <w:bCs/>
          <w:szCs w:val="24"/>
          <w:shd w:val="clear" w:color="auto" w:fill="FFFFFF"/>
          <w:lang w:eastAsia="pl-PL"/>
        </w:rPr>
        <w:t>ok.</w:t>
      </w:r>
      <w:r w:rsidR="00F11405">
        <w:rPr>
          <w:rFonts w:eastAsia="Times New Roman" w:cs="Times New Roman"/>
          <w:bCs/>
          <w:szCs w:val="24"/>
          <w:shd w:val="clear" w:color="auto" w:fill="FFFFFF"/>
          <w:lang w:eastAsia="pl-PL"/>
        </w:rPr>
        <w:t xml:space="preserve"> </w:t>
      </w:r>
      <w:r w:rsidRPr="002D606E">
        <w:rPr>
          <w:rFonts w:eastAsia="Times New Roman" w:cs="Times New Roman"/>
          <w:bCs/>
          <w:szCs w:val="24"/>
          <w:shd w:val="clear" w:color="auto" w:fill="FFFFFF"/>
          <w:lang w:eastAsia="pl-PL"/>
        </w:rPr>
        <w:t>4-5%.</w:t>
      </w:r>
    </w:p>
    <w:p w14:paraId="36C054E0" w14:textId="77777777" w:rsidR="00003646" w:rsidRDefault="000C2E6A" w:rsidP="002D606E">
      <w:pPr>
        <w:spacing w:line="259" w:lineRule="auto"/>
        <w:rPr>
          <w:rFonts w:eastAsia="Times New Roman" w:cs="Times New Roman"/>
          <w:bCs/>
          <w:szCs w:val="24"/>
          <w:shd w:val="clear" w:color="auto" w:fill="FFFFFF"/>
          <w:lang w:eastAsia="pl-PL"/>
        </w:rPr>
      </w:pPr>
      <w:r w:rsidRPr="000C2E6A">
        <w:rPr>
          <w:rFonts w:eastAsia="Times New Roman" w:cs="Times New Roman"/>
          <w:bCs/>
          <w:szCs w:val="24"/>
          <w:shd w:val="clear" w:color="auto" w:fill="FFFFFF"/>
          <w:lang w:eastAsia="pl-PL"/>
        </w:rPr>
        <w:t xml:space="preserve">Obserwowane zmiany w zasięgu ubóstwa zależały od zmian sytuacji materialnej gospodarstw domowych mierzonych poziomem ich wydatków jak również od wartości progów ubóstwa. Przypomnijmy, iż wartość progów ubóstwa relatywnego zależy od poziomu przeciętnych wydatków gospodarstw </w:t>
      </w:r>
      <w:r w:rsidRPr="008B034B">
        <w:rPr>
          <w:rFonts w:eastAsia="Times New Roman" w:cs="Times New Roman"/>
          <w:bCs/>
          <w:szCs w:val="24"/>
          <w:shd w:val="clear" w:color="auto" w:fill="FFFFFF"/>
          <w:lang w:eastAsia="pl-PL"/>
        </w:rPr>
        <w:t>domowych (</w:t>
      </w:r>
      <w:r w:rsidR="00781CF7" w:rsidRPr="008B034B">
        <w:rPr>
          <w:rFonts w:eastAsia="Times New Roman" w:cs="Times New Roman"/>
          <w:bCs/>
          <w:szCs w:val="24"/>
          <w:shd w:val="clear" w:color="auto" w:fill="FFFFFF"/>
          <w:lang w:eastAsia="pl-PL"/>
        </w:rPr>
        <w:t>stanowi</w:t>
      </w:r>
      <w:r w:rsidR="00781CF7">
        <w:rPr>
          <w:rFonts w:eastAsia="Times New Roman" w:cs="Times New Roman"/>
          <w:bCs/>
          <w:szCs w:val="24"/>
          <w:shd w:val="clear" w:color="auto" w:fill="FFFFFF"/>
          <w:lang w:eastAsia="pl-PL"/>
        </w:rPr>
        <w:t xml:space="preserve"> </w:t>
      </w:r>
      <w:r w:rsidRPr="000C2E6A">
        <w:rPr>
          <w:rFonts w:eastAsia="Times New Roman" w:cs="Times New Roman"/>
          <w:bCs/>
          <w:szCs w:val="24"/>
          <w:shd w:val="clear" w:color="auto" w:fill="FFFFFF"/>
          <w:lang w:eastAsia="pl-PL"/>
        </w:rPr>
        <w:t xml:space="preserve">50% średnich wydatków). Zmiany wartości granic </w:t>
      </w:r>
      <w:r w:rsidRPr="008B034B">
        <w:rPr>
          <w:rFonts w:eastAsia="Times New Roman" w:cs="Times New Roman"/>
          <w:bCs/>
          <w:szCs w:val="24"/>
          <w:shd w:val="clear" w:color="auto" w:fill="FFFFFF"/>
          <w:lang w:eastAsia="pl-PL"/>
        </w:rPr>
        <w:t>ubóstwa</w:t>
      </w:r>
      <w:r w:rsidR="00781CF7" w:rsidRPr="008B034B">
        <w:rPr>
          <w:rFonts w:eastAsia="Times New Roman" w:cs="Times New Roman"/>
          <w:bCs/>
          <w:szCs w:val="24"/>
          <w:shd w:val="clear" w:color="auto" w:fill="FFFFFF"/>
          <w:lang w:eastAsia="pl-PL"/>
        </w:rPr>
        <w:t xml:space="preserve"> ustawowego</w:t>
      </w:r>
      <w:r w:rsidRPr="000C2E6A">
        <w:rPr>
          <w:rFonts w:eastAsia="Times New Roman" w:cs="Times New Roman"/>
          <w:bCs/>
          <w:szCs w:val="24"/>
          <w:shd w:val="clear" w:color="auto" w:fill="FFFFFF"/>
          <w:lang w:eastAsia="pl-PL"/>
        </w:rPr>
        <w:t xml:space="preserve"> wynikają z decyzji administracyjnych. Z reguły ich poziom zmienia się co trzy lata (ale np. do października 2012 r. obowiązywały progi ustalone w 2006 r.). Z kolei poziom granic ubóstwa skrajnego zależy od cen artykułów i usług konsumpcyjnych wchodzących w</w:t>
      </w:r>
      <w:r w:rsidR="008B034B">
        <w:rPr>
          <w:rFonts w:eastAsia="Times New Roman" w:cs="Times New Roman"/>
          <w:bCs/>
          <w:szCs w:val="24"/>
          <w:shd w:val="clear" w:color="auto" w:fill="FFFFFF"/>
          <w:lang w:eastAsia="pl-PL"/>
        </w:rPr>
        <w:t xml:space="preserve"> </w:t>
      </w:r>
      <w:r w:rsidR="002D606E">
        <w:rPr>
          <w:rFonts w:eastAsia="Times New Roman" w:cs="Times New Roman"/>
          <w:bCs/>
          <w:szCs w:val="24"/>
          <w:shd w:val="clear" w:color="auto" w:fill="FFFFFF"/>
          <w:lang w:eastAsia="pl-PL"/>
        </w:rPr>
        <w:t>skład</w:t>
      </w:r>
      <w:r w:rsidRPr="000C2E6A">
        <w:rPr>
          <w:rFonts w:eastAsia="Times New Roman" w:cs="Times New Roman"/>
          <w:bCs/>
          <w:szCs w:val="24"/>
          <w:shd w:val="clear" w:color="auto" w:fill="FFFFFF"/>
          <w:lang w:eastAsia="pl-PL"/>
        </w:rPr>
        <w:t xml:space="preserve"> koszyka służącego do obliczania minimum egzystencji. Wartości stosowanych w</w:t>
      </w:r>
      <w:r w:rsidR="008B034B">
        <w:rPr>
          <w:rFonts w:eastAsia="Times New Roman" w:cs="Times New Roman"/>
          <w:bCs/>
          <w:szCs w:val="24"/>
          <w:shd w:val="clear" w:color="auto" w:fill="FFFFFF"/>
          <w:lang w:eastAsia="pl-PL"/>
        </w:rPr>
        <w:t xml:space="preserve"> </w:t>
      </w:r>
      <w:r w:rsidRPr="000C2E6A">
        <w:rPr>
          <w:rFonts w:eastAsia="Times New Roman" w:cs="Times New Roman"/>
          <w:bCs/>
          <w:szCs w:val="24"/>
          <w:shd w:val="clear" w:color="auto" w:fill="FFFFFF"/>
          <w:lang w:eastAsia="pl-PL"/>
        </w:rPr>
        <w:t>latach 2008-2020 progów ubóstwa przedstawiono na wykresach 3 i 4.</w:t>
      </w:r>
    </w:p>
    <w:p w14:paraId="0B84D4EB" w14:textId="77777777" w:rsidR="00DE7B65" w:rsidRDefault="00DE7B65" w:rsidP="001B2ADE">
      <w:pPr>
        <w:spacing w:line="259" w:lineRule="auto"/>
        <w:rPr>
          <w:rFonts w:eastAsia="Times New Roman" w:cs="Times New Roman"/>
          <w:bCs/>
          <w:szCs w:val="24"/>
          <w:shd w:val="clear" w:color="auto" w:fill="FFFFFF"/>
          <w:lang w:eastAsia="pl-PL"/>
        </w:rPr>
      </w:pPr>
    </w:p>
    <w:p w14:paraId="01E8F00D" w14:textId="77777777" w:rsidR="00C1559E" w:rsidRDefault="00C1559E" w:rsidP="00C1559E">
      <w:pPr>
        <w:spacing w:before="240" w:after="0"/>
        <w:rPr>
          <w:b/>
          <w:noProof/>
          <w:sz w:val="18"/>
          <w:szCs w:val="19"/>
          <w:lang w:eastAsia="pl-PL"/>
        </w:rPr>
      </w:pPr>
      <w:r>
        <w:rPr>
          <w:noProof/>
          <w:lang w:eastAsia="pl-PL"/>
        </w:rPr>
        <w:drawing>
          <wp:anchor distT="0" distB="0" distL="114300" distR="114300" simplePos="0" relativeHeight="251841536" behindDoc="0" locked="0" layoutInCell="1" allowOverlap="1" wp14:anchorId="27C19651" wp14:editId="48B07532">
            <wp:simplePos x="0" y="0"/>
            <wp:positionH relativeFrom="column">
              <wp:posOffset>-4445</wp:posOffset>
            </wp:positionH>
            <wp:positionV relativeFrom="paragraph">
              <wp:posOffset>489585</wp:posOffset>
            </wp:positionV>
            <wp:extent cx="5039995" cy="2232025"/>
            <wp:effectExtent l="0" t="0" r="8255" b="0"/>
            <wp:wrapTopAndBottom/>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r>
        <w:rPr>
          <w:b/>
          <w:noProof/>
          <w:sz w:val="18"/>
          <w:szCs w:val="19"/>
          <w:lang w:eastAsia="pl-PL"/>
        </w:rPr>
        <w:t>Wykres 2</w:t>
      </w:r>
      <w:r w:rsidRPr="00A2475E">
        <w:rPr>
          <w:b/>
          <w:noProof/>
          <w:sz w:val="18"/>
          <w:szCs w:val="19"/>
          <w:lang w:eastAsia="pl-PL"/>
        </w:rPr>
        <w:t>. Zasięg ubós</w:t>
      </w:r>
      <w:r>
        <w:rPr>
          <w:b/>
          <w:noProof/>
          <w:sz w:val="18"/>
          <w:szCs w:val="19"/>
          <w:lang w:eastAsia="pl-PL"/>
        </w:rPr>
        <w:t>twa w Polsce w latach 2008 – 2020</w:t>
      </w:r>
      <w:r w:rsidRPr="00A2475E">
        <w:rPr>
          <w:b/>
          <w:noProof/>
          <w:sz w:val="18"/>
          <w:szCs w:val="19"/>
          <w:lang w:eastAsia="pl-PL"/>
        </w:rPr>
        <w:t xml:space="preserve"> według przyjętych w danym roku granic ubóstwa (w % osób w gospodarstwach domowych)</w:t>
      </w:r>
    </w:p>
    <w:p w14:paraId="604DCA6F" w14:textId="77777777" w:rsidR="00DD7A58" w:rsidRDefault="00DD7A58" w:rsidP="00C1559E">
      <w:pPr>
        <w:spacing w:before="240" w:after="0" w:line="259" w:lineRule="auto"/>
        <w:rPr>
          <w:b/>
          <w:bCs/>
          <w:color w:val="000000"/>
          <w:sz w:val="18"/>
          <w:szCs w:val="18"/>
          <w:lang w:eastAsia="pl-PL"/>
        </w:rPr>
      </w:pPr>
    </w:p>
    <w:p w14:paraId="235BE882" w14:textId="77777777" w:rsidR="00C1559E" w:rsidRDefault="00C1559E" w:rsidP="00C1559E">
      <w:pPr>
        <w:spacing w:before="240" w:after="0" w:line="259" w:lineRule="auto"/>
        <w:rPr>
          <w:rFonts w:eastAsia="Times New Roman" w:cs="Times New Roman"/>
          <w:bCs/>
          <w:szCs w:val="24"/>
          <w:shd w:val="clear" w:color="auto" w:fill="FFFFFF"/>
          <w:lang w:eastAsia="pl-PL"/>
        </w:rPr>
      </w:pPr>
      <w:r w:rsidRPr="00AC6C54">
        <w:rPr>
          <w:b/>
          <w:bCs/>
          <w:color w:val="000000"/>
          <w:sz w:val="18"/>
          <w:szCs w:val="18"/>
          <w:lang w:eastAsia="pl-PL"/>
        </w:rPr>
        <w:t xml:space="preserve">Wykres </w:t>
      </w:r>
      <w:r>
        <w:rPr>
          <w:b/>
          <w:bCs/>
          <w:color w:val="000000"/>
          <w:sz w:val="18"/>
          <w:szCs w:val="18"/>
          <w:lang w:eastAsia="pl-PL"/>
        </w:rPr>
        <w:t>3</w:t>
      </w:r>
      <w:r w:rsidRPr="00AC6C54">
        <w:rPr>
          <w:b/>
          <w:bCs/>
          <w:color w:val="000000"/>
          <w:sz w:val="18"/>
          <w:szCs w:val="18"/>
          <w:lang w:eastAsia="pl-PL"/>
        </w:rPr>
        <w:t xml:space="preserve">. </w:t>
      </w:r>
      <w:r w:rsidRPr="00C342F0">
        <w:rPr>
          <w:b/>
          <w:bCs/>
          <w:color w:val="000000"/>
          <w:sz w:val="18"/>
          <w:szCs w:val="18"/>
          <w:lang w:eastAsia="pl-PL"/>
        </w:rPr>
        <w:t xml:space="preserve">Granice </w:t>
      </w:r>
      <w:proofErr w:type="spellStart"/>
      <w:r w:rsidRPr="00C342F0">
        <w:rPr>
          <w:b/>
          <w:bCs/>
          <w:color w:val="000000"/>
          <w:sz w:val="18"/>
          <w:szCs w:val="18"/>
          <w:lang w:eastAsia="pl-PL"/>
        </w:rPr>
        <w:t>ubóstwa</w:t>
      </w:r>
      <w:r>
        <w:rPr>
          <w:b/>
          <w:bCs/>
          <w:color w:val="000000"/>
          <w:sz w:val="18"/>
          <w:szCs w:val="18"/>
          <w:vertAlign w:val="superscript"/>
          <w:lang w:eastAsia="pl-PL"/>
        </w:rPr>
        <w:t>a</w:t>
      </w:r>
      <w:proofErr w:type="spellEnd"/>
      <w:r w:rsidRPr="00C342F0">
        <w:rPr>
          <w:b/>
          <w:bCs/>
          <w:color w:val="000000"/>
          <w:sz w:val="18"/>
          <w:szCs w:val="18"/>
          <w:lang w:eastAsia="pl-PL"/>
        </w:rPr>
        <w:t xml:space="preserve"> dla gospodarstw </w:t>
      </w:r>
      <w:r>
        <w:rPr>
          <w:b/>
          <w:bCs/>
          <w:color w:val="000000"/>
          <w:sz w:val="18"/>
          <w:szCs w:val="18"/>
          <w:lang w:eastAsia="pl-PL"/>
        </w:rPr>
        <w:t xml:space="preserve">1 osobowych </w:t>
      </w:r>
      <w:r w:rsidRPr="00C342F0">
        <w:rPr>
          <w:b/>
          <w:bCs/>
          <w:color w:val="000000"/>
          <w:sz w:val="18"/>
          <w:szCs w:val="18"/>
          <w:lang w:eastAsia="pl-PL"/>
        </w:rPr>
        <w:t>w latach 20</w:t>
      </w:r>
      <w:r>
        <w:rPr>
          <w:b/>
          <w:bCs/>
          <w:color w:val="000000"/>
          <w:sz w:val="18"/>
          <w:szCs w:val="18"/>
          <w:lang w:eastAsia="pl-PL"/>
        </w:rPr>
        <w:t>08</w:t>
      </w:r>
      <w:r w:rsidRPr="00C342F0">
        <w:rPr>
          <w:b/>
          <w:bCs/>
          <w:color w:val="000000"/>
          <w:sz w:val="18"/>
          <w:szCs w:val="18"/>
          <w:lang w:eastAsia="pl-PL"/>
        </w:rPr>
        <w:t>-2020</w:t>
      </w:r>
    </w:p>
    <w:p w14:paraId="17F38817" w14:textId="77777777" w:rsidR="00C1559E" w:rsidRDefault="00C1559E" w:rsidP="00C1559E">
      <w:pPr>
        <w:spacing w:before="240" w:line="259" w:lineRule="auto"/>
        <w:rPr>
          <w:rFonts w:eastAsia="Times New Roman" w:cs="Times New Roman"/>
          <w:bCs/>
          <w:szCs w:val="24"/>
          <w:shd w:val="clear" w:color="auto" w:fill="FFFFFF"/>
          <w:lang w:eastAsia="pl-PL"/>
        </w:rPr>
      </w:pPr>
      <w:r>
        <w:rPr>
          <w:noProof/>
          <w:lang w:eastAsia="pl-PL"/>
        </w:rPr>
        <w:drawing>
          <wp:inline distT="0" distB="0" distL="0" distR="0" wp14:anchorId="348CDBDA" wp14:editId="1ADB0820">
            <wp:extent cx="5114925" cy="2553730"/>
            <wp:effectExtent l="0" t="0" r="0" b="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4B88B0E" w14:textId="77777777" w:rsidR="00C1559E" w:rsidRDefault="00C1559E" w:rsidP="00C1559E">
      <w:pPr>
        <w:spacing w:before="0" w:line="240" w:lineRule="auto"/>
        <w:rPr>
          <w:rFonts w:eastAsia="Calibri" w:cs="Arial"/>
          <w:sz w:val="16"/>
          <w:szCs w:val="16"/>
          <w:lang w:eastAsia="pl-PL"/>
        </w:rPr>
      </w:pPr>
      <w:r w:rsidRPr="00497639">
        <w:rPr>
          <w:rFonts w:eastAsia="Calibri" w:cs="Arial"/>
          <w:i/>
          <w:sz w:val="16"/>
          <w:szCs w:val="16"/>
          <w:vertAlign w:val="superscript"/>
          <w:lang w:eastAsia="pl-PL"/>
        </w:rPr>
        <w:t>a</w:t>
      </w:r>
      <w:r w:rsidRPr="00497639">
        <w:rPr>
          <w:rFonts w:eastAsia="Calibri" w:cs="Times New Roman"/>
          <w:i/>
          <w:sz w:val="16"/>
          <w:szCs w:val="16"/>
          <w:lang w:eastAsia="pl-PL"/>
        </w:rPr>
        <w:t xml:space="preserve"> </w:t>
      </w:r>
      <w:r w:rsidR="002D606E" w:rsidRPr="002D606E">
        <w:rPr>
          <w:rFonts w:eastAsia="Calibri" w:cs="Arial"/>
          <w:sz w:val="16"/>
          <w:szCs w:val="16"/>
          <w:lang w:eastAsia="pl-PL"/>
        </w:rPr>
        <w:t>Średnio w miesiącu w IV kwartale.</w:t>
      </w:r>
    </w:p>
    <w:p w14:paraId="66BB9AD5" w14:textId="77777777" w:rsidR="00DD7A58" w:rsidRDefault="00DD7A58" w:rsidP="00C1559E">
      <w:pPr>
        <w:spacing w:before="0" w:line="240" w:lineRule="auto"/>
        <w:rPr>
          <w:rFonts w:eastAsia="Calibri" w:cs="Arial"/>
          <w:sz w:val="16"/>
          <w:szCs w:val="16"/>
          <w:lang w:eastAsia="pl-PL"/>
        </w:rPr>
      </w:pPr>
    </w:p>
    <w:p w14:paraId="462FDC3C" w14:textId="77777777" w:rsidR="00DD7A58" w:rsidRDefault="00DD7A58" w:rsidP="00C1559E">
      <w:pPr>
        <w:spacing w:before="0" w:line="240" w:lineRule="auto"/>
        <w:rPr>
          <w:rFonts w:eastAsia="Calibri" w:cs="Arial"/>
          <w:sz w:val="16"/>
          <w:szCs w:val="16"/>
          <w:lang w:eastAsia="pl-PL"/>
        </w:rPr>
      </w:pPr>
    </w:p>
    <w:p w14:paraId="3520B121" w14:textId="77777777" w:rsidR="00DD7A58" w:rsidRDefault="00DD7A58" w:rsidP="00C1559E">
      <w:pPr>
        <w:spacing w:before="0" w:line="240" w:lineRule="auto"/>
        <w:rPr>
          <w:rFonts w:eastAsia="Calibri" w:cs="Arial"/>
          <w:sz w:val="16"/>
          <w:szCs w:val="16"/>
          <w:lang w:eastAsia="pl-PL"/>
        </w:rPr>
      </w:pPr>
    </w:p>
    <w:p w14:paraId="423815D5" w14:textId="77777777" w:rsidR="00F91C76" w:rsidRDefault="00F91C76" w:rsidP="00C1559E">
      <w:pPr>
        <w:spacing w:before="0" w:line="240" w:lineRule="auto"/>
        <w:rPr>
          <w:rFonts w:eastAsia="Calibri" w:cs="Arial"/>
          <w:sz w:val="16"/>
          <w:szCs w:val="16"/>
          <w:lang w:eastAsia="pl-PL"/>
        </w:rPr>
      </w:pPr>
    </w:p>
    <w:p w14:paraId="00A7A37E" w14:textId="77777777" w:rsidR="00F36E2D" w:rsidRDefault="00F36E2D" w:rsidP="00C1559E">
      <w:pPr>
        <w:spacing w:before="0" w:line="240" w:lineRule="auto"/>
        <w:rPr>
          <w:rFonts w:eastAsia="Calibri" w:cs="Arial"/>
          <w:sz w:val="16"/>
          <w:szCs w:val="16"/>
          <w:lang w:eastAsia="pl-PL"/>
        </w:rPr>
      </w:pPr>
    </w:p>
    <w:p w14:paraId="7CAA53DB" w14:textId="77777777" w:rsidR="00C1559E" w:rsidRDefault="00C1559E" w:rsidP="00C1559E">
      <w:pPr>
        <w:spacing w:before="240" w:after="0" w:line="259" w:lineRule="auto"/>
        <w:rPr>
          <w:b/>
          <w:bCs/>
          <w:color w:val="000000"/>
          <w:sz w:val="18"/>
          <w:szCs w:val="18"/>
          <w:lang w:eastAsia="pl-PL"/>
        </w:rPr>
      </w:pPr>
      <w:r w:rsidRPr="00AC6C54">
        <w:rPr>
          <w:b/>
          <w:bCs/>
          <w:color w:val="000000"/>
          <w:sz w:val="18"/>
          <w:szCs w:val="18"/>
          <w:lang w:eastAsia="pl-PL"/>
        </w:rPr>
        <w:t xml:space="preserve">Wykres </w:t>
      </w:r>
      <w:r>
        <w:rPr>
          <w:b/>
          <w:bCs/>
          <w:color w:val="000000"/>
          <w:sz w:val="18"/>
          <w:szCs w:val="18"/>
          <w:lang w:eastAsia="pl-PL"/>
        </w:rPr>
        <w:t>4</w:t>
      </w:r>
      <w:r w:rsidRPr="00AC6C54">
        <w:rPr>
          <w:b/>
          <w:bCs/>
          <w:color w:val="000000"/>
          <w:sz w:val="18"/>
          <w:szCs w:val="18"/>
          <w:lang w:eastAsia="pl-PL"/>
        </w:rPr>
        <w:t xml:space="preserve">. </w:t>
      </w:r>
      <w:r w:rsidRPr="00C342F0">
        <w:rPr>
          <w:b/>
          <w:bCs/>
          <w:color w:val="000000"/>
          <w:sz w:val="18"/>
          <w:szCs w:val="18"/>
          <w:lang w:eastAsia="pl-PL"/>
        </w:rPr>
        <w:t xml:space="preserve">Granice </w:t>
      </w:r>
      <w:proofErr w:type="spellStart"/>
      <w:r w:rsidRPr="00C342F0">
        <w:rPr>
          <w:b/>
          <w:bCs/>
          <w:color w:val="000000"/>
          <w:sz w:val="18"/>
          <w:szCs w:val="18"/>
          <w:lang w:eastAsia="pl-PL"/>
        </w:rPr>
        <w:t>ubóstwa</w:t>
      </w:r>
      <w:r>
        <w:rPr>
          <w:b/>
          <w:bCs/>
          <w:color w:val="000000"/>
          <w:sz w:val="18"/>
          <w:szCs w:val="18"/>
          <w:vertAlign w:val="superscript"/>
          <w:lang w:eastAsia="pl-PL"/>
        </w:rPr>
        <w:t>a</w:t>
      </w:r>
      <w:proofErr w:type="spellEnd"/>
      <w:r w:rsidRPr="00C342F0">
        <w:rPr>
          <w:b/>
          <w:bCs/>
          <w:color w:val="000000"/>
          <w:sz w:val="18"/>
          <w:szCs w:val="18"/>
          <w:lang w:eastAsia="pl-PL"/>
        </w:rPr>
        <w:t xml:space="preserve"> dla gospodarstw </w:t>
      </w:r>
      <w:r w:rsidRPr="00817A71">
        <w:rPr>
          <w:b/>
          <w:bCs/>
          <w:color w:val="000000"/>
          <w:sz w:val="18"/>
          <w:szCs w:val="18"/>
        </w:rPr>
        <w:t xml:space="preserve">4 osobowych </w:t>
      </w:r>
      <w:r w:rsidRPr="00817A71">
        <w:rPr>
          <w:b/>
          <w:bCs/>
          <w:color w:val="000000"/>
          <w:sz w:val="18"/>
          <w:szCs w:val="18"/>
          <w:lang w:eastAsia="pl-PL"/>
        </w:rPr>
        <w:t>(2 osoby dorosłe + 2 dzieci do lat 14)</w:t>
      </w:r>
      <w:r>
        <w:rPr>
          <w:b/>
          <w:bCs/>
          <w:color w:val="000000"/>
          <w:sz w:val="18"/>
          <w:szCs w:val="18"/>
          <w:lang w:eastAsia="pl-PL"/>
        </w:rPr>
        <w:t xml:space="preserve"> </w:t>
      </w:r>
      <w:r w:rsidRPr="00C342F0">
        <w:rPr>
          <w:b/>
          <w:bCs/>
          <w:color w:val="000000"/>
          <w:sz w:val="18"/>
          <w:szCs w:val="18"/>
          <w:lang w:eastAsia="pl-PL"/>
        </w:rPr>
        <w:t>w</w:t>
      </w:r>
      <w:r w:rsidR="00BD7BDE">
        <w:rPr>
          <w:b/>
          <w:bCs/>
          <w:color w:val="000000"/>
          <w:sz w:val="18"/>
          <w:szCs w:val="18"/>
          <w:lang w:eastAsia="pl-PL"/>
        </w:rPr>
        <w:t> </w:t>
      </w:r>
      <w:r w:rsidRPr="00C342F0">
        <w:rPr>
          <w:b/>
          <w:bCs/>
          <w:color w:val="000000"/>
          <w:sz w:val="18"/>
          <w:szCs w:val="18"/>
          <w:lang w:eastAsia="pl-PL"/>
        </w:rPr>
        <w:t>latach 20</w:t>
      </w:r>
      <w:r>
        <w:rPr>
          <w:b/>
          <w:bCs/>
          <w:color w:val="000000"/>
          <w:sz w:val="18"/>
          <w:szCs w:val="18"/>
          <w:lang w:eastAsia="pl-PL"/>
        </w:rPr>
        <w:t>08</w:t>
      </w:r>
      <w:r w:rsidRPr="00C342F0">
        <w:rPr>
          <w:b/>
          <w:bCs/>
          <w:color w:val="000000"/>
          <w:sz w:val="18"/>
          <w:szCs w:val="18"/>
          <w:lang w:eastAsia="pl-PL"/>
        </w:rPr>
        <w:t>-2020</w:t>
      </w:r>
    </w:p>
    <w:p w14:paraId="2D6003B4" w14:textId="77777777" w:rsidR="00C1559E" w:rsidRDefault="00C1559E" w:rsidP="00C1559E">
      <w:pPr>
        <w:spacing w:before="240" w:line="259" w:lineRule="auto"/>
        <w:rPr>
          <w:rFonts w:eastAsia="Times New Roman" w:cs="Times New Roman"/>
          <w:bCs/>
          <w:szCs w:val="24"/>
          <w:shd w:val="clear" w:color="auto" w:fill="FFFFFF"/>
          <w:lang w:eastAsia="pl-PL"/>
        </w:rPr>
      </w:pPr>
      <w:r>
        <w:rPr>
          <w:noProof/>
          <w:lang w:eastAsia="pl-PL"/>
        </w:rPr>
        <w:drawing>
          <wp:inline distT="0" distB="0" distL="0" distR="0" wp14:anchorId="5FD36381" wp14:editId="4B9D2853">
            <wp:extent cx="4928870" cy="2734962"/>
            <wp:effectExtent l="0" t="0" r="5080" b="8255"/>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77ACFB4" w14:textId="77777777" w:rsidR="00C1559E" w:rsidRDefault="00C1559E" w:rsidP="00C1559E">
      <w:pPr>
        <w:spacing w:before="0" w:line="240" w:lineRule="auto"/>
        <w:rPr>
          <w:noProof/>
          <w:sz w:val="18"/>
          <w:szCs w:val="18"/>
          <w:lang w:eastAsia="pl-PL"/>
        </w:rPr>
      </w:pPr>
      <w:r w:rsidRPr="00497639">
        <w:rPr>
          <w:rFonts w:eastAsia="Calibri" w:cs="Arial"/>
          <w:i/>
          <w:sz w:val="16"/>
          <w:szCs w:val="16"/>
          <w:vertAlign w:val="superscript"/>
          <w:lang w:eastAsia="pl-PL"/>
        </w:rPr>
        <w:t>a</w:t>
      </w:r>
      <w:r w:rsidRPr="00497639">
        <w:rPr>
          <w:rFonts w:eastAsia="Calibri" w:cs="Times New Roman"/>
          <w:i/>
          <w:sz w:val="16"/>
          <w:szCs w:val="16"/>
          <w:lang w:eastAsia="pl-PL"/>
        </w:rPr>
        <w:t xml:space="preserve"> </w:t>
      </w:r>
      <w:r w:rsidR="002D606E" w:rsidRPr="002D606E">
        <w:rPr>
          <w:rFonts w:eastAsia="Calibri" w:cs="Arial"/>
          <w:sz w:val="16"/>
          <w:szCs w:val="16"/>
          <w:lang w:eastAsia="pl-PL"/>
        </w:rPr>
        <w:t>Średnio w miesiącu w IV kwartale.</w:t>
      </w:r>
    </w:p>
    <w:p w14:paraId="1D7F18E4" w14:textId="77777777" w:rsidR="00C303F7" w:rsidRPr="00886943" w:rsidRDefault="00B16AF1" w:rsidP="003C2499">
      <w:pPr>
        <w:spacing w:before="240" w:line="259" w:lineRule="auto"/>
        <w:rPr>
          <w:rFonts w:ascii="Fira Sans SemiBold" w:eastAsia="Times New Roman" w:hAnsi="Fira Sans SemiBold" w:cs="Times New Roman"/>
          <w:b/>
          <w:bCs/>
          <w:color w:val="001D77"/>
          <w:szCs w:val="24"/>
          <w:shd w:val="clear" w:color="auto" w:fill="FFFFFF"/>
          <w:lang w:eastAsia="pl-PL"/>
        </w:rPr>
      </w:pPr>
      <w:r w:rsidRPr="00F531E1">
        <w:rPr>
          <w:noProof/>
          <w:color w:val="001D77"/>
          <w:szCs w:val="19"/>
          <w:lang w:eastAsia="pl-PL"/>
        </w:rPr>
        <mc:AlternateContent>
          <mc:Choice Requires="wps">
            <w:drawing>
              <wp:anchor distT="45720" distB="45720" distL="114300" distR="114300" simplePos="0" relativeHeight="251782144" behindDoc="0" locked="0" layoutInCell="1" allowOverlap="1" wp14:anchorId="6720D789" wp14:editId="71F9855F">
                <wp:simplePos x="0" y="0"/>
                <wp:positionH relativeFrom="column">
                  <wp:posOffset>5212080</wp:posOffset>
                </wp:positionH>
                <wp:positionV relativeFrom="paragraph">
                  <wp:posOffset>149225</wp:posOffset>
                </wp:positionV>
                <wp:extent cx="1834515" cy="1310640"/>
                <wp:effectExtent l="0" t="0" r="0" b="0"/>
                <wp:wrapNone/>
                <wp:docPr id="3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1310640"/>
                        </a:xfrm>
                        <a:prstGeom prst="rect">
                          <a:avLst/>
                        </a:prstGeom>
                        <a:noFill/>
                        <a:ln w="9525">
                          <a:noFill/>
                          <a:miter lim="800000"/>
                          <a:headEnd/>
                          <a:tailEnd/>
                        </a:ln>
                      </wps:spPr>
                      <wps:txbx>
                        <w:txbxContent>
                          <w:p w14:paraId="40111CBF" w14:textId="77777777" w:rsidR="004F7C9F" w:rsidRPr="00330E56" w:rsidRDefault="005062F8" w:rsidP="00D47534">
                            <w:pPr>
                              <w:suppressAutoHyphens/>
                              <w:rPr>
                                <w:color w:val="001D77"/>
                                <w:sz w:val="18"/>
                              </w:rPr>
                            </w:pPr>
                            <w:r>
                              <w:rPr>
                                <w:color w:val="001D77"/>
                                <w:sz w:val="18"/>
                              </w:rPr>
                              <w:t>W</w:t>
                            </w:r>
                            <w:r w:rsidR="004F7C9F">
                              <w:rPr>
                                <w:color w:val="001D77"/>
                                <w:sz w:val="18"/>
                              </w:rPr>
                              <w:t xml:space="preserve"> </w:t>
                            </w:r>
                            <w:r w:rsidR="00334978">
                              <w:rPr>
                                <w:color w:val="001D77"/>
                                <w:sz w:val="18"/>
                              </w:rPr>
                              <w:t xml:space="preserve">porównaniu z 2019 r. </w:t>
                            </w:r>
                            <w:r w:rsidR="004F7C9F">
                              <w:rPr>
                                <w:color w:val="001D77"/>
                                <w:sz w:val="18"/>
                              </w:rPr>
                              <w:t>nie odnotowano istotnych zmian w</w:t>
                            </w:r>
                            <w:r w:rsidR="00D47534">
                              <w:rPr>
                                <w:color w:val="001D77"/>
                                <w:sz w:val="18"/>
                              </w:rPr>
                              <w:t> </w:t>
                            </w:r>
                            <w:r w:rsidR="004F7C9F">
                              <w:rPr>
                                <w:color w:val="001D77"/>
                                <w:sz w:val="18"/>
                              </w:rPr>
                              <w:t xml:space="preserve">społecznej mapie </w:t>
                            </w:r>
                            <w:r w:rsidR="004F7C9F" w:rsidRPr="00330E56">
                              <w:rPr>
                                <w:color w:val="001D77"/>
                                <w:sz w:val="18"/>
                              </w:rPr>
                              <w:t xml:space="preserve">zagrożenia ubóstwem </w:t>
                            </w:r>
                            <w:r w:rsidR="004F7C9F">
                              <w:rPr>
                                <w:color w:val="001D77"/>
                                <w:sz w:val="18"/>
                              </w:rPr>
                              <w:t xml:space="preserve">skrajnym </w:t>
                            </w:r>
                            <w:r w:rsidR="004F7C9F" w:rsidRPr="00330E56">
                              <w:rPr>
                                <w:color w:val="001D77"/>
                                <w:sz w:val="18"/>
                              </w:rPr>
                              <w:t>w Polsce</w:t>
                            </w:r>
                            <w:r w:rsidR="004F7C9F">
                              <w:rPr>
                                <w:color w:val="001D77"/>
                                <w:sz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20D789" id="_x0000_s1031" type="#_x0000_t202" style="position:absolute;margin-left:410.4pt;margin-top:11.75pt;width:144.45pt;height:103.2pt;z-index:251782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" filled="f" stroked="f">
                <v:textbox style="mso-fit-shape-to-text:t">
                  <w:txbxContent>
                    <w:p w14:paraId="40111CBF" w14:textId="77777777" w:rsidR="004F7C9F" w:rsidRPr="00330E56" w:rsidRDefault="005062F8" w:rsidP="00D47534">
                      <w:pPr>
                        <w:suppressAutoHyphens/>
                        <w:rPr>
                          <w:color w:val="001D77"/>
                          <w:sz w:val="18"/>
                        </w:rPr>
                      </w:pPr>
                      <w:r>
                        <w:rPr>
                          <w:color w:val="001D77"/>
                          <w:sz w:val="18"/>
                        </w:rPr>
                        <w:t>W</w:t>
                      </w:r>
                      <w:r w:rsidR="004F7C9F">
                        <w:rPr>
                          <w:color w:val="001D77"/>
                          <w:sz w:val="18"/>
                        </w:rPr>
                        <w:t xml:space="preserve"> </w:t>
                      </w:r>
                      <w:r w:rsidR="00334978">
                        <w:rPr>
                          <w:color w:val="001D77"/>
                          <w:sz w:val="18"/>
                        </w:rPr>
                        <w:t xml:space="preserve">porównaniu z 2019 r. </w:t>
                      </w:r>
                      <w:r w:rsidR="004F7C9F">
                        <w:rPr>
                          <w:color w:val="001D77"/>
                          <w:sz w:val="18"/>
                        </w:rPr>
                        <w:t>nie odnotowano istotnych zmian w</w:t>
                      </w:r>
                      <w:r w:rsidR="00D47534">
                        <w:rPr>
                          <w:color w:val="001D77"/>
                          <w:sz w:val="18"/>
                        </w:rPr>
                        <w:t> </w:t>
                      </w:r>
                      <w:r w:rsidR="004F7C9F">
                        <w:rPr>
                          <w:color w:val="001D77"/>
                          <w:sz w:val="18"/>
                        </w:rPr>
                        <w:t xml:space="preserve">społecznej mapie </w:t>
                      </w:r>
                      <w:r w:rsidR="004F7C9F" w:rsidRPr="00330E56">
                        <w:rPr>
                          <w:color w:val="001D77"/>
                          <w:sz w:val="18"/>
                        </w:rPr>
                        <w:t xml:space="preserve">zagrożenia ubóstwem </w:t>
                      </w:r>
                      <w:r w:rsidR="004F7C9F">
                        <w:rPr>
                          <w:color w:val="001D77"/>
                          <w:sz w:val="18"/>
                        </w:rPr>
                        <w:t xml:space="preserve">skrajnym </w:t>
                      </w:r>
                      <w:r w:rsidR="004F7C9F" w:rsidRPr="00330E56">
                        <w:rPr>
                          <w:color w:val="001D77"/>
                          <w:sz w:val="18"/>
                        </w:rPr>
                        <w:t>w Polsce</w:t>
                      </w:r>
                      <w:r w:rsidR="004F7C9F">
                        <w:rPr>
                          <w:color w:val="001D77"/>
                          <w:sz w:val="18"/>
                        </w:rPr>
                        <w:t>.</w:t>
                      </w:r>
                    </w:p>
                  </w:txbxContent>
                </v:textbox>
              </v:shape>
            </w:pict>
          </mc:Fallback>
        </mc:AlternateContent>
      </w:r>
      <w:r w:rsidR="00C303F7" w:rsidRPr="00F531E1">
        <w:rPr>
          <w:rFonts w:ascii="Fira Sans SemiBold" w:eastAsia="Times New Roman" w:hAnsi="Fira Sans SemiBold" w:cs="Times New Roman"/>
          <w:b/>
          <w:bCs/>
          <w:color w:val="001D77"/>
          <w:szCs w:val="24"/>
          <w:shd w:val="clear" w:color="auto" w:fill="FFFFFF"/>
          <w:lang w:eastAsia="pl-PL"/>
        </w:rPr>
        <w:t xml:space="preserve">Zróżnicowanie zasięgu ubóstwa </w:t>
      </w:r>
      <w:r w:rsidR="00A036A8" w:rsidRPr="00F531E1">
        <w:rPr>
          <w:rFonts w:ascii="Fira Sans SemiBold" w:eastAsia="Times New Roman" w:hAnsi="Fira Sans SemiBold" w:cs="Times New Roman"/>
          <w:b/>
          <w:bCs/>
          <w:color w:val="001D77"/>
          <w:szCs w:val="24"/>
          <w:shd w:val="clear" w:color="auto" w:fill="FFFFFF"/>
          <w:lang w:eastAsia="pl-PL"/>
        </w:rPr>
        <w:t>skrajnego w 20</w:t>
      </w:r>
      <w:r w:rsidR="002A6D75">
        <w:rPr>
          <w:rFonts w:ascii="Fira Sans SemiBold" w:eastAsia="Times New Roman" w:hAnsi="Fira Sans SemiBold" w:cs="Times New Roman"/>
          <w:b/>
          <w:bCs/>
          <w:color w:val="001D77"/>
          <w:szCs w:val="24"/>
          <w:shd w:val="clear" w:color="auto" w:fill="FFFFFF"/>
          <w:lang w:eastAsia="pl-PL"/>
        </w:rPr>
        <w:t>20</w:t>
      </w:r>
      <w:r w:rsidR="00A036A8" w:rsidRPr="00F531E1">
        <w:rPr>
          <w:rFonts w:ascii="Fira Sans SemiBold" w:eastAsia="Times New Roman" w:hAnsi="Fira Sans SemiBold" w:cs="Times New Roman"/>
          <w:b/>
          <w:bCs/>
          <w:color w:val="001D77"/>
          <w:szCs w:val="24"/>
          <w:shd w:val="clear" w:color="auto" w:fill="FFFFFF"/>
          <w:lang w:eastAsia="pl-PL"/>
        </w:rPr>
        <w:t xml:space="preserve"> r.</w:t>
      </w:r>
      <w:r w:rsidR="00C303F7" w:rsidRPr="00F531E1">
        <w:rPr>
          <w:rFonts w:ascii="Fira Sans SemiBold" w:eastAsia="Times New Roman" w:hAnsi="Fira Sans SemiBold" w:cs="Times New Roman"/>
          <w:b/>
          <w:bCs/>
          <w:color w:val="001D77"/>
          <w:szCs w:val="24"/>
          <w:shd w:val="clear" w:color="auto" w:fill="FFFFFF"/>
          <w:lang w:eastAsia="pl-PL"/>
        </w:rPr>
        <w:t xml:space="preserve"> </w:t>
      </w:r>
      <w:r w:rsidR="00B841AF" w:rsidRPr="00F531E1">
        <w:rPr>
          <w:rFonts w:ascii="Fira Sans SemiBold" w:eastAsia="Times New Roman" w:hAnsi="Fira Sans SemiBold" w:cs="Times New Roman"/>
          <w:b/>
          <w:bCs/>
          <w:color w:val="001D77"/>
          <w:szCs w:val="24"/>
          <w:shd w:val="clear" w:color="auto" w:fill="FFFFFF"/>
          <w:lang w:eastAsia="pl-PL"/>
        </w:rPr>
        <w:t>K</w:t>
      </w:r>
      <w:r w:rsidR="00C303F7" w:rsidRPr="00F531E1">
        <w:rPr>
          <w:rFonts w:ascii="Fira Sans SemiBold" w:eastAsia="Times New Roman" w:hAnsi="Fira Sans SemiBold" w:cs="Times New Roman"/>
          <w:b/>
          <w:bCs/>
          <w:color w:val="001D77"/>
          <w:szCs w:val="24"/>
          <w:shd w:val="clear" w:color="auto" w:fill="FFFFFF"/>
          <w:lang w:eastAsia="pl-PL"/>
        </w:rPr>
        <w:t>to najczęściej</w:t>
      </w:r>
      <w:r w:rsidR="006E5A5D" w:rsidRPr="00F531E1">
        <w:rPr>
          <w:rFonts w:ascii="Fira Sans SemiBold" w:eastAsia="Times New Roman" w:hAnsi="Fira Sans SemiBold" w:cs="Times New Roman"/>
          <w:b/>
          <w:bCs/>
          <w:color w:val="001D77"/>
          <w:szCs w:val="24"/>
          <w:shd w:val="clear" w:color="auto" w:fill="FFFFFF"/>
          <w:lang w:eastAsia="pl-PL"/>
        </w:rPr>
        <w:t xml:space="preserve"> i najrzadziej </w:t>
      </w:r>
      <w:r w:rsidR="00C303F7" w:rsidRPr="00F531E1">
        <w:rPr>
          <w:rFonts w:ascii="Fira Sans SemiBold" w:eastAsia="Times New Roman" w:hAnsi="Fira Sans SemiBold" w:cs="Times New Roman"/>
          <w:b/>
          <w:bCs/>
          <w:color w:val="001D77"/>
          <w:szCs w:val="24"/>
          <w:shd w:val="clear" w:color="auto" w:fill="FFFFFF"/>
          <w:lang w:eastAsia="pl-PL"/>
        </w:rPr>
        <w:t>do</w:t>
      </w:r>
      <w:r w:rsidR="00C303F7" w:rsidRPr="00886943">
        <w:rPr>
          <w:rFonts w:ascii="Fira Sans SemiBold" w:eastAsia="Times New Roman" w:hAnsi="Fira Sans SemiBold" w:cs="Times New Roman"/>
          <w:b/>
          <w:bCs/>
          <w:color w:val="001D77"/>
          <w:szCs w:val="24"/>
          <w:shd w:val="clear" w:color="auto" w:fill="FFFFFF"/>
          <w:lang w:eastAsia="pl-PL"/>
        </w:rPr>
        <w:t>świadczał ubóstwa</w:t>
      </w:r>
      <w:r w:rsidR="00A036A8" w:rsidRPr="00886943">
        <w:rPr>
          <w:rFonts w:ascii="Fira Sans SemiBold" w:eastAsia="Times New Roman" w:hAnsi="Fira Sans SemiBold" w:cs="Times New Roman"/>
          <w:b/>
          <w:bCs/>
          <w:color w:val="001D77"/>
          <w:szCs w:val="24"/>
          <w:shd w:val="clear" w:color="auto" w:fill="FFFFFF"/>
          <w:lang w:eastAsia="pl-PL"/>
        </w:rPr>
        <w:t>?</w:t>
      </w:r>
    </w:p>
    <w:p w14:paraId="2FEA96E8" w14:textId="77777777" w:rsidR="00042199" w:rsidRDefault="005062F8" w:rsidP="00920915">
      <w:pPr>
        <w:spacing w:before="240" w:after="80" w:line="240" w:lineRule="auto"/>
        <w:rPr>
          <w:noProof/>
          <w:szCs w:val="19"/>
          <w:lang w:eastAsia="pl-PL"/>
        </w:rPr>
      </w:pPr>
      <w:r w:rsidRPr="005062F8">
        <w:rPr>
          <w:noProof/>
          <w:szCs w:val="19"/>
          <w:lang w:eastAsia="pl-PL"/>
        </w:rPr>
        <w:t xml:space="preserve">Ubóstwo w różnym stopniu dotyka poszczególne grupy ludności, </w:t>
      </w:r>
      <w:r>
        <w:rPr>
          <w:noProof/>
          <w:szCs w:val="19"/>
          <w:lang w:eastAsia="pl-PL"/>
        </w:rPr>
        <w:t xml:space="preserve">przy czym </w:t>
      </w:r>
      <w:r w:rsidR="00780AC9">
        <w:rPr>
          <w:noProof/>
          <w:szCs w:val="19"/>
          <w:lang w:eastAsia="pl-PL"/>
        </w:rPr>
        <w:t>i</w:t>
      </w:r>
      <w:r w:rsidR="00042199">
        <w:rPr>
          <w:noProof/>
          <w:szCs w:val="19"/>
          <w:lang w:eastAsia="pl-PL"/>
        </w:rPr>
        <w:t xml:space="preserve">nterpretując dane </w:t>
      </w:r>
      <w:r w:rsidR="003C0256">
        <w:rPr>
          <w:noProof/>
          <w:szCs w:val="19"/>
          <w:lang w:eastAsia="pl-PL"/>
        </w:rPr>
        <w:t>dotyczące zróżnicowania</w:t>
      </w:r>
      <w:r w:rsidR="00C303F7">
        <w:rPr>
          <w:noProof/>
          <w:szCs w:val="19"/>
          <w:lang w:eastAsia="pl-PL"/>
        </w:rPr>
        <w:t xml:space="preserve"> zasięg</w:t>
      </w:r>
      <w:r w:rsidR="00E52E39">
        <w:rPr>
          <w:noProof/>
          <w:szCs w:val="19"/>
          <w:lang w:eastAsia="pl-PL"/>
        </w:rPr>
        <w:t>u</w:t>
      </w:r>
      <w:r w:rsidR="00C303F7">
        <w:rPr>
          <w:noProof/>
          <w:szCs w:val="19"/>
          <w:lang w:eastAsia="pl-PL"/>
        </w:rPr>
        <w:t xml:space="preserve"> ubóstwa ze względu na różne charakterystyki gospodarstw domowych należy pamiętać, że w praktyce mamy do czynienia nie z jedną determinantą ubóstwa, ale ze współwystępowaniem wielu czynników jednocześnie. </w:t>
      </w:r>
      <w:r w:rsidR="003C0256">
        <w:rPr>
          <w:noProof/>
          <w:szCs w:val="19"/>
          <w:lang w:eastAsia="pl-PL"/>
        </w:rPr>
        <w:t>Na</w:t>
      </w:r>
      <w:r w:rsidR="00DD7A58">
        <w:rPr>
          <w:noProof/>
          <w:szCs w:val="19"/>
          <w:lang w:eastAsia="pl-PL"/>
        </w:rPr>
        <w:t> </w:t>
      </w:r>
      <w:r w:rsidR="003C0256">
        <w:rPr>
          <w:noProof/>
          <w:szCs w:val="19"/>
          <w:lang w:eastAsia="pl-PL"/>
        </w:rPr>
        <w:t xml:space="preserve">przykład zróżnicowanie zasięgu ubóstwa według </w:t>
      </w:r>
      <w:r w:rsidR="00AD2BA7">
        <w:rPr>
          <w:noProof/>
          <w:szCs w:val="19"/>
          <w:lang w:eastAsia="pl-PL"/>
        </w:rPr>
        <w:t>grup społeczno-ekonomicznych</w:t>
      </w:r>
      <w:r w:rsidR="003C0256">
        <w:rPr>
          <w:noProof/>
          <w:szCs w:val="19"/>
          <w:lang w:eastAsia="pl-PL"/>
        </w:rPr>
        <w:t xml:space="preserve"> zależy m.in. od aktywności ekonomicznej członków gospodarstwa domowego oraz ich statusu na rynku pracy, co z kolei uzależnione jest chociażby od wieku i poziomu wykształcenia osób tworzących gospodarstwo domowe.</w:t>
      </w:r>
      <w:r w:rsidR="008E7FA8">
        <w:rPr>
          <w:noProof/>
          <w:szCs w:val="19"/>
          <w:lang w:eastAsia="pl-PL"/>
        </w:rPr>
        <w:t xml:space="preserve"> </w:t>
      </w:r>
    </w:p>
    <w:p w14:paraId="55ABFEF9" w14:textId="5D37A635" w:rsidR="006640F6" w:rsidRPr="006640F6" w:rsidRDefault="006640F6" w:rsidP="006640F6">
      <w:pPr>
        <w:spacing w:before="240" w:after="80" w:line="240" w:lineRule="auto"/>
        <w:rPr>
          <w:noProof/>
          <w:szCs w:val="19"/>
          <w:lang w:eastAsia="pl-PL"/>
        </w:rPr>
      </w:pPr>
      <w:r w:rsidRPr="006640F6">
        <w:rPr>
          <w:noProof/>
          <w:szCs w:val="19"/>
          <w:lang w:eastAsia="pl-PL"/>
        </w:rPr>
        <w:t>Zasięg ubóstwa wyraźnie różni się w zależności od grupy społeczno-ekonomicznej określanej na podstawie przeważającego źródła utrzymania gospodarstwa domowego. W 2020 r. szczególnie narażone na ubóstwo skrajne były gospodarstwa domowe rolników oraz gospodarstwa utrzymujące się głównie z tzw. niezarobkowych źródeł (w obu grupach - prawie 14% osób z tych gospodarstw). Wśród tych ostatnich zwracają uwagę gospodarstwa utrzymujace się ze świadczeń społecznych innych niż emerytury i renty (ok. 15%</w:t>
      </w:r>
      <w:r w:rsidR="000C131A">
        <w:rPr>
          <w:noProof/>
          <w:szCs w:val="19"/>
          <w:lang w:eastAsia="pl-PL"/>
        </w:rPr>
        <w:t xml:space="preserve"> </w:t>
      </w:r>
      <w:r w:rsidR="002D606E">
        <w:rPr>
          <w:noProof/>
          <w:szCs w:val="19"/>
          <w:lang w:eastAsia="pl-PL"/>
        </w:rPr>
        <w:t xml:space="preserve">osób </w:t>
      </w:r>
      <w:r w:rsidR="000C131A">
        <w:rPr>
          <w:noProof/>
          <w:szCs w:val="19"/>
          <w:lang w:eastAsia="pl-PL"/>
        </w:rPr>
        <w:t>ubogich</w:t>
      </w:r>
      <w:r w:rsidRPr="006640F6">
        <w:rPr>
          <w:noProof/>
          <w:szCs w:val="19"/>
          <w:lang w:eastAsia="pl-PL"/>
        </w:rPr>
        <w:t>). Wyższy od przeciętnego poziom ubóstwa skrajnego wystąpił także w</w:t>
      </w:r>
      <w:r w:rsidR="005366B6">
        <w:rPr>
          <w:noProof/>
          <w:szCs w:val="19"/>
          <w:lang w:eastAsia="pl-PL"/>
        </w:rPr>
        <w:t> </w:t>
      </w:r>
      <w:r w:rsidRPr="006640F6">
        <w:rPr>
          <w:noProof/>
          <w:szCs w:val="19"/>
          <w:lang w:eastAsia="pl-PL"/>
        </w:rPr>
        <w:t xml:space="preserve">gospodarstwach domowych </w:t>
      </w:r>
      <w:r w:rsidR="003E11CD" w:rsidRPr="006640F6">
        <w:rPr>
          <w:noProof/>
          <w:szCs w:val="19"/>
          <w:lang w:eastAsia="pl-PL"/>
        </w:rPr>
        <mc:AlternateContent>
          <mc:Choice Requires="wps">
            <w:drawing>
              <wp:anchor distT="45720" distB="45720" distL="114300" distR="114300" simplePos="0" relativeHeight="251839488" behindDoc="0" locked="0" layoutInCell="1" allowOverlap="1" wp14:anchorId="0C7E8F37" wp14:editId="6E48F4A3">
                <wp:simplePos x="0" y="0"/>
                <wp:positionH relativeFrom="column">
                  <wp:posOffset>5268098</wp:posOffset>
                </wp:positionH>
                <wp:positionV relativeFrom="paragraph">
                  <wp:posOffset>366241</wp:posOffset>
                </wp:positionV>
                <wp:extent cx="1754660" cy="2354239"/>
                <wp:effectExtent l="0" t="0" r="0" b="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4660" cy="2354239"/>
                        </a:xfrm>
                        <a:prstGeom prst="rect">
                          <a:avLst/>
                        </a:prstGeom>
                        <a:noFill/>
                        <a:ln w="9525">
                          <a:noFill/>
                          <a:miter lim="800000"/>
                          <a:headEnd/>
                          <a:tailEnd/>
                        </a:ln>
                      </wps:spPr>
                      <wps:txbx>
                        <w:txbxContent>
                          <w:p w14:paraId="73545DF5" w14:textId="77777777" w:rsidR="004D5050" w:rsidRPr="004D5050" w:rsidRDefault="004D5050" w:rsidP="004D5050">
                            <w:pPr>
                              <w:suppressAutoHyphens/>
                              <w:rPr>
                                <w:color w:val="001D77"/>
                                <w:sz w:val="18"/>
                                <w:szCs w:val="18"/>
                              </w:rPr>
                            </w:pPr>
                            <w:r w:rsidRPr="004D5050">
                              <w:rPr>
                                <w:noProof/>
                                <w:color w:val="001D77"/>
                                <w:sz w:val="18"/>
                                <w:szCs w:val="18"/>
                                <w:lang w:eastAsia="pl-PL"/>
                              </w:rPr>
                              <w:t xml:space="preserve">Do najbardziej zagrożonych </w:t>
                            </w:r>
                            <w:r w:rsidR="000903B7">
                              <w:rPr>
                                <w:noProof/>
                                <w:color w:val="001D77"/>
                                <w:sz w:val="18"/>
                                <w:szCs w:val="18"/>
                                <w:lang w:eastAsia="pl-PL"/>
                              </w:rPr>
                              <w:t>ubóstwem</w:t>
                            </w:r>
                            <w:r w:rsidRPr="004D5050">
                              <w:rPr>
                                <w:noProof/>
                                <w:color w:val="001D77"/>
                                <w:sz w:val="18"/>
                                <w:szCs w:val="18"/>
                                <w:lang w:eastAsia="pl-PL"/>
                              </w:rPr>
                              <w:t xml:space="preserve"> należały osoby w</w:t>
                            </w:r>
                            <w:r w:rsidR="000A5F0B">
                              <w:rPr>
                                <w:noProof/>
                                <w:color w:val="001D77"/>
                                <w:sz w:val="18"/>
                                <w:szCs w:val="18"/>
                                <w:lang w:eastAsia="pl-PL"/>
                              </w:rPr>
                              <w:t> </w:t>
                            </w:r>
                            <w:r w:rsidRPr="004D5050">
                              <w:rPr>
                                <w:noProof/>
                                <w:color w:val="001D77"/>
                                <w:sz w:val="18"/>
                                <w:szCs w:val="18"/>
                                <w:lang w:eastAsia="pl-PL"/>
                              </w:rPr>
                              <w:t>gospodarstwach utrzymując</w:t>
                            </w:r>
                            <w:r w:rsidR="000903B7">
                              <w:rPr>
                                <w:noProof/>
                                <w:color w:val="001D77"/>
                                <w:sz w:val="18"/>
                                <w:szCs w:val="18"/>
                                <w:lang w:eastAsia="pl-PL"/>
                              </w:rPr>
                              <w:t>ych</w:t>
                            </w:r>
                            <w:r w:rsidRPr="004D5050">
                              <w:rPr>
                                <w:noProof/>
                                <w:color w:val="001D77"/>
                                <w:sz w:val="18"/>
                                <w:szCs w:val="18"/>
                                <w:lang w:eastAsia="pl-PL"/>
                              </w:rPr>
                              <w:t xml:space="preserve"> się ze świadczeń społecznych (poza emeryturami) oraz z rolnictwa a także rodziny wielodzietne oraz gospodarstwa z osobami dotkniętymi niepełnosp</w:t>
                            </w:r>
                            <w:r w:rsidR="00112437">
                              <w:rPr>
                                <w:noProof/>
                                <w:color w:val="001D77"/>
                                <w:sz w:val="18"/>
                                <w:szCs w:val="18"/>
                                <w:lang w:eastAsia="pl-PL"/>
                              </w:rPr>
                              <w:t>rawnością. Czynnikiem zwiększającym ryzyko ubóstwa</w:t>
                            </w:r>
                            <w:r w:rsidRPr="004D5050">
                              <w:rPr>
                                <w:noProof/>
                                <w:color w:val="001D77"/>
                                <w:sz w:val="18"/>
                                <w:szCs w:val="18"/>
                                <w:lang w:eastAsia="pl-PL"/>
                              </w:rPr>
                              <w:t xml:space="preserve"> skrajnego był brak lub niski poziom wykształcenia.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7E8F37" id="_x0000_s1032" type="#_x0000_t202" style="position:absolute;margin-left:414.8pt;margin-top:28.85pt;width:138.15pt;height:185.35pt;z-index:251839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" filled="f" stroked="f">
                <v:textbox>
                  <w:txbxContent>
                    <w:p w14:paraId="73545DF5" w14:textId="77777777" w:rsidR="004D5050" w:rsidRPr="004D5050" w:rsidRDefault="004D5050" w:rsidP="004D5050">
                      <w:pPr>
                        <w:suppressAutoHyphens/>
                        <w:rPr>
                          <w:color w:val="001D77"/>
                          <w:sz w:val="18"/>
                          <w:szCs w:val="18"/>
                        </w:rPr>
                      </w:pPr>
                      <w:r w:rsidRPr="004D5050">
                        <w:rPr>
                          <w:noProof/>
                          <w:color w:val="001D77"/>
                          <w:sz w:val="18"/>
                          <w:szCs w:val="18"/>
                          <w:lang w:eastAsia="pl-PL"/>
                        </w:rPr>
                        <w:t xml:space="preserve">Do najbardziej zagrożonych </w:t>
                      </w:r>
                      <w:r w:rsidR="000903B7">
                        <w:rPr>
                          <w:noProof/>
                          <w:color w:val="001D77"/>
                          <w:sz w:val="18"/>
                          <w:szCs w:val="18"/>
                          <w:lang w:eastAsia="pl-PL"/>
                        </w:rPr>
                        <w:t>ubóstwem</w:t>
                      </w:r>
                      <w:r w:rsidRPr="004D5050">
                        <w:rPr>
                          <w:noProof/>
                          <w:color w:val="001D77"/>
                          <w:sz w:val="18"/>
                          <w:szCs w:val="18"/>
                          <w:lang w:eastAsia="pl-PL"/>
                        </w:rPr>
                        <w:t xml:space="preserve"> należały osoby w</w:t>
                      </w:r>
                      <w:r w:rsidR="000A5F0B">
                        <w:rPr>
                          <w:noProof/>
                          <w:color w:val="001D77"/>
                          <w:sz w:val="18"/>
                          <w:szCs w:val="18"/>
                          <w:lang w:eastAsia="pl-PL"/>
                        </w:rPr>
                        <w:t> </w:t>
                      </w:r>
                      <w:r w:rsidRPr="004D5050">
                        <w:rPr>
                          <w:noProof/>
                          <w:color w:val="001D77"/>
                          <w:sz w:val="18"/>
                          <w:szCs w:val="18"/>
                          <w:lang w:eastAsia="pl-PL"/>
                        </w:rPr>
                        <w:t>gospodarstwach utrzymując</w:t>
                      </w:r>
                      <w:r w:rsidR="000903B7">
                        <w:rPr>
                          <w:noProof/>
                          <w:color w:val="001D77"/>
                          <w:sz w:val="18"/>
                          <w:szCs w:val="18"/>
                          <w:lang w:eastAsia="pl-PL"/>
                        </w:rPr>
                        <w:t>ych</w:t>
                      </w:r>
                      <w:r w:rsidRPr="004D5050">
                        <w:rPr>
                          <w:noProof/>
                          <w:color w:val="001D77"/>
                          <w:sz w:val="18"/>
                          <w:szCs w:val="18"/>
                          <w:lang w:eastAsia="pl-PL"/>
                        </w:rPr>
                        <w:t xml:space="preserve"> się ze świadczeń społecznych (poza emeryturami) oraz z rolnictwa a także rodziny wielodzietne oraz gospodarstwa z osobami dotkniętymi niepełnosp</w:t>
                      </w:r>
                      <w:r w:rsidR="00112437">
                        <w:rPr>
                          <w:noProof/>
                          <w:color w:val="001D77"/>
                          <w:sz w:val="18"/>
                          <w:szCs w:val="18"/>
                          <w:lang w:eastAsia="pl-PL"/>
                        </w:rPr>
                        <w:t>rawnością. Czynnikiem zwiększającym ryzyko ubóstwa</w:t>
                      </w:r>
                      <w:r w:rsidRPr="004D5050">
                        <w:rPr>
                          <w:noProof/>
                          <w:color w:val="001D77"/>
                          <w:sz w:val="18"/>
                          <w:szCs w:val="18"/>
                          <w:lang w:eastAsia="pl-PL"/>
                        </w:rPr>
                        <w:t xml:space="preserve"> skrajnego był brak lub niski poziom wykształcenia.</w:t>
                      </w:r>
                    </w:p>
                  </w:txbxContent>
                </v:textbox>
              </v:shape>
            </w:pict>
          </mc:Fallback>
        </mc:AlternateContent>
      </w:r>
      <w:r w:rsidRPr="006640F6">
        <w:rPr>
          <w:noProof/>
          <w:szCs w:val="19"/>
          <w:lang w:eastAsia="pl-PL"/>
        </w:rPr>
        <w:t>rencistów (ok. 8%).</w:t>
      </w:r>
    </w:p>
    <w:p w14:paraId="4261753E" w14:textId="77777777" w:rsidR="00F42CF6" w:rsidRDefault="00E93515" w:rsidP="00920915">
      <w:pPr>
        <w:spacing w:before="240" w:after="80" w:line="240" w:lineRule="auto"/>
        <w:rPr>
          <w:noProof/>
          <w:szCs w:val="19"/>
          <w:lang w:eastAsia="pl-PL"/>
        </w:rPr>
      </w:pPr>
      <w:r>
        <w:rPr>
          <w:noProof/>
          <w:szCs w:val="19"/>
          <w:lang w:eastAsia="pl-PL"/>
        </w:rPr>
        <w:t>Ubóstwem skrajnym dotknięte były przede wszystkim gospodarstwa domowe osób maj</w:t>
      </w:r>
      <w:r w:rsidR="007874A9">
        <w:rPr>
          <w:noProof/>
          <w:szCs w:val="19"/>
          <w:lang w:eastAsia="pl-PL"/>
        </w:rPr>
        <w:t>ą</w:t>
      </w:r>
      <w:r>
        <w:rPr>
          <w:noProof/>
          <w:szCs w:val="19"/>
          <w:lang w:eastAsia="pl-PL"/>
        </w:rPr>
        <w:t>cych niski poziom wykształcenia.</w:t>
      </w:r>
      <w:r w:rsidR="00071D41">
        <w:rPr>
          <w:noProof/>
          <w:szCs w:val="19"/>
          <w:lang w:eastAsia="pl-PL"/>
        </w:rPr>
        <w:t xml:space="preserve"> </w:t>
      </w:r>
      <w:r>
        <w:rPr>
          <w:noProof/>
          <w:szCs w:val="19"/>
          <w:lang w:eastAsia="pl-PL"/>
        </w:rPr>
        <w:t>Stopa ubóstwa</w:t>
      </w:r>
      <w:r w:rsidR="00B3255C">
        <w:rPr>
          <w:noProof/>
          <w:szCs w:val="19"/>
          <w:lang w:eastAsia="pl-PL"/>
        </w:rPr>
        <w:t xml:space="preserve"> wśród gospodarstw</w:t>
      </w:r>
      <w:r>
        <w:rPr>
          <w:noProof/>
          <w:szCs w:val="19"/>
          <w:lang w:eastAsia="pl-PL"/>
        </w:rPr>
        <w:t>, których głowa</w:t>
      </w:r>
      <w:r w:rsidR="00781CF7">
        <w:rPr>
          <w:rStyle w:val="Odwoanieprzypisudolnego"/>
          <w:noProof/>
          <w:szCs w:val="19"/>
          <w:lang w:eastAsia="pl-PL"/>
        </w:rPr>
        <w:footnoteReference w:id="7"/>
      </w:r>
      <w:r>
        <w:rPr>
          <w:noProof/>
          <w:szCs w:val="19"/>
          <w:lang w:eastAsia="pl-PL"/>
        </w:rPr>
        <w:t xml:space="preserve"> posiadała wykształcenie co najwyżej gimnazjalne była ponad dwukrotnie wyższa niż przeciętnie i</w:t>
      </w:r>
      <w:r w:rsidR="00DD7A58">
        <w:rPr>
          <w:noProof/>
          <w:szCs w:val="19"/>
          <w:lang w:eastAsia="pl-PL"/>
        </w:rPr>
        <w:t> </w:t>
      </w:r>
      <w:r>
        <w:rPr>
          <w:noProof/>
          <w:szCs w:val="19"/>
          <w:lang w:eastAsia="pl-PL"/>
        </w:rPr>
        <w:t>wyniosła ok.</w:t>
      </w:r>
      <w:r w:rsidR="00071D41">
        <w:rPr>
          <w:noProof/>
          <w:szCs w:val="19"/>
          <w:lang w:eastAsia="pl-PL"/>
        </w:rPr>
        <w:t xml:space="preserve"> </w:t>
      </w:r>
      <w:r>
        <w:rPr>
          <w:noProof/>
          <w:szCs w:val="19"/>
          <w:lang w:eastAsia="pl-PL"/>
        </w:rPr>
        <w:t>1</w:t>
      </w:r>
      <w:r w:rsidR="00780AC9">
        <w:rPr>
          <w:noProof/>
          <w:szCs w:val="19"/>
          <w:lang w:eastAsia="pl-PL"/>
        </w:rPr>
        <w:t>2</w:t>
      </w:r>
      <w:r>
        <w:rPr>
          <w:noProof/>
          <w:szCs w:val="19"/>
          <w:lang w:eastAsia="pl-PL"/>
        </w:rPr>
        <w:t>%. Wyższy od przeciętnej był również odsetek ubogich w przypadku gospodarstw osób z wykształceniem zasadniczym zawodowym (</w:t>
      </w:r>
      <w:r w:rsidR="00780AC9">
        <w:rPr>
          <w:noProof/>
          <w:szCs w:val="19"/>
          <w:lang w:eastAsia="pl-PL"/>
        </w:rPr>
        <w:t>ok.</w:t>
      </w:r>
      <w:r w:rsidR="00003646">
        <w:rPr>
          <w:noProof/>
          <w:szCs w:val="19"/>
          <w:lang w:eastAsia="pl-PL"/>
        </w:rPr>
        <w:t xml:space="preserve"> </w:t>
      </w:r>
      <w:r w:rsidR="00780AC9">
        <w:rPr>
          <w:noProof/>
          <w:szCs w:val="19"/>
          <w:lang w:eastAsia="pl-PL"/>
        </w:rPr>
        <w:t>8</w:t>
      </w:r>
      <w:r>
        <w:rPr>
          <w:noProof/>
          <w:szCs w:val="19"/>
          <w:lang w:eastAsia="pl-PL"/>
        </w:rPr>
        <w:t>%</w:t>
      </w:r>
      <w:r w:rsidR="00780AC9">
        <w:rPr>
          <w:noProof/>
          <w:szCs w:val="19"/>
          <w:lang w:eastAsia="pl-PL"/>
        </w:rPr>
        <w:t xml:space="preserve"> osób</w:t>
      </w:r>
      <w:r>
        <w:rPr>
          <w:noProof/>
          <w:szCs w:val="19"/>
          <w:lang w:eastAsia="pl-PL"/>
        </w:rPr>
        <w:t>).</w:t>
      </w:r>
      <w:r w:rsidR="00E52E39">
        <w:rPr>
          <w:noProof/>
          <w:szCs w:val="19"/>
          <w:lang w:eastAsia="pl-PL"/>
        </w:rPr>
        <w:t xml:space="preserve"> </w:t>
      </w:r>
      <w:r w:rsidR="00135A93">
        <w:rPr>
          <w:noProof/>
          <w:szCs w:val="19"/>
          <w:lang w:eastAsia="pl-PL"/>
        </w:rPr>
        <w:t>Do grupy gospodarstw domowych o relatywnie wysokiej stopie ubóstwa skrajnego należały także gospodarstwa posiadające w s</w:t>
      </w:r>
      <w:r w:rsidR="0077473D">
        <w:rPr>
          <w:noProof/>
          <w:szCs w:val="19"/>
          <w:lang w:eastAsia="pl-PL"/>
        </w:rPr>
        <w:t>w</w:t>
      </w:r>
      <w:r w:rsidR="00135A93">
        <w:rPr>
          <w:noProof/>
          <w:szCs w:val="19"/>
          <w:lang w:eastAsia="pl-PL"/>
        </w:rPr>
        <w:t>oim składzie</w:t>
      </w:r>
      <w:r w:rsidR="001778BA">
        <w:rPr>
          <w:noProof/>
          <w:szCs w:val="19"/>
          <w:lang w:eastAsia="pl-PL"/>
        </w:rPr>
        <w:t xml:space="preserve"> osoby </w:t>
      </w:r>
      <w:r w:rsidR="00BB2F35">
        <w:rPr>
          <w:noProof/>
          <w:szCs w:val="19"/>
          <w:lang w:eastAsia="pl-PL"/>
        </w:rPr>
        <w:t>z</w:t>
      </w:r>
      <w:r w:rsidR="00003646">
        <w:rPr>
          <w:noProof/>
          <w:szCs w:val="19"/>
          <w:lang w:eastAsia="pl-PL"/>
        </w:rPr>
        <w:t xml:space="preserve"> </w:t>
      </w:r>
      <w:r w:rsidR="00BB2F35">
        <w:rPr>
          <w:noProof/>
          <w:szCs w:val="19"/>
          <w:lang w:eastAsia="pl-PL"/>
        </w:rPr>
        <w:t xml:space="preserve">orzeczeniem o </w:t>
      </w:r>
      <w:r w:rsidR="001778BA">
        <w:rPr>
          <w:noProof/>
          <w:szCs w:val="19"/>
          <w:lang w:eastAsia="pl-PL"/>
        </w:rPr>
        <w:t>niepełnosprawn</w:t>
      </w:r>
      <w:r w:rsidR="00BB2F35">
        <w:rPr>
          <w:noProof/>
          <w:szCs w:val="19"/>
          <w:lang w:eastAsia="pl-PL"/>
        </w:rPr>
        <w:t>ości</w:t>
      </w:r>
      <w:r w:rsidR="003E11CD">
        <w:rPr>
          <w:noProof/>
          <w:szCs w:val="19"/>
          <w:lang w:eastAsia="pl-PL"/>
        </w:rPr>
        <w:t>.</w:t>
      </w:r>
      <w:r w:rsidR="001778BA">
        <w:rPr>
          <w:noProof/>
          <w:szCs w:val="19"/>
          <w:lang w:eastAsia="pl-PL"/>
        </w:rPr>
        <w:t xml:space="preserve"> Stopa ubóstwa skrajnego </w:t>
      </w:r>
      <w:r w:rsidR="00E1284C">
        <w:rPr>
          <w:noProof/>
          <w:szCs w:val="19"/>
          <w:lang w:eastAsia="pl-PL"/>
        </w:rPr>
        <w:t>w</w:t>
      </w:r>
      <w:r w:rsidR="00003646">
        <w:rPr>
          <w:noProof/>
          <w:szCs w:val="19"/>
          <w:lang w:eastAsia="pl-PL"/>
        </w:rPr>
        <w:t xml:space="preserve"> </w:t>
      </w:r>
      <w:r w:rsidR="00E1284C">
        <w:rPr>
          <w:noProof/>
          <w:szCs w:val="19"/>
          <w:lang w:eastAsia="pl-PL"/>
        </w:rPr>
        <w:t xml:space="preserve">gospodarstwach domowych </w:t>
      </w:r>
      <w:r w:rsidR="001778BA">
        <w:rPr>
          <w:noProof/>
          <w:szCs w:val="19"/>
          <w:lang w:eastAsia="pl-PL"/>
        </w:rPr>
        <w:t xml:space="preserve">z co najmniej jedną osobą </w:t>
      </w:r>
      <w:r w:rsidR="00135A93">
        <w:rPr>
          <w:noProof/>
          <w:szCs w:val="19"/>
          <w:lang w:eastAsia="pl-PL"/>
        </w:rPr>
        <w:t>uznaną za</w:t>
      </w:r>
      <w:r w:rsidR="00DD7A58">
        <w:rPr>
          <w:noProof/>
          <w:szCs w:val="19"/>
          <w:lang w:eastAsia="pl-PL"/>
        </w:rPr>
        <w:t> </w:t>
      </w:r>
      <w:r w:rsidR="001778BA">
        <w:rPr>
          <w:noProof/>
          <w:szCs w:val="19"/>
          <w:lang w:eastAsia="pl-PL"/>
        </w:rPr>
        <w:t xml:space="preserve">niepełnosprawną wyniosła </w:t>
      </w:r>
      <w:r w:rsidR="00E6463D">
        <w:rPr>
          <w:noProof/>
          <w:szCs w:val="19"/>
          <w:lang w:eastAsia="pl-PL"/>
        </w:rPr>
        <w:t>7</w:t>
      </w:r>
      <w:r w:rsidR="00135A93">
        <w:rPr>
          <w:noProof/>
          <w:szCs w:val="19"/>
          <w:lang w:eastAsia="pl-PL"/>
        </w:rPr>
        <w:t>,5</w:t>
      </w:r>
      <w:r w:rsidR="009E0DC3">
        <w:rPr>
          <w:noProof/>
          <w:szCs w:val="19"/>
          <w:lang w:eastAsia="pl-PL"/>
        </w:rPr>
        <w:t>%.</w:t>
      </w:r>
    </w:p>
    <w:p w14:paraId="2FDB9CBF" w14:textId="77777777" w:rsidR="00DB651B" w:rsidRDefault="00C05CCE" w:rsidP="00920915">
      <w:pPr>
        <w:spacing w:before="240" w:after="80" w:line="240" w:lineRule="auto"/>
        <w:rPr>
          <w:noProof/>
          <w:szCs w:val="19"/>
          <w:lang w:eastAsia="pl-PL"/>
        </w:rPr>
      </w:pPr>
      <w:r>
        <w:rPr>
          <w:noProof/>
          <w:szCs w:val="19"/>
          <w:lang w:eastAsia="pl-PL"/>
        </w:rPr>
        <w:t>Wyższą od średni</w:t>
      </w:r>
      <w:r w:rsidR="001B09A2">
        <w:rPr>
          <w:noProof/>
          <w:szCs w:val="19"/>
          <w:lang w:eastAsia="pl-PL"/>
        </w:rPr>
        <w:t>e</w:t>
      </w:r>
      <w:r>
        <w:rPr>
          <w:noProof/>
          <w:szCs w:val="19"/>
          <w:lang w:eastAsia="pl-PL"/>
        </w:rPr>
        <w:t xml:space="preserve">j dla Polski stopą ubóstwa skrajnego </w:t>
      </w:r>
      <w:r w:rsidR="009F2D33">
        <w:rPr>
          <w:noProof/>
          <w:szCs w:val="19"/>
          <w:lang w:eastAsia="pl-PL"/>
        </w:rPr>
        <w:t>w 20</w:t>
      </w:r>
      <w:r w:rsidR="00E6463D">
        <w:rPr>
          <w:noProof/>
          <w:szCs w:val="19"/>
          <w:lang w:eastAsia="pl-PL"/>
        </w:rPr>
        <w:t>20</w:t>
      </w:r>
      <w:r w:rsidR="009F2D33">
        <w:rPr>
          <w:noProof/>
          <w:szCs w:val="19"/>
          <w:lang w:eastAsia="pl-PL"/>
        </w:rPr>
        <w:t xml:space="preserve"> r. </w:t>
      </w:r>
      <w:r>
        <w:rPr>
          <w:noProof/>
          <w:szCs w:val="19"/>
          <w:lang w:eastAsia="pl-PL"/>
        </w:rPr>
        <w:t xml:space="preserve">charakteryzowały się </w:t>
      </w:r>
      <w:r w:rsidR="00CC2CA1">
        <w:rPr>
          <w:noProof/>
          <w:szCs w:val="19"/>
          <w:lang w:eastAsia="pl-PL"/>
        </w:rPr>
        <w:t xml:space="preserve">także </w:t>
      </w:r>
      <w:r>
        <w:rPr>
          <w:noProof/>
          <w:szCs w:val="19"/>
          <w:lang w:eastAsia="pl-PL"/>
        </w:rPr>
        <w:t xml:space="preserve">gospodarstwa </w:t>
      </w:r>
      <w:r w:rsidR="00CC2CA1">
        <w:rPr>
          <w:noProof/>
          <w:szCs w:val="19"/>
          <w:lang w:eastAsia="pl-PL"/>
        </w:rPr>
        <w:t>domowe z dziećmi poniżej</w:t>
      </w:r>
      <w:r>
        <w:rPr>
          <w:noProof/>
          <w:szCs w:val="19"/>
          <w:lang w:eastAsia="pl-PL"/>
        </w:rPr>
        <w:t xml:space="preserve"> 18 roku życia</w:t>
      </w:r>
      <w:r w:rsidR="00CC2CA1">
        <w:rPr>
          <w:noProof/>
          <w:szCs w:val="19"/>
          <w:lang w:eastAsia="pl-PL"/>
        </w:rPr>
        <w:t>. Dotyczyło to przede wszystkim</w:t>
      </w:r>
      <w:r>
        <w:rPr>
          <w:noProof/>
          <w:szCs w:val="19"/>
          <w:lang w:eastAsia="pl-PL"/>
        </w:rPr>
        <w:t xml:space="preserve"> </w:t>
      </w:r>
      <w:r>
        <w:rPr>
          <w:noProof/>
          <w:szCs w:val="19"/>
          <w:lang w:eastAsia="pl-PL"/>
        </w:rPr>
        <w:lastRenderedPageBreak/>
        <w:t>gospodarstw domow</w:t>
      </w:r>
      <w:r w:rsidR="00DB651B">
        <w:rPr>
          <w:noProof/>
          <w:szCs w:val="19"/>
          <w:lang w:eastAsia="pl-PL"/>
        </w:rPr>
        <w:t xml:space="preserve">ych </w:t>
      </w:r>
      <w:r>
        <w:rPr>
          <w:noProof/>
          <w:szCs w:val="19"/>
          <w:lang w:eastAsia="pl-PL"/>
        </w:rPr>
        <w:t>z</w:t>
      </w:r>
      <w:r w:rsidR="00113685">
        <w:rPr>
          <w:noProof/>
          <w:szCs w:val="19"/>
          <w:lang w:eastAsia="pl-PL"/>
        </w:rPr>
        <w:t xml:space="preserve"> </w:t>
      </w:r>
      <w:r>
        <w:rPr>
          <w:noProof/>
          <w:szCs w:val="19"/>
          <w:lang w:eastAsia="pl-PL"/>
        </w:rPr>
        <w:t xml:space="preserve">co najmniej trójką dzieci </w:t>
      </w:r>
      <w:r w:rsidR="00CC2CA1">
        <w:rPr>
          <w:noProof/>
          <w:szCs w:val="19"/>
          <w:lang w:eastAsia="pl-PL"/>
        </w:rPr>
        <w:t xml:space="preserve">w tym wieku </w:t>
      </w:r>
      <w:r>
        <w:rPr>
          <w:noProof/>
          <w:szCs w:val="19"/>
          <w:lang w:eastAsia="pl-PL"/>
        </w:rPr>
        <w:t>(</w:t>
      </w:r>
      <w:r w:rsidR="002D606E">
        <w:rPr>
          <w:noProof/>
          <w:szCs w:val="19"/>
          <w:lang w:eastAsia="pl-PL"/>
        </w:rPr>
        <w:t xml:space="preserve">prawie </w:t>
      </w:r>
      <w:r w:rsidR="00CC2CA1">
        <w:rPr>
          <w:noProof/>
          <w:szCs w:val="19"/>
          <w:lang w:eastAsia="pl-PL"/>
        </w:rPr>
        <w:t>9</w:t>
      </w:r>
      <w:r>
        <w:rPr>
          <w:noProof/>
          <w:szCs w:val="19"/>
          <w:lang w:eastAsia="pl-PL"/>
        </w:rPr>
        <w:t>% osób ubogich)</w:t>
      </w:r>
      <w:r w:rsidR="00CC2CA1">
        <w:rPr>
          <w:noProof/>
          <w:szCs w:val="19"/>
          <w:lang w:eastAsia="pl-PL"/>
        </w:rPr>
        <w:t xml:space="preserve"> ale także gospodarstw domowych z dwojgiem dzieci (6,5%</w:t>
      </w:r>
      <w:r w:rsidR="00DB651B">
        <w:rPr>
          <w:noProof/>
          <w:szCs w:val="19"/>
          <w:lang w:eastAsia="pl-PL"/>
        </w:rPr>
        <w:t xml:space="preserve"> osób ubogich)</w:t>
      </w:r>
      <w:r w:rsidR="00AB3FB5">
        <w:rPr>
          <w:noProof/>
          <w:szCs w:val="19"/>
          <w:lang w:eastAsia="pl-PL"/>
        </w:rPr>
        <w:t>.</w:t>
      </w:r>
    </w:p>
    <w:p w14:paraId="17192155" w14:textId="77777777" w:rsidR="00F42CF6" w:rsidRDefault="007E7848" w:rsidP="00920915">
      <w:pPr>
        <w:spacing w:before="240" w:after="80" w:line="240" w:lineRule="auto"/>
        <w:rPr>
          <w:noProof/>
          <w:szCs w:val="19"/>
          <w:lang w:eastAsia="pl-PL"/>
        </w:rPr>
      </w:pPr>
      <w:r>
        <w:rPr>
          <w:noProof/>
          <w:szCs w:val="19"/>
          <w:lang w:eastAsia="pl-PL"/>
        </w:rPr>
        <w:t>Stopa ubóstwa skrajnego wśród</w:t>
      </w:r>
      <w:r w:rsidR="00DB651B">
        <w:rPr>
          <w:noProof/>
          <w:szCs w:val="19"/>
          <w:lang w:eastAsia="pl-PL"/>
        </w:rPr>
        <w:t xml:space="preserve"> dzieci i młodzieży do 18 roku życia wyniósł</w:t>
      </w:r>
      <w:r>
        <w:rPr>
          <w:noProof/>
          <w:szCs w:val="19"/>
          <w:lang w:eastAsia="pl-PL"/>
        </w:rPr>
        <w:t>a</w:t>
      </w:r>
      <w:r w:rsidR="00DB651B">
        <w:rPr>
          <w:noProof/>
          <w:szCs w:val="19"/>
          <w:lang w:eastAsia="pl-PL"/>
        </w:rPr>
        <w:t xml:space="preserve"> w 2020 r. </w:t>
      </w:r>
      <w:r>
        <w:rPr>
          <w:noProof/>
          <w:szCs w:val="19"/>
          <w:lang w:eastAsia="pl-PL"/>
        </w:rPr>
        <w:t>ok.</w:t>
      </w:r>
      <w:r w:rsidR="00A27DC9">
        <w:rPr>
          <w:noProof/>
          <w:szCs w:val="19"/>
          <w:lang w:eastAsia="pl-PL"/>
        </w:rPr>
        <w:t xml:space="preserve"> </w:t>
      </w:r>
      <w:r>
        <w:rPr>
          <w:noProof/>
          <w:szCs w:val="19"/>
          <w:lang w:eastAsia="pl-PL"/>
        </w:rPr>
        <w:t>6%.</w:t>
      </w:r>
    </w:p>
    <w:p w14:paraId="3A207A78" w14:textId="77777777" w:rsidR="008D53FF" w:rsidRDefault="00B3255C" w:rsidP="00920915">
      <w:pPr>
        <w:spacing w:before="240" w:after="80" w:line="240" w:lineRule="auto"/>
        <w:rPr>
          <w:noProof/>
          <w:szCs w:val="19"/>
          <w:lang w:eastAsia="pl-PL"/>
        </w:rPr>
      </w:pPr>
      <w:r>
        <w:rPr>
          <w:noProof/>
          <w:szCs w:val="19"/>
          <w:lang w:eastAsia="pl-PL"/>
        </w:rPr>
        <w:t>W</w:t>
      </w:r>
      <w:r w:rsidR="00150BC9">
        <w:rPr>
          <w:noProof/>
          <w:szCs w:val="19"/>
          <w:lang w:eastAsia="pl-PL"/>
        </w:rPr>
        <w:t>y</w:t>
      </w:r>
      <w:r w:rsidR="008D53FF">
        <w:rPr>
          <w:noProof/>
          <w:szCs w:val="19"/>
          <w:lang w:eastAsia="pl-PL"/>
        </w:rPr>
        <w:t>datkami niższymi od granicy ubóstwa skrajnego częściej od mieszkańców miast odznaczali się mieszkańcy wsi, gdzie stopa ub</w:t>
      </w:r>
      <w:r w:rsidR="00393FA8">
        <w:rPr>
          <w:noProof/>
          <w:szCs w:val="19"/>
          <w:lang w:eastAsia="pl-PL"/>
        </w:rPr>
        <w:t>óstwa skrajnego osiągnęła w 20</w:t>
      </w:r>
      <w:r w:rsidR="007E7848">
        <w:rPr>
          <w:noProof/>
          <w:szCs w:val="19"/>
          <w:lang w:eastAsia="pl-PL"/>
        </w:rPr>
        <w:t>20 r.</w:t>
      </w:r>
      <w:r w:rsidR="008D53FF">
        <w:rPr>
          <w:noProof/>
          <w:szCs w:val="19"/>
          <w:lang w:eastAsia="pl-PL"/>
        </w:rPr>
        <w:t xml:space="preserve"> poziom </w:t>
      </w:r>
      <w:r w:rsidR="007E7848">
        <w:rPr>
          <w:noProof/>
          <w:szCs w:val="19"/>
          <w:lang w:eastAsia="pl-PL"/>
        </w:rPr>
        <w:t>9,5</w:t>
      </w:r>
      <w:r w:rsidR="008D53FF">
        <w:rPr>
          <w:noProof/>
          <w:szCs w:val="19"/>
          <w:lang w:eastAsia="pl-PL"/>
        </w:rPr>
        <w:t>%</w:t>
      </w:r>
      <w:r w:rsidR="00AE1D05">
        <w:rPr>
          <w:noProof/>
          <w:szCs w:val="19"/>
          <w:lang w:eastAsia="pl-PL"/>
        </w:rPr>
        <w:t>. D</w:t>
      </w:r>
      <w:r w:rsidR="008D53FF">
        <w:rPr>
          <w:noProof/>
          <w:szCs w:val="19"/>
          <w:lang w:eastAsia="pl-PL"/>
        </w:rPr>
        <w:t>la</w:t>
      </w:r>
      <w:r w:rsidR="00DD7A58">
        <w:rPr>
          <w:noProof/>
          <w:szCs w:val="19"/>
          <w:lang w:eastAsia="pl-PL"/>
        </w:rPr>
        <w:t> </w:t>
      </w:r>
      <w:r w:rsidR="008D53FF">
        <w:rPr>
          <w:noProof/>
          <w:szCs w:val="19"/>
          <w:lang w:eastAsia="pl-PL"/>
        </w:rPr>
        <w:t>porównania w miastach</w:t>
      </w:r>
      <w:r w:rsidR="007E7848">
        <w:rPr>
          <w:noProof/>
          <w:szCs w:val="19"/>
          <w:lang w:eastAsia="pl-PL"/>
        </w:rPr>
        <w:t xml:space="preserve"> ogółem ubóstwem skrajnym (według przyjętych kr</w:t>
      </w:r>
      <w:r w:rsidR="004276D8">
        <w:rPr>
          <w:noProof/>
          <w:szCs w:val="19"/>
          <w:lang w:eastAsia="pl-PL"/>
        </w:rPr>
        <w:t>y</w:t>
      </w:r>
      <w:r w:rsidR="007E7848">
        <w:rPr>
          <w:noProof/>
          <w:szCs w:val="19"/>
          <w:lang w:eastAsia="pl-PL"/>
        </w:rPr>
        <w:t>teriów) dotkniętych było ponad 2% osób (</w:t>
      </w:r>
      <w:r w:rsidR="008D53FF">
        <w:rPr>
          <w:noProof/>
          <w:szCs w:val="19"/>
          <w:lang w:eastAsia="pl-PL"/>
        </w:rPr>
        <w:t>w zależności od wielkości</w:t>
      </w:r>
      <w:r w:rsidR="007E7848">
        <w:rPr>
          <w:noProof/>
          <w:szCs w:val="19"/>
          <w:lang w:eastAsia="pl-PL"/>
        </w:rPr>
        <w:t xml:space="preserve"> miast stopa ubóstwa</w:t>
      </w:r>
      <w:r w:rsidR="00AE1D05">
        <w:rPr>
          <w:noProof/>
          <w:szCs w:val="19"/>
          <w:lang w:eastAsia="pl-PL"/>
        </w:rPr>
        <w:t xml:space="preserve"> </w:t>
      </w:r>
      <w:r w:rsidR="007C302E">
        <w:rPr>
          <w:noProof/>
          <w:szCs w:val="19"/>
          <w:lang w:eastAsia="pl-PL"/>
        </w:rPr>
        <w:t xml:space="preserve">wynosiła </w:t>
      </w:r>
      <w:r w:rsidR="008D53FF">
        <w:rPr>
          <w:noProof/>
          <w:szCs w:val="19"/>
          <w:lang w:eastAsia="pl-PL"/>
        </w:rPr>
        <w:t>od</w:t>
      </w:r>
      <w:r w:rsidR="00DD7A58">
        <w:rPr>
          <w:noProof/>
          <w:szCs w:val="19"/>
          <w:lang w:eastAsia="pl-PL"/>
        </w:rPr>
        <w:t> </w:t>
      </w:r>
      <w:r w:rsidR="008D53FF">
        <w:rPr>
          <w:noProof/>
          <w:szCs w:val="19"/>
          <w:lang w:eastAsia="pl-PL"/>
        </w:rPr>
        <w:t>ok.</w:t>
      </w:r>
      <w:r w:rsidR="00BC6D4A">
        <w:rPr>
          <w:noProof/>
          <w:szCs w:val="19"/>
          <w:lang w:eastAsia="pl-PL"/>
        </w:rPr>
        <w:t xml:space="preserve"> </w:t>
      </w:r>
      <w:r w:rsidR="008D53FF">
        <w:rPr>
          <w:noProof/>
          <w:szCs w:val="19"/>
          <w:lang w:eastAsia="pl-PL"/>
        </w:rPr>
        <w:t xml:space="preserve">1% do </w:t>
      </w:r>
      <w:r>
        <w:rPr>
          <w:noProof/>
          <w:szCs w:val="19"/>
          <w:lang w:eastAsia="pl-PL"/>
        </w:rPr>
        <w:t xml:space="preserve">ok. </w:t>
      </w:r>
      <w:r w:rsidR="007E7848">
        <w:rPr>
          <w:noProof/>
          <w:szCs w:val="19"/>
          <w:lang w:eastAsia="pl-PL"/>
        </w:rPr>
        <w:t>4</w:t>
      </w:r>
      <w:r w:rsidR="00AE1D05">
        <w:rPr>
          <w:noProof/>
          <w:szCs w:val="19"/>
          <w:lang w:eastAsia="pl-PL"/>
        </w:rPr>
        <w:t>%</w:t>
      </w:r>
      <w:r w:rsidR="007E7848">
        <w:rPr>
          <w:noProof/>
          <w:szCs w:val="19"/>
          <w:lang w:eastAsia="pl-PL"/>
        </w:rPr>
        <w:t>)</w:t>
      </w:r>
      <w:r w:rsidR="008D53FF">
        <w:rPr>
          <w:noProof/>
          <w:szCs w:val="19"/>
          <w:lang w:eastAsia="pl-PL"/>
        </w:rPr>
        <w:t>.</w:t>
      </w:r>
    </w:p>
    <w:p w14:paraId="0B07171A" w14:textId="671C51EE" w:rsidR="00A036A8" w:rsidRDefault="00003EB5" w:rsidP="00920915">
      <w:pPr>
        <w:spacing w:before="200" w:line="240" w:lineRule="auto"/>
        <w:rPr>
          <w:noProof/>
          <w:szCs w:val="19"/>
          <w:lang w:eastAsia="pl-PL"/>
        </w:rPr>
      </w:pPr>
      <w:r>
        <w:rPr>
          <w:noProof/>
          <w:szCs w:val="19"/>
          <w:lang w:eastAsia="pl-PL"/>
        </w:rPr>
        <w:t>W 20</w:t>
      </w:r>
      <w:r w:rsidR="00F66EF7">
        <w:rPr>
          <w:noProof/>
          <w:szCs w:val="19"/>
          <w:lang w:eastAsia="pl-PL"/>
        </w:rPr>
        <w:t>20</w:t>
      </w:r>
      <w:r>
        <w:rPr>
          <w:noProof/>
          <w:szCs w:val="19"/>
          <w:lang w:eastAsia="pl-PL"/>
        </w:rPr>
        <w:t xml:space="preserve"> r. najniższe stopy ubóstwa skrajnego </w:t>
      </w:r>
      <w:r w:rsidR="00327420">
        <w:rPr>
          <w:noProof/>
          <w:szCs w:val="19"/>
          <w:lang w:eastAsia="pl-PL"/>
        </w:rPr>
        <w:t>ze względu na gł</w:t>
      </w:r>
      <w:r w:rsidR="001B09A2">
        <w:rPr>
          <w:noProof/>
          <w:szCs w:val="19"/>
          <w:lang w:eastAsia="pl-PL"/>
        </w:rPr>
        <w:t>ó</w:t>
      </w:r>
      <w:r w:rsidR="00327420">
        <w:rPr>
          <w:noProof/>
          <w:szCs w:val="19"/>
          <w:lang w:eastAsia="pl-PL"/>
        </w:rPr>
        <w:t xml:space="preserve">wne źródło utrzymania </w:t>
      </w:r>
      <w:r>
        <w:rPr>
          <w:noProof/>
          <w:szCs w:val="19"/>
          <w:lang w:eastAsia="pl-PL"/>
        </w:rPr>
        <w:t xml:space="preserve">odnotowano natomiast wśród gospodarstw domowych </w:t>
      </w:r>
      <w:r w:rsidR="00A036A8" w:rsidRPr="00A036A8">
        <w:rPr>
          <w:noProof/>
          <w:szCs w:val="19"/>
          <w:lang w:eastAsia="pl-PL"/>
        </w:rPr>
        <w:t>utrzymując</w:t>
      </w:r>
      <w:r w:rsidR="00145302">
        <w:rPr>
          <w:noProof/>
          <w:szCs w:val="19"/>
          <w:lang w:eastAsia="pl-PL"/>
        </w:rPr>
        <w:t xml:space="preserve">ych </w:t>
      </w:r>
      <w:r w:rsidR="00A036A8" w:rsidRPr="00A036A8">
        <w:rPr>
          <w:noProof/>
          <w:szCs w:val="19"/>
          <w:lang w:eastAsia="pl-PL"/>
        </w:rPr>
        <w:t xml:space="preserve">się z pracy na własny rachunek (ok. </w:t>
      </w:r>
      <w:r w:rsidR="00F66EF7">
        <w:rPr>
          <w:noProof/>
          <w:szCs w:val="19"/>
          <w:lang w:eastAsia="pl-PL"/>
        </w:rPr>
        <w:t>3</w:t>
      </w:r>
      <w:r w:rsidR="00A036A8" w:rsidRPr="00A036A8">
        <w:rPr>
          <w:noProof/>
          <w:szCs w:val="19"/>
          <w:lang w:eastAsia="pl-PL"/>
        </w:rPr>
        <w:t>%)</w:t>
      </w:r>
      <w:r w:rsidR="00327420">
        <w:rPr>
          <w:noProof/>
          <w:szCs w:val="19"/>
          <w:lang w:eastAsia="pl-PL"/>
        </w:rPr>
        <w:t xml:space="preserve">. </w:t>
      </w:r>
      <w:r w:rsidR="00150BC9">
        <w:rPr>
          <w:noProof/>
          <w:szCs w:val="19"/>
          <w:lang w:eastAsia="pl-PL"/>
        </w:rPr>
        <w:t>U</w:t>
      </w:r>
      <w:r w:rsidR="00327420">
        <w:rPr>
          <w:noProof/>
          <w:szCs w:val="19"/>
          <w:lang w:eastAsia="pl-PL"/>
        </w:rPr>
        <w:t xml:space="preserve">bóstwa skrajnego najrzadziej </w:t>
      </w:r>
      <w:r w:rsidR="00150BC9">
        <w:rPr>
          <w:noProof/>
          <w:szCs w:val="19"/>
          <w:lang w:eastAsia="pl-PL"/>
        </w:rPr>
        <w:t>doświadczały</w:t>
      </w:r>
      <w:r w:rsidR="00327420">
        <w:rPr>
          <w:noProof/>
          <w:szCs w:val="19"/>
          <w:lang w:eastAsia="pl-PL"/>
        </w:rPr>
        <w:t xml:space="preserve"> osoby z gospodarstw domowych</w:t>
      </w:r>
      <w:r w:rsidR="00A036A8" w:rsidRPr="00A036A8">
        <w:rPr>
          <w:noProof/>
          <w:szCs w:val="19"/>
          <w:lang w:eastAsia="pl-PL"/>
        </w:rPr>
        <w:t>,</w:t>
      </w:r>
      <w:r w:rsidR="00327420" w:rsidRPr="00327420">
        <w:rPr>
          <w:noProof/>
          <w:szCs w:val="19"/>
          <w:lang w:eastAsia="pl-PL"/>
        </w:rPr>
        <w:t xml:space="preserve"> </w:t>
      </w:r>
      <w:r w:rsidR="00327420" w:rsidRPr="00A036A8">
        <w:rPr>
          <w:noProof/>
          <w:szCs w:val="19"/>
          <w:lang w:eastAsia="pl-PL"/>
        </w:rPr>
        <w:t xml:space="preserve">w których głowa gospodarstwa posiadała wykształcenie wyższe (ok. </w:t>
      </w:r>
      <w:r w:rsidR="00F66EF7">
        <w:rPr>
          <w:noProof/>
          <w:szCs w:val="19"/>
          <w:lang w:eastAsia="pl-PL"/>
        </w:rPr>
        <w:t>2</w:t>
      </w:r>
      <w:r w:rsidR="00327420" w:rsidRPr="00A036A8">
        <w:rPr>
          <w:noProof/>
          <w:szCs w:val="19"/>
          <w:lang w:eastAsia="pl-PL"/>
        </w:rPr>
        <w:t>%)</w:t>
      </w:r>
      <w:r w:rsidR="00327420">
        <w:rPr>
          <w:noProof/>
          <w:szCs w:val="19"/>
          <w:lang w:eastAsia="pl-PL"/>
        </w:rPr>
        <w:t xml:space="preserve">. </w:t>
      </w:r>
      <w:r w:rsidR="00DA259D">
        <w:rPr>
          <w:noProof/>
          <w:szCs w:val="19"/>
          <w:lang w:eastAsia="pl-PL"/>
        </w:rPr>
        <w:t>N</w:t>
      </w:r>
      <w:r w:rsidR="00C7499C">
        <w:rPr>
          <w:noProof/>
          <w:szCs w:val="19"/>
          <w:lang w:eastAsia="pl-PL"/>
        </w:rPr>
        <w:t>iskim poziomem ubóstwa skrajnego (po</w:t>
      </w:r>
      <w:r w:rsidR="00DA259D">
        <w:rPr>
          <w:noProof/>
          <w:szCs w:val="19"/>
          <w:lang w:eastAsia="pl-PL"/>
        </w:rPr>
        <w:t>nad</w:t>
      </w:r>
      <w:r w:rsidR="00C7499C">
        <w:rPr>
          <w:noProof/>
          <w:szCs w:val="19"/>
          <w:lang w:eastAsia="pl-PL"/>
        </w:rPr>
        <w:t xml:space="preserve"> </w:t>
      </w:r>
      <w:r w:rsidR="00AE1D05">
        <w:rPr>
          <w:noProof/>
          <w:szCs w:val="19"/>
          <w:lang w:eastAsia="pl-PL"/>
        </w:rPr>
        <w:t>1</w:t>
      </w:r>
      <w:r w:rsidR="00C7499C">
        <w:rPr>
          <w:noProof/>
          <w:szCs w:val="19"/>
          <w:lang w:eastAsia="pl-PL"/>
        </w:rPr>
        <w:t xml:space="preserve">% osób ubogich) charakteryzowały się gospodarstwa 1-osobowe, </w:t>
      </w:r>
      <w:r w:rsidR="005456BD" w:rsidRPr="004F440F">
        <w:rPr>
          <w:noProof/>
          <w:szCs w:val="19"/>
          <w:lang w:eastAsia="pl-PL"/>
        </w:rPr>
        <w:t>małżeństwa</w:t>
      </w:r>
      <w:r w:rsidR="00ED71DD">
        <w:rPr>
          <w:rStyle w:val="Odwoanieprzypisudolnego"/>
          <w:noProof/>
          <w:szCs w:val="19"/>
          <w:lang w:eastAsia="pl-PL"/>
        </w:rPr>
        <w:footnoteReference w:id="8"/>
      </w:r>
      <w:r w:rsidR="00C7499C">
        <w:rPr>
          <w:noProof/>
          <w:szCs w:val="19"/>
          <w:lang w:eastAsia="pl-PL"/>
        </w:rPr>
        <w:t xml:space="preserve"> bez dzieci lub z 1 dzieckiem na utrzymaniu</w:t>
      </w:r>
      <w:r w:rsidR="00380C23">
        <w:rPr>
          <w:rStyle w:val="Odwoanieprzypisudolnego"/>
          <w:noProof/>
          <w:szCs w:val="19"/>
          <w:lang w:eastAsia="pl-PL"/>
        </w:rPr>
        <w:footnoteReference w:id="9"/>
      </w:r>
      <w:r w:rsidR="00C7499C">
        <w:rPr>
          <w:noProof/>
          <w:szCs w:val="19"/>
          <w:lang w:eastAsia="pl-PL"/>
        </w:rPr>
        <w:t xml:space="preserve">. </w:t>
      </w:r>
      <w:r w:rsidR="00A036A8" w:rsidRPr="00A036A8">
        <w:rPr>
          <w:noProof/>
          <w:szCs w:val="19"/>
          <w:lang w:eastAsia="pl-PL"/>
        </w:rPr>
        <w:t>Niską</w:t>
      </w:r>
      <w:r w:rsidR="000D7F85">
        <w:rPr>
          <w:noProof/>
          <w:szCs w:val="19"/>
          <w:lang w:eastAsia="pl-PL"/>
        </w:rPr>
        <w:t xml:space="preserve"> </w:t>
      </w:r>
      <w:r w:rsidR="00A036A8" w:rsidRPr="00A036A8">
        <w:rPr>
          <w:noProof/>
          <w:szCs w:val="19"/>
          <w:lang w:eastAsia="pl-PL"/>
        </w:rPr>
        <w:t>stopę ubóstwa</w:t>
      </w:r>
      <w:r w:rsidR="00DA259D">
        <w:rPr>
          <w:noProof/>
          <w:szCs w:val="19"/>
          <w:lang w:eastAsia="pl-PL"/>
        </w:rPr>
        <w:t xml:space="preserve"> (ok. 1-2%)</w:t>
      </w:r>
      <w:r w:rsidR="00A036A8" w:rsidRPr="00A036A8">
        <w:rPr>
          <w:noProof/>
          <w:szCs w:val="19"/>
          <w:lang w:eastAsia="pl-PL"/>
        </w:rPr>
        <w:t xml:space="preserve"> odnotowano</w:t>
      </w:r>
      <w:r w:rsidR="004276D8">
        <w:rPr>
          <w:noProof/>
          <w:szCs w:val="19"/>
          <w:lang w:eastAsia="pl-PL"/>
        </w:rPr>
        <w:t xml:space="preserve"> (o czym wspomniano powyżej) </w:t>
      </w:r>
      <w:r w:rsidR="00AE1D05">
        <w:rPr>
          <w:noProof/>
          <w:szCs w:val="19"/>
          <w:lang w:eastAsia="pl-PL"/>
        </w:rPr>
        <w:t xml:space="preserve">także </w:t>
      </w:r>
      <w:r w:rsidR="00A036A8" w:rsidRPr="00A036A8">
        <w:rPr>
          <w:noProof/>
          <w:szCs w:val="19"/>
          <w:lang w:eastAsia="pl-PL"/>
        </w:rPr>
        <w:t>wśród mieszkańców miast</w:t>
      </w:r>
      <w:r w:rsidR="00DA259D">
        <w:rPr>
          <w:noProof/>
          <w:szCs w:val="19"/>
          <w:lang w:eastAsia="pl-PL"/>
        </w:rPr>
        <w:t xml:space="preserve"> z</w:t>
      </w:r>
      <w:r w:rsidR="001562D4">
        <w:rPr>
          <w:noProof/>
          <w:szCs w:val="19"/>
          <w:lang w:eastAsia="pl-PL"/>
        </w:rPr>
        <w:t> </w:t>
      </w:r>
      <w:r w:rsidR="00DA259D">
        <w:rPr>
          <w:noProof/>
          <w:szCs w:val="19"/>
          <w:lang w:eastAsia="pl-PL"/>
        </w:rPr>
        <w:t xml:space="preserve">wyjątkiem ośrodków liczących </w:t>
      </w:r>
      <w:r w:rsidR="00F71162">
        <w:rPr>
          <w:noProof/>
          <w:szCs w:val="19"/>
          <w:lang w:eastAsia="pl-PL"/>
        </w:rPr>
        <w:t>poniżej</w:t>
      </w:r>
      <w:r w:rsidR="00DA259D">
        <w:rPr>
          <w:noProof/>
          <w:szCs w:val="19"/>
          <w:lang w:eastAsia="pl-PL"/>
        </w:rPr>
        <w:t xml:space="preserve"> 20 tys. mieszkańców. </w:t>
      </w:r>
    </w:p>
    <w:p w14:paraId="2A0DFB31" w14:textId="77777777" w:rsidR="00D35294" w:rsidRPr="00F531E1" w:rsidRDefault="009231D6" w:rsidP="00D35294">
      <w:pPr>
        <w:spacing w:before="200" w:line="240" w:lineRule="auto"/>
        <w:rPr>
          <w:b/>
          <w:noProof/>
          <w:color w:val="001D77"/>
          <w:szCs w:val="19"/>
          <w:lang w:eastAsia="pl-PL"/>
        </w:rPr>
      </w:pPr>
      <w:r w:rsidRPr="002D606E">
        <w:rPr>
          <w:noProof/>
          <w:szCs w:val="19"/>
          <w:lang w:eastAsia="pl-PL"/>
        </w:rPr>
        <mc:AlternateContent>
          <mc:Choice Requires="wps">
            <w:drawing>
              <wp:anchor distT="45720" distB="45720" distL="114300" distR="114300" simplePos="0" relativeHeight="251837440" behindDoc="0" locked="0" layoutInCell="1" allowOverlap="1" wp14:anchorId="7FDE123D" wp14:editId="056EA646">
                <wp:simplePos x="0" y="0"/>
                <wp:positionH relativeFrom="margin">
                  <wp:posOffset>5284470</wp:posOffset>
                </wp:positionH>
                <wp:positionV relativeFrom="paragraph">
                  <wp:posOffset>333621</wp:posOffset>
                </wp:positionV>
                <wp:extent cx="1569492" cy="1804086"/>
                <wp:effectExtent l="0" t="0" r="0" b="5715"/>
                <wp:wrapNone/>
                <wp:docPr id="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492" cy="1804086"/>
                        </a:xfrm>
                        <a:prstGeom prst="rect">
                          <a:avLst/>
                        </a:prstGeom>
                        <a:noFill/>
                        <a:ln w="9525">
                          <a:noFill/>
                          <a:miter lim="800000"/>
                          <a:headEnd/>
                          <a:tailEnd/>
                        </a:ln>
                      </wps:spPr>
                      <wps:txbx>
                        <w:txbxContent>
                          <w:p w14:paraId="1331E5AA" w14:textId="77777777" w:rsidR="00EE49FD" w:rsidRPr="006009C9" w:rsidRDefault="00A24EC7" w:rsidP="00EE49FD">
                            <w:pPr>
                              <w:suppressAutoHyphens/>
                              <w:rPr>
                                <w:color w:val="001D77"/>
                                <w:sz w:val="18"/>
                                <w:szCs w:val="18"/>
                              </w:rPr>
                            </w:pPr>
                            <w:r w:rsidRPr="006009C9">
                              <w:rPr>
                                <w:noProof/>
                                <w:color w:val="001D77"/>
                                <w:sz w:val="18"/>
                                <w:szCs w:val="18"/>
                                <w:lang w:eastAsia="pl-PL"/>
                              </w:rPr>
                              <w:t xml:space="preserve">Zaobserwowany w 2020 r., </w:t>
                            </w:r>
                            <w:r w:rsidR="00F71162">
                              <w:rPr>
                                <w:noProof/>
                                <w:color w:val="001D77"/>
                                <w:sz w:val="18"/>
                                <w:szCs w:val="18"/>
                                <w:lang w:eastAsia="pl-PL"/>
                              </w:rPr>
                              <w:t xml:space="preserve">roku pandemii COVID-19, </w:t>
                            </w:r>
                            <w:r w:rsidRPr="006009C9">
                              <w:rPr>
                                <w:noProof/>
                                <w:color w:val="001D77"/>
                                <w:sz w:val="18"/>
                                <w:szCs w:val="18"/>
                                <w:lang w:eastAsia="pl-PL"/>
                              </w:rPr>
                              <w:t>w oparciu o wydatki gospodarstw domowych, wzrost zasięgu ubóstwa skrajnego dotyczył większości branych pod uwagę grup ludności, przy czym poziom zmian był zróżnicowany</w:t>
                            </w:r>
                            <w:r w:rsidR="00216245">
                              <w:rPr>
                                <w:noProof/>
                                <w:color w:val="001D77"/>
                                <w:sz w:val="18"/>
                                <w:szCs w:val="18"/>
                                <w:lang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DE123D" id="_x0000_s1033" type="#_x0000_t202" style="position:absolute;margin-left:416.1pt;margin-top:26.25pt;width:123.6pt;height:142.05pt;z-index:251837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" filled="f" stroked="f">
                <v:textbox>
                  <w:txbxContent>
                    <w:p w14:paraId="1331E5AA" w14:textId="77777777" w:rsidR="00EE49FD" w:rsidRPr="006009C9" w:rsidRDefault="00A24EC7" w:rsidP="00EE49FD">
                      <w:pPr>
                        <w:suppressAutoHyphens/>
                        <w:rPr>
                          <w:color w:val="001D77"/>
                          <w:sz w:val="18"/>
                          <w:szCs w:val="18"/>
                        </w:rPr>
                      </w:pPr>
                      <w:r w:rsidRPr="006009C9">
                        <w:rPr>
                          <w:noProof/>
                          <w:color w:val="001D77"/>
                          <w:sz w:val="18"/>
                          <w:szCs w:val="18"/>
                          <w:lang w:eastAsia="pl-PL"/>
                        </w:rPr>
                        <w:t xml:space="preserve">Zaobserwowany w 2020 r., </w:t>
                      </w:r>
                      <w:r w:rsidR="00F71162">
                        <w:rPr>
                          <w:noProof/>
                          <w:color w:val="001D77"/>
                          <w:sz w:val="18"/>
                          <w:szCs w:val="18"/>
                          <w:lang w:eastAsia="pl-PL"/>
                        </w:rPr>
                        <w:t xml:space="preserve">roku pandemii COVID-19, </w:t>
                      </w:r>
                      <w:r w:rsidRPr="006009C9">
                        <w:rPr>
                          <w:noProof/>
                          <w:color w:val="001D77"/>
                          <w:sz w:val="18"/>
                          <w:szCs w:val="18"/>
                          <w:lang w:eastAsia="pl-PL"/>
                        </w:rPr>
                        <w:t>w oparciu o wydatki gospodarstw domowych, wzrost zasięgu ubóstwa skrajnego dotyczył większości branych pod uwagę grup ludności, przy czym poziom zmian był zróżnicowany</w:t>
                      </w:r>
                      <w:r w:rsidR="00216245">
                        <w:rPr>
                          <w:noProof/>
                          <w:color w:val="001D77"/>
                          <w:sz w:val="18"/>
                          <w:szCs w:val="18"/>
                          <w:lang w:eastAsia="pl-PL"/>
                        </w:rPr>
                        <w:t>.</w:t>
                      </w:r>
                    </w:p>
                  </w:txbxContent>
                </v:textbox>
                <w10:wrap anchorx="margin"/>
              </v:shape>
            </w:pict>
          </mc:Fallback>
        </mc:AlternateContent>
      </w:r>
      <w:r w:rsidR="00D35294" w:rsidRPr="00F531E1">
        <w:rPr>
          <w:b/>
          <w:noProof/>
          <w:color w:val="001D77"/>
          <w:szCs w:val="19"/>
          <w:lang w:eastAsia="pl-PL"/>
        </w:rPr>
        <w:t>Zmiany stopy ubóstwa skrajnego w 2020 r. Jak zmienił się zasięg ubóstwa wśród różnych grup ludności?</w:t>
      </w:r>
    </w:p>
    <w:p w14:paraId="756A49DC" w14:textId="15EB0B87" w:rsidR="00E15DFD" w:rsidRDefault="002D606E" w:rsidP="00D35294">
      <w:pPr>
        <w:spacing w:before="200" w:line="240" w:lineRule="auto"/>
        <w:rPr>
          <w:noProof/>
          <w:szCs w:val="19"/>
          <w:lang w:eastAsia="pl-PL"/>
        </w:rPr>
      </w:pPr>
      <w:r w:rsidRPr="002D606E">
        <w:rPr>
          <w:noProof/>
          <w:szCs w:val="19"/>
          <w:lang w:eastAsia="pl-PL"/>
        </w:rPr>
        <w:t>Jeśli weźmiemy pod uwagę bezwzględne zmiany zasięgu ubóstwa pomiędzy 2020 a 2019 r. wyrażone w p. proc., to okaże się, że największy wzrost stopy ubóstwa skrajnego odnotwano w przypadku gospodarstw domowych rolników (o niecałe 4 p. proc) oraz gospodarstw utrzymujących się ze źródeł niezarobkowych (prawie 3 p. proc). W mniejszym stopniu -             o ok. 2 p.</w:t>
      </w:r>
      <w:r w:rsidR="003D74B3">
        <w:rPr>
          <w:noProof/>
          <w:szCs w:val="19"/>
          <w:lang w:eastAsia="pl-PL"/>
        </w:rPr>
        <w:t xml:space="preserve"> </w:t>
      </w:r>
      <w:r w:rsidRPr="002D606E">
        <w:rPr>
          <w:noProof/>
          <w:szCs w:val="19"/>
          <w:lang w:eastAsia="pl-PL"/>
        </w:rPr>
        <w:t>proc - wzrósł odsetek osób ubogich wśród gospodarstw rencistów a także wśród gospodarstw z co najmniej trojgiem dzieci poniżej 18</w:t>
      </w:r>
      <w:r>
        <w:rPr>
          <w:noProof/>
          <w:szCs w:val="19"/>
          <w:lang w:eastAsia="pl-PL"/>
        </w:rPr>
        <w:t xml:space="preserve"> </w:t>
      </w:r>
      <w:r w:rsidRPr="002D606E">
        <w:rPr>
          <w:noProof/>
          <w:szCs w:val="19"/>
          <w:lang w:eastAsia="pl-PL"/>
        </w:rPr>
        <w:t>roku życia. O tyle (czyli o ok. 2 p. proc) zwiększył się też zasięg ubóstwa skrajnego wśród mieszkańców wsi oraz najmnieszych miast (poniżej 20 tys. mieszkańców).</w:t>
      </w:r>
    </w:p>
    <w:p w14:paraId="09A06C92" w14:textId="77777777" w:rsidR="004E071F" w:rsidRDefault="004E071F" w:rsidP="00D35294">
      <w:pPr>
        <w:spacing w:before="200" w:line="240" w:lineRule="auto"/>
        <w:rPr>
          <w:noProof/>
          <w:szCs w:val="19"/>
          <w:lang w:eastAsia="pl-PL"/>
        </w:rPr>
      </w:pPr>
      <w:r w:rsidRPr="004E071F">
        <w:rPr>
          <w:noProof/>
          <w:szCs w:val="19"/>
          <w:lang w:eastAsia="pl-PL"/>
        </w:rPr>
        <w:t xml:space="preserve">W przypadku pozostałych branych pod uwagę w analizie grup </w:t>
      </w:r>
      <w:r>
        <w:rPr>
          <w:noProof/>
          <w:szCs w:val="19"/>
          <w:lang w:eastAsia="pl-PL"/>
        </w:rPr>
        <w:t xml:space="preserve">ludności, </w:t>
      </w:r>
      <w:r w:rsidRPr="004E071F">
        <w:rPr>
          <w:noProof/>
          <w:szCs w:val="19"/>
          <w:lang w:eastAsia="pl-PL"/>
        </w:rPr>
        <w:t>wartości stóp ubóstwa w 2020 r. były na zbliżonym poziomie co w 2019 r., bądź zaobserwowane zmiany nie przekraczały 1,5 p. proc.</w:t>
      </w:r>
    </w:p>
    <w:p w14:paraId="6A71C307" w14:textId="70F85F73" w:rsidR="00D62BD1" w:rsidRDefault="00D62BD1" w:rsidP="00D62BD1">
      <w:r>
        <w:t xml:space="preserve">Omówione powyżej (i widoczne na wykresach </w:t>
      </w:r>
      <w:r w:rsidR="00331A58">
        <w:t>5</w:t>
      </w:r>
      <w:r>
        <w:t>-</w:t>
      </w:r>
      <w:r w:rsidR="00331A58">
        <w:t>1</w:t>
      </w:r>
      <w:r w:rsidR="00387731">
        <w:t>1</w:t>
      </w:r>
      <w:r>
        <w:t xml:space="preserve">) dane dotyczące zmian wartości wskaźników zasięgu ubóstwa skrajnego nie oddają jednak </w:t>
      </w:r>
      <w:r w:rsidR="00212C16">
        <w:t xml:space="preserve">w pełni </w:t>
      </w:r>
      <w:r>
        <w:t>tempa zmian tego zjawiska w</w:t>
      </w:r>
      <w:r w:rsidR="00DD7A58">
        <w:t> </w:t>
      </w:r>
      <w:r>
        <w:t>poszczególnych grupach ludności. Taką ocenę umożliwiają wskaźniki dynamiki</w:t>
      </w:r>
      <w:r>
        <w:rPr>
          <w:rStyle w:val="Odwoanieprzypisudolnego"/>
        </w:rPr>
        <w:footnoteReference w:id="10"/>
      </w:r>
      <w:r>
        <w:t xml:space="preserve">. Na ich podstawie można powiedzieć, że największą dynamikę zmian (relatywny wzrost) zasięgu ubóstwa skrajnego w 2020 r. w porównaniu z rokiem poprzednim, odnotowano w przypadku </w:t>
      </w:r>
      <w:r w:rsidRPr="00AA2D54">
        <w:t>gospodarstw domowych</w:t>
      </w:r>
      <w:r w:rsidR="002D606E">
        <w:t>,</w:t>
      </w:r>
      <w:r w:rsidRPr="00AA2D54">
        <w:t xml:space="preserve"> w których głowa legitymowała się wyższym lub średnim poziomem wykształcenia, wśród mieszkańców największych (500 tys. i więcej mieszkańców) oraz najmniejszych miast (o liczbie ludności poniżej 20 tys.) a także wśród rodzin niepełnych. </w:t>
      </w:r>
      <w:r>
        <w:t>Z</w:t>
      </w:r>
      <w:r w:rsidRPr="00AA2D54">
        <w:t>arówno w 2019 jak i 2020 r., były to grupy</w:t>
      </w:r>
      <w:r>
        <w:t xml:space="preserve"> charakteryzujące s</w:t>
      </w:r>
      <w:r w:rsidRPr="00AA2D54">
        <w:t xml:space="preserve">ię </w:t>
      </w:r>
      <w:r>
        <w:t xml:space="preserve">wyraźnie </w:t>
      </w:r>
      <w:r w:rsidRPr="00AA2D54">
        <w:t>niższymi od średniej krajowej wartościami stóp ubóstwa skrajnego.</w:t>
      </w:r>
    </w:p>
    <w:p w14:paraId="2953C0E8" w14:textId="77777777" w:rsidR="00E63984" w:rsidRPr="00E63984" w:rsidRDefault="00E63984" w:rsidP="00E74509">
      <w:pPr>
        <w:keepNext/>
        <w:spacing w:before="240" w:line="240" w:lineRule="auto"/>
        <w:rPr>
          <w:noProof/>
          <w:sz w:val="18"/>
          <w:szCs w:val="19"/>
          <w:lang w:eastAsia="pl-PL"/>
        </w:rPr>
      </w:pPr>
      <w:r w:rsidRPr="00E63984">
        <w:rPr>
          <w:b/>
          <w:noProof/>
          <w:sz w:val="18"/>
          <w:szCs w:val="19"/>
          <w:lang w:eastAsia="pl-PL"/>
        </w:rPr>
        <w:lastRenderedPageBreak/>
        <w:t xml:space="preserve">Wykres </w:t>
      </w:r>
      <w:r w:rsidR="00C1559E">
        <w:rPr>
          <w:b/>
          <w:noProof/>
          <w:sz w:val="18"/>
          <w:szCs w:val="19"/>
          <w:lang w:eastAsia="pl-PL"/>
        </w:rPr>
        <w:t>5</w:t>
      </w:r>
      <w:r w:rsidRPr="00E63984">
        <w:rPr>
          <w:b/>
          <w:noProof/>
          <w:sz w:val="18"/>
          <w:szCs w:val="19"/>
          <w:lang w:eastAsia="pl-PL"/>
        </w:rPr>
        <w:t>. Zasięg ubóstwa skrajnego w 201</w:t>
      </w:r>
      <w:r w:rsidR="002416B9">
        <w:rPr>
          <w:b/>
          <w:noProof/>
          <w:sz w:val="18"/>
          <w:szCs w:val="19"/>
          <w:lang w:eastAsia="pl-PL"/>
        </w:rPr>
        <w:t>9</w:t>
      </w:r>
      <w:r w:rsidRPr="00E63984">
        <w:rPr>
          <w:b/>
          <w:noProof/>
          <w:sz w:val="18"/>
          <w:szCs w:val="19"/>
          <w:lang w:eastAsia="pl-PL"/>
        </w:rPr>
        <w:t xml:space="preserve"> r. i 20</w:t>
      </w:r>
      <w:r w:rsidR="002416B9">
        <w:rPr>
          <w:b/>
          <w:noProof/>
          <w:sz w:val="18"/>
          <w:szCs w:val="19"/>
          <w:lang w:eastAsia="pl-PL"/>
        </w:rPr>
        <w:t>20</w:t>
      </w:r>
      <w:r w:rsidRPr="00E63984">
        <w:rPr>
          <w:b/>
          <w:noProof/>
          <w:sz w:val="18"/>
          <w:szCs w:val="19"/>
          <w:lang w:eastAsia="pl-PL"/>
        </w:rPr>
        <w:t xml:space="preserve"> r. wg grup społeczno-ekonomicznych</w:t>
      </w:r>
    </w:p>
    <w:p w14:paraId="0D1C4433" w14:textId="77777777" w:rsidR="00B15BF3" w:rsidRDefault="000630B9" w:rsidP="00E63984">
      <w:pPr>
        <w:spacing w:before="240" w:line="240" w:lineRule="auto"/>
        <w:rPr>
          <w:b/>
          <w:noProof/>
          <w:sz w:val="18"/>
          <w:szCs w:val="19"/>
          <w:lang w:eastAsia="pl-PL"/>
        </w:rPr>
      </w:pPr>
      <w:r w:rsidRPr="00F531E1">
        <w:rPr>
          <w:noProof/>
          <w:color w:val="001D77"/>
          <w:szCs w:val="19"/>
          <w:lang w:eastAsia="pl-PL"/>
        </w:rPr>
        <mc:AlternateContent>
          <mc:Choice Requires="wps">
            <w:drawing>
              <wp:anchor distT="45720" distB="45720" distL="114300" distR="114300" simplePos="0" relativeHeight="251825152" behindDoc="0" locked="0" layoutInCell="1" allowOverlap="1" wp14:anchorId="00ED8581" wp14:editId="33275093">
                <wp:simplePos x="0" y="0"/>
                <wp:positionH relativeFrom="page">
                  <wp:posOffset>5878766</wp:posOffset>
                </wp:positionH>
                <wp:positionV relativeFrom="paragraph">
                  <wp:posOffset>78131</wp:posOffset>
                </wp:positionV>
                <wp:extent cx="1485900" cy="1310640"/>
                <wp:effectExtent l="0" t="0" r="0" b="0"/>
                <wp:wrapNone/>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1310640"/>
                        </a:xfrm>
                        <a:prstGeom prst="rect">
                          <a:avLst/>
                        </a:prstGeom>
                        <a:noFill/>
                        <a:ln w="9525">
                          <a:noFill/>
                          <a:miter lim="800000"/>
                          <a:headEnd/>
                          <a:tailEnd/>
                        </a:ln>
                      </wps:spPr>
                      <wps:txbx>
                        <w:txbxContent>
                          <w:p w14:paraId="65A3982F" w14:textId="77777777" w:rsidR="000630B9" w:rsidRPr="00330E56" w:rsidRDefault="000630B9" w:rsidP="000630B9">
                            <w:pPr>
                              <w:suppressAutoHyphens/>
                              <w:rPr>
                                <w:color w:val="001D77"/>
                                <w:sz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ED8581" id="_x0000_s1034" type="#_x0000_t202" style="position:absolute;margin-left:462.9pt;margin-top:6.15pt;width:117pt;height:103.2pt;z-index:2518251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" filled="f" stroked="f">
                <v:textbox style="mso-fit-shape-to-text:t">
                  <w:txbxContent>
                    <w:p w14:paraId="65A3982F" w14:textId="77777777" w:rsidR="000630B9" w:rsidRPr="00330E56" w:rsidRDefault="000630B9" w:rsidP="000630B9">
                      <w:pPr>
                        <w:suppressAutoHyphens/>
                        <w:rPr>
                          <w:color w:val="001D77"/>
                          <w:sz w:val="18"/>
                        </w:rPr>
                      </w:pPr>
                    </w:p>
                  </w:txbxContent>
                </v:textbox>
                <w10:wrap anchorx="page"/>
              </v:shape>
            </w:pict>
          </mc:Fallback>
        </mc:AlternateContent>
      </w:r>
      <w:r w:rsidR="002416B9">
        <w:rPr>
          <w:noProof/>
          <w:lang w:eastAsia="pl-PL"/>
        </w:rPr>
        <w:drawing>
          <wp:inline distT="0" distB="0" distL="0" distR="0" wp14:anchorId="064ADF6A" wp14:editId="0169937B">
            <wp:extent cx="5039995" cy="2843092"/>
            <wp:effectExtent l="0" t="0" r="8255"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07109AF" w14:textId="77777777" w:rsidR="00E63984" w:rsidRPr="009B1280" w:rsidRDefault="00E63984" w:rsidP="002353DF">
      <w:pPr>
        <w:keepNext/>
        <w:spacing w:before="240" w:line="240" w:lineRule="auto"/>
        <w:rPr>
          <w:noProof/>
          <w:szCs w:val="19"/>
          <w:vertAlign w:val="superscript"/>
          <w:lang w:eastAsia="pl-PL"/>
        </w:rPr>
      </w:pPr>
      <w:r w:rsidRPr="00E63984">
        <w:rPr>
          <w:b/>
          <w:noProof/>
          <w:sz w:val="18"/>
          <w:szCs w:val="19"/>
          <w:lang w:eastAsia="pl-PL"/>
        </w:rPr>
        <w:t xml:space="preserve">Wykres </w:t>
      </w:r>
      <w:r w:rsidR="00C1559E">
        <w:rPr>
          <w:b/>
          <w:noProof/>
          <w:sz w:val="18"/>
          <w:szCs w:val="19"/>
          <w:lang w:eastAsia="pl-PL"/>
        </w:rPr>
        <w:t>6</w:t>
      </w:r>
      <w:r w:rsidRPr="00E63984">
        <w:rPr>
          <w:b/>
          <w:noProof/>
          <w:sz w:val="18"/>
          <w:szCs w:val="19"/>
          <w:lang w:eastAsia="pl-PL"/>
        </w:rPr>
        <w:t>. Zasięg ubóstwa skrajnego w 201</w:t>
      </w:r>
      <w:r w:rsidR="00243B76">
        <w:rPr>
          <w:b/>
          <w:noProof/>
          <w:sz w:val="18"/>
          <w:szCs w:val="19"/>
          <w:lang w:eastAsia="pl-PL"/>
        </w:rPr>
        <w:t>9</w:t>
      </w:r>
      <w:r w:rsidR="00AB1A9B">
        <w:rPr>
          <w:b/>
          <w:noProof/>
          <w:sz w:val="18"/>
          <w:szCs w:val="19"/>
          <w:lang w:eastAsia="pl-PL"/>
        </w:rPr>
        <w:t xml:space="preserve"> r. i</w:t>
      </w:r>
      <w:r w:rsidR="000116DD">
        <w:rPr>
          <w:b/>
          <w:noProof/>
          <w:sz w:val="18"/>
          <w:szCs w:val="19"/>
          <w:lang w:eastAsia="pl-PL"/>
        </w:rPr>
        <w:t xml:space="preserve"> 20</w:t>
      </w:r>
      <w:r w:rsidR="00243B76">
        <w:rPr>
          <w:b/>
          <w:noProof/>
          <w:sz w:val="18"/>
          <w:szCs w:val="19"/>
          <w:lang w:eastAsia="pl-PL"/>
        </w:rPr>
        <w:t>20</w:t>
      </w:r>
      <w:r w:rsidRPr="00E63984">
        <w:rPr>
          <w:b/>
          <w:noProof/>
          <w:sz w:val="18"/>
          <w:szCs w:val="19"/>
          <w:lang w:eastAsia="pl-PL"/>
        </w:rPr>
        <w:t xml:space="preserve"> r. wg typów gospodarstw domowych</w:t>
      </w:r>
      <w:r w:rsidR="009B1280">
        <w:rPr>
          <w:b/>
          <w:noProof/>
          <w:sz w:val="18"/>
          <w:szCs w:val="19"/>
          <w:vertAlign w:val="superscript"/>
          <w:lang w:eastAsia="pl-PL"/>
        </w:rPr>
        <w:t>a</w:t>
      </w:r>
    </w:p>
    <w:p w14:paraId="5B8D380B" w14:textId="77777777" w:rsidR="009B1280" w:rsidRDefault="00243B76" w:rsidP="00C54E5E">
      <w:pPr>
        <w:spacing w:before="240" w:line="240" w:lineRule="auto"/>
        <w:rPr>
          <w:b/>
          <w:noProof/>
          <w:sz w:val="18"/>
          <w:szCs w:val="19"/>
          <w:lang w:eastAsia="pl-PL"/>
        </w:rPr>
      </w:pPr>
      <w:r>
        <w:rPr>
          <w:noProof/>
          <w:lang w:eastAsia="pl-PL"/>
        </w:rPr>
        <w:drawing>
          <wp:inline distT="0" distB="0" distL="0" distR="0" wp14:anchorId="4A4B86B9" wp14:editId="4E7C4FC5">
            <wp:extent cx="5122545" cy="2734962"/>
            <wp:effectExtent l="0" t="0" r="1905" b="825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ABE40C" w14:textId="77777777" w:rsidR="009B1280" w:rsidRDefault="009B1280" w:rsidP="009B1280">
      <w:pPr>
        <w:spacing w:after="0" w:line="240" w:lineRule="auto"/>
        <w:rPr>
          <w:sz w:val="14"/>
          <w:szCs w:val="14"/>
        </w:rPr>
      </w:pPr>
      <w:r>
        <w:rPr>
          <w:sz w:val="14"/>
          <w:szCs w:val="14"/>
          <w:vertAlign w:val="superscript"/>
        </w:rPr>
        <w:t xml:space="preserve">a </w:t>
      </w:r>
      <w:r>
        <w:rPr>
          <w:sz w:val="14"/>
          <w:szCs w:val="14"/>
        </w:rPr>
        <w:t>Dziecko na utrzymaniu to osoba w wieku 0-14 lat będąca w składzie gospodarstwa domowego lub osoba w wieku 15-25 lat, o ile nie posiada własnego źródła utrzymania i nie pozostaje w związku małżeńskim lub związku nieformalnym.</w:t>
      </w:r>
    </w:p>
    <w:p w14:paraId="04588956" w14:textId="77777777" w:rsidR="009D50E2" w:rsidRDefault="009B1280" w:rsidP="009B1280">
      <w:pPr>
        <w:spacing w:before="0" w:line="240" w:lineRule="auto"/>
        <w:rPr>
          <w:b/>
          <w:noProof/>
          <w:sz w:val="18"/>
          <w:szCs w:val="19"/>
          <w:lang w:eastAsia="pl-PL"/>
        </w:rPr>
      </w:pPr>
      <w:r w:rsidRPr="00574B48">
        <w:rPr>
          <w:sz w:val="14"/>
          <w:szCs w:val="14"/>
        </w:rPr>
        <w:t>W grupie małżeństw uwzględnione zostały także związki nieformalne.</w:t>
      </w:r>
    </w:p>
    <w:p w14:paraId="53996E13" w14:textId="77777777" w:rsidR="005D45EB" w:rsidRDefault="005D45EB" w:rsidP="009B1280">
      <w:pPr>
        <w:spacing w:before="360" w:after="160" w:line="259" w:lineRule="auto"/>
        <w:rPr>
          <w:b/>
          <w:noProof/>
          <w:sz w:val="18"/>
          <w:szCs w:val="19"/>
          <w:lang w:eastAsia="pl-PL"/>
        </w:rPr>
      </w:pPr>
    </w:p>
    <w:p w14:paraId="4020B3D5" w14:textId="77777777" w:rsidR="005D45EB" w:rsidRDefault="005D45EB" w:rsidP="009B1280">
      <w:pPr>
        <w:spacing w:before="360" w:after="160" w:line="259" w:lineRule="auto"/>
        <w:rPr>
          <w:b/>
          <w:noProof/>
          <w:sz w:val="18"/>
          <w:szCs w:val="19"/>
          <w:lang w:eastAsia="pl-PL"/>
        </w:rPr>
      </w:pPr>
    </w:p>
    <w:p w14:paraId="419FBF8E" w14:textId="77777777" w:rsidR="005D45EB" w:rsidRDefault="005D45EB" w:rsidP="009B1280">
      <w:pPr>
        <w:spacing w:before="360" w:after="160" w:line="259" w:lineRule="auto"/>
        <w:rPr>
          <w:b/>
          <w:noProof/>
          <w:sz w:val="18"/>
          <w:szCs w:val="19"/>
          <w:lang w:eastAsia="pl-PL"/>
        </w:rPr>
      </w:pPr>
    </w:p>
    <w:p w14:paraId="288487E0" w14:textId="77777777" w:rsidR="005D45EB" w:rsidRDefault="005D45EB" w:rsidP="009B1280">
      <w:pPr>
        <w:spacing w:before="360" w:after="160" w:line="259" w:lineRule="auto"/>
        <w:rPr>
          <w:b/>
          <w:noProof/>
          <w:sz w:val="18"/>
          <w:szCs w:val="19"/>
          <w:lang w:eastAsia="pl-PL"/>
        </w:rPr>
      </w:pPr>
    </w:p>
    <w:p w14:paraId="7F5D5551" w14:textId="77777777" w:rsidR="005D45EB" w:rsidRDefault="005D45EB" w:rsidP="009B1280">
      <w:pPr>
        <w:spacing w:before="360" w:after="160" w:line="259" w:lineRule="auto"/>
        <w:rPr>
          <w:b/>
          <w:noProof/>
          <w:sz w:val="18"/>
          <w:szCs w:val="19"/>
          <w:lang w:eastAsia="pl-PL"/>
        </w:rPr>
      </w:pPr>
    </w:p>
    <w:p w14:paraId="3A9F066D" w14:textId="77777777" w:rsidR="005D45EB" w:rsidRDefault="005D45EB" w:rsidP="009B1280">
      <w:pPr>
        <w:spacing w:before="360" w:after="160" w:line="259" w:lineRule="auto"/>
        <w:rPr>
          <w:b/>
          <w:noProof/>
          <w:sz w:val="18"/>
          <w:szCs w:val="19"/>
          <w:lang w:eastAsia="pl-PL"/>
        </w:rPr>
      </w:pPr>
    </w:p>
    <w:p w14:paraId="01C66323" w14:textId="77777777" w:rsidR="00E63984" w:rsidRPr="00E63984" w:rsidRDefault="00E63984" w:rsidP="009B1280">
      <w:pPr>
        <w:spacing w:before="360" w:after="160" w:line="259" w:lineRule="auto"/>
        <w:rPr>
          <w:b/>
          <w:noProof/>
          <w:sz w:val="18"/>
          <w:szCs w:val="19"/>
          <w:lang w:eastAsia="pl-PL"/>
        </w:rPr>
      </w:pPr>
      <w:r w:rsidRPr="00E63984">
        <w:rPr>
          <w:b/>
          <w:noProof/>
          <w:sz w:val="18"/>
          <w:szCs w:val="19"/>
          <w:lang w:eastAsia="pl-PL"/>
        </w:rPr>
        <w:lastRenderedPageBreak/>
        <w:t xml:space="preserve">Wykres </w:t>
      </w:r>
      <w:r w:rsidR="00C1559E">
        <w:rPr>
          <w:b/>
          <w:noProof/>
          <w:sz w:val="18"/>
          <w:szCs w:val="19"/>
          <w:lang w:eastAsia="pl-PL"/>
        </w:rPr>
        <w:t>7</w:t>
      </w:r>
      <w:r w:rsidRPr="00E63984">
        <w:rPr>
          <w:b/>
          <w:noProof/>
          <w:sz w:val="18"/>
          <w:szCs w:val="19"/>
          <w:lang w:eastAsia="pl-PL"/>
        </w:rPr>
        <w:t xml:space="preserve">. </w:t>
      </w:r>
      <w:r w:rsidR="00D014CA" w:rsidRPr="00D014CA">
        <w:rPr>
          <w:b/>
          <w:noProof/>
          <w:sz w:val="18"/>
          <w:szCs w:val="19"/>
          <w:lang w:eastAsia="pl-PL"/>
        </w:rPr>
        <w:t>Zasięg ubóstwa skrajnego w 2019 r. i 2020 r. w gospodarstwach domowych z dziećmi w wieku 0-17 lat</w:t>
      </w:r>
      <w:r w:rsidR="00D014CA" w:rsidRPr="00D014CA">
        <w:rPr>
          <w:b/>
          <w:noProof/>
          <w:sz w:val="18"/>
          <w:szCs w:val="19"/>
          <w:vertAlign w:val="superscript"/>
          <w:lang w:eastAsia="pl-PL"/>
        </w:rPr>
        <w:footnoteReference w:id="11"/>
      </w:r>
    </w:p>
    <w:p w14:paraId="32D5D988" w14:textId="77777777" w:rsidR="00E63984" w:rsidRPr="00E63984" w:rsidRDefault="00421734" w:rsidP="00E63984">
      <w:pPr>
        <w:spacing w:before="240" w:line="240" w:lineRule="auto"/>
        <w:rPr>
          <w:noProof/>
          <w:szCs w:val="19"/>
          <w:lang w:eastAsia="pl-PL"/>
        </w:rPr>
      </w:pPr>
      <w:r>
        <w:rPr>
          <w:noProof/>
          <w:lang w:eastAsia="pl-PL"/>
        </w:rPr>
        <w:drawing>
          <wp:inline distT="0" distB="0" distL="0" distR="0" wp14:anchorId="120D1D20" wp14:editId="1C22FEF6">
            <wp:extent cx="5040000" cy="2821294"/>
            <wp:effectExtent l="0" t="0" r="8255" b="1778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1070981" w14:textId="77777777" w:rsidR="0079372F" w:rsidRPr="00A2475E" w:rsidRDefault="0079372F" w:rsidP="00A27261">
      <w:pPr>
        <w:spacing w:before="240" w:after="160" w:line="259" w:lineRule="auto"/>
        <w:rPr>
          <w:noProof/>
          <w:sz w:val="18"/>
          <w:szCs w:val="19"/>
          <w:lang w:eastAsia="pl-PL"/>
        </w:rPr>
      </w:pPr>
      <w:r w:rsidRPr="00A2475E">
        <w:rPr>
          <w:b/>
          <w:noProof/>
          <w:sz w:val="18"/>
          <w:szCs w:val="19"/>
          <w:lang w:eastAsia="pl-PL"/>
        </w:rPr>
        <w:t xml:space="preserve">Wykres </w:t>
      </w:r>
      <w:r w:rsidR="00C1559E">
        <w:rPr>
          <w:b/>
          <w:noProof/>
          <w:sz w:val="18"/>
          <w:szCs w:val="19"/>
          <w:lang w:eastAsia="pl-PL"/>
        </w:rPr>
        <w:t>8</w:t>
      </w:r>
      <w:r w:rsidRPr="00A2475E">
        <w:rPr>
          <w:b/>
          <w:noProof/>
          <w:sz w:val="18"/>
          <w:szCs w:val="19"/>
          <w:lang w:eastAsia="pl-PL"/>
        </w:rPr>
        <w:t>. Zasięg ubóstwa skrajnego w 201</w:t>
      </w:r>
      <w:r w:rsidR="00C12A2C">
        <w:rPr>
          <w:b/>
          <w:noProof/>
          <w:sz w:val="18"/>
          <w:szCs w:val="19"/>
          <w:lang w:eastAsia="pl-PL"/>
        </w:rPr>
        <w:t>9</w:t>
      </w:r>
      <w:r w:rsidR="00B04DD4">
        <w:rPr>
          <w:b/>
          <w:noProof/>
          <w:sz w:val="18"/>
          <w:szCs w:val="19"/>
          <w:lang w:eastAsia="pl-PL"/>
        </w:rPr>
        <w:t xml:space="preserve"> r. i 20</w:t>
      </w:r>
      <w:r w:rsidR="00C12A2C">
        <w:rPr>
          <w:b/>
          <w:noProof/>
          <w:sz w:val="18"/>
          <w:szCs w:val="19"/>
          <w:lang w:eastAsia="pl-PL"/>
        </w:rPr>
        <w:t>20</w:t>
      </w:r>
      <w:r w:rsidRPr="00A2475E">
        <w:rPr>
          <w:b/>
          <w:noProof/>
          <w:sz w:val="18"/>
          <w:szCs w:val="19"/>
          <w:lang w:eastAsia="pl-PL"/>
        </w:rPr>
        <w:t xml:space="preserve"> r. wg wieku</w:t>
      </w:r>
      <w:r w:rsidR="00080209">
        <w:rPr>
          <w:b/>
          <w:noProof/>
          <w:sz w:val="18"/>
          <w:szCs w:val="19"/>
          <w:lang w:eastAsia="pl-PL"/>
        </w:rPr>
        <w:t xml:space="preserve"> osób</w:t>
      </w:r>
    </w:p>
    <w:p w14:paraId="16047534" w14:textId="77777777" w:rsidR="00F9358F" w:rsidRDefault="00C12A2C" w:rsidP="0079372F">
      <w:pPr>
        <w:spacing w:before="240" w:line="240" w:lineRule="auto"/>
        <w:rPr>
          <w:b/>
          <w:noProof/>
          <w:sz w:val="18"/>
          <w:szCs w:val="19"/>
          <w:lang w:eastAsia="pl-PL"/>
        </w:rPr>
      </w:pPr>
      <w:r>
        <w:rPr>
          <w:noProof/>
          <w:lang w:eastAsia="pl-PL"/>
        </w:rPr>
        <w:drawing>
          <wp:inline distT="0" distB="0" distL="0" distR="0" wp14:anchorId="059BEEE6" wp14:editId="4A28A4A0">
            <wp:extent cx="5040000" cy="2105025"/>
            <wp:effectExtent l="0" t="0" r="8255" b="9525"/>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4110F7A" w14:textId="77777777" w:rsidR="00F91C76" w:rsidRDefault="00F91C76" w:rsidP="0079372F">
      <w:pPr>
        <w:spacing w:before="240" w:line="240" w:lineRule="auto"/>
        <w:rPr>
          <w:b/>
          <w:noProof/>
          <w:sz w:val="18"/>
          <w:szCs w:val="19"/>
          <w:lang w:eastAsia="pl-PL"/>
        </w:rPr>
      </w:pPr>
    </w:p>
    <w:p w14:paraId="5D8B8F04" w14:textId="77777777" w:rsidR="00F91C76" w:rsidRDefault="00F91C76" w:rsidP="0079372F">
      <w:pPr>
        <w:spacing w:before="240" w:line="240" w:lineRule="auto"/>
        <w:rPr>
          <w:b/>
          <w:noProof/>
          <w:sz w:val="18"/>
          <w:szCs w:val="19"/>
          <w:lang w:eastAsia="pl-PL"/>
        </w:rPr>
      </w:pPr>
    </w:p>
    <w:p w14:paraId="4DFA622C" w14:textId="77777777" w:rsidR="00F91C76" w:rsidRDefault="00F91C76" w:rsidP="0079372F">
      <w:pPr>
        <w:spacing w:before="240" w:line="240" w:lineRule="auto"/>
        <w:rPr>
          <w:b/>
          <w:noProof/>
          <w:sz w:val="18"/>
          <w:szCs w:val="19"/>
          <w:lang w:eastAsia="pl-PL"/>
        </w:rPr>
      </w:pPr>
    </w:p>
    <w:p w14:paraId="19950409" w14:textId="77777777" w:rsidR="00F91C76" w:rsidRDefault="00F91C76" w:rsidP="0079372F">
      <w:pPr>
        <w:spacing w:before="240" w:line="240" w:lineRule="auto"/>
        <w:rPr>
          <w:b/>
          <w:noProof/>
          <w:sz w:val="18"/>
          <w:szCs w:val="19"/>
          <w:lang w:eastAsia="pl-PL"/>
        </w:rPr>
      </w:pPr>
    </w:p>
    <w:p w14:paraId="04C87CC7" w14:textId="77777777" w:rsidR="00F91C76" w:rsidRDefault="00F91C76" w:rsidP="0079372F">
      <w:pPr>
        <w:spacing w:before="240" w:line="240" w:lineRule="auto"/>
        <w:rPr>
          <w:b/>
          <w:noProof/>
          <w:sz w:val="18"/>
          <w:szCs w:val="19"/>
          <w:lang w:eastAsia="pl-PL"/>
        </w:rPr>
      </w:pPr>
    </w:p>
    <w:p w14:paraId="1A6797EA" w14:textId="77777777" w:rsidR="00F91C76" w:rsidRDefault="00F91C76" w:rsidP="0079372F">
      <w:pPr>
        <w:spacing w:before="240" w:line="240" w:lineRule="auto"/>
        <w:rPr>
          <w:b/>
          <w:noProof/>
          <w:sz w:val="18"/>
          <w:szCs w:val="19"/>
          <w:lang w:eastAsia="pl-PL"/>
        </w:rPr>
      </w:pPr>
    </w:p>
    <w:p w14:paraId="133BB9A3" w14:textId="77777777" w:rsidR="00F91C76" w:rsidRDefault="00F91C76" w:rsidP="0079372F">
      <w:pPr>
        <w:spacing w:before="240" w:line="240" w:lineRule="auto"/>
        <w:rPr>
          <w:b/>
          <w:noProof/>
          <w:sz w:val="18"/>
          <w:szCs w:val="19"/>
          <w:lang w:eastAsia="pl-PL"/>
        </w:rPr>
      </w:pPr>
    </w:p>
    <w:p w14:paraId="754D5C95" w14:textId="77777777" w:rsidR="00F91C76" w:rsidRDefault="00F91C76" w:rsidP="0079372F">
      <w:pPr>
        <w:spacing w:before="240" w:line="240" w:lineRule="auto"/>
        <w:rPr>
          <w:b/>
          <w:noProof/>
          <w:sz w:val="18"/>
          <w:szCs w:val="19"/>
          <w:lang w:eastAsia="pl-PL"/>
        </w:rPr>
      </w:pPr>
    </w:p>
    <w:p w14:paraId="33E5AD13" w14:textId="77777777" w:rsidR="00F91C76" w:rsidRDefault="00F91C76" w:rsidP="0079372F">
      <w:pPr>
        <w:spacing w:before="240" w:line="240" w:lineRule="auto"/>
        <w:rPr>
          <w:b/>
          <w:noProof/>
          <w:sz w:val="18"/>
          <w:szCs w:val="19"/>
          <w:lang w:eastAsia="pl-PL"/>
        </w:rPr>
      </w:pPr>
    </w:p>
    <w:p w14:paraId="0D2D8FF1" w14:textId="77777777" w:rsidR="0079372F" w:rsidRPr="00A2475E" w:rsidRDefault="0079372F" w:rsidP="0079372F">
      <w:pPr>
        <w:spacing w:before="240" w:line="240" w:lineRule="auto"/>
        <w:rPr>
          <w:noProof/>
          <w:sz w:val="18"/>
          <w:szCs w:val="19"/>
          <w:lang w:eastAsia="pl-PL"/>
        </w:rPr>
      </w:pPr>
      <w:r w:rsidRPr="00A2475E">
        <w:rPr>
          <w:b/>
          <w:noProof/>
          <w:sz w:val="18"/>
          <w:szCs w:val="19"/>
          <w:lang w:eastAsia="pl-PL"/>
        </w:rPr>
        <w:lastRenderedPageBreak/>
        <w:t xml:space="preserve">Wykres </w:t>
      </w:r>
      <w:r w:rsidR="00C1559E">
        <w:rPr>
          <w:b/>
          <w:noProof/>
          <w:sz w:val="18"/>
          <w:szCs w:val="19"/>
          <w:lang w:eastAsia="pl-PL"/>
        </w:rPr>
        <w:t>9</w:t>
      </w:r>
      <w:r w:rsidRPr="00A2475E">
        <w:rPr>
          <w:b/>
          <w:noProof/>
          <w:sz w:val="18"/>
          <w:szCs w:val="19"/>
          <w:lang w:eastAsia="pl-PL"/>
        </w:rPr>
        <w:t>. Zasięg ubóstwa skrajnego w 201</w:t>
      </w:r>
      <w:r w:rsidR="0042007B">
        <w:rPr>
          <w:b/>
          <w:noProof/>
          <w:sz w:val="18"/>
          <w:szCs w:val="19"/>
          <w:lang w:eastAsia="pl-PL"/>
        </w:rPr>
        <w:t>9</w:t>
      </w:r>
      <w:r w:rsidRPr="00A2475E">
        <w:rPr>
          <w:b/>
          <w:noProof/>
          <w:sz w:val="18"/>
          <w:szCs w:val="19"/>
          <w:lang w:eastAsia="pl-PL"/>
        </w:rPr>
        <w:t xml:space="preserve"> r. i 20</w:t>
      </w:r>
      <w:r w:rsidR="0042007B">
        <w:rPr>
          <w:b/>
          <w:noProof/>
          <w:sz w:val="18"/>
          <w:szCs w:val="19"/>
          <w:lang w:eastAsia="pl-PL"/>
        </w:rPr>
        <w:t>20</w:t>
      </w:r>
      <w:r w:rsidRPr="00A2475E">
        <w:rPr>
          <w:b/>
          <w:noProof/>
          <w:sz w:val="18"/>
          <w:szCs w:val="19"/>
          <w:lang w:eastAsia="pl-PL"/>
        </w:rPr>
        <w:t xml:space="preserve"> r. wg obe</w:t>
      </w:r>
      <w:r w:rsidR="00EE07FB">
        <w:rPr>
          <w:b/>
          <w:noProof/>
          <w:sz w:val="18"/>
          <w:szCs w:val="19"/>
          <w:lang w:eastAsia="pl-PL"/>
        </w:rPr>
        <w:t xml:space="preserve">cności osób </w:t>
      </w:r>
      <w:r w:rsidR="00757DDA">
        <w:rPr>
          <w:b/>
          <w:noProof/>
          <w:sz w:val="18"/>
          <w:szCs w:val="19"/>
          <w:lang w:eastAsia="pl-PL"/>
        </w:rPr>
        <w:t>z orzeczeniem o niepełnosprawności</w:t>
      </w:r>
      <w:r w:rsidR="00EE07FB">
        <w:rPr>
          <w:b/>
          <w:noProof/>
          <w:sz w:val="18"/>
          <w:szCs w:val="19"/>
          <w:lang w:eastAsia="pl-PL"/>
        </w:rPr>
        <w:t xml:space="preserve"> w</w:t>
      </w:r>
      <w:r w:rsidR="0029416C">
        <w:rPr>
          <w:b/>
          <w:noProof/>
          <w:sz w:val="18"/>
          <w:szCs w:val="19"/>
          <w:lang w:eastAsia="pl-PL"/>
        </w:rPr>
        <w:t xml:space="preserve"> </w:t>
      </w:r>
      <w:r w:rsidRPr="00A2475E">
        <w:rPr>
          <w:b/>
          <w:noProof/>
          <w:sz w:val="18"/>
          <w:szCs w:val="19"/>
          <w:lang w:eastAsia="pl-PL"/>
        </w:rPr>
        <w:t>gospodarstwie domowym</w:t>
      </w:r>
    </w:p>
    <w:p w14:paraId="27F7C274" w14:textId="77777777" w:rsidR="00F9358F" w:rsidRDefault="0042007B" w:rsidP="0079372F">
      <w:pPr>
        <w:spacing w:before="240" w:line="240" w:lineRule="auto"/>
        <w:rPr>
          <w:b/>
          <w:noProof/>
          <w:sz w:val="18"/>
          <w:szCs w:val="19"/>
          <w:lang w:eastAsia="pl-PL"/>
        </w:rPr>
      </w:pPr>
      <w:r>
        <w:rPr>
          <w:noProof/>
          <w:lang w:eastAsia="pl-PL"/>
        </w:rPr>
        <w:drawing>
          <wp:inline distT="0" distB="0" distL="0" distR="0" wp14:anchorId="14407B60" wp14:editId="08C9BEE9">
            <wp:extent cx="5053330" cy="2374366"/>
            <wp:effectExtent l="0" t="0" r="0" b="6985"/>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6EBB4EE" w14:textId="77777777" w:rsidR="0079372F" w:rsidRDefault="005E7A67" w:rsidP="0079372F">
      <w:pPr>
        <w:spacing w:before="240" w:line="240" w:lineRule="auto"/>
        <w:rPr>
          <w:b/>
          <w:noProof/>
          <w:sz w:val="18"/>
          <w:szCs w:val="19"/>
          <w:lang w:eastAsia="pl-PL"/>
        </w:rPr>
      </w:pPr>
      <w:r>
        <w:rPr>
          <w:noProof/>
          <w:szCs w:val="19"/>
          <w:lang w:eastAsia="pl-PL"/>
        </w:rPr>
        <mc:AlternateContent>
          <mc:Choice Requires="wps">
            <w:drawing>
              <wp:anchor distT="45720" distB="45720" distL="114300" distR="114300" simplePos="0" relativeHeight="251801600" behindDoc="0" locked="0" layoutInCell="1" allowOverlap="1" wp14:anchorId="3EADAA7D" wp14:editId="27725FF1">
                <wp:simplePos x="0" y="0"/>
                <wp:positionH relativeFrom="column">
                  <wp:posOffset>5214194</wp:posOffset>
                </wp:positionH>
                <wp:positionV relativeFrom="paragraph">
                  <wp:posOffset>142211</wp:posOffset>
                </wp:positionV>
                <wp:extent cx="1758315" cy="1920240"/>
                <wp:effectExtent l="0" t="0" r="0" b="0"/>
                <wp:wrapNone/>
                <wp:docPr id="4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315" cy="1920240"/>
                        </a:xfrm>
                        <a:prstGeom prst="rect">
                          <a:avLst/>
                        </a:prstGeom>
                        <a:noFill/>
                        <a:ln w="9525">
                          <a:noFill/>
                          <a:miter lim="800000"/>
                          <a:headEnd/>
                          <a:tailEnd/>
                        </a:ln>
                      </wps:spPr>
                      <wps:txbx>
                        <w:txbxContent>
                          <w:p w14:paraId="63563E62" w14:textId="77777777" w:rsidR="004F7C9F" w:rsidRPr="00330E56" w:rsidRDefault="004F7C9F" w:rsidP="005E7A67">
                            <w:pPr>
                              <w:suppressAutoHyphens/>
                              <w:rPr>
                                <w:color w:val="001D77"/>
                                <w:sz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ADAA7D" id="_x0000_s1035" type="#_x0000_t202" style="position:absolute;margin-left:410.55pt;margin-top:11.2pt;width:138.45pt;height:151.2pt;z-index:251801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" filled="f" stroked="f">
                <v:textbox style="mso-fit-shape-to-text:t">
                  <w:txbxContent>
                    <w:p w14:paraId="63563E62" w14:textId="77777777" w:rsidR="004F7C9F" w:rsidRPr="00330E56" w:rsidRDefault="004F7C9F" w:rsidP="005E7A67">
                      <w:pPr>
                        <w:suppressAutoHyphens/>
                        <w:rPr>
                          <w:color w:val="001D77"/>
                          <w:sz w:val="18"/>
                        </w:rPr>
                      </w:pPr>
                    </w:p>
                  </w:txbxContent>
                </v:textbox>
              </v:shape>
            </w:pict>
          </mc:Fallback>
        </mc:AlternateContent>
      </w:r>
      <w:r w:rsidR="0079372F" w:rsidRPr="00A2475E">
        <w:rPr>
          <w:b/>
          <w:noProof/>
          <w:sz w:val="18"/>
          <w:szCs w:val="19"/>
          <w:lang w:eastAsia="pl-PL"/>
        </w:rPr>
        <w:t xml:space="preserve">Wykres </w:t>
      </w:r>
      <w:r w:rsidR="00C1559E">
        <w:rPr>
          <w:b/>
          <w:noProof/>
          <w:sz w:val="18"/>
          <w:szCs w:val="19"/>
          <w:lang w:eastAsia="pl-PL"/>
        </w:rPr>
        <w:t>10</w:t>
      </w:r>
      <w:r w:rsidR="0079372F" w:rsidRPr="00A2475E">
        <w:rPr>
          <w:b/>
          <w:noProof/>
          <w:sz w:val="18"/>
          <w:szCs w:val="19"/>
          <w:lang w:eastAsia="pl-PL"/>
        </w:rPr>
        <w:t>. Zasięg ubóstwa skrajnego w 201</w:t>
      </w:r>
      <w:r w:rsidR="00587BF0">
        <w:rPr>
          <w:b/>
          <w:noProof/>
          <w:sz w:val="18"/>
          <w:szCs w:val="19"/>
          <w:lang w:eastAsia="pl-PL"/>
        </w:rPr>
        <w:t>9</w:t>
      </w:r>
      <w:r w:rsidR="0079372F" w:rsidRPr="00A2475E">
        <w:rPr>
          <w:b/>
          <w:noProof/>
          <w:sz w:val="18"/>
          <w:szCs w:val="19"/>
          <w:lang w:eastAsia="pl-PL"/>
        </w:rPr>
        <w:t xml:space="preserve"> r. i 20</w:t>
      </w:r>
      <w:r w:rsidR="00587BF0">
        <w:rPr>
          <w:b/>
          <w:noProof/>
          <w:sz w:val="18"/>
          <w:szCs w:val="19"/>
          <w:lang w:eastAsia="pl-PL"/>
        </w:rPr>
        <w:t>20</w:t>
      </w:r>
      <w:r w:rsidR="0079372F" w:rsidRPr="00A2475E">
        <w:rPr>
          <w:b/>
          <w:noProof/>
          <w:sz w:val="18"/>
          <w:szCs w:val="19"/>
          <w:lang w:eastAsia="pl-PL"/>
        </w:rPr>
        <w:t xml:space="preserve"> r. wg </w:t>
      </w:r>
      <w:r w:rsidR="004F1CF8">
        <w:rPr>
          <w:b/>
          <w:noProof/>
          <w:sz w:val="18"/>
          <w:szCs w:val="19"/>
          <w:lang w:eastAsia="pl-PL"/>
        </w:rPr>
        <w:t xml:space="preserve">poziomu </w:t>
      </w:r>
      <w:r w:rsidR="0079372F" w:rsidRPr="00A2475E">
        <w:rPr>
          <w:b/>
          <w:noProof/>
          <w:sz w:val="18"/>
          <w:szCs w:val="19"/>
          <w:lang w:eastAsia="pl-PL"/>
        </w:rPr>
        <w:t>wykształcenia głowy gospodarstwa domowego</w:t>
      </w:r>
    </w:p>
    <w:p w14:paraId="7B88F1AA" w14:textId="77777777" w:rsidR="001A195E" w:rsidRPr="00A2475E" w:rsidRDefault="00B317CB" w:rsidP="0079372F">
      <w:pPr>
        <w:spacing w:before="240" w:line="240" w:lineRule="auto"/>
        <w:rPr>
          <w:noProof/>
          <w:sz w:val="18"/>
          <w:szCs w:val="19"/>
          <w:lang w:eastAsia="pl-PL"/>
        </w:rPr>
      </w:pPr>
      <w:r>
        <w:rPr>
          <w:noProof/>
          <w:szCs w:val="19"/>
          <w:lang w:eastAsia="pl-PL"/>
        </w:rPr>
        <mc:AlternateContent>
          <mc:Choice Requires="wps">
            <w:drawing>
              <wp:anchor distT="45720" distB="45720" distL="114300" distR="114300" simplePos="0" relativeHeight="251835392" behindDoc="0" locked="0" layoutInCell="1" allowOverlap="1" wp14:anchorId="69D774EB" wp14:editId="09AD4972">
                <wp:simplePos x="0" y="0"/>
                <wp:positionH relativeFrom="margin">
                  <wp:posOffset>5372100</wp:posOffset>
                </wp:positionH>
                <wp:positionV relativeFrom="paragraph">
                  <wp:posOffset>48260</wp:posOffset>
                </wp:positionV>
                <wp:extent cx="1390650" cy="1920240"/>
                <wp:effectExtent l="0" t="0" r="0" b="0"/>
                <wp:wrapNone/>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920240"/>
                        </a:xfrm>
                        <a:prstGeom prst="rect">
                          <a:avLst/>
                        </a:prstGeom>
                        <a:noFill/>
                        <a:ln w="9525">
                          <a:noFill/>
                          <a:miter lim="800000"/>
                          <a:headEnd/>
                          <a:tailEnd/>
                        </a:ln>
                      </wps:spPr>
                      <wps:txbx>
                        <w:txbxContent>
                          <w:p w14:paraId="798C15B7" w14:textId="77777777" w:rsidR="00B317CB" w:rsidRPr="00B921FC" w:rsidRDefault="00B317CB" w:rsidP="00B317CB">
                            <w:pPr>
                              <w:suppressAutoHyphens/>
                              <w:rPr>
                                <w:color w:val="001D77"/>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D774EB" id="_x0000_s1036" type="#_x0000_t202" style="position:absolute;margin-left:423pt;margin-top:3.8pt;width:109.5pt;height:151.2pt;z-index:251835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" filled="f" stroked="f">
                <v:textbox style="mso-fit-shape-to-text:t">
                  <w:txbxContent>
                    <w:p w14:paraId="798C15B7" w14:textId="77777777" w:rsidR="00B317CB" w:rsidRPr="00B921FC" w:rsidRDefault="00B317CB" w:rsidP="00B317CB">
                      <w:pPr>
                        <w:suppressAutoHyphens/>
                        <w:rPr>
                          <w:color w:val="001D77"/>
                          <w:sz w:val="18"/>
                          <w:szCs w:val="18"/>
                        </w:rPr>
                      </w:pPr>
                    </w:p>
                  </w:txbxContent>
                </v:textbox>
                <w10:wrap anchorx="margin"/>
              </v:shape>
            </w:pict>
          </mc:Fallback>
        </mc:AlternateContent>
      </w:r>
      <w:r w:rsidR="00587BF0">
        <w:rPr>
          <w:noProof/>
          <w:lang w:eastAsia="pl-PL"/>
        </w:rPr>
        <w:drawing>
          <wp:inline distT="0" distB="0" distL="0" distR="0" wp14:anchorId="57E7475F" wp14:editId="5EA9E0C0">
            <wp:extent cx="5039995" cy="2074689"/>
            <wp:effectExtent l="0" t="0" r="8255" b="1905"/>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FABF37A" w14:textId="77777777" w:rsidR="0079372F" w:rsidRDefault="0079372F" w:rsidP="000C040F">
      <w:pPr>
        <w:spacing w:before="240" w:line="240" w:lineRule="auto"/>
        <w:rPr>
          <w:b/>
          <w:noProof/>
          <w:sz w:val="18"/>
          <w:szCs w:val="19"/>
          <w:lang w:eastAsia="pl-PL"/>
        </w:rPr>
      </w:pPr>
      <w:r w:rsidRPr="00A2475E">
        <w:rPr>
          <w:b/>
          <w:noProof/>
          <w:sz w:val="18"/>
          <w:szCs w:val="19"/>
          <w:lang w:eastAsia="pl-PL"/>
        </w:rPr>
        <w:t xml:space="preserve">Wykres </w:t>
      </w:r>
      <w:r w:rsidR="00C1559E">
        <w:rPr>
          <w:b/>
          <w:noProof/>
          <w:sz w:val="18"/>
          <w:szCs w:val="19"/>
          <w:lang w:eastAsia="pl-PL"/>
        </w:rPr>
        <w:t>11</w:t>
      </w:r>
      <w:r w:rsidRPr="00A2475E">
        <w:rPr>
          <w:b/>
          <w:noProof/>
          <w:sz w:val="18"/>
          <w:szCs w:val="19"/>
          <w:lang w:eastAsia="pl-PL"/>
        </w:rPr>
        <w:t xml:space="preserve"> Zasięg ubóstwa skrajnego w 201</w:t>
      </w:r>
      <w:r w:rsidR="009C68F7">
        <w:rPr>
          <w:b/>
          <w:noProof/>
          <w:sz w:val="18"/>
          <w:szCs w:val="19"/>
          <w:lang w:eastAsia="pl-PL"/>
        </w:rPr>
        <w:t>9</w:t>
      </w:r>
      <w:r w:rsidRPr="00A2475E">
        <w:rPr>
          <w:b/>
          <w:noProof/>
          <w:sz w:val="18"/>
          <w:szCs w:val="19"/>
          <w:lang w:eastAsia="pl-PL"/>
        </w:rPr>
        <w:t xml:space="preserve"> r. i 20</w:t>
      </w:r>
      <w:r w:rsidR="009C68F7">
        <w:rPr>
          <w:b/>
          <w:noProof/>
          <w:sz w:val="18"/>
          <w:szCs w:val="19"/>
          <w:lang w:eastAsia="pl-PL"/>
        </w:rPr>
        <w:t>20</w:t>
      </w:r>
      <w:r w:rsidRPr="00A2475E">
        <w:rPr>
          <w:b/>
          <w:noProof/>
          <w:sz w:val="18"/>
          <w:szCs w:val="19"/>
          <w:lang w:eastAsia="pl-PL"/>
        </w:rPr>
        <w:t xml:space="preserve"> r. wg klasy miejscowości zamieszkania</w:t>
      </w:r>
    </w:p>
    <w:p w14:paraId="12A87EBE" w14:textId="77777777" w:rsidR="00B841AF" w:rsidRDefault="00B317CB" w:rsidP="0079372F">
      <w:pPr>
        <w:spacing w:before="240" w:line="240" w:lineRule="auto"/>
        <w:rPr>
          <w:noProof/>
          <w:sz w:val="18"/>
          <w:szCs w:val="19"/>
          <w:lang w:eastAsia="pl-PL"/>
        </w:rPr>
      </w:pPr>
      <w:r>
        <w:rPr>
          <w:noProof/>
          <w:szCs w:val="19"/>
          <w:lang w:eastAsia="pl-PL"/>
        </w:rPr>
        <mc:AlternateContent>
          <mc:Choice Requires="wps">
            <w:drawing>
              <wp:anchor distT="45720" distB="45720" distL="114300" distR="114300" simplePos="0" relativeHeight="251803648" behindDoc="0" locked="0" layoutInCell="1" allowOverlap="1" wp14:anchorId="36200C67" wp14:editId="06889F6B">
                <wp:simplePos x="0" y="0"/>
                <wp:positionH relativeFrom="column">
                  <wp:posOffset>5400675</wp:posOffset>
                </wp:positionH>
                <wp:positionV relativeFrom="paragraph">
                  <wp:posOffset>511175</wp:posOffset>
                </wp:positionV>
                <wp:extent cx="1567815" cy="1171575"/>
                <wp:effectExtent l="0" t="0" r="0" b="0"/>
                <wp:wrapNone/>
                <wp:docPr id="5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7815" cy="1171575"/>
                        </a:xfrm>
                        <a:prstGeom prst="rect">
                          <a:avLst/>
                        </a:prstGeom>
                        <a:noFill/>
                        <a:ln w="9525">
                          <a:noFill/>
                          <a:miter lim="800000"/>
                          <a:headEnd/>
                          <a:tailEnd/>
                        </a:ln>
                      </wps:spPr>
                      <wps:txbx>
                        <w:txbxContent>
                          <w:p w14:paraId="7EC33FA9" w14:textId="77777777" w:rsidR="004F7C9F" w:rsidRPr="00330E56" w:rsidRDefault="004F7C9F" w:rsidP="00FF7E13">
                            <w:pPr>
                              <w:suppressAutoHyphens/>
                              <w:rPr>
                                <w:color w:val="001D77"/>
                                <w:sz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200C67" id="_x0000_s1037" type="#_x0000_t202" style="position:absolute;margin-left:425.25pt;margin-top:40.25pt;width:123.45pt;height:92.25pt;z-index:251803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" filled="f" stroked="f">
                <v:textbox>
                  <w:txbxContent>
                    <w:p w14:paraId="7EC33FA9" w14:textId="77777777" w:rsidR="004F7C9F" w:rsidRPr="00330E56" w:rsidRDefault="004F7C9F" w:rsidP="00FF7E13">
                      <w:pPr>
                        <w:suppressAutoHyphens/>
                        <w:rPr>
                          <w:color w:val="001D77"/>
                          <w:sz w:val="18"/>
                        </w:rPr>
                      </w:pPr>
                    </w:p>
                  </w:txbxContent>
                </v:textbox>
              </v:shape>
            </w:pict>
          </mc:Fallback>
        </mc:AlternateContent>
      </w:r>
      <w:r w:rsidR="009C68F7">
        <w:rPr>
          <w:noProof/>
          <w:lang w:eastAsia="pl-PL"/>
        </w:rPr>
        <w:drawing>
          <wp:inline distT="0" distB="0" distL="0" distR="0" wp14:anchorId="425870BC" wp14:editId="55E9C439">
            <wp:extent cx="5039995" cy="2781620"/>
            <wp:effectExtent l="0" t="0" r="8255" b="0"/>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512F652" w14:textId="77777777" w:rsidR="00207C9A" w:rsidRDefault="00207C9A" w:rsidP="00F91C76">
      <w:pPr>
        <w:rPr>
          <w:noProof/>
          <w:szCs w:val="19"/>
          <w:lang w:eastAsia="pl-PL"/>
        </w:rPr>
      </w:pPr>
      <w:r>
        <w:t>W przypadku cytowania danych Głównego Urzędu Statystycznego prosimy o zamieszczenie informacji: „Źródło danych GUS”, a przypadku publikowania obliczeń dokonanych na danych opublikowanych przez GUS prosimy o zamieszczenie informacji: „Opracowanie własne na podstawie danych GUS”.</w:t>
      </w:r>
    </w:p>
    <w:p w14:paraId="23808394" w14:textId="77777777" w:rsidR="00391B62" w:rsidRPr="008A720C" w:rsidRDefault="00391B62" w:rsidP="008A720C">
      <w:pPr>
        <w:spacing w:before="240" w:line="240" w:lineRule="auto"/>
        <w:rPr>
          <w:noProof/>
          <w:szCs w:val="19"/>
          <w:lang w:eastAsia="pl-PL"/>
        </w:rPr>
        <w:sectPr w:rsidR="00391B62" w:rsidRPr="008A720C" w:rsidSect="00EF7B36">
          <w:headerReference w:type="default" r:id="rId22"/>
          <w:footerReference w:type="default" r:id="rId23"/>
          <w:headerReference w:type="first" r:id="rId24"/>
          <w:footerReference w:type="first" r:id="rId25"/>
          <w:footnotePr>
            <w:numFmt w:val="lowerLetter"/>
          </w:footnotePr>
          <w:pgSz w:w="11906" w:h="16838"/>
          <w:pgMar w:top="720" w:right="3119" w:bottom="720" w:left="720" w:header="284" w:footer="283" w:gutter="0"/>
          <w:cols w:space="708"/>
          <w:titlePg/>
          <w:docGrid w:linePitch="360"/>
        </w:sectPr>
      </w:pPr>
    </w:p>
    <w:tbl>
      <w:tblPr>
        <w:tblpPr w:leftFromText="141" w:rightFromText="141" w:vertAnchor="text" w:horzAnchor="margin" w:tblpXSpec="center" w:tblpY="-47"/>
        <w:tblW w:w="0" w:type="auto"/>
        <w:tblLook w:val="04A0" w:firstRow="1" w:lastRow="0" w:firstColumn="1" w:lastColumn="0" w:noHBand="0" w:noVBand="1"/>
      </w:tblPr>
      <w:tblGrid>
        <w:gridCol w:w="4248"/>
        <w:gridCol w:w="3819"/>
      </w:tblGrid>
      <w:tr w:rsidR="00883763" w:rsidRPr="00F65469" w14:paraId="5FA60C3D" w14:textId="77777777" w:rsidTr="00106181">
        <w:trPr>
          <w:trHeight w:val="1912"/>
        </w:trPr>
        <w:tc>
          <w:tcPr>
            <w:tcW w:w="4248" w:type="dxa"/>
          </w:tcPr>
          <w:p w14:paraId="14448BCD" w14:textId="77777777" w:rsidR="00883763" w:rsidRPr="008F3638" w:rsidRDefault="00883763" w:rsidP="00EE696D">
            <w:pPr>
              <w:spacing w:before="0" w:after="0" w:line="240" w:lineRule="auto"/>
              <w:rPr>
                <w:rFonts w:cs="Arial"/>
                <w:color w:val="000000" w:themeColor="text1"/>
                <w:sz w:val="20"/>
              </w:rPr>
            </w:pPr>
            <w:r w:rsidRPr="008F3638">
              <w:rPr>
                <w:rFonts w:cs="Arial"/>
                <w:color w:val="000000" w:themeColor="text1"/>
                <w:sz w:val="20"/>
              </w:rPr>
              <w:lastRenderedPageBreak/>
              <w:t>Opracowanie merytoryczne:</w:t>
            </w:r>
          </w:p>
          <w:p w14:paraId="24B3F271" w14:textId="77777777" w:rsidR="00883763" w:rsidRDefault="00F93B25" w:rsidP="00EE696D">
            <w:pPr>
              <w:spacing w:before="0" w:after="0" w:line="240" w:lineRule="auto"/>
              <w:rPr>
                <w:rFonts w:cs="Arial"/>
                <w:b/>
                <w:color w:val="000000" w:themeColor="text1"/>
                <w:sz w:val="20"/>
              </w:rPr>
            </w:pPr>
            <w:r>
              <w:rPr>
                <w:rFonts w:cs="Arial"/>
                <w:b/>
                <w:color w:val="000000" w:themeColor="text1"/>
                <w:sz w:val="20"/>
              </w:rPr>
              <w:t xml:space="preserve">Departament Badań Społecznych </w:t>
            </w:r>
          </w:p>
          <w:p w14:paraId="2668B105" w14:textId="77777777" w:rsidR="00DB65D4" w:rsidRPr="008F3638" w:rsidRDefault="00DB65D4" w:rsidP="00EE696D">
            <w:pPr>
              <w:spacing w:before="0" w:after="0" w:line="240" w:lineRule="auto"/>
              <w:rPr>
                <w:rFonts w:cs="Arial"/>
                <w:b/>
                <w:color w:val="000000" w:themeColor="text1"/>
                <w:sz w:val="20"/>
              </w:rPr>
            </w:pPr>
            <w:r>
              <w:rPr>
                <w:rFonts w:cs="Arial"/>
                <w:b/>
                <w:color w:val="000000" w:themeColor="text1"/>
                <w:sz w:val="20"/>
              </w:rPr>
              <w:t xml:space="preserve">Wydział </w:t>
            </w:r>
            <w:r w:rsidR="00C348B0">
              <w:rPr>
                <w:rFonts w:cs="Arial"/>
                <w:b/>
                <w:color w:val="000000" w:themeColor="text1"/>
                <w:sz w:val="20"/>
              </w:rPr>
              <w:t xml:space="preserve">Badań i Analiz Jakości Życia </w:t>
            </w:r>
            <w:r w:rsidR="005D5F71">
              <w:rPr>
                <w:rFonts w:cs="Arial"/>
                <w:b/>
                <w:color w:val="000000" w:themeColor="text1"/>
                <w:sz w:val="20"/>
              </w:rPr>
              <w:t xml:space="preserve">                    </w:t>
            </w:r>
            <w:r w:rsidR="00C348B0">
              <w:rPr>
                <w:rFonts w:cs="Arial"/>
                <w:b/>
                <w:color w:val="000000" w:themeColor="text1"/>
                <w:sz w:val="20"/>
              </w:rPr>
              <w:t>i Kapitału Społecznego</w:t>
            </w:r>
          </w:p>
          <w:p w14:paraId="195BC9BC" w14:textId="77777777" w:rsidR="00883763" w:rsidRPr="00F93B25" w:rsidRDefault="007A1678" w:rsidP="00EE696D">
            <w:pPr>
              <w:pStyle w:val="Nagwek3"/>
              <w:spacing w:before="0" w:line="240" w:lineRule="auto"/>
              <w:rPr>
                <w:rFonts w:ascii="Fira Sans" w:hAnsi="Fira Sans" w:cs="Arial"/>
                <w:b/>
                <w:color w:val="000000" w:themeColor="text1"/>
                <w:sz w:val="20"/>
                <w:szCs w:val="28"/>
              </w:rPr>
            </w:pPr>
            <w:r>
              <w:rPr>
                <w:rFonts w:ascii="Fira Sans" w:hAnsi="Fira Sans" w:cs="Arial"/>
                <w:b/>
                <w:color w:val="000000" w:themeColor="text1"/>
                <w:sz w:val="20"/>
                <w:szCs w:val="28"/>
              </w:rPr>
              <w:t>Dyr</w:t>
            </w:r>
            <w:r w:rsidR="00E00D3B">
              <w:rPr>
                <w:rFonts w:ascii="Fira Sans" w:hAnsi="Fira Sans" w:cs="Arial"/>
                <w:b/>
                <w:color w:val="000000" w:themeColor="text1"/>
                <w:sz w:val="20"/>
                <w:szCs w:val="28"/>
              </w:rPr>
              <w:t>ektor</w:t>
            </w:r>
            <w:r w:rsidR="00B54D43">
              <w:rPr>
                <w:rFonts w:ascii="Fira Sans" w:hAnsi="Fira Sans" w:cs="Arial"/>
                <w:b/>
                <w:color w:val="000000" w:themeColor="text1"/>
                <w:sz w:val="20"/>
                <w:szCs w:val="28"/>
              </w:rPr>
              <w:t xml:space="preserve"> - </w:t>
            </w:r>
            <w:r w:rsidR="00E00D3B">
              <w:rPr>
                <w:rFonts w:ascii="Fira Sans" w:hAnsi="Fira Sans" w:cs="Arial"/>
                <w:b/>
                <w:color w:val="000000" w:themeColor="text1"/>
                <w:sz w:val="20"/>
                <w:szCs w:val="28"/>
              </w:rPr>
              <w:t>dr</w:t>
            </w:r>
            <w:r w:rsidR="00C348B0">
              <w:rPr>
                <w:rFonts w:ascii="Fira Sans" w:hAnsi="Fira Sans" w:cs="Arial"/>
                <w:b/>
                <w:color w:val="000000" w:themeColor="text1"/>
                <w:sz w:val="20"/>
                <w:szCs w:val="28"/>
              </w:rPr>
              <w:t xml:space="preserve"> </w:t>
            </w:r>
            <w:r>
              <w:rPr>
                <w:rFonts w:ascii="Fira Sans" w:hAnsi="Fira Sans" w:cs="Arial"/>
                <w:b/>
                <w:color w:val="000000" w:themeColor="text1"/>
                <w:sz w:val="20"/>
                <w:szCs w:val="28"/>
              </w:rPr>
              <w:t>Piotr Łysoń</w:t>
            </w:r>
          </w:p>
          <w:p w14:paraId="7156FE9F" w14:textId="77777777" w:rsidR="00883763" w:rsidRPr="008F3638" w:rsidRDefault="00A671AE" w:rsidP="005B0D62">
            <w:pPr>
              <w:pStyle w:val="Nagwek3"/>
              <w:spacing w:before="0" w:line="240" w:lineRule="auto"/>
              <w:rPr>
                <w:rFonts w:ascii="Fira Sans" w:hAnsi="Fira Sans"/>
                <w:color w:val="000000" w:themeColor="text1"/>
                <w:lang w:val="fi-FI"/>
              </w:rPr>
            </w:pPr>
            <w:r>
              <w:rPr>
                <w:rFonts w:ascii="Fira Sans" w:hAnsi="Fira Sans" w:cs="Arial"/>
                <w:color w:val="000000" w:themeColor="text1"/>
                <w:sz w:val="20"/>
                <w:lang w:val="fi-FI"/>
              </w:rPr>
              <w:t xml:space="preserve">Tel: 22 </w:t>
            </w:r>
            <w:r w:rsidR="005B0D62">
              <w:rPr>
                <w:rFonts w:ascii="Fira Sans" w:hAnsi="Fira Sans" w:cs="Arial"/>
                <w:color w:val="000000" w:themeColor="text1"/>
                <w:sz w:val="20"/>
                <w:lang w:val="fi-FI"/>
              </w:rPr>
              <w:t>449</w:t>
            </w:r>
            <w:r w:rsidR="00883763">
              <w:rPr>
                <w:rFonts w:ascii="Fira Sans" w:hAnsi="Fira Sans" w:cs="Arial"/>
                <w:color w:val="000000" w:themeColor="text1"/>
                <w:sz w:val="20"/>
                <w:lang w:val="fi-FI"/>
              </w:rPr>
              <w:t xml:space="preserve"> </w:t>
            </w:r>
            <w:r>
              <w:rPr>
                <w:rFonts w:ascii="Fira Sans" w:hAnsi="Fira Sans" w:cs="Arial"/>
                <w:color w:val="000000" w:themeColor="text1"/>
                <w:sz w:val="20"/>
                <w:lang w:val="fi-FI"/>
              </w:rPr>
              <w:t>40</w:t>
            </w:r>
            <w:r w:rsidR="005B0D62">
              <w:rPr>
                <w:rFonts w:ascii="Fira Sans" w:hAnsi="Fira Sans" w:cs="Arial"/>
                <w:color w:val="000000" w:themeColor="text1"/>
                <w:sz w:val="20"/>
                <w:lang w:val="fi-FI"/>
              </w:rPr>
              <w:t xml:space="preserve"> 27</w:t>
            </w:r>
          </w:p>
        </w:tc>
        <w:tc>
          <w:tcPr>
            <w:tcW w:w="3819" w:type="dxa"/>
          </w:tcPr>
          <w:p w14:paraId="317304FC" w14:textId="77777777" w:rsidR="00102C97" w:rsidRDefault="00883763" w:rsidP="00EE696D">
            <w:pPr>
              <w:spacing w:before="0" w:after="0" w:line="240" w:lineRule="auto"/>
              <w:rPr>
                <w:rFonts w:cs="Arial"/>
                <w:color w:val="000000" w:themeColor="text1"/>
                <w:sz w:val="20"/>
              </w:rPr>
            </w:pPr>
            <w:r w:rsidRPr="008F3638">
              <w:rPr>
                <w:rFonts w:cs="Arial"/>
                <w:color w:val="000000" w:themeColor="text1"/>
                <w:sz w:val="20"/>
              </w:rPr>
              <w:t>Rozpowszechnianie:</w:t>
            </w:r>
          </w:p>
          <w:p w14:paraId="24930EB1" w14:textId="77777777" w:rsidR="00883763" w:rsidRPr="008F3638" w:rsidRDefault="00883763" w:rsidP="00EE696D">
            <w:pPr>
              <w:spacing w:before="0" w:after="0" w:line="240" w:lineRule="auto"/>
              <w:rPr>
                <w:rFonts w:cs="Arial"/>
                <w:b/>
                <w:color w:val="000000" w:themeColor="text1"/>
                <w:sz w:val="20"/>
              </w:rPr>
            </w:pPr>
            <w:r w:rsidRPr="008F3638">
              <w:rPr>
                <w:rFonts w:cs="Arial"/>
                <w:b/>
                <w:color w:val="000000" w:themeColor="text1"/>
                <w:sz w:val="20"/>
              </w:rPr>
              <w:t>Rzecznik Prasowy Prezesa GUS</w:t>
            </w:r>
          </w:p>
          <w:p w14:paraId="38A7594B" w14:textId="77777777" w:rsidR="000A0E48" w:rsidRPr="008F3638" w:rsidRDefault="000A0E48" w:rsidP="000A0E48">
            <w:pPr>
              <w:pStyle w:val="Nagwek3"/>
              <w:spacing w:before="0" w:line="240" w:lineRule="auto"/>
              <w:rPr>
                <w:rFonts w:ascii="Fira Sans" w:hAnsi="Fira Sans" w:cs="Arial"/>
                <w:b/>
                <w:color w:val="000000" w:themeColor="text1"/>
                <w:sz w:val="20"/>
                <w:szCs w:val="28"/>
              </w:rPr>
            </w:pPr>
            <w:r>
              <w:rPr>
                <w:rFonts w:ascii="Fira Sans" w:hAnsi="Fira Sans" w:cs="Arial"/>
                <w:b/>
                <w:color w:val="000000" w:themeColor="text1"/>
                <w:sz w:val="20"/>
                <w:szCs w:val="28"/>
              </w:rPr>
              <w:t>Karolina Banasze</w:t>
            </w:r>
            <w:r w:rsidRPr="008F3638">
              <w:rPr>
                <w:rFonts w:ascii="Fira Sans" w:hAnsi="Fira Sans" w:cs="Arial"/>
                <w:b/>
                <w:color w:val="000000" w:themeColor="text1"/>
                <w:sz w:val="20"/>
                <w:szCs w:val="28"/>
              </w:rPr>
              <w:t>k</w:t>
            </w:r>
          </w:p>
          <w:p w14:paraId="0719668B" w14:textId="77777777" w:rsidR="00883763" w:rsidRPr="008F3638" w:rsidRDefault="000A0E48" w:rsidP="000A0E48">
            <w:pPr>
              <w:pStyle w:val="Nagwek3"/>
              <w:spacing w:before="0" w:line="240" w:lineRule="auto"/>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Pr>
                <w:rFonts w:ascii="Fira Sans" w:hAnsi="Fira Sans" w:cs="Arial"/>
                <w:color w:val="000000" w:themeColor="text1"/>
                <w:sz w:val="20"/>
                <w:lang w:val="fi-FI"/>
              </w:rPr>
              <w:t>695 255 011</w:t>
            </w:r>
          </w:p>
          <w:p w14:paraId="747FA33B" w14:textId="77777777" w:rsidR="00883763" w:rsidRPr="008F3638" w:rsidRDefault="00883763" w:rsidP="00EE696D">
            <w:pPr>
              <w:pStyle w:val="Nagwek3"/>
              <w:spacing w:before="0" w:line="240" w:lineRule="auto"/>
              <w:rPr>
                <w:rFonts w:ascii="Fira Sans" w:hAnsi="Fira Sans" w:cs="Arial"/>
                <w:color w:val="000000" w:themeColor="text1"/>
                <w:sz w:val="20"/>
                <w:szCs w:val="20"/>
                <w:lang w:val="en-US"/>
              </w:rPr>
            </w:pPr>
            <w:r w:rsidRPr="008F3638">
              <w:rPr>
                <w:rFonts w:ascii="Fira Sans" w:hAnsi="Fira Sans" w:cs="Arial"/>
                <w:b/>
                <w:color w:val="000000" w:themeColor="text1"/>
                <w:sz w:val="20"/>
                <w:szCs w:val="20"/>
                <w:lang w:val="en-US"/>
              </w:rPr>
              <w:t xml:space="preserve">e-mail: </w:t>
            </w:r>
            <w:hyperlink r:id="rId26" w:history="1">
              <w:r w:rsidRPr="00267AB1">
                <w:rPr>
                  <w:rStyle w:val="Hipercze"/>
                  <w:rFonts w:ascii="Fira Sans" w:hAnsi="Fira Sans" w:cs="Arial"/>
                  <w:b/>
                  <w:color w:val="auto"/>
                  <w:sz w:val="20"/>
                  <w:szCs w:val="20"/>
                  <w:lang w:val="en-US"/>
                </w:rPr>
                <w:t>rzecznik@stat.gov.pl</w:t>
              </w:r>
            </w:hyperlink>
          </w:p>
        </w:tc>
      </w:tr>
    </w:tbl>
    <w:p w14:paraId="0030591B" w14:textId="77777777" w:rsidR="000470AA" w:rsidRPr="00685123"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14:paraId="6FEEF752" w14:textId="77777777" w:rsidTr="000470AA">
        <w:trPr>
          <w:trHeight w:val="610"/>
        </w:trPr>
        <w:tc>
          <w:tcPr>
            <w:tcW w:w="2721" w:type="pct"/>
            <w:vMerge w:val="restart"/>
            <w:vAlign w:val="center"/>
          </w:tcPr>
          <w:p w14:paraId="59D70539" w14:textId="77777777" w:rsidR="000470AA" w:rsidRPr="00C91687" w:rsidRDefault="000470AA" w:rsidP="00A33F84">
            <w:pPr>
              <w:ind w:left="142"/>
              <w:rPr>
                <w:b/>
                <w:sz w:val="20"/>
              </w:rPr>
            </w:pPr>
            <w:r w:rsidRPr="00C91687">
              <w:rPr>
                <w:b/>
                <w:sz w:val="20"/>
              </w:rPr>
              <w:t xml:space="preserve">Wydział Współpracy z Mediami </w:t>
            </w:r>
          </w:p>
          <w:p w14:paraId="28F04030" w14:textId="23980D7F" w:rsidR="000470AA" w:rsidRPr="00C91687" w:rsidRDefault="009F2047" w:rsidP="00A33F84">
            <w:pPr>
              <w:ind w:left="142"/>
              <w:rPr>
                <w:sz w:val="20"/>
              </w:rPr>
            </w:pPr>
            <w:r>
              <w:rPr>
                <w:sz w:val="20"/>
              </w:rPr>
              <w:t>T</w:t>
            </w:r>
            <w:r w:rsidR="000470AA" w:rsidRPr="009F2047">
              <w:rPr>
                <w:sz w:val="20"/>
              </w:rPr>
              <w:t>el:</w:t>
            </w:r>
            <w:r w:rsidR="000470AA" w:rsidRPr="00C91687">
              <w:rPr>
                <w:b/>
                <w:sz w:val="20"/>
              </w:rPr>
              <w:t xml:space="preserve"> </w:t>
            </w:r>
            <w:r w:rsidR="00097840">
              <w:rPr>
                <w:sz w:val="20"/>
              </w:rPr>
              <w:t>22 608 34 91, 22</w:t>
            </w:r>
            <w:r w:rsidR="000470AA" w:rsidRPr="00C91687">
              <w:rPr>
                <w:sz w:val="20"/>
              </w:rPr>
              <w:t xml:space="preserve"> 608 38 04 </w:t>
            </w:r>
          </w:p>
          <w:p w14:paraId="23DB498E" w14:textId="77777777" w:rsidR="000470AA" w:rsidRPr="00685123" w:rsidRDefault="000470AA" w:rsidP="00A33F84">
            <w:pPr>
              <w:ind w:left="142"/>
              <w:rPr>
                <w:sz w:val="18"/>
                <w:lang w:val="en-US"/>
              </w:rPr>
            </w:pPr>
            <w:r w:rsidRPr="00685123">
              <w:rPr>
                <w:b/>
                <w:sz w:val="20"/>
                <w:lang w:val="en-US"/>
              </w:rPr>
              <w:t>e-mail:</w:t>
            </w:r>
            <w:r w:rsidRPr="00685123">
              <w:rPr>
                <w:sz w:val="20"/>
                <w:lang w:val="en-US"/>
              </w:rPr>
              <w:t xml:space="preserve"> </w:t>
            </w:r>
            <w:hyperlink r:id="rId27" w:history="1">
              <w:r w:rsidRPr="00267AB1">
                <w:rPr>
                  <w:rStyle w:val="Hipercze"/>
                  <w:rFonts w:cstheme="minorBidi"/>
                  <w:b/>
                  <w:color w:val="auto"/>
                  <w:sz w:val="20"/>
                  <w:lang w:val="en-US"/>
                </w:rPr>
                <w:t>obslugaprasowa@stat.gov.pl</w:t>
              </w:r>
            </w:hyperlink>
          </w:p>
        </w:tc>
        <w:tc>
          <w:tcPr>
            <w:tcW w:w="369" w:type="pct"/>
            <w:vAlign w:val="center"/>
          </w:tcPr>
          <w:p w14:paraId="2EA19771" w14:textId="77777777" w:rsidR="000470AA" w:rsidRPr="00685123" w:rsidRDefault="000470AA" w:rsidP="000470AA">
            <w:pPr>
              <w:rPr>
                <w:sz w:val="18"/>
                <w:lang w:val="en-US"/>
              </w:rPr>
            </w:pPr>
            <w:r>
              <w:rPr>
                <w:noProof/>
                <w:sz w:val="20"/>
                <w:lang w:eastAsia="pl-PL"/>
              </w:rPr>
              <w:drawing>
                <wp:anchor distT="0" distB="0" distL="114300" distR="114300" simplePos="0" relativeHeight="251732992" behindDoc="0" locked="0" layoutInCell="1" allowOverlap="1" wp14:anchorId="04199614" wp14:editId="649F28CC">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14:paraId="083B8F23" w14:textId="77777777" w:rsidR="000470AA" w:rsidRDefault="001D3D0B" w:rsidP="000470AA">
            <w:pPr>
              <w:rPr>
                <w:sz w:val="18"/>
              </w:rPr>
            </w:pPr>
            <w:hyperlink r:id="rId29" w:history="1">
              <w:r w:rsidR="00267AB1" w:rsidRPr="00783FEA">
                <w:rPr>
                  <w:sz w:val="20"/>
                  <w:szCs w:val="20"/>
                </w:rPr>
                <w:t>http://stat.gov.pl/</w:t>
              </w:r>
            </w:hyperlink>
          </w:p>
        </w:tc>
      </w:tr>
      <w:tr w:rsidR="000470AA" w14:paraId="3B3FBA00" w14:textId="77777777" w:rsidTr="000470AA">
        <w:trPr>
          <w:trHeight w:val="436"/>
        </w:trPr>
        <w:tc>
          <w:tcPr>
            <w:tcW w:w="2721" w:type="pct"/>
            <w:vMerge/>
            <w:vAlign w:val="center"/>
          </w:tcPr>
          <w:p w14:paraId="3D92FB2D" w14:textId="77777777" w:rsidR="000470AA" w:rsidRDefault="000470AA" w:rsidP="000470AA">
            <w:pPr>
              <w:rPr>
                <w:sz w:val="18"/>
              </w:rPr>
            </w:pPr>
          </w:p>
        </w:tc>
        <w:tc>
          <w:tcPr>
            <w:tcW w:w="369" w:type="pct"/>
            <w:vAlign w:val="center"/>
          </w:tcPr>
          <w:p w14:paraId="4ABAC6E3" w14:textId="77777777" w:rsidR="000470AA" w:rsidRDefault="000470AA" w:rsidP="000470AA">
            <w:pPr>
              <w:rPr>
                <w:sz w:val="18"/>
              </w:rPr>
            </w:pPr>
            <w:r>
              <w:rPr>
                <w:noProof/>
                <w:sz w:val="20"/>
                <w:lang w:eastAsia="pl-PL"/>
              </w:rPr>
              <w:drawing>
                <wp:anchor distT="0" distB="0" distL="114300" distR="114300" simplePos="0" relativeHeight="251735040" behindDoc="0" locked="0" layoutInCell="1" allowOverlap="1" wp14:anchorId="48ED0867" wp14:editId="48683FA5">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7A6CCEA0" w14:textId="77777777" w:rsidR="000470AA" w:rsidRDefault="000470AA" w:rsidP="000470AA">
            <w:pPr>
              <w:rPr>
                <w:sz w:val="18"/>
              </w:rPr>
            </w:pPr>
            <w:r w:rsidRPr="003D5F42">
              <w:rPr>
                <w:sz w:val="20"/>
              </w:rPr>
              <w:t>@GUS_STAT</w:t>
            </w:r>
          </w:p>
        </w:tc>
      </w:tr>
      <w:tr w:rsidR="000470AA" w14:paraId="0CD0CB85" w14:textId="77777777" w:rsidTr="000470AA">
        <w:trPr>
          <w:trHeight w:val="436"/>
        </w:trPr>
        <w:tc>
          <w:tcPr>
            <w:tcW w:w="2721" w:type="pct"/>
            <w:vMerge/>
            <w:vAlign w:val="center"/>
          </w:tcPr>
          <w:p w14:paraId="16CF5ECE" w14:textId="77777777" w:rsidR="000470AA" w:rsidRDefault="000470AA" w:rsidP="000470AA">
            <w:pPr>
              <w:rPr>
                <w:sz w:val="18"/>
              </w:rPr>
            </w:pPr>
          </w:p>
        </w:tc>
        <w:tc>
          <w:tcPr>
            <w:tcW w:w="369" w:type="pct"/>
            <w:vAlign w:val="center"/>
          </w:tcPr>
          <w:p w14:paraId="2C74BF48" w14:textId="77777777" w:rsidR="000470AA" w:rsidRDefault="000470AA" w:rsidP="000470AA">
            <w:pPr>
              <w:rPr>
                <w:sz w:val="18"/>
              </w:rPr>
            </w:pPr>
            <w:r>
              <w:rPr>
                <w:noProof/>
                <w:sz w:val="20"/>
                <w:lang w:eastAsia="pl-PL"/>
              </w:rPr>
              <w:drawing>
                <wp:anchor distT="0" distB="0" distL="114300" distR="114300" simplePos="0" relativeHeight="251734016" behindDoc="0" locked="0" layoutInCell="1" allowOverlap="1" wp14:anchorId="625E69D1" wp14:editId="5B0E5EB3">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14:paraId="15DAFAB6" w14:textId="77777777" w:rsidR="000470AA" w:rsidRDefault="000470AA" w:rsidP="000470AA">
            <w:pPr>
              <w:rPr>
                <w:sz w:val="20"/>
              </w:rPr>
            </w:pPr>
            <w:r w:rsidRPr="003D5F42">
              <w:rPr>
                <w:sz w:val="20"/>
              </w:rPr>
              <w:t>@</w:t>
            </w:r>
            <w:proofErr w:type="spellStart"/>
            <w:r w:rsidRPr="003D5F42">
              <w:rPr>
                <w:sz w:val="20"/>
              </w:rPr>
              <w:t>GlownyUrzadStatystyczny</w:t>
            </w:r>
            <w:proofErr w:type="spellEnd"/>
          </w:p>
        </w:tc>
      </w:tr>
    </w:tbl>
    <w:p w14:paraId="411C7805" w14:textId="77777777" w:rsidR="00233C68" w:rsidRDefault="00233C68" w:rsidP="00E76D26">
      <w:pPr>
        <w:rPr>
          <w:sz w:val="18"/>
        </w:rPr>
      </w:pPr>
    </w:p>
    <w:p w14:paraId="7C353553" w14:textId="77777777" w:rsidR="0051166C" w:rsidRPr="00001C5B" w:rsidRDefault="00B16AF1" w:rsidP="00E76D26">
      <w:pPr>
        <w:rPr>
          <w:sz w:val="18"/>
        </w:rPr>
      </w:pPr>
      <w:r>
        <w:rPr>
          <w:noProof/>
          <w:sz w:val="18"/>
          <w:lang w:eastAsia="pl-PL"/>
        </w:rPr>
        <mc:AlternateContent>
          <mc:Choice Requires="wps">
            <w:drawing>
              <wp:anchor distT="45720" distB="45720" distL="114300" distR="114300" simplePos="0" relativeHeight="251744256" behindDoc="0" locked="0" layoutInCell="1" allowOverlap="1" wp14:anchorId="5153E8D2" wp14:editId="1B179A6E">
                <wp:simplePos x="0" y="0"/>
                <wp:positionH relativeFrom="margin">
                  <wp:posOffset>17780</wp:posOffset>
                </wp:positionH>
                <wp:positionV relativeFrom="paragraph">
                  <wp:posOffset>433705</wp:posOffset>
                </wp:positionV>
                <wp:extent cx="6559550" cy="5107940"/>
                <wp:effectExtent l="0" t="0" r="12700" b="1651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5107940"/>
                        </a:xfrm>
                        <a:prstGeom prst="rect">
                          <a:avLst/>
                        </a:prstGeom>
                        <a:solidFill>
                          <a:schemeClr val="bg1">
                            <a:lumMod val="95000"/>
                          </a:schemeClr>
                        </a:solidFill>
                        <a:ln w="9525">
                          <a:solidFill>
                            <a:schemeClr val="bg1"/>
                          </a:solidFill>
                          <a:miter lim="800000"/>
                          <a:headEnd/>
                          <a:tailEnd/>
                        </a:ln>
                      </wps:spPr>
                      <wps:txbx>
                        <w:txbxContent>
                          <w:p w14:paraId="57EEE95B" w14:textId="77777777" w:rsidR="002C6CCD" w:rsidRPr="006761A7" w:rsidRDefault="002C6CCD" w:rsidP="002C6CCD">
                            <w:pPr>
                              <w:rPr>
                                <w:b/>
                              </w:rPr>
                            </w:pPr>
                            <w:r w:rsidRPr="006761A7">
                              <w:rPr>
                                <w:b/>
                              </w:rPr>
                              <w:t>Powiązane opracowania</w:t>
                            </w:r>
                          </w:p>
                          <w:p w14:paraId="037B3CCD" w14:textId="77777777" w:rsidR="00E60C77" w:rsidRPr="00E76307" w:rsidRDefault="001D3D0B" w:rsidP="002C6CCD">
                            <w:pPr>
                              <w:spacing w:before="60" w:after="60"/>
                              <w:rPr>
                                <w:rFonts w:eastAsia="Fira Sans Light"/>
                                <w:color w:val="001D77"/>
                                <w:szCs w:val="19"/>
                                <w:u w:val="single"/>
                              </w:rPr>
                            </w:pPr>
                            <w:hyperlink r:id="rId32" w:history="1">
                              <w:r w:rsidR="00E60C77" w:rsidRPr="00E76307">
                                <w:rPr>
                                  <w:rStyle w:val="Hipercze"/>
                                  <w:rFonts w:eastAsia="Fira Sans Light" w:cstheme="minorBidi"/>
                                  <w:color w:val="001D77"/>
                                  <w:szCs w:val="19"/>
                                </w:rPr>
                                <w:t>Informacja sygnalna „Zasięg ubóstwa ekonomicznego w Polsce w 2019 r. (na podstawie wyników badania budżetów gospodarstw domowych)"</w:t>
                              </w:r>
                            </w:hyperlink>
                          </w:p>
                          <w:p w14:paraId="29D837CD" w14:textId="77777777" w:rsidR="00175554" w:rsidRPr="00E76307" w:rsidRDefault="001D3D0B" w:rsidP="002C6CCD">
                            <w:pPr>
                              <w:spacing w:before="60" w:after="60"/>
                              <w:rPr>
                                <w:rFonts w:eastAsia="Fira Sans Light"/>
                                <w:color w:val="001D77"/>
                                <w:szCs w:val="19"/>
                                <w:u w:val="single"/>
                              </w:rPr>
                            </w:pPr>
                            <w:hyperlink r:id="rId33" w:history="1">
                              <w:r w:rsidR="00175554" w:rsidRPr="00E76307">
                                <w:rPr>
                                  <w:rStyle w:val="Hipercze"/>
                                  <w:rFonts w:eastAsia="Fira Sans Light" w:cstheme="minorBidi"/>
                                  <w:color w:val="001D77"/>
                                  <w:szCs w:val="19"/>
                                </w:rPr>
                                <w:t>Informacja sygnalna „Różne oblicza ubóstwa w Polsce w 20</w:t>
                              </w:r>
                              <w:r w:rsidR="0060083D">
                                <w:rPr>
                                  <w:rStyle w:val="Hipercze"/>
                                  <w:rFonts w:eastAsia="Fira Sans Light" w:cstheme="minorBidi"/>
                                  <w:color w:val="001D77"/>
                                  <w:szCs w:val="19"/>
                                </w:rPr>
                                <w:t>1</w:t>
                              </w:r>
                              <w:r w:rsidR="00175554" w:rsidRPr="00E76307">
                                <w:rPr>
                                  <w:rStyle w:val="Hipercze"/>
                                  <w:rFonts w:eastAsia="Fira Sans Light" w:cstheme="minorBidi"/>
                                  <w:color w:val="001D77"/>
                                  <w:szCs w:val="19"/>
                                </w:rPr>
                                <w:t>5 r. i 2018 r. na podstaw</w:t>
                              </w:r>
                              <w:r w:rsidR="0060083D">
                                <w:rPr>
                                  <w:rStyle w:val="Hipercze"/>
                                  <w:rFonts w:eastAsia="Fira Sans Light" w:cstheme="minorBidi"/>
                                  <w:color w:val="001D77"/>
                                  <w:szCs w:val="19"/>
                                </w:rPr>
                                <w:t>ie Badania spójności społecznej</w:t>
                              </w:r>
                              <w:r w:rsidR="00175554" w:rsidRPr="00E76307">
                                <w:rPr>
                                  <w:rStyle w:val="Hipercze"/>
                                  <w:rFonts w:eastAsia="Fira Sans Light" w:cstheme="minorBidi"/>
                                  <w:color w:val="001D77"/>
                                  <w:szCs w:val="19"/>
                                </w:rPr>
                                <w:t>"</w:t>
                              </w:r>
                            </w:hyperlink>
                            <w:r w:rsidR="00331A58">
                              <w:rPr>
                                <w:rStyle w:val="Hipercze"/>
                                <w:rFonts w:eastAsia="Fira Sans Light" w:cstheme="minorBidi"/>
                                <w:color w:val="001D77"/>
                                <w:szCs w:val="19"/>
                              </w:rPr>
                              <w:t xml:space="preserve"> </w:t>
                            </w:r>
                          </w:p>
                          <w:p w14:paraId="66E17735" w14:textId="77777777" w:rsidR="00175554" w:rsidRPr="00E76307" w:rsidRDefault="00175554" w:rsidP="002C6CCD">
                            <w:pPr>
                              <w:spacing w:before="60" w:after="60"/>
                              <w:rPr>
                                <w:rFonts w:eastAsia="Fira Sans Light"/>
                                <w:color w:val="001D77"/>
                                <w:szCs w:val="19"/>
                                <w:u w:val="single"/>
                              </w:rPr>
                            </w:pPr>
                            <w:r w:rsidRPr="0029720E">
                              <w:rPr>
                                <w:rStyle w:val="Hipercze"/>
                                <w:rFonts w:eastAsia="Fira Sans Light" w:cstheme="minorBidi"/>
                                <w:color w:val="001D77"/>
                                <w:szCs w:val="19"/>
                              </w:rPr>
                              <w:t>Postrzeganie ubóstwa i nierówności dochodowych w Polsce. Wyniki Bad</w:t>
                            </w:r>
                            <w:r w:rsidR="0029720E">
                              <w:rPr>
                                <w:rStyle w:val="Hipercze"/>
                                <w:rFonts w:eastAsia="Fira Sans Light" w:cstheme="minorBidi"/>
                                <w:color w:val="001D77"/>
                                <w:szCs w:val="19"/>
                              </w:rPr>
                              <w:t>ania spójności społecznej 2018"</w:t>
                            </w:r>
                          </w:p>
                          <w:p w14:paraId="72A70DE2" w14:textId="77777777" w:rsidR="00175554" w:rsidRPr="00E76307" w:rsidRDefault="001D3D0B" w:rsidP="002C6CCD">
                            <w:pPr>
                              <w:spacing w:before="60" w:after="60"/>
                              <w:rPr>
                                <w:rFonts w:eastAsia="Fira Sans Light"/>
                                <w:color w:val="001D77"/>
                                <w:szCs w:val="19"/>
                                <w:u w:val="single"/>
                              </w:rPr>
                            </w:pPr>
                            <w:hyperlink r:id="rId34" w:history="1">
                              <w:r w:rsidR="00175554" w:rsidRPr="00E76307">
                                <w:rPr>
                                  <w:rStyle w:val="Hipercze"/>
                                  <w:rFonts w:eastAsia="Fira Sans Light" w:cstheme="minorBidi"/>
                                  <w:color w:val="001D77"/>
                                  <w:szCs w:val="19"/>
                                </w:rPr>
                                <w:t>Informacja sygnalna "Sytuacja gospodarstw domowych w 2020 r. w świetle wyników badania budżetów gospodarstw domowych"</w:t>
                              </w:r>
                            </w:hyperlink>
                          </w:p>
                          <w:p w14:paraId="0DCC8AF2" w14:textId="77777777" w:rsidR="00F418EF" w:rsidRPr="00E76307" w:rsidRDefault="001D3D0B" w:rsidP="002C6CCD">
                            <w:pPr>
                              <w:spacing w:before="60" w:after="60"/>
                              <w:rPr>
                                <w:color w:val="001D77"/>
                              </w:rPr>
                            </w:pPr>
                            <w:hyperlink r:id="rId35" w:history="1">
                              <w:r w:rsidR="00F418EF" w:rsidRPr="00E76307">
                                <w:rPr>
                                  <w:rStyle w:val="Hipercze"/>
                                  <w:rFonts w:cstheme="minorBidi"/>
                                  <w:color w:val="001D77"/>
                                </w:rPr>
                                <w:t>Publikacja „Dochody i warunki życia ludności Polski - raport z badania EU-SILC 2019"</w:t>
                              </w:r>
                            </w:hyperlink>
                          </w:p>
                          <w:p w14:paraId="7AFB127E" w14:textId="77777777" w:rsidR="002C6CCD" w:rsidRPr="00E76307" w:rsidRDefault="001D3D0B" w:rsidP="002C6CCD">
                            <w:pPr>
                              <w:spacing w:before="60" w:after="60"/>
                              <w:rPr>
                                <w:rFonts w:eastAsia="Fira Sans Light"/>
                                <w:color w:val="001D77"/>
                                <w:szCs w:val="19"/>
                              </w:rPr>
                            </w:pPr>
                            <w:hyperlink r:id="rId36" w:history="1">
                              <w:r w:rsidR="002C6CCD" w:rsidRPr="00E76307">
                                <w:rPr>
                                  <w:rFonts w:eastAsia="Fira Sans Light"/>
                                  <w:color w:val="001D77"/>
                                  <w:szCs w:val="19"/>
                                  <w:u w:val="single"/>
                                </w:rPr>
                                <w:t>Publikacja „Ubóstwo w Polsce w latach 2015 i 2016”</w:t>
                              </w:r>
                            </w:hyperlink>
                          </w:p>
                          <w:p w14:paraId="0D016EE7" w14:textId="77777777" w:rsidR="002C6CCD" w:rsidRPr="00E76307" w:rsidRDefault="002C6CCD" w:rsidP="002C6CCD">
                            <w:pPr>
                              <w:spacing w:before="60" w:after="60"/>
                              <w:rPr>
                                <w:color w:val="001D77"/>
                                <w:szCs w:val="19"/>
                              </w:rPr>
                            </w:pPr>
                            <w:r w:rsidRPr="00E76307">
                              <w:rPr>
                                <w:rFonts w:eastAsia="Fira Sans Light"/>
                                <w:color w:val="001D77"/>
                                <w:szCs w:val="19"/>
                                <w:u w:val="single"/>
                              </w:rPr>
                              <w:t xml:space="preserve">Informacja o </w:t>
                            </w:r>
                            <w:r w:rsidR="00175554" w:rsidRPr="00E76307">
                              <w:rPr>
                                <w:rFonts w:eastAsia="Fira Sans Light"/>
                                <w:color w:val="001D77"/>
                                <w:szCs w:val="19"/>
                                <w:u w:val="single"/>
                              </w:rPr>
                              <w:t>wartości</w:t>
                            </w:r>
                            <w:r w:rsidRPr="00E76307">
                              <w:rPr>
                                <w:rFonts w:eastAsia="Fira Sans Light"/>
                                <w:color w:val="001D77"/>
                                <w:szCs w:val="19"/>
                                <w:u w:val="single"/>
                              </w:rPr>
                              <w:t xml:space="preserve"> i strukturze minimum egzystencji w 20</w:t>
                            </w:r>
                            <w:r w:rsidR="00175554" w:rsidRPr="00E76307">
                              <w:rPr>
                                <w:rFonts w:eastAsia="Fira Sans Light"/>
                                <w:color w:val="001D77"/>
                                <w:szCs w:val="19"/>
                                <w:u w:val="single"/>
                              </w:rPr>
                              <w:t>20</w:t>
                            </w:r>
                            <w:r w:rsidRPr="00E76307">
                              <w:rPr>
                                <w:rFonts w:eastAsia="Fira Sans Light"/>
                                <w:color w:val="001D77"/>
                                <w:szCs w:val="19"/>
                                <w:u w:val="single"/>
                              </w:rPr>
                              <w:t xml:space="preserve"> r</w:t>
                            </w:r>
                            <w:r w:rsidR="00175554" w:rsidRPr="00E76307">
                              <w:rPr>
                                <w:rFonts w:eastAsia="Fira Sans Light"/>
                                <w:color w:val="001D77"/>
                                <w:szCs w:val="19"/>
                                <w:u w:val="single"/>
                              </w:rPr>
                              <w:t xml:space="preserve"> </w:t>
                            </w:r>
                            <w:r w:rsidRPr="00E76307">
                              <w:rPr>
                                <w:rFonts w:eastAsia="Fira Sans Light"/>
                                <w:color w:val="001D77"/>
                                <w:szCs w:val="19"/>
                                <w:u w:val="single"/>
                              </w:rPr>
                              <w:t>., Instytut Pracy i Spraw Socjalnych,</w:t>
                            </w:r>
                            <w:r w:rsidRPr="00E76307">
                              <w:rPr>
                                <w:rFonts w:eastAsia="Fira Sans Light"/>
                                <w:color w:val="001D77"/>
                                <w:szCs w:val="19"/>
                              </w:rPr>
                              <w:t xml:space="preserve"> </w:t>
                            </w:r>
                            <w:hyperlink r:id="rId37" w:history="1">
                              <w:r w:rsidRPr="00E76307">
                                <w:rPr>
                                  <w:rFonts w:eastAsia="Fira Sans Light"/>
                                  <w:color w:val="001D77"/>
                                  <w:szCs w:val="19"/>
                                  <w:u w:val="single"/>
                                </w:rPr>
                                <w:t>https://www.ipiss.com.pl/?zaklady=minimum-egzystencji-2</w:t>
                              </w:r>
                            </w:hyperlink>
                          </w:p>
                          <w:p w14:paraId="0B08429A" w14:textId="77777777" w:rsidR="002C6CCD" w:rsidRDefault="002C6CCD" w:rsidP="002C6CCD"/>
                          <w:p w14:paraId="56EFC7A4" w14:textId="77777777" w:rsidR="002C6CCD" w:rsidRPr="00E233EA" w:rsidRDefault="002C6CCD" w:rsidP="002C6CCD">
                            <w:pPr>
                              <w:rPr>
                                <w:b/>
                                <w:color w:val="000000" w:themeColor="text1"/>
                                <w:szCs w:val="24"/>
                              </w:rPr>
                            </w:pPr>
                            <w:r w:rsidRPr="00E233EA">
                              <w:rPr>
                                <w:b/>
                                <w:color w:val="000000" w:themeColor="text1"/>
                                <w:szCs w:val="24"/>
                              </w:rPr>
                              <w:t>Temat dostępny w bazach danych</w:t>
                            </w:r>
                          </w:p>
                          <w:p w14:paraId="47CAB32C" w14:textId="77777777" w:rsidR="002C6CCD" w:rsidRPr="00C50F7C" w:rsidRDefault="001D3D0B" w:rsidP="002C6CCD">
                            <w:pPr>
                              <w:rPr>
                                <w:rStyle w:val="Hipercze"/>
                                <w:color w:val="001D77"/>
                                <w:szCs w:val="19"/>
                              </w:rPr>
                            </w:pPr>
                            <w:hyperlink r:id="rId38" w:history="1">
                              <w:r w:rsidR="002C6CCD" w:rsidRPr="00C50F7C">
                                <w:rPr>
                                  <w:rStyle w:val="Hipercze"/>
                                  <w:color w:val="001D77"/>
                                  <w:szCs w:val="19"/>
                                </w:rPr>
                                <w:t>Bank Danych Lokalnych</w:t>
                              </w:r>
                            </w:hyperlink>
                          </w:p>
                          <w:p w14:paraId="46487B98" w14:textId="77777777" w:rsidR="002C6CCD" w:rsidRPr="00C50F7C" w:rsidRDefault="001D3D0B" w:rsidP="002C6CCD">
                            <w:pPr>
                              <w:rPr>
                                <w:rStyle w:val="Hipercze"/>
                                <w:color w:val="001D77"/>
                                <w:szCs w:val="19"/>
                              </w:rPr>
                            </w:pPr>
                            <w:hyperlink r:id="rId39" w:history="1">
                              <w:r w:rsidR="002C6CCD" w:rsidRPr="00C50F7C">
                                <w:rPr>
                                  <w:rStyle w:val="Hipercze"/>
                                  <w:color w:val="001D77"/>
                                  <w:szCs w:val="19"/>
                                </w:rPr>
                                <w:t>Dziedzinowe Bazy Wiedzy/Ubóstwo według grup społeczno-ekonomicznych</w:t>
                              </w:r>
                            </w:hyperlink>
                          </w:p>
                          <w:p w14:paraId="65BA638A" w14:textId="77777777" w:rsidR="00CF38F9" w:rsidRPr="00CF38F9" w:rsidRDefault="001D3D0B" w:rsidP="002C6CCD">
                            <w:pPr>
                              <w:rPr>
                                <w:rStyle w:val="Hipercze"/>
                                <w:rFonts w:cstheme="minorBidi"/>
                                <w:color w:val="001D77"/>
                                <w:szCs w:val="19"/>
                              </w:rPr>
                            </w:pPr>
                            <w:hyperlink r:id="rId40" w:history="1">
                              <w:r w:rsidR="002C6CCD" w:rsidRPr="00C50F7C">
                                <w:rPr>
                                  <w:rStyle w:val="Hipercze"/>
                                  <w:color w:val="001D77"/>
                                  <w:szCs w:val="19"/>
                                </w:rPr>
                                <w:t>Dziedzinowe Bazy Wiedzy/Ubóstwo według podziału kraju na miasto i wieś</w:t>
                              </w:r>
                            </w:hyperlink>
                          </w:p>
                          <w:p w14:paraId="3A897F7F" w14:textId="77777777" w:rsidR="002C6CCD" w:rsidRPr="006761A7" w:rsidRDefault="002C6CCD" w:rsidP="002C6CCD">
                            <w:pPr>
                              <w:rPr>
                                <w:b/>
                                <w:color w:val="000000" w:themeColor="text1"/>
                                <w:szCs w:val="24"/>
                              </w:rPr>
                            </w:pPr>
                          </w:p>
                          <w:p w14:paraId="47ED0739" w14:textId="77777777" w:rsidR="002C6CCD" w:rsidRDefault="002C6CCD" w:rsidP="002C6CCD">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6B3AF89C" w14:textId="77777777" w:rsidR="002C6CCD" w:rsidRPr="002C6CCD" w:rsidRDefault="001D3D0B" w:rsidP="002C6CCD">
                            <w:pPr>
                              <w:rPr>
                                <w:rStyle w:val="Hipercze"/>
                                <w:color w:val="001D77"/>
                                <w:szCs w:val="19"/>
                              </w:rPr>
                            </w:pPr>
                            <w:hyperlink r:id="rId41" w:history="1">
                              <w:r w:rsidR="002C6CCD" w:rsidRPr="002C6CCD">
                                <w:rPr>
                                  <w:rStyle w:val="Hipercze"/>
                                  <w:color w:val="001D77"/>
                                  <w:szCs w:val="19"/>
                                </w:rPr>
                                <w:t>Wskaźnik zagrożenia ubóstwem skrajnym</w:t>
                              </w:r>
                            </w:hyperlink>
                          </w:p>
                          <w:p w14:paraId="50606FE2" w14:textId="77777777" w:rsidR="002C6CCD" w:rsidRPr="002C6CCD" w:rsidRDefault="001D3D0B" w:rsidP="002C6CCD">
                            <w:pPr>
                              <w:rPr>
                                <w:rStyle w:val="Hipercze"/>
                                <w:color w:val="001D77"/>
                                <w:szCs w:val="19"/>
                              </w:rPr>
                            </w:pPr>
                            <w:hyperlink r:id="rId42" w:history="1">
                              <w:r w:rsidR="002C6CCD" w:rsidRPr="002C6CCD">
                                <w:rPr>
                                  <w:rStyle w:val="Hipercze"/>
                                  <w:color w:val="001D77"/>
                                  <w:szCs w:val="19"/>
                                </w:rPr>
                                <w:t>Wskaźnik zagrożenia ubóstwem relatywnym</w:t>
                              </w:r>
                            </w:hyperlink>
                          </w:p>
                          <w:p w14:paraId="1EB10AA5" w14:textId="77777777" w:rsidR="004F7C9F" w:rsidRPr="002C6CCD" w:rsidRDefault="001D3D0B" w:rsidP="00883763">
                            <w:pPr>
                              <w:rPr>
                                <w:rStyle w:val="Hipercze"/>
                                <w:rFonts w:cstheme="minorBidi"/>
                                <w:color w:val="001D77"/>
                                <w:sz w:val="18"/>
                              </w:rPr>
                            </w:pPr>
                            <w:hyperlink r:id="rId43" w:history="1">
                              <w:r w:rsidR="002C6CCD" w:rsidRPr="002C6CCD">
                                <w:rPr>
                                  <w:rStyle w:val="Hipercze"/>
                                  <w:color w:val="001D77"/>
                                  <w:szCs w:val="19"/>
                                </w:rPr>
                                <w:t>Wskaźnik zagrożenia ubóstwem ustawowym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53E8D2" id="_x0000_s1038" type="#_x0000_t202" style="position:absolute;margin-left:1.4pt;margin-top:34.15pt;width:516.5pt;height:402.2pt;z-index:2517442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" fillcolor="#f2f2f2 [3052]" strokecolor="white [3212]">
                <v:textbox>
                  <w:txbxContent>
                    <w:p w14:paraId="57EEE95B" w14:textId="77777777" w:rsidR="002C6CCD" w:rsidRPr="006761A7" w:rsidRDefault="002C6CCD" w:rsidP="002C6CCD">
                      <w:pPr>
                        <w:rPr>
                          <w:b/>
                        </w:rPr>
                      </w:pPr>
                      <w:r w:rsidRPr="006761A7">
                        <w:rPr>
                          <w:b/>
                        </w:rPr>
                        <w:t>Powiązane opracowania</w:t>
                      </w:r>
                    </w:p>
                    <w:p w14:paraId="037B3CCD" w14:textId="77777777" w:rsidR="00E60C77" w:rsidRPr="00E76307" w:rsidRDefault="002E5A65" w:rsidP="002C6CCD">
                      <w:pPr>
                        <w:spacing w:before="60" w:after="60"/>
                        <w:rPr>
                          <w:rFonts w:eastAsia="Fira Sans Light"/>
                          <w:color w:val="001D77"/>
                          <w:szCs w:val="19"/>
                          <w:u w:val="single"/>
                        </w:rPr>
                      </w:pPr>
                      <w:hyperlink r:id="rId44" w:history="1">
                        <w:r w:rsidR="00E60C77" w:rsidRPr="00E76307">
                          <w:rPr>
                            <w:rStyle w:val="Hipercze"/>
                            <w:rFonts w:eastAsia="Fira Sans Light" w:cstheme="minorBidi"/>
                            <w:color w:val="001D77"/>
                            <w:szCs w:val="19"/>
                          </w:rPr>
                          <w:t>Informacja sygnalna „Zasięg ubóstwa ekonomicznego w Polsce w 2019 r. (na podstawie wyników badania budżetów gospodarstw domowych)"</w:t>
                        </w:r>
                      </w:hyperlink>
                    </w:p>
                    <w:p w14:paraId="29D837CD" w14:textId="77777777" w:rsidR="00175554" w:rsidRPr="00E76307" w:rsidRDefault="002E5A65" w:rsidP="002C6CCD">
                      <w:pPr>
                        <w:spacing w:before="60" w:after="60"/>
                        <w:rPr>
                          <w:rFonts w:eastAsia="Fira Sans Light"/>
                          <w:color w:val="001D77"/>
                          <w:szCs w:val="19"/>
                          <w:u w:val="single"/>
                        </w:rPr>
                      </w:pPr>
                      <w:hyperlink r:id="rId45" w:history="1">
                        <w:r w:rsidR="00175554" w:rsidRPr="00E76307">
                          <w:rPr>
                            <w:rStyle w:val="Hipercze"/>
                            <w:rFonts w:eastAsia="Fira Sans Light" w:cstheme="minorBidi"/>
                            <w:color w:val="001D77"/>
                            <w:szCs w:val="19"/>
                          </w:rPr>
                          <w:t>Informacja sygnalna „Różne oblicza ubóstwa w Polsce w 20</w:t>
                        </w:r>
                        <w:r w:rsidR="0060083D">
                          <w:rPr>
                            <w:rStyle w:val="Hipercze"/>
                            <w:rFonts w:eastAsia="Fira Sans Light" w:cstheme="minorBidi"/>
                            <w:color w:val="001D77"/>
                            <w:szCs w:val="19"/>
                          </w:rPr>
                          <w:t>1</w:t>
                        </w:r>
                        <w:r w:rsidR="00175554" w:rsidRPr="00E76307">
                          <w:rPr>
                            <w:rStyle w:val="Hipercze"/>
                            <w:rFonts w:eastAsia="Fira Sans Light" w:cstheme="minorBidi"/>
                            <w:color w:val="001D77"/>
                            <w:szCs w:val="19"/>
                          </w:rPr>
                          <w:t>5 r. i 2018 r. na podstaw</w:t>
                        </w:r>
                        <w:r w:rsidR="0060083D">
                          <w:rPr>
                            <w:rStyle w:val="Hipercze"/>
                            <w:rFonts w:eastAsia="Fira Sans Light" w:cstheme="minorBidi"/>
                            <w:color w:val="001D77"/>
                            <w:szCs w:val="19"/>
                          </w:rPr>
                          <w:t>ie Badania spójności społecznej</w:t>
                        </w:r>
                        <w:r w:rsidR="00175554" w:rsidRPr="00E76307">
                          <w:rPr>
                            <w:rStyle w:val="Hipercze"/>
                            <w:rFonts w:eastAsia="Fira Sans Light" w:cstheme="minorBidi"/>
                            <w:color w:val="001D77"/>
                            <w:szCs w:val="19"/>
                          </w:rPr>
                          <w:t>"</w:t>
                        </w:r>
                      </w:hyperlink>
                      <w:r w:rsidR="00331A58">
                        <w:rPr>
                          <w:rStyle w:val="Hipercze"/>
                          <w:rFonts w:eastAsia="Fira Sans Light" w:cstheme="minorBidi"/>
                          <w:color w:val="001D77"/>
                          <w:szCs w:val="19"/>
                        </w:rPr>
                        <w:t xml:space="preserve"> </w:t>
                      </w:r>
                    </w:p>
                    <w:p w14:paraId="66E17735" w14:textId="77777777" w:rsidR="00175554" w:rsidRPr="00E76307" w:rsidRDefault="00175554" w:rsidP="002C6CCD">
                      <w:pPr>
                        <w:spacing w:before="60" w:after="60"/>
                        <w:rPr>
                          <w:rFonts w:eastAsia="Fira Sans Light"/>
                          <w:color w:val="001D77"/>
                          <w:szCs w:val="19"/>
                          <w:u w:val="single"/>
                        </w:rPr>
                      </w:pPr>
                      <w:r w:rsidRPr="0029720E">
                        <w:rPr>
                          <w:rStyle w:val="Hipercze"/>
                          <w:rFonts w:eastAsia="Fira Sans Light" w:cstheme="minorBidi"/>
                          <w:color w:val="001D77"/>
                          <w:szCs w:val="19"/>
                        </w:rPr>
                        <w:t>Postrzeganie ubóstwa i nierówności dochodowych w Polsce. Wyniki Bad</w:t>
                      </w:r>
                      <w:r w:rsidR="0029720E">
                        <w:rPr>
                          <w:rStyle w:val="Hipercze"/>
                          <w:rFonts w:eastAsia="Fira Sans Light" w:cstheme="minorBidi"/>
                          <w:color w:val="001D77"/>
                          <w:szCs w:val="19"/>
                        </w:rPr>
                        <w:t>ania spójności społecznej 2018"</w:t>
                      </w:r>
                    </w:p>
                    <w:p w14:paraId="72A70DE2" w14:textId="77777777" w:rsidR="00175554" w:rsidRPr="00E76307" w:rsidRDefault="002E5A65" w:rsidP="002C6CCD">
                      <w:pPr>
                        <w:spacing w:before="60" w:after="60"/>
                        <w:rPr>
                          <w:rFonts w:eastAsia="Fira Sans Light"/>
                          <w:color w:val="001D77"/>
                          <w:szCs w:val="19"/>
                          <w:u w:val="single"/>
                        </w:rPr>
                      </w:pPr>
                      <w:hyperlink r:id="rId46" w:history="1">
                        <w:r w:rsidR="00175554" w:rsidRPr="00E76307">
                          <w:rPr>
                            <w:rStyle w:val="Hipercze"/>
                            <w:rFonts w:eastAsia="Fira Sans Light" w:cstheme="minorBidi"/>
                            <w:color w:val="001D77"/>
                            <w:szCs w:val="19"/>
                          </w:rPr>
                          <w:t>Informacja sygnalna "Sytuacja gospodarstw domowych w 2020 r. w świetle wyników badania budżetów gospodarstw domowych"</w:t>
                        </w:r>
                      </w:hyperlink>
                    </w:p>
                    <w:p w14:paraId="0DCC8AF2" w14:textId="77777777" w:rsidR="00F418EF" w:rsidRPr="00E76307" w:rsidRDefault="002E5A65" w:rsidP="002C6CCD">
                      <w:pPr>
                        <w:spacing w:before="60" w:after="60"/>
                        <w:rPr>
                          <w:color w:val="001D77"/>
                        </w:rPr>
                      </w:pPr>
                      <w:hyperlink r:id="rId47" w:history="1">
                        <w:r w:rsidR="00F418EF" w:rsidRPr="00E76307">
                          <w:rPr>
                            <w:rStyle w:val="Hipercze"/>
                            <w:rFonts w:cstheme="minorBidi"/>
                            <w:color w:val="001D77"/>
                          </w:rPr>
                          <w:t>Publikacja „Dochody i warunki życia ludności Polski - raport z badania EU-SILC 2019"</w:t>
                        </w:r>
                      </w:hyperlink>
                    </w:p>
                    <w:p w14:paraId="7AFB127E" w14:textId="77777777" w:rsidR="002C6CCD" w:rsidRPr="00E76307" w:rsidRDefault="002E5A65" w:rsidP="002C6CCD">
                      <w:pPr>
                        <w:spacing w:before="60" w:after="60"/>
                        <w:rPr>
                          <w:rFonts w:eastAsia="Fira Sans Light"/>
                          <w:color w:val="001D77"/>
                          <w:szCs w:val="19"/>
                        </w:rPr>
                      </w:pPr>
                      <w:hyperlink r:id="rId48" w:history="1">
                        <w:r w:rsidR="002C6CCD" w:rsidRPr="00E76307">
                          <w:rPr>
                            <w:rFonts w:eastAsia="Fira Sans Light"/>
                            <w:color w:val="001D77"/>
                            <w:szCs w:val="19"/>
                            <w:u w:val="single"/>
                          </w:rPr>
                          <w:t>Publikacja „Ubóstwo w Polsce w latach 2015 i 2016”</w:t>
                        </w:r>
                      </w:hyperlink>
                    </w:p>
                    <w:p w14:paraId="0D016EE7" w14:textId="77777777" w:rsidR="002C6CCD" w:rsidRPr="00E76307" w:rsidRDefault="002C6CCD" w:rsidP="002C6CCD">
                      <w:pPr>
                        <w:spacing w:before="60" w:after="60"/>
                        <w:rPr>
                          <w:color w:val="001D77"/>
                          <w:szCs w:val="19"/>
                        </w:rPr>
                      </w:pPr>
                      <w:r w:rsidRPr="00E76307">
                        <w:rPr>
                          <w:rFonts w:eastAsia="Fira Sans Light"/>
                          <w:color w:val="001D77"/>
                          <w:szCs w:val="19"/>
                          <w:u w:val="single"/>
                        </w:rPr>
                        <w:t xml:space="preserve">Informacja o </w:t>
                      </w:r>
                      <w:r w:rsidR="00175554" w:rsidRPr="00E76307">
                        <w:rPr>
                          <w:rFonts w:eastAsia="Fira Sans Light"/>
                          <w:color w:val="001D77"/>
                          <w:szCs w:val="19"/>
                          <w:u w:val="single"/>
                        </w:rPr>
                        <w:t>wartości</w:t>
                      </w:r>
                      <w:r w:rsidRPr="00E76307">
                        <w:rPr>
                          <w:rFonts w:eastAsia="Fira Sans Light"/>
                          <w:color w:val="001D77"/>
                          <w:szCs w:val="19"/>
                          <w:u w:val="single"/>
                        </w:rPr>
                        <w:t xml:space="preserve"> i strukturze minimum egzystencji w 20</w:t>
                      </w:r>
                      <w:r w:rsidR="00175554" w:rsidRPr="00E76307">
                        <w:rPr>
                          <w:rFonts w:eastAsia="Fira Sans Light"/>
                          <w:color w:val="001D77"/>
                          <w:szCs w:val="19"/>
                          <w:u w:val="single"/>
                        </w:rPr>
                        <w:t>20</w:t>
                      </w:r>
                      <w:r w:rsidRPr="00E76307">
                        <w:rPr>
                          <w:rFonts w:eastAsia="Fira Sans Light"/>
                          <w:color w:val="001D77"/>
                          <w:szCs w:val="19"/>
                          <w:u w:val="single"/>
                        </w:rPr>
                        <w:t xml:space="preserve"> r</w:t>
                      </w:r>
                      <w:r w:rsidR="00175554" w:rsidRPr="00E76307">
                        <w:rPr>
                          <w:rFonts w:eastAsia="Fira Sans Light"/>
                          <w:color w:val="001D77"/>
                          <w:szCs w:val="19"/>
                          <w:u w:val="single"/>
                        </w:rPr>
                        <w:t xml:space="preserve"> </w:t>
                      </w:r>
                      <w:r w:rsidRPr="00E76307">
                        <w:rPr>
                          <w:rFonts w:eastAsia="Fira Sans Light"/>
                          <w:color w:val="001D77"/>
                          <w:szCs w:val="19"/>
                          <w:u w:val="single"/>
                        </w:rPr>
                        <w:t>., Instytut Pracy i Spraw Socjalnych,</w:t>
                      </w:r>
                      <w:r w:rsidRPr="00E76307">
                        <w:rPr>
                          <w:rFonts w:eastAsia="Fira Sans Light"/>
                          <w:color w:val="001D77"/>
                          <w:szCs w:val="19"/>
                        </w:rPr>
                        <w:t xml:space="preserve"> </w:t>
                      </w:r>
                      <w:hyperlink r:id="rId49" w:history="1">
                        <w:r w:rsidRPr="00E76307">
                          <w:rPr>
                            <w:rFonts w:eastAsia="Fira Sans Light"/>
                            <w:color w:val="001D77"/>
                            <w:szCs w:val="19"/>
                            <w:u w:val="single"/>
                          </w:rPr>
                          <w:t>https://www.ipiss.com.pl/?zaklady=minimum-egzystencji-2</w:t>
                        </w:r>
                      </w:hyperlink>
                    </w:p>
                    <w:p w14:paraId="0B08429A" w14:textId="77777777" w:rsidR="002C6CCD" w:rsidRDefault="002C6CCD" w:rsidP="002C6CCD"/>
                    <w:p w14:paraId="56EFC7A4" w14:textId="77777777" w:rsidR="002C6CCD" w:rsidRPr="00E233EA" w:rsidRDefault="002C6CCD" w:rsidP="002C6CCD">
                      <w:pPr>
                        <w:rPr>
                          <w:b/>
                          <w:color w:val="000000" w:themeColor="text1"/>
                          <w:szCs w:val="24"/>
                        </w:rPr>
                      </w:pPr>
                      <w:r w:rsidRPr="00E233EA">
                        <w:rPr>
                          <w:b/>
                          <w:color w:val="000000" w:themeColor="text1"/>
                          <w:szCs w:val="24"/>
                        </w:rPr>
                        <w:t>Temat dostępny w bazach danych</w:t>
                      </w:r>
                    </w:p>
                    <w:p w14:paraId="47CAB32C" w14:textId="77777777" w:rsidR="002C6CCD" w:rsidRPr="00C50F7C" w:rsidRDefault="002E5A65" w:rsidP="002C6CCD">
                      <w:pPr>
                        <w:rPr>
                          <w:rStyle w:val="Hipercze"/>
                          <w:color w:val="001D77"/>
                          <w:szCs w:val="19"/>
                        </w:rPr>
                      </w:pPr>
                      <w:hyperlink r:id="rId50" w:history="1">
                        <w:r w:rsidR="002C6CCD" w:rsidRPr="00C50F7C">
                          <w:rPr>
                            <w:rStyle w:val="Hipercze"/>
                            <w:color w:val="001D77"/>
                            <w:szCs w:val="19"/>
                          </w:rPr>
                          <w:t>Bank Danych Lokalnych</w:t>
                        </w:r>
                      </w:hyperlink>
                    </w:p>
                    <w:p w14:paraId="46487B98" w14:textId="77777777" w:rsidR="002C6CCD" w:rsidRPr="00C50F7C" w:rsidRDefault="002E5A65" w:rsidP="002C6CCD">
                      <w:pPr>
                        <w:rPr>
                          <w:rStyle w:val="Hipercze"/>
                          <w:color w:val="001D77"/>
                          <w:szCs w:val="19"/>
                        </w:rPr>
                      </w:pPr>
                      <w:hyperlink r:id="rId51" w:history="1">
                        <w:r w:rsidR="002C6CCD" w:rsidRPr="00C50F7C">
                          <w:rPr>
                            <w:rStyle w:val="Hipercze"/>
                            <w:color w:val="001D77"/>
                            <w:szCs w:val="19"/>
                          </w:rPr>
                          <w:t>Dziedzinowe Bazy Wiedzy/Ubóstwo według grup społeczno-ekonomicznych</w:t>
                        </w:r>
                      </w:hyperlink>
                    </w:p>
                    <w:p w14:paraId="65BA638A" w14:textId="77777777" w:rsidR="00CF38F9" w:rsidRPr="00CF38F9" w:rsidRDefault="002E5A65" w:rsidP="002C6CCD">
                      <w:pPr>
                        <w:rPr>
                          <w:rStyle w:val="Hipercze"/>
                          <w:rFonts w:cstheme="minorBidi"/>
                          <w:color w:val="001D77"/>
                          <w:szCs w:val="19"/>
                        </w:rPr>
                      </w:pPr>
                      <w:hyperlink r:id="rId52" w:history="1">
                        <w:r w:rsidR="002C6CCD" w:rsidRPr="00C50F7C">
                          <w:rPr>
                            <w:rStyle w:val="Hipercze"/>
                            <w:color w:val="001D77"/>
                            <w:szCs w:val="19"/>
                          </w:rPr>
                          <w:t>Dziedzinowe Bazy Wiedzy/Ubóstwo według podziału kraju na miasto i wieś</w:t>
                        </w:r>
                      </w:hyperlink>
                    </w:p>
                    <w:p w14:paraId="3A897F7F" w14:textId="77777777" w:rsidR="002C6CCD" w:rsidRPr="006761A7" w:rsidRDefault="002C6CCD" w:rsidP="002C6CCD">
                      <w:pPr>
                        <w:rPr>
                          <w:b/>
                          <w:color w:val="000000" w:themeColor="text1"/>
                          <w:szCs w:val="24"/>
                        </w:rPr>
                      </w:pPr>
                    </w:p>
                    <w:p w14:paraId="47ED0739" w14:textId="77777777" w:rsidR="002C6CCD" w:rsidRDefault="002C6CCD" w:rsidP="002C6CCD">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14:paraId="6B3AF89C" w14:textId="77777777" w:rsidR="002C6CCD" w:rsidRPr="002C6CCD" w:rsidRDefault="002E5A65" w:rsidP="002C6CCD">
                      <w:pPr>
                        <w:rPr>
                          <w:rStyle w:val="Hipercze"/>
                          <w:color w:val="001D77"/>
                          <w:szCs w:val="19"/>
                        </w:rPr>
                      </w:pPr>
                      <w:hyperlink r:id="rId53" w:history="1">
                        <w:r w:rsidR="002C6CCD" w:rsidRPr="002C6CCD">
                          <w:rPr>
                            <w:rStyle w:val="Hipercze"/>
                            <w:color w:val="001D77"/>
                            <w:szCs w:val="19"/>
                          </w:rPr>
                          <w:t>Wskaźnik zagrożenia ubóstwem skrajnym</w:t>
                        </w:r>
                      </w:hyperlink>
                    </w:p>
                    <w:p w14:paraId="50606FE2" w14:textId="77777777" w:rsidR="002C6CCD" w:rsidRPr="002C6CCD" w:rsidRDefault="002E5A65" w:rsidP="002C6CCD">
                      <w:pPr>
                        <w:rPr>
                          <w:rStyle w:val="Hipercze"/>
                          <w:color w:val="001D77"/>
                          <w:szCs w:val="19"/>
                        </w:rPr>
                      </w:pPr>
                      <w:hyperlink r:id="rId54" w:history="1">
                        <w:r w:rsidR="002C6CCD" w:rsidRPr="002C6CCD">
                          <w:rPr>
                            <w:rStyle w:val="Hipercze"/>
                            <w:color w:val="001D77"/>
                            <w:szCs w:val="19"/>
                          </w:rPr>
                          <w:t>Wskaźnik zagrożenia ubóstwem relatywnym</w:t>
                        </w:r>
                      </w:hyperlink>
                    </w:p>
                    <w:p w14:paraId="1EB10AA5" w14:textId="77777777" w:rsidR="004F7C9F" w:rsidRPr="002C6CCD" w:rsidRDefault="002E5A65" w:rsidP="00883763">
                      <w:pPr>
                        <w:rPr>
                          <w:rStyle w:val="Hipercze"/>
                          <w:rFonts w:cstheme="minorBidi"/>
                          <w:color w:val="001D77"/>
                          <w:sz w:val="18"/>
                        </w:rPr>
                      </w:pPr>
                      <w:hyperlink r:id="rId55" w:history="1">
                        <w:r w:rsidR="002C6CCD" w:rsidRPr="002C6CCD">
                          <w:rPr>
                            <w:rStyle w:val="Hipercze"/>
                            <w:color w:val="001D77"/>
                            <w:szCs w:val="19"/>
                          </w:rPr>
                          <w:t>Wskaźnik zagrożenia ubóstwem ustawowym</w:t>
                        </w:r>
                      </w:hyperlink>
                    </w:p>
                  </w:txbxContent>
                </v:textbox>
                <w10:wrap type="square" anchorx="margin"/>
              </v:shape>
            </w:pict>
          </mc:Fallback>
        </mc:AlternateContent>
      </w:r>
    </w:p>
    <w:sectPr w:rsidR="0051166C" w:rsidRPr="00001C5B" w:rsidSect="00EF7B36">
      <w:headerReference w:type="default" r:id="rId56"/>
      <w:footerReference w:type="default" r:id="rId57"/>
      <w:footnotePr>
        <w:numFmt w:val="lowerLetter"/>
      </w:footnotePr>
      <w:pgSz w:w="11906" w:h="16838" w:code="9"/>
      <w:pgMar w:top="720" w:right="3119" w:bottom="720" w:left="720" w:header="170"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D917C" w14:textId="77777777" w:rsidR="001D3D0B" w:rsidRDefault="001D3D0B" w:rsidP="000662E2">
      <w:pPr>
        <w:spacing w:after="0" w:line="240" w:lineRule="auto"/>
      </w:pPr>
      <w:r>
        <w:separator/>
      </w:r>
    </w:p>
  </w:endnote>
  <w:endnote w:type="continuationSeparator" w:id="0">
    <w:p w14:paraId="1A223666" w14:textId="77777777" w:rsidR="001D3D0B" w:rsidRDefault="001D3D0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altName w:val="Cambria Math"/>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altName w:val="Calibri"/>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620116"/>
      <w:docPartObj>
        <w:docPartGallery w:val="Page Numbers (Bottom of Page)"/>
        <w:docPartUnique/>
      </w:docPartObj>
    </w:sdtPr>
    <w:sdtEndPr/>
    <w:sdtContent>
      <w:p w14:paraId="51B3E53E" w14:textId="77777777" w:rsidR="004F7C9F" w:rsidRDefault="00B20525" w:rsidP="003B18B6">
        <w:pPr>
          <w:pStyle w:val="Stopka"/>
          <w:jc w:val="center"/>
        </w:pPr>
        <w:r>
          <w:rPr>
            <w:noProof/>
          </w:rPr>
          <w:fldChar w:fldCharType="begin"/>
        </w:r>
        <w:r w:rsidR="004F7C9F">
          <w:rPr>
            <w:noProof/>
          </w:rPr>
          <w:instrText>PAGE   \* MERGEFORMAT</w:instrText>
        </w:r>
        <w:r>
          <w:rPr>
            <w:noProof/>
          </w:rPr>
          <w:fldChar w:fldCharType="separate"/>
        </w:r>
        <w:r w:rsidR="00466D3A">
          <w:rPr>
            <w:noProof/>
          </w:rPr>
          <w:t>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4512466"/>
      <w:docPartObj>
        <w:docPartGallery w:val="Page Numbers (Bottom of Page)"/>
        <w:docPartUnique/>
      </w:docPartObj>
    </w:sdtPr>
    <w:sdtEndPr/>
    <w:sdtContent>
      <w:p w14:paraId="6693C9CE" w14:textId="77777777" w:rsidR="004F7C9F" w:rsidRDefault="00B20525" w:rsidP="003B18B6">
        <w:pPr>
          <w:pStyle w:val="Stopka"/>
          <w:jc w:val="center"/>
        </w:pPr>
        <w:r>
          <w:rPr>
            <w:noProof/>
          </w:rPr>
          <w:fldChar w:fldCharType="begin"/>
        </w:r>
        <w:r w:rsidR="004F7C9F">
          <w:rPr>
            <w:noProof/>
          </w:rPr>
          <w:instrText>PAGE   \* MERGEFORMAT</w:instrText>
        </w:r>
        <w:r>
          <w:rPr>
            <w:noProof/>
          </w:rPr>
          <w:fldChar w:fldCharType="separate"/>
        </w:r>
        <w:r w:rsidR="00466D3A">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3738027D" w14:textId="77777777" w:rsidR="004F7C9F" w:rsidRDefault="00B20525" w:rsidP="003B18B6">
        <w:pPr>
          <w:pStyle w:val="Stopka"/>
          <w:jc w:val="center"/>
        </w:pPr>
        <w:r>
          <w:rPr>
            <w:noProof/>
          </w:rPr>
          <w:fldChar w:fldCharType="begin"/>
        </w:r>
        <w:r w:rsidR="004F7C9F">
          <w:rPr>
            <w:noProof/>
          </w:rPr>
          <w:instrText>PAGE   \* MERGEFORMAT</w:instrText>
        </w:r>
        <w:r>
          <w:rPr>
            <w:noProof/>
          </w:rPr>
          <w:fldChar w:fldCharType="separate"/>
        </w:r>
        <w:r w:rsidR="00466D3A">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76CB7" w14:textId="77777777" w:rsidR="001D3D0B" w:rsidRDefault="001D3D0B" w:rsidP="000662E2">
      <w:pPr>
        <w:spacing w:after="0" w:line="240" w:lineRule="auto"/>
      </w:pPr>
      <w:r>
        <w:separator/>
      </w:r>
    </w:p>
  </w:footnote>
  <w:footnote w:type="continuationSeparator" w:id="0">
    <w:p w14:paraId="3F87AD84" w14:textId="77777777" w:rsidR="001D3D0B" w:rsidRDefault="001D3D0B" w:rsidP="000662E2">
      <w:pPr>
        <w:spacing w:after="0" w:line="240" w:lineRule="auto"/>
      </w:pPr>
      <w:r>
        <w:continuationSeparator/>
      </w:r>
    </w:p>
  </w:footnote>
  <w:footnote w:id="1">
    <w:p w14:paraId="5D0EA650" w14:textId="77777777" w:rsidR="00C4278C" w:rsidRPr="00003646" w:rsidRDefault="00C4278C" w:rsidP="00005371">
      <w:pPr>
        <w:pStyle w:val="Tekstprzypisudolnego"/>
        <w:spacing w:before="0"/>
        <w:rPr>
          <w:sz w:val="14"/>
          <w:szCs w:val="14"/>
        </w:rPr>
      </w:pPr>
      <w:r w:rsidRPr="00003646">
        <w:rPr>
          <w:rStyle w:val="Odwoanieprzypisudolnego"/>
          <w:sz w:val="14"/>
          <w:szCs w:val="14"/>
        </w:rPr>
        <w:footnoteRef/>
      </w:r>
      <w:r w:rsidRPr="00003646">
        <w:rPr>
          <w:sz w:val="14"/>
          <w:szCs w:val="14"/>
        </w:rPr>
        <w:t xml:space="preserve"> W 2020 r. w związku z pandemią i wprowadzeniem różnego typu obostrzeń mających na celu redukcję transmisji </w:t>
      </w:r>
      <w:proofErr w:type="spellStart"/>
      <w:r w:rsidRPr="00003646">
        <w:rPr>
          <w:sz w:val="14"/>
          <w:szCs w:val="14"/>
        </w:rPr>
        <w:t>koronawirusa</w:t>
      </w:r>
      <w:proofErr w:type="spellEnd"/>
      <w:r w:rsidRPr="00003646">
        <w:rPr>
          <w:sz w:val="14"/>
          <w:szCs w:val="14"/>
        </w:rPr>
        <w:t xml:space="preserve"> poprzez ograniczenie kontaktów międzyludzkich, nastąpiła zmiana dotychczasowego sposobu zbierania informacji od respondentów z wywiadu bezpośredniego na wywiad telefoniczny.</w:t>
      </w:r>
    </w:p>
  </w:footnote>
  <w:footnote w:id="2">
    <w:p w14:paraId="160F26B4" w14:textId="77777777" w:rsidR="000E375E" w:rsidRPr="000E375E" w:rsidRDefault="000E375E" w:rsidP="00005371">
      <w:pPr>
        <w:pStyle w:val="Tekstprzypisudolnego"/>
        <w:spacing w:before="0"/>
        <w:rPr>
          <w:sz w:val="14"/>
          <w:szCs w:val="14"/>
        </w:rPr>
      </w:pPr>
      <w:r w:rsidRPr="00222C87">
        <w:rPr>
          <w:rStyle w:val="Odwoanieprzypisudolnego"/>
          <w:sz w:val="14"/>
          <w:szCs w:val="14"/>
        </w:rPr>
        <w:footnoteRef/>
      </w:r>
      <w:r w:rsidRPr="00222C87">
        <w:rPr>
          <w:sz w:val="14"/>
          <w:szCs w:val="14"/>
        </w:rPr>
        <w:t xml:space="preserve"> Wydatki obejmują </w:t>
      </w:r>
      <w:r w:rsidR="00822BF2" w:rsidRPr="00222C87">
        <w:rPr>
          <w:sz w:val="14"/>
          <w:szCs w:val="14"/>
        </w:rPr>
        <w:t xml:space="preserve">również </w:t>
      </w:r>
      <w:r w:rsidRPr="00222C87">
        <w:rPr>
          <w:sz w:val="14"/>
          <w:szCs w:val="14"/>
        </w:rPr>
        <w:t>wartość artykułów otrzymanych bezpłatnie oraz wartość spożycia naturalnego, jak również fundusz remontowy.</w:t>
      </w:r>
    </w:p>
  </w:footnote>
  <w:footnote w:id="3">
    <w:p w14:paraId="5E4C807C" w14:textId="570817FD" w:rsidR="002D606E" w:rsidRPr="003B45FF" w:rsidRDefault="002D606E" w:rsidP="003B45FF">
      <w:pPr>
        <w:pStyle w:val="Tekstprzypisudolnego"/>
        <w:spacing w:before="0"/>
        <w:rPr>
          <w:sz w:val="14"/>
          <w:szCs w:val="14"/>
        </w:rPr>
      </w:pPr>
      <w:r w:rsidRPr="003B45FF">
        <w:rPr>
          <w:rStyle w:val="Odwoanieprzypisudolnego"/>
          <w:sz w:val="14"/>
          <w:szCs w:val="14"/>
        </w:rPr>
        <w:footnoteRef/>
      </w:r>
      <w:r w:rsidRPr="003B45FF">
        <w:rPr>
          <w:sz w:val="14"/>
          <w:szCs w:val="14"/>
        </w:rPr>
        <w:t xml:space="preserve"> W przeliczeniu na jednostkę ekw</w:t>
      </w:r>
      <w:r w:rsidR="00971240">
        <w:rPr>
          <w:sz w:val="14"/>
          <w:szCs w:val="14"/>
        </w:rPr>
        <w:t>iwalentną, z uwzględnieniem tzw.</w:t>
      </w:r>
      <w:r w:rsidRPr="003B45FF">
        <w:rPr>
          <w:sz w:val="14"/>
          <w:szCs w:val="14"/>
        </w:rPr>
        <w:t xml:space="preserve"> oryginalnej skali ekwiwalentności OECD, zgodnie z którą wagę 1 przypisuje się pierwszej osobie w gospodarstwie domowym w wieku 14 lat i więcej; wagę 0,7 – każdej następnej osobie w tym wieku; wagę 0,5 – każdemu dziecku w wieku poniżej 14 lat.</w:t>
      </w:r>
    </w:p>
  </w:footnote>
  <w:footnote w:id="4">
    <w:p w14:paraId="37E9FE9F" w14:textId="658DC553" w:rsidR="002D606E" w:rsidRPr="00A24EC7" w:rsidRDefault="002D606E" w:rsidP="002D606E">
      <w:pPr>
        <w:pStyle w:val="Tekstprzypisudolnego"/>
        <w:spacing w:before="60"/>
        <w:rPr>
          <w:sz w:val="14"/>
          <w:szCs w:val="14"/>
        </w:rPr>
      </w:pPr>
      <w:r w:rsidRPr="00A24EC7">
        <w:rPr>
          <w:rStyle w:val="Odwoanieprzypisudolnego"/>
          <w:sz w:val="14"/>
          <w:szCs w:val="14"/>
        </w:rPr>
        <w:footnoteRef/>
      </w:r>
      <w:r w:rsidRPr="00A24EC7">
        <w:rPr>
          <w:sz w:val="14"/>
          <w:szCs w:val="14"/>
        </w:rPr>
        <w:t xml:space="preserve"> Wzrost realny wydatków - czyli uwzgl</w:t>
      </w:r>
      <w:r w:rsidR="00197917">
        <w:rPr>
          <w:sz w:val="14"/>
          <w:szCs w:val="14"/>
        </w:rPr>
        <w:t>ę</w:t>
      </w:r>
      <w:r w:rsidRPr="00A24EC7">
        <w:rPr>
          <w:sz w:val="14"/>
          <w:szCs w:val="14"/>
        </w:rPr>
        <w:t>dniający zmiany poziomu cen towarów i usług konsumpcyjnych</w:t>
      </w:r>
    </w:p>
  </w:footnote>
  <w:footnote w:id="5">
    <w:p w14:paraId="26D9F0FB" w14:textId="4C65DF5F" w:rsidR="002D606E" w:rsidRPr="00AC3E05" w:rsidRDefault="002D606E" w:rsidP="002D606E">
      <w:pPr>
        <w:pStyle w:val="Tekstprzypisudolnego"/>
        <w:spacing w:before="0"/>
        <w:rPr>
          <w:color w:val="001D77"/>
          <w:sz w:val="14"/>
          <w:szCs w:val="14"/>
        </w:rPr>
      </w:pPr>
      <w:r w:rsidRPr="00A24EC7">
        <w:rPr>
          <w:rStyle w:val="Odwoanieprzypisudolnego"/>
          <w:sz w:val="14"/>
          <w:szCs w:val="14"/>
        </w:rPr>
        <w:footnoteRef/>
      </w:r>
      <w:r w:rsidR="00DB59DA">
        <w:rPr>
          <w:sz w:val="14"/>
          <w:szCs w:val="14"/>
        </w:rPr>
        <w:t xml:space="preserve"> </w:t>
      </w:r>
      <w:r w:rsidRPr="00A24EC7">
        <w:rPr>
          <w:sz w:val="14"/>
          <w:szCs w:val="14"/>
        </w:rPr>
        <w:t>Więcej na ten temat w dostępnej na stronie internetowej GUS w notatce sygnalnej: ”Sytuacja gospodarstw domowych w</w:t>
      </w:r>
      <w:r>
        <w:rPr>
          <w:sz w:val="14"/>
          <w:szCs w:val="14"/>
        </w:rPr>
        <w:t> </w:t>
      </w:r>
      <w:r w:rsidRPr="00A24EC7">
        <w:rPr>
          <w:sz w:val="14"/>
          <w:szCs w:val="14"/>
        </w:rPr>
        <w:t xml:space="preserve">2020 r. w świetle wyników badania budżetów gospodarstw domowych”. </w:t>
      </w:r>
      <w:hyperlink r:id="rId1" w:history="1">
        <w:r w:rsidRPr="00AC3E05">
          <w:rPr>
            <w:rStyle w:val="Hipercze"/>
            <w:color w:val="001D77"/>
            <w:sz w:val="14"/>
            <w:szCs w:val="14"/>
          </w:rPr>
          <w:t>https://stat.gov.pl/obszary-tematyczne/warunki-zycia/dochody-wydatki-i-warunki-zycia-ludnosci/sytuacja-gospodarstw-domowych-w-2020-r-w-swietle-badania-budzetow-gospodarstw-domowych,3,20.html</w:t>
        </w:r>
      </w:hyperlink>
      <w:r w:rsidRPr="00AC3E05">
        <w:rPr>
          <w:color w:val="001D77"/>
          <w:sz w:val="14"/>
          <w:szCs w:val="14"/>
        </w:rPr>
        <w:t xml:space="preserve"> </w:t>
      </w:r>
    </w:p>
  </w:footnote>
  <w:footnote w:id="6">
    <w:p w14:paraId="11FE9126" w14:textId="77777777" w:rsidR="002D606E" w:rsidRPr="00AC3E05" w:rsidRDefault="002D606E" w:rsidP="002D606E">
      <w:pPr>
        <w:pStyle w:val="Tekstprzypisudolnego"/>
        <w:spacing w:before="0"/>
        <w:rPr>
          <w:color w:val="001D77"/>
          <w:sz w:val="14"/>
          <w:szCs w:val="14"/>
        </w:rPr>
      </w:pPr>
      <w:r w:rsidRPr="00A24EC7">
        <w:rPr>
          <w:rStyle w:val="Odwoanieprzypisudolnego"/>
          <w:sz w:val="14"/>
          <w:szCs w:val="14"/>
        </w:rPr>
        <w:footnoteRef/>
      </w:r>
      <w:r w:rsidRPr="00A24EC7">
        <w:rPr>
          <w:sz w:val="14"/>
          <w:szCs w:val="14"/>
        </w:rPr>
        <w:t xml:space="preserve"> Wskaźniki makroekonomiczne (roczne lub kwartalne) udostępnione na stronie GUS. </w:t>
      </w:r>
      <w:hyperlink r:id="rId2" w:history="1">
        <w:r w:rsidRPr="00AC3E05">
          <w:rPr>
            <w:rStyle w:val="Hipercze"/>
            <w:color w:val="001D77"/>
            <w:sz w:val="14"/>
            <w:szCs w:val="14"/>
          </w:rPr>
          <w:t>https://stat.gov.pl/wskazniki-makroekonomiczne/</w:t>
        </w:r>
      </w:hyperlink>
    </w:p>
  </w:footnote>
  <w:footnote w:id="7">
    <w:p w14:paraId="6E13089D" w14:textId="77777777" w:rsidR="00781CF7" w:rsidRPr="00781CF7" w:rsidRDefault="00781CF7" w:rsidP="00781CF7">
      <w:pPr>
        <w:pStyle w:val="Tekstprzypisudolnego"/>
        <w:rPr>
          <w:sz w:val="14"/>
          <w:szCs w:val="14"/>
        </w:rPr>
      </w:pPr>
      <w:r w:rsidRPr="008B034B">
        <w:rPr>
          <w:rStyle w:val="Odwoanieprzypisudolnego"/>
          <w:sz w:val="14"/>
          <w:szCs w:val="14"/>
        </w:rPr>
        <w:footnoteRef/>
      </w:r>
      <w:r w:rsidRPr="008B034B">
        <w:rPr>
          <w:sz w:val="14"/>
          <w:szCs w:val="14"/>
        </w:rPr>
        <w:t xml:space="preserve"> Głowa gospodarstwa domowego (określana w badaniu budżetów gospodarstw domowych jako osoba odniesienia) to osoba, która ukończyła 16 lat i osiąga stały w dłuższym okresie czasu, najwyższy dochód spośród wszystkich członków gospodarstwa domowego.</w:t>
      </w:r>
    </w:p>
  </w:footnote>
  <w:footnote w:id="8">
    <w:p w14:paraId="6B3E5682" w14:textId="77777777" w:rsidR="004F7C9F" w:rsidRPr="00FD4F05" w:rsidRDefault="004F7C9F" w:rsidP="00FD4F05">
      <w:pPr>
        <w:pStyle w:val="Tekstprzypisudolnego"/>
        <w:spacing w:before="0"/>
        <w:rPr>
          <w:sz w:val="14"/>
          <w:szCs w:val="14"/>
        </w:rPr>
      </w:pPr>
      <w:r w:rsidRPr="00FD4F05">
        <w:rPr>
          <w:rStyle w:val="Odwoanieprzypisudolnego"/>
          <w:sz w:val="14"/>
          <w:szCs w:val="14"/>
        </w:rPr>
        <w:footnoteRef/>
      </w:r>
      <w:r w:rsidRPr="00FD4F05">
        <w:rPr>
          <w:sz w:val="14"/>
          <w:szCs w:val="14"/>
        </w:rPr>
        <w:t xml:space="preserve"> W grupie małżeństw uwzględnione zostały także związki nieformalne.</w:t>
      </w:r>
    </w:p>
  </w:footnote>
  <w:footnote w:id="9">
    <w:p w14:paraId="5189B395" w14:textId="77777777" w:rsidR="004F7C9F" w:rsidRPr="00FD4F05" w:rsidRDefault="004F7C9F" w:rsidP="00FD4F05">
      <w:pPr>
        <w:pStyle w:val="Tekstprzypisudolnego"/>
        <w:spacing w:before="0"/>
        <w:rPr>
          <w:sz w:val="14"/>
          <w:szCs w:val="14"/>
        </w:rPr>
      </w:pPr>
      <w:r w:rsidRPr="00FD4F05">
        <w:rPr>
          <w:rStyle w:val="Odwoanieprzypisudolnego"/>
          <w:sz w:val="14"/>
          <w:szCs w:val="14"/>
        </w:rPr>
        <w:footnoteRef/>
      </w:r>
      <w:r w:rsidRPr="00FD4F05">
        <w:rPr>
          <w:sz w:val="14"/>
          <w:szCs w:val="14"/>
        </w:rPr>
        <w:t xml:space="preserve"> Dziecko na utrzymaniu to osoba w wieku 0-14 lat będąca w składzie gospodarstwa domowego lub osoba w wieku 15-25 lat, o ile nie posiada własnego źródła utrzymania i nie pozostaje w związku małżeńskim lub związku nieformalnym.</w:t>
      </w:r>
    </w:p>
  </w:footnote>
  <w:footnote w:id="10">
    <w:p w14:paraId="2ABB4CCC" w14:textId="77777777" w:rsidR="00D62BD1" w:rsidRPr="00FD4F05" w:rsidRDefault="00D62BD1" w:rsidP="00FD4F05">
      <w:pPr>
        <w:pStyle w:val="Tekstprzypisudolnego"/>
        <w:spacing w:before="0"/>
        <w:rPr>
          <w:sz w:val="14"/>
          <w:szCs w:val="14"/>
        </w:rPr>
      </w:pPr>
      <w:r w:rsidRPr="00FD4F05">
        <w:rPr>
          <w:rStyle w:val="Odwoanieprzypisudolnego"/>
          <w:sz w:val="14"/>
          <w:szCs w:val="14"/>
        </w:rPr>
        <w:footnoteRef/>
      </w:r>
      <w:r w:rsidRPr="00FD4F05">
        <w:rPr>
          <w:sz w:val="14"/>
          <w:szCs w:val="14"/>
        </w:rPr>
        <w:t xml:space="preserve"> Ogólnie wskaźniki dynamiki definiuje się jako stosunek wielkości badanego zjawiska w danym okresie (momencie) do wielkości tego samego zjawiska w innym okresie przyjętym za podstawę porównań. W tym konkretnym przypadku jest to stosunek (iloraz) stopy ubóstwa skrajnego w 202</w:t>
      </w:r>
      <w:r w:rsidR="00346CA8">
        <w:rPr>
          <w:sz w:val="14"/>
          <w:szCs w:val="14"/>
        </w:rPr>
        <w:t>0 r. do stopy ubóstwa w 2019 r.</w:t>
      </w:r>
    </w:p>
  </w:footnote>
  <w:footnote w:id="11">
    <w:p w14:paraId="6E7DF6A3" w14:textId="77777777" w:rsidR="00D014CA" w:rsidRPr="00CD6C7B" w:rsidRDefault="00D014CA" w:rsidP="007F184E">
      <w:pPr>
        <w:pStyle w:val="Tekstprzypisudolnego"/>
        <w:rPr>
          <w:sz w:val="14"/>
          <w:szCs w:val="14"/>
        </w:rPr>
      </w:pPr>
      <w:r w:rsidRPr="00CD6C7B">
        <w:rPr>
          <w:rStyle w:val="Odwoanieprzypisudolnego"/>
          <w:sz w:val="14"/>
          <w:szCs w:val="14"/>
        </w:rPr>
        <w:footnoteRef/>
      </w:r>
      <w:r w:rsidRPr="00CD6C7B">
        <w:rPr>
          <w:sz w:val="14"/>
          <w:szCs w:val="14"/>
        </w:rPr>
        <w:t xml:space="preserve"> </w:t>
      </w:r>
      <w:bookmarkStart w:id="0" w:name="_GoBack"/>
      <w:r w:rsidRPr="00CD6C7B">
        <w:rPr>
          <w:sz w:val="14"/>
          <w:szCs w:val="14"/>
        </w:rPr>
        <w:t xml:space="preserve">Dane </w:t>
      </w:r>
      <w:r>
        <w:rPr>
          <w:sz w:val="14"/>
          <w:szCs w:val="14"/>
        </w:rPr>
        <w:t>na wykresie 7 odnoszą się do gospodarstw domowych z dziećmi w wieku 0-17 niezależnie od tego, czy są utrzymywane przez rodziców (lub innych członków gospodarstwa), czy mają własne źródło utrzymania, takie jak np. renta rodzinna lub alimenty. W skład tych gospodarstw oprócz rodziców i dzieci w wieku 0-17 mogą wchodzić także inne osoby, takie jak np. starsze rodzeństwo, dziadkowie, czy bracia lub siostry jednego z rodziców. Tymczasem dane na wykresie 6 odnoszą się jedynie do wybranych typów gospodarstw domowych, takich jak małżeństwa, czy samotni rodzice z dziećmi na utrzymaniu (w skład tych gospodarstw nie mogą wchodzić inne osoby). Do dzieci na utrzymaniu zalicza się np. niepracujących studentów, a także młode osoby, które już ukończyły edukację ale jeszcze nie podjęły pracy, jeżeli nie mają innego własnego źródła utrzymania</w:t>
      </w:r>
      <w:bookmarkEnd w:id="0"/>
      <w:r>
        <w:rPr>
          <w:sz w:val="14"/>
          <w:szCs w:val="1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89544" w14:textId="77777777" w:rsidR="004F7C9F" w:rsidRDefault="00B16AF1">
    <w:pPr>
      <w:pStyle w:val="Nagwek"/>
    </w:pPr>
    <w:r>
      <w:rPr>
        <w:noProof/>
        <w:lang w:eastAsia="pl-PL"/>
      </w:rPr>
      <mc:AlternateContent>
        <mc:Choice Requires="wps">
          <w:drawing>
            <wp:anchor distT="0" distB="0" distL="114300" distR="114300" simplePos="0" relativeHeight="251662336" behindDoc="1" locked="0" layoutInCell="1" allowOverlap="1" wp14:anchorId="42CF2244" wp14:editId="1F6253B0">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6D3CA2"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2293435F" w14:textId="77777777" w:rsidR="004F7C9F" w:rsidRDefault="004F7C9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AB4F86" w14:textId="77777777" w:rsidR="004F7C9F" w:rsidRDefault="00B16AF1">
    <w:pPr>
      <w:pStyle w:val="Nagwek"/>
      <w:rPr>
        <w:noProof/>
        <w:lang w:eastAsia="pl-PL"/>
      </w:rPr>
    </w:pPr>
    <w:r>
      <w:rPr>
        <w:noProof/>
        <w:lang w:eastAsia="pl-PL"/>
      </w:rPr>
      <mc:AlternateContent>
        <mc:Choice Requires="wps">
          <w:drawing>
            <wp:anchor distT="0" distB="0" distL="114300" distR="114300" simplePos="0" relativeHeight="251668480" behindDoc="0" locked="0" layoutInCell="1" allowOverlap="1" wp14:anchorId="1A313745" wp14:editId="6D220B9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A07980" w14:textId="77777777" w:rsidR="004F7C9F" w:rsidRPr="003C6C8D" w:rsidRDefault="004F7C9F"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313745" id="Schemat blokowy: opóźnienie 6" o:spid="_x0000_s1039"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3A07980" w14:textId="77777777" w:rsidR="004F7C9F" w:rsidRPr="003C6C8D" w:rsidRDefault="004F7C9F" w:rsidP="00074DD8">
                    <w:pPr>
                      <w:spacing w:before="0" w:after="0" w:line="240" w:lineRule="auto"/>
                      <w:ind w:left="227"/>
                      <w:jc w:val="both"/>
                      <w:rPr>
                        <w:rFonts w:ascii="Fira Sans SemiBold" w:hAnsi="Fira Sans SemiBold"/>
                      </w:rPr>
                    </w:pPr>
                    <w:r>
                      <w:rPr>
                        <w:rFonts w:ascii="Fira Sans SemiBold" w:hAnsi="Fira Sans SemiBold"/>
                      </w:rPr>
                      <w:t>INFORMACJE SYGNALNE</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4E244CB1" wp14:editId="619F073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2035A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2rbpg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" fillcolor="#f2f2f2" stroked="f" strokeweight="1pt">
              <v:path arrowok="t"/>
              <w10:wrap type="tight"/>
            </v:rect>
          </w:pict>
        </mc:Fallback>
      </mc:AlternateContent>
    </w:r>
    <w:r w:rsidR="004F7C9F">
      <w:rPr>
        <w:noProof/>
        <w:lang w:eastAsia="pl-PL"/>
      </w:rPr>
      <w:drawing>
        <wp:inline distT="0" distB="0" distL="0" distR="0" wp14:anchorId="2CE52F9C" wp14:editId="6F6050F4">
          <wp:extent cx="1563482" cy="741745"/>
          <wp:effectExtent l="0" t="0" r="0" b="127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naczek gus.jpg"/>
                  <pic:cNvPicPr/>
                </pic:nvPicPr>
                <pic:blipFill>
                  <a:blip r:embed="rId1">
                    <a:extLst>
                      <a:ext uri="{28A0092B-C50C-407E-A947-70E740481C1C}">
                        <a14:useLocalDpi xmlns:a14="http://schemas.microsoft.com/office/drawing/2010/main" val="0"/>
                      </a:ext>
                    </a:extLst>
                  </a:blip>
                  <a:stretch>
                    <a:fillRect/>
                  </a:stretch>
                </pic:blipFill>
                <pic:spPr>
                  <a:xfrm>
                    <a:off x="0" y="0"/>
                    <a:ext cx="1633700" cy="775058"/>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B32C2" w14:textId="77777777" w:rsidR="004F7C9F" w:rsidRDefault="004F7C9F">
    <w:pPr>
      <w:pStyle w:val="Nagwek"/>
    </w:pPr>
  </w:p>
  <w:p w14:paraId="7DB6F618" w14:textId="77777777" w:rsidR="004F7C9F" w:rsidRDefault="004F7C9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4118ADB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05pt;height:125.15pt;visibility:visible;mso-wrap-style:square" o:bullet="t">
        <v:imagedata r:id="rId1" o:title=""/>
      </v:shape>
    </w:pict>
  </w:numPicBullet>
  <w:numPicBullet w:numPicBulletId="1">
    <w:pict>
      <v:shape id="_x0000_i1031" type="#_x0000_t75" style="width:123.65pt;height:125.1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99B09AA"/>
    <w:multiLevelType w:val="hybridMultilevel"/>
    <w:tmpl w:val="43A0AF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26660D3"/>
    <w:multiLevelType w:val="hybridMultilevel"/>
    <w:tmpl w:val="E4B0E872"/>
    <w:lvl w:ilvl="0" w:tplc="18AE36AC">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66D84081"/>
    <w:multiLevelType w:val="hybridMultilevel"/>
    <w:tmpl w:val="1066547C"/>
    <w:lvl w:ilvl="0" w:tplc="616CFA4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57"/>
  <w:drawingGridVerticalSpacing w:val="57"/>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277"/>
    <w:rsid w:val="000014E9"/>
    <w:rsid w:val="00001C5B"/>
    <w:rsid w:val="00002E1D"/>
    <w:rsid w:val="00003437"/>
    <w:rsid w:val="00003646"/>
    <w:rsid w:val="00003EB5"/>
    <w:rsid w:val="00005371"/>
    <w:rsid w:val="00006366"/>
    <w:rsid w:val="0000709F"/>
    <w:rsid w:val="000108B8"/>
    <w:rsid w:val="000116DD"/>
    <w:rsid w:val="000152F5"/>
    <w:rsid w:val="00015386"/>
    <w:rsid w:val="00015BD6"/>
    <w:rsid w:val="00016161"/>
    <w:rsid w:val="00017329"/>
    <w:rsid w:val="00021239"/>
    <w:rsid w:val="000212F4"/>
    <w:rsid w:val="00025FCF"/>
    <w:rsid w:val="000305A0"/>
    <w:rsid w:val="000337BB"/>
    <w:rsid w:val="00034160"/>
    <w:rsid w:val="00035665"/>
    <w:rsid w:val="00040344"/>
    <w:rsid w:val="0004081F"/>
    <w:rsid w:val="000417D5"/>
    <w:rsid w:val="00042199"/>
    <w:rsid w:val="0004582E"/>
    <w:rsid w:val="0004646A"/>
    <w:rsid w:val="000470AA"/>
    <w:rsid w:val="00051119"/>
    <w:rsid w:val="00053AA7"/>
    <w:rsid w:val="00057831"/>
    <w:rsid w:val="00057CA1"/>
    <w:rsid w:val="00057F3F"/>
    <w:rsid w:val="000630B9"/>
    <w:rsid w:val="0006547E"/>
    <w:rsid w:val="000662E2"/>
    <w:rsid w:val="00066883"/>
    <w:rsid w:val="00066E76"/>
    <w:rsid w:val="00071D41"/>
    <w:rsid w:val="000730CD"/>
    <w:rsid w:val="000739C9"/>
    <w:rsid w:val="00074DD8"/>
    <w:rsid w:val="0007587B"/>
    <w:rsid w:val="0007743F"/>
    <w:rsid w:val="00080209"/>
    <w:rsid w:val="000806F7"/>
    <w:rsid w:val="0008411D"/>
    <w:rsid w:val="00085030"/>
    <w:rsid w:val="000866F3"/>
    <w:rsid w:val="000903B7"/>
    <w:rsid w:val="0009119C"/>
    <w:rsid w:val="000916A9"/>
    <w:rsid w:val="000925E1"/>
    <w:rsid w:val="00095EE8"/>
    <w:rsid w:val="0009696C"/>
    <w:rsid w:val="00097840"/>
    <w:rsid w:val="000A0BAD"/>
    <w:rsid w:val="000A0E48"/>
    <w:rsid w:val="000A1A1A"/>
    <w:rsid w:val="000A2E3E"/>
    <w:rsid w:val="000A448B"/>
    <w:rsid w:val="000A5F0B"/>
    <w:rsid w:val="000A6963"/>
    <w:rsid w:val="000A7F1A"/>
    <w:rsid w:val="000B0727"/>
    <w:rsid w:val="000B192E"/>
    <w:rsid w:val="000B2618"/>
    <w:rsid w:val="000C040F"/>
    <w:rsid w:val="000C131A"/>
    <w:rsid w:val="000C135D"/>
    <w:rsid w:val="000C1FDC"/>
    <w:rsid w:val="000C29F1"/>
    <w:rsid w:val="000C2E6A"/>
    <w:rsid w:val="000D06E0"/>
    <w:rsid w:val="000D11C0"/>
    <w:rsid w:val="000D1D43"/>
    <w:rsid w:val="000D225C"/>
    <w:rsid w:val="000D2A5C"/>
    <w:rsid w:val="000D3477"/>
    <w:rsid w:val="000D3C59"/>
    <w:rsid w:val="000D3CDA"/>
    <w:rsid w:val="000D7F85"/>
    <w:rsid w:val="000E0918"/>
    <w:rsid w:val="000E1349"/>
    <w:rsid w:val="000E1F41"/>
    <w:rsid w:val="000E229F"/>
    <w:rsid w:val="000E375E"/>
    <w:rsid w:val="000E3DF4"/>
    <w:rsid w:val="000E480F"/>
    <w:rsid w:val="000E5691"/>
    <w:rsid w:val="000E7917"/>
    <w:rsid w:val="000F5B9D"/>
    <w:rsid w:val="000F6476"/>
    <w:rsid w:val="000F704F"/>
    <w:rsid w:val="001011C3"/>
    <w:rsid w:val="00102C97"/>
    <w:rsid w:val="00105496"/>
    <w:rsid w:val="00106181"/>
    <w:rsid w:val="00110C64"/>
    <w:rsid w:val="00110D87"/>
    <w:rsid w:val="00111C66"/>
    <w:rsid w:val="00112437"/>
    <w:rsid w:val="00113685"/>
    <w:rsid w:val="001149A1"/>
    <w:rsid w:val="00114DB9"/>
    <w:rsid w:val="00115809"/>
    <w:rsid w:val="00116087"/>
    <w:rsid w:val="00125CCD"/>
    <w:rsid w:val="00130296"/>
    <w:rsid w:val="00130FEE"/>
    <w:rsid w:val="00135A93"/>
    <w:rsid w:val="00135B65"/>
    <w:rsid w:val="00141D35"/>
    <w:rsid w:val="00142037"/>
    <w:rsid w:val="001423B6"/>
    <w:rsid w:val="001445DE"/>
    <w:rsid w:val="001448A7"/>
    <w:rsid w:val="00145302"/>
    <w:rsid w:val="00146621"/>
    <w:rsid w:val="0014758F"/>
    <w:rsid w:val="00150BC9"/>
    <w:rsid w:val="00153F1D"/>
    <w:rsid w:val="0015560A"/>
    <w:rsid w:val="001562D4"/>
    <w:rsid w:val="001571B5"/>
    <w:rsid w:val="00162325"/>
    <w:rsid w:val="00167B8C"/>
    <w:rsid w:val="00175466"/>
    <w:rsid w:val="00175554"/>
    <w:rsid w:val="00175ADA"/>
    <w:rsid w:val="001778BA"/>
    <w:rsid w:val="00180A3F"/>
    <w:rsid w:val="00180C89"/>
    <w:rsid w:val="00184FCD"/>
    <w:rsid w:val="00186576"/>
    <w:rsid w:val="0018675A"/>
    <w:rsid w:val="00191656"/>
    <w:rsid w:val="00191DA6"/>
    <w:rsid w:val="00193D72"/>
    <w:rsid w:val="001951DA"/>
    <w:rsid w:val="0019731B"/>
    <w:rsid w:val="001973B2"/>
    <w:rsid w:val="00197917"/>
    <w:rsid w:val="00197B46"/>
    <w:rsid w:val="001A195E"/>
    <w:rsid w:val="001A253B"/>
    <w:rsid w:val="001A4EEA"/>
    <w:rsid w:val="001A564B"/>
    <w:rsid w:val="001B085B"/>
    <w:rsid w:val="001B09A2"/>
    <w:rsid w:val="001B2ADE"/>
    <w:rsid w:val="001B34B0"/>
    <w:rsid w:val="001B4364"/>
    <w:rsid w:val="001C3269"/>
    <w:rsid w:val="001C3F17"/>
    <w:rsid w:val="001C3FD4"/>
    <w:rsid w:val="001C41D7"/>
    <w:rsid w:val="001C5F39"/>
    <w:rsid w:val="001C7C58"/>
    <w:rsid w:val="001D1206"/>
    <w:rsid w:val="001D1BCC"/>
    <w:rsid w:val="001D1DB4"/>
    <w:rsid w:val="001D3440"/>
    <w:rsid w:val="001D3D0B"/>
    <w:rsid w:val="001D4BB5"/>
    <w:rsid w:val="001D7C73"/>
    <w:rsid w:val="001E1D94"/>
    <w:rsid w:val="001E44F7"/>
    <w:rsid w:val="001E48EA"/>
    <w:rsid w:val="001E7DBB"/>
    <w:rsid w:val="001F24A7"/>
    <w:rsid w:val="001F3E2C"/>
    <w:rsid w:val="001F502F"/>
    <w:rsid w:val="00201BC2"/>
    <w:rsid w:val="00202617"/>
    <w:rsid w:val="002069F2"/>
    <w:rsid w:val="00207C9A"/>
    <w:rsid w:val="00212C16"/>
    <w:rsid w:val="00216245"/>
    <w:rsid w:val="002172EF"/>
    <w:rsid w:val="002174AA"/>
    <w:rsid w:val="0022027D"/>
    <w:rsid w:val="00222C87"/>
    <w:rsid w:val="00224478"/>
    <w:rsid w:val="00226B71"/>
    <w:rsid w:val="00227BED"/>
    <w:rsid w:val="00233288"/>
    <w:rsid w:val="00233C68"/>
    <w:rsid w:val="002353DF"/>
    <w:rsid w:val="002416B9"/>
    <w:rsid w:val="00243B76"/>
    <w:rsid w:val="002509E8"/>
    <w:rsid w:val="002574F9"/>
    <w:rsid w:val="00257B3D"/>
    <w:rsid w:val="0026168B"/>
    <w:rsid w:val="00262B61"/>
    <w:rsid w:val="00262F01"/>
    <w:rsid w:val="002669C0"/>
    <w:rsid w:val="00267967"/>
    <w:rsid w:val="00267AB1"/>
    <w:rsid w:val="00271E09"/>
    <w:rsid w:val="00272C76"/>
    <w:rsid w:val="002731F4"/>
    <w:rsid w:val="002736E9"/>
    <w:rsid w:val="002761E5"/>
    <w:rsid w:val="00276811"/>
    <w:rsid w:val="00276C9A"/>
    <w:rsid w:val="0028121D"/>
    <w:rsid w:val="002813EE"/>
    <w:rsid w:val="00281611"/>
    <w:rsid w:val="00282699"/>
    <w:rsid w:val="00287E5D"/>
    <w:rsid w:val="0029077F"/>
    <w:rsid w:val="00291D70"/>
    <w:rsid w:val="002926DF"/>
    <w:rsid w:val="0029416C"/>
    <w:rsid w:val="00296697"/>
    <w:rsid w:val="002970BE"/>
    <w:rsid w:val="0029720E"/>
    <w:rsid w:val="002977C0"/>
    <w:rsid w:val="002A1CFD"/>
    <w:rsid w:val="002A1EA7"/>
    <w:rsid w:val="002A3F8F"/>
    <w:rsid w:val="002A43C4"/>
    <w:rsid w:val="002A4D80"/>
    <w:rsid w:val="002A647B"/>
    <w:rsid w:val="002A6D75"/>
    <w:rsid w:val="002B0472"/>
    <w:rsid w:val="002B1B4A"/>
    <w:rsid w:val="002B4D10"/>
    <w:rsid w:val="002B4DFD"/>
    <w:rsid w:val="002B6B12"/>
    <w:rsid w:val="002C06A5"/>
    <w:rsid w:val="002C6CCD"/>
    <w:rsid w:val="002D0020"/>
    <w:rsid w:val="002D606E"/>
    <w:rsid w:val="002D7576"/>
    <w:rsid w:val="002E2E99"/>
    <w:rsid w:val="002E5500"/>
    <w:rsid w:val="002E5A65"/>
    <w:rsid w:val="002E6140"/>
    <w:rsid w:val="002E697F"/>
    <w:rsid w:val="002E6985"/>
    <w:rsid w:val="002E6F2A"/>
    <w:rsid w:val="002E71B6"/>
    <w:rsid w:val="002F2188"/>
    <w:rsid w:val="002F670A"/>
    <w:rsid w:val="002F77C8"/>
    <w:rsid w:val="00303466"/>
    <w:rsid w:val="00304F22"/>
    <w:rsid w:val="00305162"/>
    <w:rsid w:val="0030639F"/>
    <w:rsid w:val="003067C1"/>
    <w:rsid w:val="00306C7C"/>
    <w:rsid w:val="00310E05"/>
    <w:rsid w:val="0031133C"/>
    <w:rsid w:val="00311561"/>
    <w:rsid w:val="00312A6B"/>
    <w:rsid w:val="00314263"/>
    <w:rsid w:val="00315200"/>
    <w:rsid w:val="00315881"/>
    <w:rsid w:val="0032271E"/>
    <w:rsid w:val="00322EDD"/>
    <w:rsid w:val="00327420"/>
    <w:rsid w:val="003279D3"/>
    <w:rsid w:val="00330E56"/>
    <w:rsid w:val="00331802"/>
    <w:rsid w:val="00331A58"/>
    <w:rsid w:val="00332320"/>
    <w:rsid w:val="00333DD0"/>
    <w:rsid w:val="00334978"/>
    <w:rsid w:val="00334B55"/>
    <w:rsid w:val="003401E3"/>
    <w:rsid w:val="00342947"/>
    <w:rsid w:val="00343187"/>
    <w:rsid w:val="003454B0"/>
    <w:rsid w:val="0034677A"/>
    <w:rsid w:val="00346CA8"/>
    <w:rsid w:val="00347D72"/>
    <w:rsid w:val="003513BF"/>
    <w:rsid w:val="0035697D"/>
    <w:rsid w:val="00357611"/>
    <w:rsid w:val="00364F5C"/>
    <w:rsid w:val="00365FEF"/>
    <w:rsid w:val="00367237"/>
    <w:rsid w:val="0037077F"/>
    <w:rsid w:val="00372411"/>
    <w:rsid w:val="00373882"/>
    <w:rsid w:val="00375F23"/>
    <w:rsid w:val="00380C23"/>
    <w:rsid w:val="003843DB"/>
    <w:rsid w:val="00386435"/>
    <w:rsid w:val="003869AC"/>
    <w:rsid w:val="00386AA7"/>
    <w:rsid w:val="00387731"/>
    <w:rsid w:val="003901AC"/>
    <w:rsid w:val="00390A37"/>
    <w:rsid w:val="00391B62"/>
    <w:rsid w:val="00393761"/>
    <w:rsid w:val="00393B98"/>
    <w:rsid w:val="00393DB9"/>
    <w:rsid w:val="00393FA8"/>
    <w:rsid w:val="00394A1D"/>
    <w:rsid w:val="00397D18"/>
    <w:rsid w:val="003A1B36"/>
    <w:rsid w:val="003A440F"/>
    <w:rsid w:val="003B1454"/>
    <w:rsid w:val="003B18B6"/>
    <w:rsid w:val="003B26B3"/>
    <w:rsid w:val="003B45FF"/>
    <w:rsid w:val="003B5E1C"/>
    <w:rsid w:val="003C0256"/>
    <w:rsid w:val="003C0EB3"/>
    <w:rsid w:val="003C2499"/>
    <w:rsid w:val="003C572C"/>
    <w:rsid w:val="003C579C"/>
    <w:rsid w:val="003C59E0"/>
    <w:rsid w:val="003C5C96"/>
    <w:rsid w:val="003C6C8D"/>
    <w:rsid w:val="003D288D"/>
    <w:rsid w:val="003D4F95"/>
    <w:rsid w:val="003D5C58"/>
    <w:rsid w:val="003D5F42"/>
    <w:rsid w:val="003D60A9"/>
    <w:rsid w:val="003D6F45"/>
    <w:rsid w:val="003D74B3"/>
    <w:rsid w:val="003D7A3D"/>
    <w:rsid w:val="003E11CD"/>
    <w:rsid w:val="003F0EA8"/>
    <w:rsid w:val="003F1FAD"/>
    <w:rsid w:val="003F360E"/>
    <w:rsid w:val="003F4C97"/>
    <w:rsid w:val="003F5245"/>
    <w:rsid w:val="003F57C8"/>
    <w:rsid w:val="003F650D"/>
    <w:rsid w:val="003F7FE6"/>
    <w:rsid w:val="00400193"/>
    <w:rsid w:val="00401184"/>
    <w:rsid w:val="00401C52"/>
    <w:rsid w:val="004025F5"/>
    <w:rsid w:val="00410FC6"/>
    <w:rsid w:val="00411D1D"/>
    <w:rsid w:val="00412AB7"/>
    <w:rsid w:val="00414018"/>
    <w:rsid w:val="004143EC"/>
    <w:rsid w:val="004160D3"/>
    <w:rsid w:val="00416B42"/>
    <w:rsid w:val="0042007B"/>
    <w:rsid w:val="0042077D"/>
    <w:rsid w:val="00420941"/>
    <w:rsid w:val="004212E7"/>
    <w:rsid w:val="00421734"/>
    <w:rsid w:val="00422417"/>
    <w:rsid w:val="0042434B"/>
    <w:rsid w:val="0042446D"/>
    <w:rsid w:val="0042554A"/>
    <w:rsid w:val="00426313"/>
    <w:rsid w:val="00426ECB"/>
    <w:rsid w:val="00427212"/>
    <w:rsid w:val="004276D8"/>
    <w:rsid w:val="00427BF8"/>
    <w:rsid w:val="00431C02"/>
    <w:rsid w:val="00432294"/>
    <w:rsid w:val="004343C9"/>
    <w:rsid w:val="00437395"/>
    <w:rsid w:val="00437EB1"/>
    <w:rsid w:val="00445047"/>
    <w:rsid w:val="00445261"/>
    <w:rsid w:val="004520C9"/>
    <w:rsid w:val="004524C4"/>
    <w:rsid w:val="00452E99"/>
    <w:rsid w:val="00456132"/>
    <w:rsid w:val="004566AB"/>
    <w:rsid w:val="00456775"/>
    <w:rsid w:val="004601AC"/>
    <w:rsid w:val="00461F5B"/>
    <w:rsid w:val="00461F98"/>
    <w:rsid w:val="00463E39"/>
    <w:rsid w:val="004657FC"/>
    <w:rsid w:val="00466D3A"/>
    <w:rsid w:val="00472414"/>
    <w:rsid w:val="00472CB9"/>
    <w:rsid w:val="004733F6"/>
    <w:rsid w:val="00474276"/>
    <w:rsid w:val="00474431"/>
    <w:rsid w:val="00474E69"/>
    <w:rsid w:val="00480650"/>
    <w:rsid w:val="004808CA"/>
    <w:rsid w:val="00480F69"/>
    <w:rsid w:val="0048607E"/>
    <w:rsid w:val="004926D7"/>
    <w:rsid w:val="00496001"/>
    <w:rsid w:val="0049621B"/>
    <w:rsid w:val="004A1496"/>
    <w:rsid w:val="004A64B6"/>
    <w:rsid w:val="004A6DAC"/>
    <w:rsid w:val="004B025F"/>
    <w:rsid w:val="004B282C"/>
    <w:rsid w:val="004B4B29"/>
    <w:rsid w:val="004B5CC9"/>
    <w:rsid w:val="004B5F1D"/>
    <w:rsid w:val="004B7D58"/>
    <w:rsid w:val="004C0AF5"/>
    <w:rsid w:val="004C1895"/>
    <w:rsid w:val="004C3CB2"/>
    <w:rsid w:val="004C6D40"/>
    <w:rsid w:val="004D32F8"/>
    <w:rsid w:val="004D5050"/>
    <w:rsid w:val="004D5843"/>
    <w:rsid w:val="004E071F"/>
    <w:rsid w:val="004F0C3C"/>
    <w:rsid w:val="004F1CF8"/>
    <w:rsid w:val="004F3BDA"/>
    <w:rsid w:val="004F440F"/>
    <w:rsid w:val="004F529E"/>
    <w:rsid w:val="004F63FC"/>
    <w:rsid w:val="004F738F"/>
    <w:rsid w:val="004F7C9F"/>
    <w:rsid w:val="00502CA5"/>
    <w:rsid w:val="00502E6F"/>
    <w:rsid w:val="005031AC"/>
    <w:rsid w:val="00503A1F"/>
    <w:rsid w:val="00504BA1"/>
    <w:rsid w:val="00505A92"/>
    <w:rsid w:val="005062F8"/>
    <w:rsid w:val="0051166C"/>
    <w:rsid w:val="00514B54"/>
    <w:rsid w:val="00515D62"/>
    <w:rsid w:val="0051646A"/>
    <w:rsid w:val="00516A50"/>
    <w:rsid w:val="00517855"/>
    <w:rsid w:val="005203F1"/>
    <w:rsid w:val="0052058B"/>
    <w:rsid w:val="00521BC3"/>
    <w:rsid w:val="005239F8"/>
    <w:rsid w:val="005265D2"/>
    <w:rsid w:val="00526672"/>
    <w:rsid w:val="00526A58"/>
    <w:rsid w:val="00526DF2"/>
    <w:rsid w:val="00531957"/>
    <w:rsid w:val="00533150"/>
    <w:rsid w:val="00533632"/>
    <w:rsid w:val="0053648F"/>
    <w:rsid w:val="005366B6"/>
    <w:rsid w:val="00541946"/>
    <w:rsid w:val="00541E6E"/>
    <w:rsid w:val="0054251F"/>
    <w:rsid w:val="00542ADC"/>
    <w:rsid w:val="005456BD"/>
    <w:rsid w:val="0055163B"/>
    <w:rsid w:val="005520D8"/>
    <w:rsid w:val="00554B53"/>
    <w:rsid w:val="00554F36"/>
    <w:rsid w:val="00556CF1"/>
    <w:rsid w:val="005573EF"/>
    <w:rsid w:val="005574AD"/>
    <w:rsid w:val="005611CB"/>
    <w:rsid w:val="00564730"/>
    <w:rsid w:val="0057035C"/>
    <w:rsid w:val="00571703"/>
    <w:rsid w:val="00575B6B"/>
    <w:rsid w:val="005762A7"/>
    <w:rsid w:val="0057773F"/>
    <w:rsid w:val="00582C5C"/>
    <w:rsid w:val="00583894"/>
    <w:rsid w:val="005861D7"/>
    <w:rsid w:val="005877DE"/>
    <w:rsid w:val="00587BF0"/>
    <w:rsid w:val="005916D7"/>
    <w:rsid w:val="005919BA"/>
    <w:rsid w:val="00594608"/>
    <w:rsid w:val="0059684E"/>
    <w:rsid w:val="0059734D"/>
    <w:rsid w:val="005A14B0"/>
    <w:rsid w:val="005A3529"/>
    <w:rsid w:val="005A538A"/>
    <w:rsid w:val="005A698C"/>
    <w:rsid w:val="005A7D4E"/>
    <w:rsid w:val="005B0D62"/>
    <w:rsid w:val="005B3800"/>
    <w:rsid w:val="005B3B21"/>
    <w:rsid w:val="005B5807"/>
    <w:rsid w:val="005C1AF8"/>
    <w:rsid w:val="005C6682"/>
    <w:rsid w:val="005C7939"/>
    <w:rsid w:val="005C7E5E"/>
    <w:rsid w:val="005D45EB"/>
    <w:rsid w:val="005D470D"/>
    <w:rsid w:val="005D5F71"/>
    <w:rsid w:val="005E0799"/>
    <w:rsid w:val="005E104D"/>
    <w:rsid w:val="005E2988"/>
    <w:rsid w:val="005E7A67"/>
    <w:rsid w:val="005F0D76"/>
    <w:rsid w:val="005F253D"/>
    <w:rsid w:val="005F5A80"/>
    <w:rsid w:val="005F6CA4"/>
    <w:rsid w:val="0060083D"/>
    <w:rsid w:val="006009C9"/>
    <w:rsid w:val="0060333C"/>
    <w:rsid w:val="006039C0"/>
    <w:rsid w:val="006044FF"/>
    <w:rsid w:val="00607C1F"/>
    <w:rsid w:val="00607CC5"/>
    <w:rsid w:val="00611336"/>
    <w:rsid w:val="00613DB1"/>
    <w:rsid w:val="00616FDA"/>
    <w:rsid w:val="006220DA"/>
    <w:rsid w:val="00622953"/>
    <w:rsid w:val="00626512"/>
    <w:rsid w:val="00633014"/>
    <w:rsid w:val="0063437B"/>
    <w:rsid w:val="006352CF"/>
    <w:rsid w:val="00637C1E"/>
    <w:rsid w:val="00640790"/>
    <w:rsid w:val="00643236"/>
    <w:rsid w:val="0064774F"/>
    <w:rsid w:val="00647757"/>
    <w:rsid w:val="00650320"/>
    <w:rsid w:val="0065082D"/>
    <w:rsid w:val="00650F9C"/>
    <w:rsid w:val="006619BD"/>
    <w:rsid w:val="006640F6"/>
    <w:rsid w:val="00664BA1"/>
    <w:rsid w:val="00666ECA"/>
    <w:rsid w:val="006673CA"/>
    <w:rsid w:val="006677A2"/>
    <w:rsid w:val="00670458"/>
    <w:rsid w:val="00673017"/>
    <w:rsid w:val="00673C26"/>
    <w:rsid w:val="00673D6D"/>
    <w:rsid w:val="00674A8B"/>
    <w:rsid w:val="00675B16"/>
    <w:rsid w:val="00677DF4"/>
    <w:rsid w:val="006812AF"/>
    <w:rsid w:val="0068327D"/>
    <w:rsid w:val="006838EE"/>
    <w:rsid w:val="00684B13"/>
    <w:rsid w:val="00685123"/>
    <w:rsid w:val="00691225"/>
    <w:rsid w:val="00693CA3"/>
    <w:rsid w:val="00694AF0"/>
    <w:rsid w:val="006978DE"/>
    <w:rsid w:val="006A07DC"/>
    <w:rsid w:val="006A404B"/>
    <w:rsid w:val="006A4686"/>
    <w:rsid w:val="006A4AF9"/>
    <w:rsid w:val="006A578A"/>
    <w:rsid w:val="006B046A"/>
    <w:rsid w:val="006B0E9E"/>
    <w:rsid w:val="006B1AB4"/>
    <w:rsid w:val="006B208D"/>
    <w:rsid w:val="006B292D"/>
    <w:rsid w:val="006B4B96"/>
    <w:rsid w:val="006B5AE4"/>
    <w:rsid w:val="006C29E6"/>
    <w:rsid w:val="006C3E2A"/>
    <w:rsid w:val="006C4304"/>
    <w:rsid w:val="006C71AC"/>
    <w:rsid w:val="006D0120"/>
    <w:rsid w:val="006D0EA2"/>
    <w:rsid w:val="006D1507"/>
    <w:rsid w:val="006D4054"/>
    <w:rsid w:val="006D6B72"/>
    <w:rsid w:val="006E00B6"/>
    <w:rsid w:val="006E02EC"/>
    <w:rsid w:val="006E2976"/>
    <w:rsid w:val="006E2F89"/>
    <w:rsid w:val="006E31FE"/>
    <w:rsid w:val="006E5A5D"/>
    <w:rsid w:val="006E73D7"/>
    <w:rsid w:val="006E7A8A"/>
    <w:rsid w:val="006F2F1A"/>
    <w:rsid w:val="006F42BD"/>
    <w:rsid w:val="006F4F57"/>
    <w:rsid w:val="006F583A"/>
    <w:rsid w:val="006F5B40"/>
    <w:rsid w:val="006F713A"/>
    <w:rsid w:val="007000D0"/>
    <w:rsid w:val="00700B06"/>
    <w:rsid w:val="007015FE"/>
    <w:rsid w:val="007059D5"/>
    <w:rsid w:val="00705E23"/>
    <w:rsid w:val="0070644E"/>
    <w:rsid w:val="00706F0E"/>
    <w:rsid w:val="007100C6"/>
    <w:rsid w:val="00714169"/>
    <w:rsid w:val="007162EB"/>
    <w:rsid w:val="00717F48"/>
    <w:rsid w:val="00720447"/>
    <w:rsid w:val="007211B1"/>
    <w:rsid w:val="00722234"/>
    <w:rsid w:val="00722F6B"/>
    <w:rsid w:val="00724F7E"/>
    <w:rsid w:val="00730095"/>
    <w:rsid w:val="00733042"/>
    <w:rsid w:val="00733D55"/>
    <w:rsid w:val="00737BB2"/>
    <w:rsid w:val="0074249C"/>
    <w:rsid w:val="0074479C"/>
    <w:rsid w:val="00746187"/>
    <w:rsid w:val="007464A5"/>
    <w:rsid w:val="00747679"/>
    <w:rsid w:val="00752A67"/>
    <w:rsid w:val="00756E62"/>
    <w:rsid w:val="0075742C"/>
    <w:rsid w:val="00757DDA"/>
    <w:rsid w:val="00761070"/>
    <w:rsid w:val="007619A7"/>
    <w:rsid w:val="00761CA8"/>
    <w:rsid w:val="0076254F"/>
    <w:rsid w:val="00765BEE"/>
    <w:rsid w:val="00765D12"/>
    <w:rsid w:val="0077473D"/>
    <w:rsid w:val="0077490E"/>
    <w:rsid w:val="007764D0"/>
    <w:rsid w:val="007801F5"/>
    <w:rsid w:val="00780AC9"/>
    <w:rsid w:val="00781CF7"/>
    <w:rsid w:val="007824C9"/>
    <w:rsid w:val="007828D6"/>
    <w:rsid w:val="00783CA4"/>
    <w:rsid w:val="007842FB"/>
    <w:rsid w:val="00786124"/>
    <w:rsid w:val="00786328"/>
    <w:rsid w:val="0078645E"/>
    <w:rsid w:val="00786AE8"/>
    <w:rsid w:val="007874A9"/>
    <w:rsid w:val="0078756B"/>
    <w:rsid w:val="0079150A"/>
    <w:rsid w:val="0079372F"/>
    <w:rsid w:val="00794BF3"/>
    <w:rsid w:val="0079514B"/>
    <w:rsid w:val="00797175"/>
    <w:rsid w:val="00797CED"/>
    <w:rsid w:val="007A0AB2"/>
    <w:rsid w:val="007A1678"/>
    <w:rsid w:val="007A2DC1"/>
    <w:rsid w:val="007A4CF7"/>
    <w:rsid w:val="007B090C"/>
    <w:rsid w:val="007B0E24"/>
    <w:rsid w:val="007B1654"/>
    <w:rsid w:val="007B4C18"/>
    <w:rsid w:val="007B5CBB"/>
    <w:rsid w:val="007B6165"/>
    <w:rsid w:val="007B632D"/>
    <w:rsid w:val="007B6D51"/>
    <w:rsid w:val="007B74D8"/>
    <w:rsid w:val="007B7847"/>
    <w:rsid w:val="007C0655"/>
    <w:rsid w:val="007C302E"/>
    <w:rsid w:val="007C49C8"/>
    <w:rsid w:val="007C79FF"/>
    <w:rsid w:val="007D3319"/>
    <w:rsid w:val="007D335D"/>
    <w:rsid w:val="007D4522"/>
    <w:rsid w:val="007E1DB6"/>
    <w:rsid w:val="007E252E"/>
    <w:rsid w:val="007E2E61"/>
    <w:rsid w:val="007E3314"/>
    <w:rsid w:val="007E4B03"/>
    <w:rsid w:val="007E6CBB"/>
    <w:rsid w:val="007E7848"/>
    <w:rsid w:val="007F16D5"/>
    <w:rsid w:val="007F184E"/>
    <w:rsid w:val="007F324B"/>
    <w:rsid w:val="007F45AB"/>
    <w:rsid w:val="007F6D53"/>
    <w:rsid w:val="007F7B7B"/>
    <w:rsid w:val="00802A9A"/>
    <w:rsid w:val="00805383"/>
    <w:rsid w:val="0080553C"/>
    <w:rsid w:val="00805B46"/>
    <w:rsid w:val="0081116C"/>
    <w:rsid w:val="00812A2D"/>
    <w:rsid w:val="00814E26"/>
    <w:rsid w:val="00815D0F"/>
    <w:rsid w:val="00816BC7"/>
    <w:rsid w:val="00820B10"/>
    <w:rsid w:val="008219F7"/>
    <w:rsid w:val="008227DE"/>
    <w:rsid w:val="00822BF2"/>
    <w:rsid w:val="0082498D"/>
    <w:rsid w:val="00825BCC"/>
    <w:rsid w:val="00825DC2"/>
    <w:rsid w:val="008270D5"/>
    <w:rsid w:val="00831172"/>
    <w:rsid w:val="00831DEF"/>
    <w:rsid w:val="00834AD3"/>
    <w:rsid w:val="00837116"/>
    <w:rsid w:val="00837A63"/>
    <w:rsid w:val="00843795"/>
    <w:rsid w:val="00846193"/>
    <w:rsid w:val="0084642E"/>
    <w:rsid w:val="00847898"/>
    <w:rsid w:val="00847F0F"/>
    <w:rsid w:val="00852448"/>
    <w:rsid w:val="00853FF8"/>
    <w:rsid w:val="00855BEC"/>
    <w:rsid w:val="008568CD"/>
    <w:rsid w:val="00857606"/>
    <w:rsid w:val="00860B06"/>
    <w:rsid w:val="00863FFC"/>
    <w:rsid w:val="00865967"/>
    <w:rsid w:val="00873926"/>
    <w:rsid w:val="00875548"/>
    <w:rsid w:val="00875E9E"/>
    <w:rsid w:val="00876BFD"/>
    <w:rsid w:val="00877B12"/>
    <w:rsid w:val="00881F0B"/>
    <w:rsid w:val="0088258A"/>
    <w:rsid w:val="008832C4"/>
    <w:rsid w:val="00883763"/>
    <w:rsid w:val="00886332"/>
    <w:rsid w:val="00886943"/>
    <w:rsid w:val="008957B5"/>
    <w:rsid w:val="008A2173"/>
    <w:rsid w:val="008A26D9"/>
    <w:rsid w:val="008A720C"/>
    <w:rsid w:val="008B034B"/>
    <w:rsid w:val="008B2734"/>
    <w:rsid w:val="008B7CDC"/>
    <w:rsid w:val="008B7FAB"/>
    <w:rsid w:val="008C0C29"/>
    <w:rsid w:val="008C43C1"/>
    <w:rsid w:val="008C4EB6"/>
    <w:rsid w:val="008C73C5"/>
    <w:rsid w:val="008C7A01"/>
    <w:rsid w:val="008D357B"/>
    <w:rsid w:val="008D53FF"/>
    <w:rsid w:val="008E6EF2"/>
    <w:rsid w:val="008E778B"/>
    <w:rsid w:val="008E7FA8"/>
    <w:rsid w:val="008F2CC2"/>
    <w:rsid w:val="008F3638"/>
    <w:rsid w:val="008F4441"/>
    <w:rsid w:val="008F6F31"/>
    <w:rsid w:val="008F74DF"/>
    <w:rsid w:val="0090087E"/>
    <w:rsid w:val="0090345E"/>
    <w:rsid w:val="00903547"/>
    <w:rsid w:val="009127BA"/>
    <w:rsid w:val="00916353"/>
    <w:rsid w:val="00916782"/>
    <w:rsid w:val="00916C38"/>
    <w:rsid w:val="009170BA"/>
    <w:rsid w:val="009200FC"/>
    <w:rsid w:val="00920915"/>
    <w:rsid w:val="009227A6"/>
    <w:rsid w:val="00923104"/>
    <w:rsid w:val="009231D6"/>
    <w:rsid w:val="00923FCE"/>
    <w:rsid w:val="00930F95"/>
    <w:rsid w:val="00931CDD"/>
    <w:rsid w:val="009324DE"/>
    <w:rsid w:val="00932B19"/>
    <w:rsid w:val="00933B26"/>
    <w:rsid w:val="00933EC1"/>
    <w:rsid w:val="00936AB7"/>
    <w:rsid w:val="0095029C"/>
    <w:rsid w:val="0095033A"/>
    <w:rsid w:val="009530DB"/>
    <w:rsid w:val="00953676"/>
    <w:rsid w:val="00954B54"/>
    <w:rsid w:val="0095536D"/>
    <w:rsid w:val="009578BB"/>
    <w:rsid w:val="00960F0F"/>
    <w:rsid w:val="009705EE"/>
    <w:rsid w:val="00971240"/>
    <w:rsid w:val="00973EDB"/>
    <w:rsid w:val="00975F7E"/>
    <w:rsid w:val="00977927"/>
    <w:rsid w:val="0098068F"/>
    <w:rsid w:val="0098135C"/>
    <w:rsid w:val="0098156A"/>
    <w:rsid w:val="009833DF"/>
    <w:rsid w:val="00983C8A"/>
    <w:rsid w:val="0098460E"/>
    <w:rsid w:val="00985747"/>
    <w:rsid w:val="009866AF"/>
    <w:rsid w:val="009876F2"/>
    <w:rsid w:val="00987A4E"/>
    <w:rsid w:val="00990133"/>
    <w:rsid w:val="0099126C"/>
    <w:rsid w:val="00991BAC"/>
    <w:rsid w:val="00995216"/>
    <w:rsid w:val="009A0726"/>
    <w:rsid w:val="009A1D47"/>
    <w:rsid w:val="009A284B"/>
    <w:rsid w:val="009A427B"/>
    <w:rsid w:val="009A6EA0"/>
    <w:rsid w:val="009B05C5"/>
    <w:rsid w:val="009B1280"/>
    <w:rsid w:val="009B1399"/>
    <w:rsid w:val="009B2C6B"/>
    <w:rsid w:val="009B2F7E"/>
    <w:rsid w:val="009B57DD"/>
    <w:rsid w:val="009B5ABC"/>
    <w:rsid w:val="009C1335"/>
    <w:rsid w:val="009C156D"/>
    <w:rsid w:val="009C1AB2"/>
    <w:rsid w:val="009C5407"/>
    <w:rsid w:val="009C68F7"/>
    <w:rsid w:val="009C7251"/>
    <w:rsid w:val="009D35D1"/>
    <w:rsid w:val="009D48C2"/>
    <w:rsid w:val="009D50E2"/>
    <w:rsid w:val="009E0DC3"/>
    <w:rsid w:val="009E0FB6"/>
    <w:rsid w:val="009E1E41"/>
    <w:rsid w:val="009E2E91"/>
    <w:rsid w:val="009E3BF4"/>
    <w:rsid w:val="009E4892"/>
    <w:rsid w:val="009E5223"/>
    <w:rsid w:val="009F2047"/>
    <w:rsid w:val="009F2D33"/>
    <w:rsid w:val="009F5815"/>
    <w:rsid w:val="009F661F"/>
    <w:rsid w:val="009F7C8A"/>
    <w:rsid w:val="00A036A8"/>
    <w:rsid w:val="00A0519C"/>
    <w:rsid w:val="00A07F00"/>
    <w:rsid w:val="00A12435"/>
    <w:rsid w:val="00A139F5"/>
    <w:rsid w:val="00A202B4"/>
    <w:rsid w:val="00A2136A"/>
    <w:rsid w:val="00A221A2"/>
    <w:rsid w:val="00A2273C"/>
    <w:rsid w:val="00A238D5"/>
    <w:rsid w:val="00A2475E"/>
    <w:rsid w:val="00A24CEE"/>
    <w:rsid w:val="00A24EC7"/>
    <w:rsid w:val="00A25CCA"/>
    <w:rsid w:val="00A25FF0"/>
    <w:rsid w:val="00A26BCC"/>
    <w:rsid w:val="00A27261"/>
    <w:rsid w:val="00A27DC9"/>
    <w:rsid w:val="00A33F84"/>
    <w:rsid w:val="00A34A3F"/>
    <w:rsid w:val="00A34C24"/>
    <w:rsid w:val="00A35421"/>
    <w:rsid w:val="00A365F4"/>
    <w:rsid w:val="00A37CE0"/>
    <w:rsid w:val="00A460E6"/>
    <w:rsid w:val="00A46BD5"/>
    <w:rsid w:val="00A47D80"/>
    <w:rsid w:val="00A51E49"/>
    <w:rsid w:val="00A52D14"/>
    <w:rsid w:val="00A53132"/>
    <w:rsid w:val="00A55280"/>
    <w:rsid w:val="00A563F2"/>
    <w:rsid w:val="00A566E8"/>
    <w:rsid w:val="00A65705"/>
    <w:rsid w:val="00A671AE"/>
    <w:rsid w:val="00A7022E"/>
    <w:rsid w:val="00A70AFB"/>
    <w:rsid w:val="00A74445"/>
    <w:rsid w:val="00A76691"/>
    <w:rsid w:val="00A810F9"/>
    <w:rsid w:val="00A81781"/>
    <w:rsid w:val="00A86ECC"/>
    <w:rsid w:val="00A86FCC"/>
    <w:rsid w:val="00A87C7E"/>
    <w:rsid w:val="00A94476"/>
    <w:rsid w:val="00A9718A"/>
    <w:rsid w:val="00AA293B"/>
    <w:rsid w:val="00AA4416"/>
    <w:rsid w:val="00AA499B"/>
    <w:rsid w:val="00AA710D"/>
    <w:rsid w:val="00AA7119"/>
    <w:rsid w:val="00AB1A9B"/>
    <w:rsid w:val="00AB1E44"/>
    <w:rsid w:val="00AB3FB5"/>
    <w:rsid w:val="00AB6D25"/>
    <w:rsid w:val="00AB7D89"/>
    <w:rsid w:val="00AC3A14"/>
    <w:rsid w:val="00AC3E05"/>
    <w:rsid w:val="00AC6C54"/>
    <w:rsid w:val="00AC7483"/>
    <w:rsid w:val="00AC76BB"/>
    <w:rsid w:val="00AC7FA4"/>
    <w:rsid w:val="00AD1BBD"/>
    <w:rsid w:val="00AD2387"/>
    <w:rsid w:val="00AD2BA7"/>
    <w:rsid w:val="00AD4947"/>
    <w:rsid w:val="00AD7994"/>
    <w:rsid w:val="00AE1D05"/>
    <w:rsid w:val="00AE20FD"/>
    <w:rsid w:val="00AE2D4B"/>
    <w:rsid w:val="00AE3075"/>
    <w:rsid w:val="00AE32EA"/>
    <w:rsid w:val="00AE3D89"/>
    <w:rsid w:val="00AE4F99"/>
    <w:rsid w:val="00AE55E4"/>
    <w:rsid w:val="00AF38BA"/>
    <w:rsid w:val="00AF3FAC"/>
    <w:rsid w:val="00AF5A02"/>
    <w:rsid w:val="00AF6A14"/>
    <w:rsid w:val="00B04DD4"/>
    <w:rsid w:val="00B05ABF"/>
    <w:rsid w:val="00B05CEA"/>
    <w:rsid w:val="00B11721"/>
    <w:rsid w:val="00B1188B"/>
    <w:rsid w:val="00B11B69"/>
    <w:rsid w:val="00B14952"/>
    <w:rsid w:val="00B15058"/>
    <w:rsid w:val="00B15BF3"/>
    <w:rsid w:val="00B16AF1"/>
    <w:rsid w:val="00B20525"/>
    <w:rsid w:val="00B22193"/>
    <w:rsid w:val="00B23A98"/>
    <w:rsid w:val="00B24394"/>
    <w:rsid w:val="00B24B66"/>
    <w:rsid w:val="00B27F51"/>
    <w:rsid w:val="00B317CB"/>
    <w:rsid w:val="00B31E5A"/>
    <w:rsid w:val="00B322EC"/>
    <w:rsid w:val="00B3255C"/>
    <w:rsid w:val="00B32B44"/>
    <w:rsid w:val="00B349BC"/>
    <w:rsid w:val="00B4171D"/>
    <w:rsid w:val="00B4269A"/>
    <w:rsid w:val="00B54D43"/>
    <w:rsid w:val="00B56B8D"/>
    <w:rsid w:val="00B57B02"/>
    <w:rsid w:val="00B606DD"/>
    <w:rsid w:val="00B609CE"/>
    <w:rsid w:val="00B653AB"/>
    <w:rsid w:val="00B65CEF"/>
    <w:rsid w:val="00B65F9E"/>
    <w:rsid w:val="00B66B19"/>
    <w:rsid w:val="00B71133"/>
    <w:rsid w:val="00B7305F"/>
    <w:rsid w:val="00B74BE2"/>
    <w:rsid w:val="00B7583E"/>
    <w:rsid w:val="00B8057F"/>
    <w:rsid w:val="00B82E6C"/>
    <w:rsid w:val="00B834FA"/>
    <w:rsid w:val="00B841AF"/>
    <w:rsid w:val="00B85D58"/>
    <w:rsid w:val="00B914E9"/>
    <w:rsid w:val="00B921FC"/>
    <w:rsid w:val="00B939B5"/>
    <w:rsid w:val="00B93CB1"/>
    <w:rsid w:val="00B94737"/>
    <w:rsid w:val="00B956EE"/>
    <w:rsid w:val="00B97152"/>
    <w:rsid w:val="00BA05D8"/>
    <w:rsid w:val="00BA1326"/>
    <w:rsid w:val="00BA2BA1"/>
    <w:rsid w:val="00BA3562"/>
    <w:rsid w:val="00BA495E"/>
    <w:rsid w:val="00BA5009"/>
    <w:rsid w:val="00BA5A42"/>
    <w:rsid w:val="00BB2F35"/>
    <w:rsid w:val="00BB4AC2"/>
    <w:rsid w:val="00BB4F09"/>
    <w:rsid w:val="00BC4896"/>
    <w:rsid w:val="00BC515D"/>
    <w:rsid w:val="00BC5C8D"/>
    <w:rsid w:val="00BC6560"/>
    <w:rsid w:val="00BC6D4A"/>
    <w:rsid w:val="00BC7D35"/>
    <w:rsid w:val="00BD375E"/>
    <w:rsid w:val="00BD3992"/>
    <w:rsid w:val="00BD49C9"/>
    <w:rsid w:val="00BD4E33"/>
    <w:rsid w:val="00BD7BDE"/>
    <w:rsid w:val="00BE145F"/>
    <w:rsid w:val="00BE1CFB"/>
    <w:rsid w:val="00BE3505"/>
    <w:rsid w:val="00BE3D40"/>
    <w:rsid w:val="00BE5495"/>
    <w:rsid w:val="00BE778D"/>
    <w:rsid w:val="00BE7831"/>
    <w:rsid w:val="00BF4927"/>
    <w:rsid w:val="00BF49E5"/>
    <w:rsid w:val="00BF4ABF"/>
    <w:rsid w:val="00BF50B1"/>
    <w:rsid w:val="00BF68FE"/>
    <w:rsid w:val="00BF6F12"/>
    <w:rsid w:val="00C00EDA"/>
    <w:rsid w:val="00C0123A"/>
    <w:rsid w:val="00C030DE"/>
    <w:rsid w:val="00C04FEC"/>
    <w:rsid w:val="00C05CCE"/>
    <w:rsid w:val="00C06D50"/>
    <w:rsid w:val="00C12384"/>
    <w:rsid w:val="00C123F4"/>
    <w:rsid w:val="00C12A2C"/>
    <w:rsid w:val="00C141A0"/>
    <w:rsid w:val="00C15200"/>
    <w:rsid w:val="00C1559E"/>
    <w:rsid w:val="00C163E1"/>
    <w:rsid w:val="00C22105"/>
    <w:rsid w:val="00C2259D"/>
    <w:rsid w:val="00C244B6"/>
    <w:rsid w:val="00C27D75"/>
    <w:rsid w:val="00C303F7"/>
    <w:rsid w:val="00C32F2B"/>
    <w:rsid w:val="00C348B0"/>
    <w:rsid w:val="00C36C85"/>
    <w:rsid w:val="00C3702F"/>
    <w:rsid w:val="00C40A97"/>
    <w:rsid w:val="00C413DD"/>
    <w:rsid w:val="00C4278C"/>
    <w:rsid w:val="00C43656"/>
    <w:rsid w:val="00C4500A"/>
    <w:rsid w:val="00C5002D"/>
    <w:rsid w:val="00C52267"/>
    <w:rsid w:val="00C52277"/>
    <w:rsid w:val="00C52893"/>
    <w:rsid w:val="00C52B9D"/>
    <w:rsid w:val="00C54E5E"/>
    <w:rsid w:val="00C55977"/>
    <w:rsid w:val="00C55C91"/>
    <w:rsid w:val="00C56E8E"/>
    <w:rsid w:val="00C64A37"/>
    <w:rsid w:val="00C67619"/>
    <w:rsid w:val="00C71465"/>
    <w:rsid w:val="00C7158E"/>
    <w:rsid w:val="00C7250B"/>
    <w:rsid w:val="00C72F55"/>
    <w:rsid w:val="00C7346B"/>
    <w:rsid w:val="00C74548"/>
    <w:rsid w:val="00C7499C"/>
    <w:rsid w:val="00C77C0E"/>
    <w:rsid w:val="00C77D75"/>
    <w:rsid w:val="00C77DAE"/>
    <w:rsid w:val="00C8000E"/>
    <w:rsid w:val="00C8596C"/>
    <w:rsid w:val="00C85FF2"/>
    <w:rsid w:val="00C870B3"/>
    <w:rsid w:val="00C90542"/>
    <w:rsid w:val="00C90979"/>
    <w:rsid w:val="00C91687"/>
    <w:rsid w:val="00C91DF2"/>
    <w:rsid w:val="00C924A8"/>
    <w:rsid w:val="00C9296C"/>
    <w:rsid w:val="00C92F37"/>
    <w:rsid w:val="00C945FE"/>
    <w:rsid w:val="00C950B4"/>
    <w:rsid w:val="00C965E8"/>
    <w:rsid w:val="00C96FAA"/>
    <w:rsid w:val="00C97A04"/>
    <w:rsid w:val="00CA107B"/>
    <w:rsid w:val="00CA247A"/>
    <w:rsid w:val="00CA484D"/>
    <w:rsid w:val="00CA4FB6"/>
    <w:rsid w:val="00CA7A1E"/>
    <w:rsid w:val="00CB12B9"/>
    <w:rsid w:val="00CB7FCC"/>
    <w:rsid w:val="00CC0993"/>
    <w:rsid w:val="00CC2CA1"/>
    <w:rsid w:val="00CC739E"/>
    <w:rsid w:val="00CD1E2E"/>
    <w:rsid w:val="00CD58B7"/>
    <w:rsid w:val="00CD686C"/>
    <w:rsid w:val="00CF38F9"/>
    <w:rsid w:val="00CF4099"/>
    <w:rsid w:val="00D00796"/>
    <w:rsid w:val="00D014A0"/>
    <w:rsid w:val="00D014CA"/>
    <w:rsid w:val="00D02D2C"/>
    <w:rsid w:val="00D1112D"/>
    <w:rsid w:val="00D13953"/>
    <w:rsid w:val="00D13BE7"/>
    <w:rsid w:val="00D1537F"/>
    <w:rsid w:val="00D16512"/>
    <w:rsid w:val="00D179E4"/>
    <w:rsid w:val="00D2072B"/>
    <w:rsid w:val="00D22C4F"/>
    <w:rsid w:val="00D22F3F"/>
    <w:rsid w:val="00D230B7"/>
    <w:rsid w:val="00D2483A"/>
    <w:rsid w:val="00D261A2"/>
    <w:rsid w:val="00D273A2"/>
    <w:rsid w:val="00D34017"/>
    <w:rsid w:val="00D35294"/>
    <w:rsid w:val="00D4181F"/>
    <w:rsid w:val="00D4466E"/>
    <w:rsid w:val="00D44836"/>
    <w:rsid w:val="00D47534"/>
    <w:rsid w:val="00D478C0"/>
    <w:rsid w:val="00D5188B"/>
    <w:rsid w:val="00D538E4"/>
    <w:rsid w:val="00D54284"/>
    <w:rsid w:val="00D608C9"/>
    <w:rsid w:val="00D616D2"/>
    <w:rsid w:val="00D62BD1"/>
    <w:rsid w:val="00D62BD2"/>
    <w:rsid w:val="00D63B5F"/>
    <w:rsid w:val="00D64849"/>
    <w:rsid w:val="00D65E7E"/>
    <w:rsid w:val="00D6611E"/>
    <w:rsid w:val="00D7066F"/>
    <w:rsid w:val="00D70EF7"/>
    <w:rsid w:val="00D72BB0"/>
    <w:rsid w:val="00D72CD2"/>
    <w:rsid w:val="00D7444B"/>
    <w:rsid w:val="00D757F2"/>
    <w:rsid w:val="00D75ADE"/>
    <w:rsid w:val="00D815F5"/>
    <w:rsid w:val="00D8397C"/>
    <w:rsid w:val="00D87084"/>
    <w:rsid w:val="00D91CC9"/>
    <w:rsid w:val="00D92F18"/>
    <w:rsid w:val="00D94EED"/>
    <w:rsid w:val="00D96026"/>
    <w:rsid w:val="00DA0243"/>
    <w:rsid w:val="00DA1FC9"/>
    <w:rsid w:val="00DA259D"/>
    <w:rsid w:val="00DA3908"/>
    <w:rsid w:val="00DA433C"/>
    <w:rsid w:val="00DA56D1"/>
    <w:rsid w:val="00DA7C1C"/>
    <w:rsid w:val="00DB08AC"/>
    <w:rsid w:val="00DB147A"/>
    <w:rsid w:val="00DB1B7A"/>
    <w:rsid w:val="00DB2762"/>
    <w:rsid w:val="00DB4F3C"/>
    <w:rsid w:val="00DB59DA"/>
    <w:rsid w:val="00DB651B"/>
    <w:rsid w:val="00DB65D4"/>
    <w:rsid w:val="00DB7AA0"/>
    <w:rsid w:val="00DC15CA"/>
    <w:rsid w:val="00DC6708"/>
    <w:rsid w:val="00DD2FF8"/>
    <w:rsid w:val="00DD3249"/>
    <w:rsid w:val="00DD5B9B"/>
    <w:rsid w:val="00DD7785"/>
    <w:rsid w:val="00DD7A58"/>
    <w:rsid w:val="00DE341A"/>
    <w:rsid w:val="00DE7B65"/>
    <w:rsid w:val="00DF712D"/>
    <w:rsid w:val="00DF7C13"/>
    <w:rsid w:val="00E005DC"/>
    <w:rsid w:val="00E00D3B"/>
    <w:rsid w:val="00E01436"/>
    <w:rsid w:val="00E0173C"/>
    <w:rsid w:val="00E0349E"/>
    <w:rsid w:val="00E045BD"/>
    <w:rsid w:val="00E056D9"/>
    <w:rsid w:val="00E11028"/>
    <w:rsid w:val="00E11099"/>
    <w:rsid w:val="00E1284C"/>
    <w:rsid w:val="00E146D1"/>
    <w:rsid w:val="00E15DFD"/>
    <w:rsid w:val="00E17A9F"/>
    <w:rsid w:val="00E17B77"/>
    <w:rsid w:val="00E23337"/>
    <w:rsid w:val="00E2484A"/>
    <w:rsid w:val="00E259EA"/>
    <w:rsid w:val="00E25C1F"/>
    <w:rsid w:val="00E266B2"/>
    <w:rsid w:val="00E27E85"/>
    <w:rsid w:val="00E30793"/>
    <w:rsid w:val="00E32061"/>
    <w:rsid w:val="00E35767"/>
    <w:rsid w:val="00E41CA5"/>
    <w:rsid w:val="00E41FCF"/>
    <w:rsid w:val="00E4234B"/>
    <w:rsid w:val="00E42FF9"/>
    <w:rsid w:val="00E44C7E"/>
    <w:rsid w:val="00E44FA9"/>
    <w:rsid w:val="00E4714C"/>
    <w:rsid w:val="00E5084E"/>
    <w:rsid w:val="00E51AEB"/>
    <w:rsid w:val="00E522A7"/>
    <w:rsid w:val="00E52681"/>
    <w:rsid w:val="00E52E39"/>
    <w:rsid w:val="00E54452"/>
    <w:rsid w:val="00E560F6"/>
    <w:rsid w:val="00E5639F"/>
    <w:rsid w:val="00E565EA"/>
    <w:rsid w:val="00E5790D"/>
    <w:rsid w:val="00E57C17"/>
    <w:rsid w:val="00E60C77"/>
    <w:rsid w:val="00E63060"/>
    <w:rsid w:val="00E632E1"/>
    <w:rsid w:val="00E63984"/>
    <w:rsid w:val="00E6448F"/>
    <w:rsid w:val="00E6463D"/>
    <w:rsid w:val="00E651E3"/>
    <w:rsid w:val="00E65A0C"/>
    <w:rsid w:val="00E664C5"/>
    <w:rsid w:val="00E671A2"/>
    <w:rsid w:val="00E72863"/>
    <w:rsid w:val="00E74509"/>
    <w:rsid w:val="00E7566E"/>
    <w:rsid w:val="00E75E7E"/>
    <w:rsid w:val="00E76307"/>
    <w:rsid w:val="00E76D26"/>
    <w:rsid w:val="00E80F67"/>
    <w:rsid w:val="00E82EDF"/>
    <w:rsid w:val="00E93515"/>
    <w:rsid w:val="00EA0F2D"/>
    <w:rsid w:val="00EA1451"/>
    <w:rsid w:val="00EA5C3C"/>
    <w:rsid w:val="00EA5DBF"/>
    <w:rsid w:val="00EB02C9"/>
    <w:rsid w:val="00EB09B0"/>
    <w:rsid w:val="00EB1390"/>
    <w:rsid w:val="00EB2C71"/>
    <w:rsid w:val="00EB4142"/>
    <w:rsid w:val="00EB4340"/>
    <w:rsid w:val="00EB556D"/>
    <w:rsid w:val="00EB5A7D"/>
    <w:rsid w:val="00EC5B0F"/>
    <w:rsid w:val="00ED3475"/>
    <w:rsid w:val="00ED41E6"/>
    <w:rsid w:val="00ED55C0"/>
    <w:rsid w:val="00ED619B"/>
    <w:rsid w:val="00ED682B"/>
    <w:rsid w:val="00ED71DD"/>
    <w:rsid w:val="00EE07FB"/>
    <w:rsid w:val="00EE3D2D"/>
    <w:rsid w:val="00EE41D5"/>
    <w:rsid w:val="00EE447E"/>
    <w:rsid w:val="00EE49FD"/>
    <w:rsid w:val="00EE696D"/>
    <w:rsid w:val="00EF7B36"/>
    <w:rsid w:val="00F0048C"/>
    <w:rsid w:val="00F02FE5"/>
    <w:rsid w:val="00F031E7"/>
    <w:rsid w:val="00F037A4"/>
    <w:rsid w:val="00F11405"/>
    <w:rsid w:val="00F12FEC"/>
    <w:rsid w:val="00F14357"/>
    <w:rsid w:val="00F161D3"/>
    <w:rsid w:val="00F16CA6"/>
    <w:rsid w:val="00F17C38"/>
    <w:rsid w:val="00F20448"/>
    <w:rsid w:val="00F20881"/>
    <w:rsid w:val="00F24783"/>
    <w:rsid w:val="00F26013"/>
    <w:rsid w:val="00F268A5"/>
    <w:rsid w:val="00F27C8F"/>
    <w:rsid w:val="00F30570"/>
    <w:rsid w:val="00F30A0C"/>
    <w:rsid w:val="00F32588"/>
    <w:rsid w:val="00F32749"/>
    <w:rsid w:val="00F360EB"/>
    <w:rsid w:val="00F36E2D"/>
    <w:rsid w:val="00F37172"/>
    <w:rsid w:val="00F418EF"/>
    <w:rsid w:val="00F428ED"/>
    <w:rsid w:val="00F42CF6"/>
    <w:rsid w:val="00F4477E"/>
    <w:rsid w:val="00F45717"/>
    <w:rsid w:val="00F472F8"/>
    <w:rsid w:val="00F50C9C"/>
    <w:rsid w:val="00F510DE"/>
    <w:rsid w:val="00F531E1"/>
    <w:rsid w:val="00F65469"/>
    <w:rsid w:val="00F65EEC"/>
    <w:rsid w:val="00F6637E"/>
    <w:rsid w:val="00F66EF7"/>
    <w:rsid w:val="00F67D8F"/>
    <w:rsid w:val="00F71162"/>
    <w:rsid w:val="00F72954"/>
    <w:rsid w:val="00F739B3"/>
    <w:rsid w:val="00F74926"/>
    <w:rsid w:val="00F74B10"/>
    <w:rsid w:val="00F76BDA"/>
    <w:rsid w:val="00F80247"/>
    <w:rsid w:val="00F802BE"/>
    <w:rsid w:val="00F80E93"/>
    <w:rsid w:val="00F8350E"/>
    <w:rsid w:val="00F86024"/>
    <w:rsid w:val="00F86119"/>
    <w:rsid w:val="00F8611A"/>
    <w:rsid w:val="00F866F2"/>
    <w:rsid w:val="00F86C02"/>
    <w:rsid w:val="00F86DF5"/>
    <w:rsid w:val="00F90BB1"/>
    <w:rsid w:val="00F9121B"/>
    <w:rsid w:val="00F91C76"/>
    <w:rsid w:val="00F9358F"/>
    <w:rsid w:val="00F93B25"/>
    <w:rsid w:val="00F93C39"/>
    <w:rsid w:val="00F9518C"/>
    <w:rsid w:val="00F952B9"/>
    <w:rsid w:val="00F961E4"/>
    <w:rsid w:val="00F968F6"/>
    <w:rsid w:val="00FA5128"/>
    <w:rsid w:val="00FA5BDD"/>
    <w:rsid w:val="00FB13F8"/>
    <w:rsid w:val="00FB2A1E"/>
    <w:rsid w:val="00FB42D4"/>
    <w:rsid w:val="00FB5906"/>
    <w:rsid w:val="00FB762F"/>
    <w:rsid w:val="00FB76CE"/>
    <w:rsid w:val="00FC1EA0"/>
    <w:rsid w:val="00FC2590"/>
    <w:rsid w:val="00FC2AED"/>
    <w:rsid w:val="00FC6342"/>
    <w:rsid w:val="00FD0589"/>
    <w:rsid w:val="00FD3DC6"/>
    <w:rsid w:val="00FD4F05"/>
    <w:rsid w:val="00FD5EA7"/>
    <w:rsid w:val="00FE2FEC"/>
    <w:rsid w:val="00FE54FA"/>
    <w:rsid w:val="00FF314D"/>
    <w:rsid w:val="00FF76E1"/>
    <w:rsid w:val="00FF7E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EE114"/>
  <w15:docId w15:val="{04BBD487-149A-467B-8E63-14FA783DA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693CA3"/>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semiHidden/>
    <w:unhideWhenUsed/>
    <w:qFormat/>
    <w:rsid w:val="009C156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68512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7Znak">
    <w:name w:val="Nagłówek 7 Znak"/>
    <w:basedOn w:val="Domylnaczcionkaakapitu"/>
    <w:link w:val="Nagwek7"/>
    <w:uiPriority w:val="9"/>
    <w:semiHidden/>
    <w:rsid w:val="009C156D"/>
    <w:rPr>
      <w:rFonts w:asciiTheme="majorHAnsi" w:eastAsiaTheme="majorEastAsia" w:hAnsiTheme="majorHAnsi" w:cstheme="majorBidi"/>
      <w:i/>
      <w:iCs/>
      <w:color w:val="1F4D78" w:themeColor="accent1" w:themeShade="7F"/>
      <w:sz w:val="19"/>
    </w:rPr>
  </w:style>
  <w:style w:type="paragraph" w:styleId="NormalnyWeb">
    <w:name w:val="Normal (Web)"/>
    <w:basedOn w:val="Normalny"/>
    <w:uiPriority w:val="99"/>
    <w:semiHidden/>
    <w:unhideWhenUsed/>
    <w:rsid w:val="009D50E2"/>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UyteHipercze">
    <w:name w:val="FollowedHyperlink"/>
    <w:basedOn w:val="Domylnaczcionkaakapitu"/>
    <w:uiPriority w:val="99"/>
    <w:semiHidden/>
    <w:unhideWhenUsed/>
    <w:rsid w:val="00BE7831"/>
    <w:rPr>
      <w:color w:val="954F72" w:themeColor="followedHyperlink"/>
      <w:u w:val="single"/>
    </w:rPr>
  </w:style>
  <w:style w:type="paragraph" w:styleId="Tekstprzypisukocowego">
    <w:name w:val="endnote text"/>
    <w:basedOn w:val="Normalny"/>
    <w:link w:val="TekstprzypisukocowegoZnak"/>
    <w:uiPriority w:val="99"/>
    <w:semiHidden/>
    <w:unhideWhenUsed/>
    <w:rsid w:val="004160D3"/>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160D3"/>
    <w:rPr>
      <w:rFonts w:ascii="Fira Sans" w:hAnsi="Fira Sans"/>
      <w:sz w:val="20"/>
      <w:szCs w:val="20"/>
    </w:rPr>
  </w:style>
  <w:style w:type="character" w:styleId="Odwoanieprzypisukocowego">
    <w:name w:val="endnote reference"/>
    <w:basedOn w:val="Domylnaczcionkaakapitu"/>
    <w:uiPriority w:val="99"/>
    <w:semiHidden/>
    <w:unhideWhenUsed/>
    <w:rsid w:val="004160D3"/>
    <w:rPr>
      <w:vertAlign w:val="superscript"/>
    </w:rPr>
  </w:style>
  <w:style w:type="character" w:styleId="Odwoaniedokomentarza">
    <w:name w:val="annotation reference"/>
    <w:basedOn w:val="Domylnaczcionkaakapitu"/>
    <w:uiPriority w:val="99"/>
    <w:semiHidden/>
    <w:unhideWhenUsed/>
    <w:rsid w:val="00AE3D89"/>
    <w:rPr>
      <w:sz w:val="16"/>
      <w:szCs w:val="16"/>
    </w:rPr>
  </w:style>
  <w:style w:type="paragraph" w:styleId="Tekstkomentarza">
    <w:name w:val="annotation text"/>
    <w:basedOn w:val="Normalny"/>
    <w:link w:val="TekstkomentarzaZnak"/>
    <w:uiPriority w:val="99"/>
    <w:semiHidden/>
    <w:unhideWhenUsed/>
    <w:rsid w:val="00AE3D8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E3D89"/>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AE3D89"/>
    <w:rPr>
      <w:b/>
      <w:bCs/>
    </w:rPr>
  </w:style>
  <w:style w:type="character" w:customStyle="1" w:styleId="TematkomentarzaZnak">
    <w:name w:val="Temat komentarza Znak"/>
    <w:basedOn w:val="TekstkomentarzaZnak"/>
    <w:link w:val="Tematkomentarza"/>
    <w:uiPriority w:val="99"/>
    <w:semiHidden/>
    <w:rsid w:val="00AE3D89"/>
    <w:rPr>
      <w:rFonts w:ascii="Fira Sans" w:hAnsi="Fira Sans"/>
      <w:b/>
      <w:bCs/>
      <w:sz w:val="20"/>
      <w:szCs w:val="20"/>
    </w:rPr>
  </w:style>
  <w:style w:type="character" w:customStyle="1" w:styleId="e24kjd">
    <w:name w:val="e24kjd"/>
    <w:basedOn w:val="Domylnaczcionkaakapitu"/>
    <w:rsid w:val="000E7917"/>
  </w:style>
  <w:style w:type="paragraph" w:styleId="Poprawka">
    <w:name w:val="Revision"/>
    <w:hidden/>
    <w:uiPriority w:val="99"/>
    <w:semiHidden/>
    <w:rsid w:val="00531957"/>
    <w:pPr>
      <w:spacing w:after="0" w:line="240" w:lineRule="auto"/>
    </w:pPr>
    <w:rPr>
      <w:rFonts w:ascii="Fira Sans" w:hAnsi="Fira Sans"/>
      <w:sz w:val="19"/>
    </w:rPr>
  </w:style>
  <w:style w:type="character" w:customStyle="1" w:styleId="Nierozpoznanawzmianka1">
    <w:name w:val="Nierozpoznana wzmianka1"/>
    <w:basedOn w:val="Domylnaczcionkaakapitu"/>
    <w:uiPriority w:val="99"/>
    <w:semiHidden/>
    <w:unhideWhenUsed/>
    <w:rsid w:val="00F41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11023">
      <w:bodyDiv w:val="1"/>
      <w:marLeft w:val="0"/>
      <w:marRight w:val="0"/>
      <w:marTop w:val="0"/>
      <w:marBottom w:val="0"/>
      <w:divBdr>
        <w:top w:val="none" w:sz="0" w:space="0" w:color="auto"/>
        <w:left w:val="none" w:sz="0" w:space="0" w:color="auto"/>
        <w:bottom w:val="none" w:sz="0" w:space="0" w:color="auto"/>
        <w:right w:val="none" w:sz="0" w:space="0" w:color="auto"/>
      </w:divBdr>
    </w:div>
    <w:div w:id="211698313">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1229171">
      <w:bodyDiv w:val="1"/>
      <w:marLeft w:val="0"/>
      <w:marRight w:val="0"/>
      <w:marTop w:val="0"/>
      <w:marBottom w:val="0"/>
      <w:divBdr>
        <w:top w:val="none" w:sz="0" w:space="0" w:color="auto"/>
        <w:left w:val="none" w:sz="0" w:space="0" w:color="auto"/>
        <w:bottom w:val="none" w:sz="0" w:space="0" w:color="auto"/>
        <w:right w:val="none" w:sz="0" w:space="0" w:color="auto"/>
      </w:divBdr>
    </w:div>
    <w:div w:id="8053177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7951454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44086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yperlink" Target="mailto:rzecznik@stat.gov.pl" TargetMode="External"/><Relationship Id="rId39" Type="http://schemas.openxmlformats.org/officeDocument/2006/relationships/hyperlink" Target="http://swaid.stat.gov.pl/WarunkiZyciaLudnosci_dashboards/Raporty_predefiniowane/RAP_DBD_WZL_10.aspx" TargetMode="External"/><Relationship Id="rId21" Type="http://schemas.openxmlformats.org/officeDocument/2006/relationships/chart" Target="charts/chart11.xml"/><Relationship Id="rId34" Type="http://schemas.openxmlformats.org/officeDocument/2006/relationships/hyperlink" Target="https://stat.gov.pl/obszary-tematyczne/warunki-zycia/dochody-wydatki-i-warunki-zycia-ludnosci/sytuacja-gospodarstw-domowych-w-2020-r-w-swietle-badania-budzetow-gospodarstw-domowych,3,20.html" TargetMode="External"/><Relationship Id="rId42" Type="http://schemas.openxmlformats.org/officeDocument/2006/relationships/hyperlink" Target="http://stat.gov.pl/metainformacje/slownik-pojec/pojecia-stosowane-w-statystyce-publicznej/3215,pojecie.html" TargetMode="External"/><Relationship Id="rId47" Type="http://schemas.openxmlformats.org/officeDocument/2006/relationships/hyperlink" Target="https://stat.gov.pl/obszary-tematyczne/warunki-zycia/dochody-wydatki-i-warunki-zycia-ludnosci/dochody-i-warunki-zycia-ludnosci-polski-raport-z-badania-eu-silc-2019,6,13.html" TargetMode="External"/><Relationship Id="rId50" Type="http://schemas.openxmlformats.org/officeDocument/2006/relationships/hyperlink" Target="https://bdl.stat.gov.pl/BDL/metadane/cechy/2713?back=True" TargetMode="External"/><Relationship Id="rId55" Type="http://schemas.openxmlformats.org/officeDocument/2006/relationships/hyperlink" Target="http://stat.gov.pl/metainformacje/slownik-pojec/pojecia-stosowane-w-statystyce-publicznej/3217,pojecie.ht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6.xml"/><Relationship Id="rId29" Type="http://schemas.openxmlformats.org/officeDocument/2006/relationships/hyperlink" Target="http://stat.gov.pl/" TargetMode="External"/><Relationship Id="rId11" Type="http://schemas.openxmlformats.org/officeDocument/2006/relationships/chart" Target="charts/chart1.xml"/><Relationship Id="rId24" Type="http://schemas.openxmlformats.org/officeDocument/2006/relationships/header" Target="header2.xml"/><Relationship Id="rId32" Type="http://schemas.openxmlformats.org/officeDocument/2006/relationships/hyperlink" Target="https://stat.gov.pl/obszary-tematyczne/warunki-zycia/ubostwo-pomoc-spoleczna/zasieg-ubostwa-ekonomicznego-w-polsce-w-2019-roku,14,7.html" TargetMode="External"/><Relationship Id="rId37" Type="http://schemas.openxmlformats.org/officeDocument/2006/relationships/hyperlink" Target="https://www.ipiss.com.pl/?zaklady=minimum-egzystencji-2" TargetMode="External"/><Relationship Id="rId40" Type="http://schemas.openxmlformats.org/officeDocument/2006/relationships/hyperlink" Target="http://swaid.stat.gov.pl/WarunkiZyciaLudnosci_dashboards/Raporty_predefiniowane/RAP_DBD_WZL_11.aspx" TargetMode="External"/><Relationship Id="rId45" Type="http://schemas.openxmlformats.org/officeDocument/2006/relationships/hyperlink" Target="https://stat.gov.pl/obszary-tematyczne/warunki-zycia/ubostwo-pomoc-spoleczna/rozne-oblicza-ubostwa-w-polsce-w-2015-r-i-2018-r-na-podstawie-badania-spojnosci-spolecznej,21,1.html" TargetMode="External"/><Relationship Id="rId53" Type="http://schemas.openxmlformats.org/officeDocument/2006/relationships/hyperlink" Target="http://stat.gov.pl/metainformacje/slownik-pojec/pojecia-stosowane-w-statystyce-publicznej/3214,pojecie.html"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chart" Target="charts/chart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header" Target="header1.xml"/><Relationship Id="rId27" Type="http://schemas.openxmlformats.org/officeDocument/2006/relationships/hyperlink" Target="mailto:obslugaprasowa@stat.gov.pl" TargetMode="External"/><Relationship Id="rId30" Type="http://schemas.openxmlformats.org/officeDocument/2006/relationships/image" Target="media/image5.png"/><Relationship Id="rId35" Type="http://schemas.openxmlformats.org/officeDocument/2006/relationships/hyperlink" Target="https://stat.gov.pl/obszary-tematyczne/warunki-zycia/dochody-wydatki-i-warunki-zycia-ludnosci/dochody-i-warunki-zycia-ludnosci-polski-raport-z-badania-eu-silc-2019,6,13.html" TargetMode="External"/><Relationship Id="rId43" Type="http://schemas.openxmlformats.org/officeDocument/2006/relationships/hyperlink" Target="http://stat.gov.pl/metainformacje/slownik-pojec/pojecia-stosowane-w-statystyce-publicznej/3217,pojecie.html" TargetMode="External"/><Relationship Id="rId48" Type="http://schemas.openxmlformats.org/officeDocument/2006/relationships/hyperlink" Target="https://stat.gov.pl/obszary-tematyczne/warunki-zycia/ubostwo-pomoc-spoleczna/ubostwo-w-polsce-w-latach-2015-i-2016,1,8.html" TargetMode="External"/><Relationship Id="rId56"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waid.stat.gov.pl/WarunkiZyciaLudnosci_dashboards/Raporty_predefiniowane/RAP_DBD_WZL_10.aspx" TargetMode="External"/><Relationship Id="rId3" Type="http://schemas.openxmlformats.org/officeDocument/2006/relationships/customXml" Target="../customXml/item3.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oter" Target="footer2.xml"/><Relationship Id="rId33" Type="http://schemas.openxmlformats.org/officeDocument/2006/relationships/hyperlink" Target="https://stat.gov.pl/obszary-tematyczne/warunki-zycia/ubostwo-pomoc-spoleczna/rozne-oblicza-ubostwa-w-polsce-w-2015-r-i-2018-r-na-podstawie-badania-spojnosci-spolecznej,21,1.html" TargetMode="External"/><Relationship Id="rId38" Type="http://schemas.openxmlformats.org/officeDocument/2006/relationships/hyperlink" Target="https://bdl.stat.gov.pl/BDL/metadane/cechy/2713?back=True" TargetMode="External"/><Relationship Id="rId46" Type="http://schemas.openxmlformats.org/officeDocument/2006/relationships/hyperlink" Target="https://stat.gov.pl/obszary-tematyczne/warunki-zycia/dochody-wydatki-i-warunki-zycia-ludnosci/sytuacja-gospodarstw-domowych-w-2020-r-w-swietle-badania-budzetow-gospodarstw-domowych,3,20.html" TargetMode="External"/><Relationship Id="rId59" Type="http://schemas.openxmlformats.org/officeDocument/2006/relationships/theme" Target="theme/theme1.xml"/><Relationship Id="rId20" Type="http://schemas.openxmlformats.org/officeDocument/2006/relationships/chart" Target="charts/chart10.xml"/><Relationship Id="rId41" Type="http://schemas.openxmlformats.org/officeDocument/2006/relationships/hyperlink" Target="http://stat.gov.pl/metainformacje/slownik-pojec/pojecia-stosowane-w-statystyce-publicznej/3214,pojecie.html" TargetMode="External"/><Relationship Id="rId54" Type="http://schemas.openxmlformats.org/officeDocument/2006/relationships/hyperlink" Target="http://stat.gov.pl/metainformacje/slownik-pojec/pojecia-stosowane-w-statystyce-publicznej/3215,pojecie.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chart" Target="charts/chart5.xml"/><Relationship Id="rId23" Type="http://schemas.openxmlformats.org/officeDocument/2006/relationships/footer" Target="footer1.xml"/><Relationship Id="rId28" Type="http://schemas.openxmlformats.org/officeDocument/2006/relationships/image" Target="media/image4.png"/><Relationship Id="rId36" Type="http://schemas.openxmlformats.org/officeDocument/2006/relationships/hyperlink" Target="https://stat.gov.pl/obszary-tematyczne/warunki-zycia/ubostwo-pomoc-spoleczna/ubostwo-w-polsce-w-latach-2015-i-2016,1,8.html" TargetMode="External"/><Relationship Id="rId49" Type="http://schemas.openxmlformats.org/officeDocument/2006/relationships/hyperlink" Target="https://www.ipiss.com.pl/?zaklady=minimum-egzystencji-2" TargetMode="External"/><Relationship Id="rId57"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hyperlink" Target="https://stat.gov.pl/obszary-tematyczne/warunki-zycia/ubostwo-pomoc-spoleczna/zasieg-ubostwa-ekonomicznego-w-polsce-w-2019-roku,14,7.html" TargetMode="External"/><Relationship Id="rId52" Type="http://schemas.openxmlformats.org/officeDocument/2006/relationships/hyperlink" Target="http://swaid.stat.gov.pl/WarunkiZyciaLudnosci_dashboards/Raporty_predefiniowane/RAP_DBD_WZL_11.aspx"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tat.gov.pl/wskazniki-makroekonomiczne/" TargetMode="External"/><Relationship Id="rId1" Type="http://schemas.openxmlformats.org/officeDocument/2006/relationships/hyperlink" Target="https://stat.gov.pl/obszary-tematyczne/warunki-zycia/dochody-wydatki-i-warunki-zycia-ludnosci/sytuacja-gospodarstw-domowych-w-2020-r-w-swietle-badania-budzetow-gospodarstw-domowych,3,20.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Arkusz_programu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Arkusz_programu_Microsoft_Excel10.xlsx"/></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package" Target="../embeddings/Arkusz_programu_Microsoft_Excel11.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Arkusz_programu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Arkusz_programu_Microsoft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Arkusz_programu_Microsoft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package" Target="../embeddings/Arkusz_programu_Microsoft_Excel5.xlsx"/></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package" Target="../embeddings/Arkusz_programu_Microsoft_Excel6.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Arkusz_programu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Arkusz_programu_Microsoft_Excel8.xlsx"/></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package" Target="../embeddings/Arkusz_programu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2585059523809523"/>
          <c:y val="0.11064232642561472"/>
          <c:w val="0.73137658730158717"/>
          <c:h val="0.66317398713786369"/>
        </c:manualLayout>
      </c:layout>
      <c:barChart>
        <c:barDir val="bar"/>
        <c:grouping val="clustered"/>
        <c:varyColors val="0"/>
        <c:ser>
          <c:idx val="0"/>
          <c:order val="0"/>
          <c:tx>
            <c:strRef>
              <c:f>połączone!$C$23</c:f>
              <c:strCache>
                <c:ptCount val="1"/>
                <c:pt idx="0">
                  <c:v>2019 r.</c:v>
                </c:pt>
              </c:strCache>
            </c:strRef>
          </c:tx>
          <c:spPr>
            <a:solidFill>
              <a:srgbClr val="D9E2FF"/>
            </a:solidFill>
            <a:effectLst/>
          </c:spPr>
          <c:invertIfNegative val="0"/>
          <c:dPt>
            <c:idx val="6"/>
            <c:invertIfNegative val="0"/>
            <c:bubble3D val="0"/>
            <c:extLst xmlns:c16r2="http://schemas.microsoft.com/office/drawing/2015/06/chart">
              <c:ext xmlns:c16="http://schemas.microsoft.com/office/drawing/2014/chart" uri="{C3380CC4-5D6E-409C-BE32-E72D297353CC}">
                <c16:uniqueId val="{00000000-1874-4501-B4FE-DB60BA4525F6}"/>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połączone!$B$24:$B$31</c:f>
              <c:strCache>
                <c:ptCount val="8"/>
                <c:pt idx="0">
                  <c:v>ubóstwa ustawowego</c:v>
                </c:pt>
                <c:pt idx="1">
                  <c:v>ubóstwa realatywnego</c:v>
                </c:pt>
                <c:pt idx="2">
                  <c:v>ubóstwa skrajnego</c:v>
                </c:pt>
                <c:pt idx="5">
                  <c:v>ubóstwa ustawowego</c:v>
                </c:pt>
                <c:pt idx="6">
                  <c:v>ubóstwa realatywnego</c:v>
                </c:pt>
                <c:pt idx="7">
                  <c:v>ubóstwa skrajnego</c:v>
                </c:pt>
              </c:strCache>
            </c:strRef>
          </c:cat>
          <c:val>
            <c:numRef>
              <c:f>połączone!$C$24:$C$31</c:f>
              <c:numCache>
                <c:formatCode>0</c:formatCode>
                <c:ptCount val="8"/>
                <c:pt idx="0">
                  <c:v>2112</c:v>
                </c:pt>
                <c:pt idx="1">
                  <c:v>2317</c:v>
                </c:pt>
                <c:pt idx="2">
                  <c:v>1658</c:v>
                </c:pt>
                <c:pt idx="5">
                  <c:v>701</c:v>
                </c:pt>
                <c:pt idx="6">
                  <c:v>858</c:v>
                </c:pt>
                <c:pt idx="7">
                  <c:v>614</c:v>
                </c:pt>
              </c:numCache>
            </c:numRef>
          </c:val>
          <c:extLst xmlns:c16r2="http://schemas.microsoft.com/office/drawing/2015/06/chart">
            <c:ext xmlns:c16="http://schemas.microsoft.com/office/drawing/2014/chart" uri="{C3380CC4-5D6E-409C-BE32-E72D297353CC}">
              <c16:uniqueId val="{00000001-1874-4501-B4FE-DB60BA4525F6}"/>
            </c:ext>
          </c:extLst>
        </c:ser>
        <c:ser>
          <c:idx val="1"/>
          <c:order val="1"/>
          <c:tx>
            <c:strRef>
              <c:f>połączone!$D$23</c:f>
              <c:strCache>
                <c:ptCount val="1"/>
                <c:pt idx="0">
                  <c:v>2020 r.</c:v>
                </c:pt>
              </c:strCache>
            </c:strRef>
          </c:tx>
          <c:spPr>
            <a:solidFill>
              <a:srgbClr val="001D77"/>
            </a:solidFill>
            <a:effectLst/>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połączone!$B$24:$B$31</c:f>
              <c:strCache>
                <c:ptCount val="8"/>
                <c:pt idx="0">
                  <c:v>ubóstwa ustawowego</c:v>
                </c:pt>
                <c:pt idx="1">
                  <c:v>ubóstwa realatywnego</c:v>
                </c:pt>
                <c:pt idx="2">
                  <c:v>ubóstwa skrajnego</c:v>
                </c:pt>
                <c:pt idx="5">
                  <c:v>ubóstwa ustawowego</c:v>
                </c:pt>
                <c:pt idx="6">
                  <c:v>ubóstwa realatywnego</c:v>
                </c:pt>
                <c:pt idx="7">
                  <c:v>ubóstwa skrajnego</c:v>
                </c:pt>
              </c:strCache>
            </c:strRef>
          </c:cat>
          <c:val>
            <c:numRef>
              <c:f>połączone!$D$24:$D$31</c:f>
              <c:numCache>
                <c:formatCode>0</c:formatCode>
                <c:ptCount val="8"/>
                <c:pt idx="0">
                  <c:v>2112</c:v>
                </c:pt>
                <c:pt idx="1">
                  <c:v>2157</c:v>
                </c:pt>
                <c:pt idx="2">
                  <c:v>1727</c:v>
                </c:pt>
                <c:pt idx="5">
                  <c:v>701</c:v>
                </c:pt>
                <c:pt idx="6">
                  <c:v>799</c:v>
                </c:pt>
                <c:pt idx="7">
                  <c:v>640</c:v>
                </c:pt>
              </c:numCache>
            </c:numRef>
          </c:val>
          <c:extLst xmlns:c16r2="http://schemas.microsoft.com/office/drawing/2015/06/chart">
            <c:ext xmlns:c16="http://schemas.microsoft.com/office/drawing/2014/chart" uri="{C3380CC4-5D6E-409C-BE32-E72D297353CC}">
              <c16:uniqueId val="{00000002-1874-4501-B4FE-DB60BA4525F6}"/>
            </c:ext>
          </c:extLst>
        </c:ser>
        <c:dLbls>
          <c:showLegendKey val="0"/>
          <c:showVal val="0"/>
          <c:showCatName val="0"/>
          <c:showSerName val="0"/>
          <c:showPercent val="0"/>
          <c:showBubbleSize val="0"/>
        </c:dLbls>
        <c:gapWidth val="60"/>
        <c:axId val="-209410064"/>
        <c:axId val="-209409520"/>
      </c:barChart>
      <c:catAx>
        <c:axId val="-209410064"/>
        <c:scaling>
          <c:orientation val="minMax"/>
        </c:scaling>
        <c:delete val="0"/>
        <c:axPos val="l"/>
        <c:numFmt formatCode="General" sourceLinked="0"/>
        <c:majorTickMark val="out"/>
        <c:minorTickMark val="none"/>
        <c:tickLblPos val="nextTo"/>
        <c:crossAx val="-209409520"/>
        <c:crosses val="autoZero"/>
        <c:auto val="0"/>
        <c:lblAlgn val="ctr"/>
        <c:lblOffset val="100"/>
        <c:noMultiLvlLbl val="0"/>
      </c:catAx>
      <c:valAx>
        <c:axId val="-209409520"/>
        <c:scaling>
          <c:orientation val="minMax"/>
        </c:scaling>
        <c:delete val="0"/>
        <c:axPos val="b"/>
        <c:majorGridlines/>
        <c:title>
          <c:tx>
            <c:rich>
              <a:bodyPr/>
              <a:lstStyle/>
              <a:p>
                <a:pPr>
                  <a:defRPr b="0"/>
                </a:pPr>
                <a:r>
                  <a:rPr lang="pl-PL" b="0"/>
                  <a:t>w złotych</a:t>
                </a:r>
              </a:p>
            </c:rich>
          </c:tx>
          <c:layout>
            <c:manualLayout>
              <c:xMode val="edge"/>
              <c:yMode val="edge"/>
              <c:x val="0.53638214285714281"/>
              <c:y val="0.82430420078087252"/>
            </c:manualLayout>
          </c:layout>
          <c:overlay val="0"/>
        </c:title>
        <c:numFmt formatCode="General" sourceLinked="0"/>
        <c:majorTickMark val="out"/>
        <c:minorTickMark val="none"/>
        <c:tickLblPos val="nextTo"/>
        <c:crossAx val="-209410064"/>
        <c:crosses val="autoZero"/>
        <c:crossBetween val="between"/>
      </c:valAx>
    </c:plotArea>
    <c:legend>
      <c:legendPos val="b"/>
      <c:layout>
        <c:manualLayout>
          <c:xMode val="edge"/>
          <c:yMode val="edge"/>
          <c:x val="0.41689027777777787"/>
          <c:y val="0.88722794266101357"/>
          <c:w val="0.21472182539682538"/>
          <c:h val="0.100705692331445"/>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0107281746031747"/>
          <c:y val="8.3793302432940558E-2"/>
          <c:w val="0.75149206349206354"/>
          <c:h val="0.64323970142030118"/>
        </c:manualLayout>
      </c:layout>
      <c:barChart>
        <c:barDir val="bar"/>
        <c:grouping val="clustered"/>
        <c:varyColors val="0"/>
        <c:ser>
          <c:idx val="0"/>
          <c:order val="0"/>
          <c:tx>
            <c:strRef>
              <c:f>Wykształcenie!$B$1</c:f>
              <c:strCache>
                <c:ptCount val="1"/>
                <c:pt idx="0">
                  <c:v>2019 r.</c:v>
                </c:pt>
              </c:strCache>
            </c:strRef>
          </c:tx>
          <c:spPr>
            <a:solidFill>
              <a:srgbClr val="D9E2FF"/>
            </a:solidFill>
            <a:effectLst/>
          </c:spPr>
          <c:invertIfNegative val="0"/>
          <c:dPt>
            <c:idx val="6"/>
            <c:invertIfNegative val="0"/>
            <c:bubble3D val="0"/>
            <c:extLst xmlns:c16r2="http://schemas.microsoft.com/office/drawing/2015/06/chart">
              <c:ext xmlns:c16="http://schemas.microsoft.com/office/drawing/2014/chart" uri="{C3380CC4-5D6E-409C-BE32-E72D297353CC}">
                <c16:uniqueId val="{00000000-C916-41D4-B952-880675D98D5A}"/>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Wykształcenie!$A$2:$A$5</c:f>
              <c:strCache>
                <c:ptCount val="4"/>
                <c:pt idx="0">
                  <c:v> Wyższe </c:v>
                </c:pt>
                <c:pt idx="1">
                  <c:v>Średnie</c:v>
                </c:pt>
                <c:pt idx="2">
                  <c:v>Zasadnicze
zawodowe</c:v>
                </c:pt>
                <c:pt idx="3">
                  <c:v>Co najwyżej gimnazjalne </c:v>
                </c:pt>
              </c:strCache>
            </c:strRef>
          </c:cat>
          <c:val>
            <c:numRef>
              <c:f>Wykształcenie!$B$2:$B$5</c:f>
              <c:numCache>
                <c:formatCode>0.0</c:formatCode>
                <c:ptCount val="4"/>
                <c:pt idx="0">
                  <c:v>1.1000000000000001</c:v>
                </c:pt>
                <c:pt idx="1">
                  <c:v>2.9</c:v>
                </c:pt>
                <c:pt idx="2">
                  <c:v>6.4</c:v>
                </c:pt>
                <c:pt idx="3">
                  <c:v>10.1</c:v>
                </c:pt>
              </c:numCache>
            </c:numRef>
          </c:val>
          <c:extLst xmlns:c16r2="http://schemas.microsoft.com/office/drawing/2015/06/chart">
            <c:ext xmlns:c16="http://schemas.microsoft.com/office/drawing/2014/chart" uri="{C3380CC4-5D6E-409C-BE32-E72D297353CC}">
              <c16:uniqueId val="{00000001-C916-41D4-B952-880675D98D5A}"/>
            </c:ext>
          </c:extLst>
        </c:ser>
        <c:ser>
          <c:idx val="1"/>
          <c:order val="1"/>
          <c:tx>
            <c:strRef>
              <c:f>Wykształcenie!$C$1</c:f>
              <c:strCache>
                <c:ptCount val="1"/>
                <c:pt idx="0">
                  <c:v>2020 r.</c:v>
                </c:pt>
              </c:strCache>
            </c:strRef>
          </c:tx>
          <c:spPr>
            <a:solidFill>
              <a:srgbClr val="001D77"/>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Wykształcenie!$A$2:$A$5</c:f>
              <c:strCache>
                <c:ptCount val="4"/>
                <c:pt idx="0">
                  <c:v> Wyższe </c:v>
                </c:pt>
                <c:pt idx="1">
                  <c:v>Średnie</c:v>
                </c:pt>
                <c:pt idx="2">
                  <c:v>Zasadnicze
zawodowe</c:v>
                </c:pt>
                <c:pt idx="3">
                  <c:v>Co najwyżej gimnazjalne </c:v>
                </c:pt>
              </c:strCache>
            </c:strRef>
          </c:cat>
          <c:val>
            <c:numRef>
              <c:f>Wykształcenie!$C$2:$C$5</c:f>
              <c:numCache>
                <c:formatCode>0.0</c:formatCode>
                <c:ptCount val="4"/>
                <c:pt idx="0">
                  <c:v>1.9</c:v>
                </c:pt>
                <c:pt idx="1">
                  <c:v>4.3</c:v>
                </c:pt>
                <c:pt idx="2">
                  <c:v>7.8</c:v>
                </c:pt>
                <c:pt idx="3">
                  <c:v>11.9</c:v>
                </c:pt>
              </c:numCache>
            </c:numRef>
          </c:val>
          <c:extLst xmlns:c16r2="http://schemas.microsoft.com/office/drawing/2015/06/chart">
            <c:ext xmlns:c16="http://schemas.microsoft.com/office/drawing/2014/chart" uri="{C3380CC4-5D6E-409C-BE32-E72D297353CC}">
              <c16:uniqueId val="{00000002-C916-41D4-B952-880675D98D5A}"/>
            </c:ext>
          </c:extLst>
        </c:ser>
        <c:dLbls>
          <c:showLegendKey val="0"/>
          <c:showVal val="0"/>
          <c:showCatName val="0"/>
          <c:showSerName val="0"/>
          <c:showPercent val="0"/>
          <c:showBubbleSize val="0"/>
        </c:dLbls>
        <c:gapWidth val="60"/>
        <c:axId val="-233089056"/>
        <c:axId val="-233094496"/>
      </c:barChart>
      <c:catAx>
        <c:axId val="-233089056"/>
        <c:scaling>
          <c:orientation val="minMax"/>
        </c:scaling>
        <c:delete val="0"/>
        <c:axPos val="l"/>
        <c:numFmt formatCode="General" sourceLinked="0"/>
        <c:majorTickMark val="out"/>
        <c:minorTickMark val="none"/>
        <c:tickLblPos val="nextTo"/>
        <c:crossAx val="-233094496"/>
        <c:crosses val="autoZero"/>
        <c:auto val="0"/>
        <c:lblAlgn val="ctr"/>
        <c:lblOffset val="100"/>
        <c:noMultiLvlLbl val="0"/>
      </c:catAx>
      <c:valAx>
        <c:axId val="-233094496"/>
        <c:scaling>
          <c:orientation val="minMax"/>
        </c:scaling>
        <c:delete val="0"/>
        <c:axPos val="b"/>
        <c:majorGridlines/>
        <c:title>
          <c:tx>
            <c:rich>
              <a:bodyPr/>
              <a:lstStyle/>
              <a:p>
                <a:pPr>
                  <a:defRPr b="0"/>
                </a:pPr>
                <a:r>
                  <a:rPr lang="pl-PL" b="0"/>
                  <a:t>% osób w gospodarstwach domowych</a:t>
                </a:r>
              </a:p>
            </c:rich>
          </c:tx>
          <c:layout>
            <c:manualLayout>
              <c:xMode val="edge"/>
              <c:yMode val="edge"/>
              <c:x val="0.43997649778937181"/>
              <c:y val="0.79557752089499456"/>
            </c:manualLayout>
          </c:layout>
          <c:overlay val="0"/>
        </c:title>
        <c:numFmt formatCode="General" sourceLinked="0"/>
        <c:majorTickMark val="out"/>
        <c:minorTickMark val="none"/>
        <c:tickLblPos val="nextTo"/>
        <c:crossAx val="-233089056"/>
        <c:crosses val="autoZero"/>
        <c:crossBetween val="between"/>
      </c:valAx>
    </c:plotArea>
    <c:legend>
      <c:legendPos val="b"/>
      <c:layout>
        <c:manualLayout>
          <c:xMode val="edge"/>
          <c:yMode val="edge"/>
          <c:x val="0.46575993433146323"/>
          <c:y val="0.8927093687757115"/>
          <c:w val="0.21472182539682538"/>
          <c:h val="9.2826187574686622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4460912698412698"/>
          <c:y val="6.2577483249422708E-2"/>
          <c:w val="0.71009821428571418"/>
          <c:h val="0.7116907113875619"/>
        </c:manualLayout>
      </c:layout>
      <c:barChart>
        <c:barDir val="bar"/>
        <c:grouping val="clustered"/>
        <c:varyColors val="0"/>
        <c:ser>
          <c:idx val="0"/>
          <c:order val="0"/>
          <c:tx>
            <c:strRef>
              <c:f>'Miejsce zam'!$C$1</c:f>
              <c:strCache>
                <c:ptCount val="1"/>
                <c:pt idx="0">
                  <c:v>2019 r.</c:v>
                </c:pt>
              </c:strCache>
            </c:strRef>
          </c:tx>
          <c:spPr>
            <a:solidFill>
              <a:srgbClr val="D9E2FF"/>
            </a:solidFill>
            <a:effectLst/>
          </c:spPr>
          <c:invertIfNegative val="0"/>
          <c:dPt>
            <c:idx val="6"/>
            <c:invertIfNegative val="0"/>
            <c:bubble3D val="0"/>
            <c:extLst xmlns:c16r2="http://schemas.microsoft.com/office/drawing/2015/06/chart">
              <c:ext xmlns:c16="http://schemas.microsoft.com/office/drawing/2014/chart" uri="{C3380CC4-5D6E-409C-BE32-E72D297353CC}">
                <c16:uniqueId val="{00000000-FD4B-45D7-94B2-8E38CB952EBA}"/>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'Miejsce zam'!$B$2:$B$8</c:f>
              <c:strCache>
                <c:ptCount val="7"/>
                <c:pt idx="0">
                  <c:v>Wieś</c:v>
                </c:pt>
                <c:pt idx="1">
                  <c:v>      poniżej 20 tys.</c:v>
                </c:pt>
                <c:pt idx="2">
                  <c:v>       20 - 100 tys.</c:v>
                </c:pt>
                <c:pt idx="3">
                  <c:v>     100 - 200 tys.</c:v>
                </c:pt>
                <c:pt idx="4">
                  <c:v>     200 - 500 tys.</c:v>
                </c:pt>
                <c:pt idx="5">
                  <c:v>     500 tys. i więcej</c:v>
                </c:pt>
                <c:pt idx="6">
                  <c:v>Miasta razem</c:v>
                </c:pt>
              </c:strCache>
            </c:strRef>
          </c:cat>
          <c:val>
            <c:numRef>
              <c:f>'Miejsce zam'!$C$2:$C$8</c:f>
              <c:numCache>
                <c:formatCode>0.0</c:formatCode>
                <c:ptCount val="7"/>
                <c:pt idx="0">
                  <c:v>7.5</c:v>
                </c:pt>
                <c:pt idx="1">
                  <c:v>2.8</c:v>
                </c:pt>
                <c:pt idx="2">
                  <c:v>2.5</c:v>
                </c:pt>
                <c:pt idx="3">
                  <c:v>2.1</c:v>
                </c:pt>
                <c:pt idx="4">
                  <c:v>1.4</c:v>
                </c:pt>
                <c:pt idx="5">
                  <c:v>1</c:v>
                </c:pt>
                <c:pt idx="6">
                  <c:v>2.1</c:v>
                </c:pt>
              </c:numCache>
            </c:numRef>
          </c:val>
          <c:extLst xmlns:c16r2="http://schemas.microsoft.com/office/drawing/2015/06/chart">
            <c:ext xmlns:c16="http://schemas.microsoft.com/office/drawing/2014/chart" uri="{C3380CC4-5D6E-409C-BE32-E72D297353CC}">
              <c16:uniqueId val="{00000001-FD4B-45D7-94B2-8E38CB952EBA}"/>
            </c:ext>
          </c:extLst>
        </c:ser>
        <c:ser>
          <c:idx val="1"/>
          <c:order val="1"/>
          <c:tx>
            <c:strRef>
              <c:f>'Miejsce zam'!$D$1</c:f>
              <c:strCache>
                <c:ptCount val="1"/>
                <c:pt idx="0">
                  <c:v>2020 r.</c:v>
                </c:pt>
              </c:strCache>
            </c:strRef>
          </c:tx>
          <c:spPr>
            <a:solidFill>
              <a:srgbClr val="001D77"/>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'Miejsce zam'!$B$2:$B$8</c:f>
              <c:strCache>
                <c:ptCount val="7"/>
                <c:pt idx="0">
                  <c:v>Wieś</c:v>
                </c:pt>
                <c:pt idx="1">
                  <c:v>      poniżej 20 tys.</c:v>
                </c:pt>
                <c:pt idx="2">
                  <c:v>       20 - 100 tys.</c:v>
                </c:pt>
                <c:pt idx="3">
                  <c:v>     100 - 200 tys.</c:v>
                </c:pt>
                <c:pt idx="4">
                  <c:v>     200 - 500 tys.</c:v>
                </c:pt>
                <c:pt idx="5">
                  <c:v>     500 tys. i więcej</c:v>
                </c:pt>
                <c:pt idx="6">
                  <c:v>Miasta razem</c:v>
                </c:pt>
              </c:strCache>
            </c:strRef>
          </c:cat>
          <c:val>
            <c:numRef>
              <c:f>'Miejsce zam'!$D$2:$D$8</c:f>
              <c:numCache>
                <c:formatCode>0.0</c:formatCode>
                <c:ptCount val="7"/>
                <c:pt idx="0">
                  <c:v>9.5</c:v>
                </c:pt>
                <c:pt idx="1">
                  <c:v>4.4000000000000004</c:v>
                </c:pt>
                <c:pt idx="2">
                  <c:v>2.2999999999999998</c:v>
                </c:pt>
                <c:pt idx="3">
                  <c:v>2</c:v>
                </c:pt>
                <c:pt idx="4">
                  <c:v>1.2</c:v>
                </c:pt>
                <c:pt idx="5">
                  <c:v>1.6</c:v>
                </c:pt>
                <c:pt idx="6">
                  <c:v>2.4</c:v>
                </c:pt>
              </c:numCache>
            </c:numRef>
          </c:val>
          <c:extLst xmlns:c16r2="http://schemas.microsoft.com/office/drawing/2015/06/chart">
            <c:ext xmlns:c16="http://schemas.microsoft.com/office/drawing/2014/chart" uri="{C3380CC4-5D6E-409C-BE32-E72D297353CC}">
              <c16:uniqueId val="{00000002-FD4B-45D7-94B2-8E38CB952EBA}"/>
            </c:ext>
          </c:extLst>
        </c:ser>
        <c:dLbls>
          <c:showLegendKey val="0"/>
          <c:showVal val="0"/>
          <c:showCatName val="0"/>
          <c:showSerName val="0"/>
          <c:showPercent val="0"/>
          <c:showBubbleSize val="0"/>
        </c:dLbls>
        <c:gapWidth val="60"/>
        <c:axId val="-233080896"/>
        <c:axId val="-233093952"/>
      </c:barChart>
      <c:catAx>
        <c:axId val="-233080896"/>
        <c:scaling>
          <c:orientation val="minMax"/>
        </c:scaling>
        <c:delete val="0"/>
        <c:axPos val="l"/>
        <c:numFmt formatCode="General" sourceLinked="0"/>
        <c:majorTickMark val="out"/>
        <c:minorTickMark val="none"/>
        <c:tickLblPos val="nextTo"/>
        <c:crossAx val="-233093952"/>
        <c:crosses val="autoZero"/>
        <c:auto val="0"/>
        <c:lblAlgn val="ctr"/>
        <c:lblOffset val="100"/>
        <c:noMultiLvlLbl val="0"/>
      </c:catAx>
      <c:valAx>
        <c:axId val="-233093952"/>
        <c:scaling>
          <c:orientation val="minMax"/>
        </c:scaling>
        <c:delete val="0"/>
        <c:axPos val="b"/>
        <c:majorGridlines/>
        <c:title>
          <c:tx>
            <c:rich>
              <a:bodyPr/>
              <a:lstStyle/>
              <a:p>
                <a:pPr>
                  <a:defRPr b="0"/>
                </a:pPr>
                <a:r>
                  <a:rPr lang="pl-PL" b="0"/>
                  <a:t>% osób w gospodarstwach domowych</a:t>
                </a:r>
              </a:p>
            </c:rich>
          </c:tx>
          <c:layout>
            <c:manualLayout>
              <c:xMode val="edge"/>
              <c:yMode val="edge"/>
              <c:x val="0.48379041760784763"/>
              <c:y val="0.82626285227596707"/>
            </c:manualLayout>
          </c:layout>
          <c:overlay val="0"/>
        </c:title>
        <c:numFmt formatCode="General" sourceLinked="0"/>
        <c:majorTickMark val="out"/>
        <c:minorTickMark val="none"/>
        <c:tickLblPos val="nextTo"/>
        <c:crossAx val="-233080896"/>
        <c:crosses val="autoZero"/>
        <c:crossBetween val="between"/>
      </c:valAx>
    </c:plotArea>
    <c:legend>
      <c:legendPos val="b"/>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881761731003139E-2"/>
          <c:y val="6.6666588882367969E-2"/>
          <c:w val="0.88576051469176109"/>
          <c:h val="0.74233464905474578"/>
        </c:manualLayout>
      </c:layout>
      <c:lineChart>
        <c:grouping val="standard"/>
        <c:varyColors val="0"/>
        <c:ser>
          <c:idx val="0"/>
          <c:order val="0"/>
          <c:tx>
            <c:strRef>
              <c:f>Trend!$A$3</c:f>
              <c:strCache>
                <c:ptCount val="1"/>
                <c:pt idx="0">
                  <c:v>ubóstwo skrajne (minimum egzystencji)</c:v>
                </c:pt>
              </c:strCache>
            </c:strRef>
          </c:tx>
          <c:spPr>
            <a:ln>
              <a:solidFill>
                <a:srgbClr val="001D77"/>
              </a:solidFill>
            </a:ln>
          </c:spPr>
          <c:marker>
            <c:spPr>
              <a:solidFill>
                <a:srgbClr val="001D77"/>
              </a:solidFill>
              <a:ln>
                <a:solidFill>
                  <a:srgbClr val="001D77"/>
                </a:solidFill>
              </a:ln>
            </c:spPr>
          </c:marker>
          <c:dLbls>
            <c:dLbl>
              <c:idx val="3"/>
              <c:layout>
                <c:manualLayout>
                  <c:x val="-3.188079748482265E-2"/>
                  <c:y val="-3.731226533166458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6107-4BB4-921E-9294DCD45ACA}"/>
                </c:ext>
                <c:ext xmlns:c15="http://schemas.microsoft.com/office/drawing/2012/chart" uri="{CE6537A1-D6FC-4f65-9D91-7224C49458BB}"/>
              </c:extLst>
            </c:dLbl>
            <c:dLbl>
              <c:idx val="6"/>
              <c:layout>
                <c:manualLayout>
                  <c:x val="-3.9490109468023817E-2"/>
                  <c:y val="3.549940274091901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6107-4BB4-921E-9294DCD45ACA}"/>
                </c:ext>
                <c:ext xmlns:c15="http://schemas.microsoft.com/office/drawing/2012/chart" uri="{CE6537A1-D6FC-4f65-9D91-7224C49458BB}"/>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Trend!$B$2:$N$2</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Trend!$B$3:$N$3</c:f>
              <c:numCache>
                <c:formatCode>General</c:formatCode>
                <c:ptCount val="13"/>
                <c:pt idx="0">
                  <c:v>5.6</c:v>
                </c:pt>
                <c:pt idx="1">
                  <c:v>5.7</c:v>
                </c:pt>
                <c:pt idx="2">
                  <c:v>5.8</c:v>
                </c:pt>
                <c:pt idx="3">
                  <c:v>6.8</c:v>
                </c:pt>
                <c:pt idx="4">
                  <c:v>6.8</c:v>
                </c:pt>
                <c:pt idx="5">
                  <c:v>7.4</c:v>
                </c:pt>
                <c:pt idx="6">
                  <c:v>7.4</c:v>
                </c:pt>
                <c:pt idx="7">
                  <c:v>6.5</c:v>
                </c:pt>
                <c:pt idx="8">
                  <c:v>4.9000000000000004</c:v>
                </c:pt>
                <c:pt idx="9">
                  <c:v>4.3</c:v>
                </c:pt>
                <c:pt idx="10">
                  <c:v>5.4</c:v>
                </c:pt>
                <c:pt idx="11">
                  <c:v>4.2</c:v>
                </c:pt>
                <c:pt idx="12">
                  <c:v>5.2</c:v>
                </c:pt>
              </c:numCache>
            </c:numRef>
          </c:val>
          <c:smooth val="0"/>
          <c:extLst xmlns:c16r2="http://schemas.microsoft.com/office/drawing/2015/06/chart">
            <c:ext xmlns:c16="http://schemas.microsoft.com/office/drawing/2014/chart" uri="{C3380CC4-5D6E-409C-BE32-E72D297353CC}">
              <c16:uniqueId val="{00000002-6107-4BB4-921E-9294DCD45ACA}"/>
            </c:ext>
          </c:extLst>
        </c:ser>
        <c:ser>
          <c:idx val="1"/>
          <c:order val="1"/>
          <c:tx>
            <c:strRef>
              <c:f>Trend!$A$4</c:f>
              <c:strCache>
                <c:ptCount val="1"/>
                <c:pt idx="0">
                  <c:v>ubóstwo relatywne</c:v>
                </c:pt>
              </c:strCache>
            </c:strRef>
          </c:tx>
          <c:spPr>
            <a:ln>
              <a:solidFill>
                <a:srgbClr val="754FAD"/>
              </a:solidFill>
            </a:ln>
          </c:spPr>
          <c:marker>
            <c:spPr>
              <a:solidFill>
                <a:srgbClr val="754FAD"/>
              </a:solidFill>
              <a:ln>
                <a:solidFill>
                  <a:srgbClr val="754FAD"/>
                </a:solidFill>
              </a:ln>
            </c:spPr>
          </c:marker>
          <c:dLbls>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Trend!$B$2:$N$2</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Trend!$B$4:$N$4</c:f>
              <c:numCache>
                <c:formatCode>General</c:formatCode>
                <c:ptCount val="13"/>
                <c:pt idx="0">
                  <c:v>17.600000000000001</c:v>
                </c:pt>
                <c:pt idx="1">
                  <c:v>17.3</c:v>
                </c:pt>
                <c:pt idx="2">
                  <c:v>17.399999999999999</c:v>
                </c:pt>
                <c:pt idx="3">
                  <c:v>16.899999999999999</c:v>
                </c:pt>
                <c:pt idx="4">
                  <c:v>16.3</c:v>
                </c:pt>
                <c:pt idx="5">
                  <c:v>16.2</c:v>
                </c:pt>
                <c:pt idx="6">
                  <c:v>16.2</c:v>
                </c:pt>
                <c:pt idx="7">
                  <c:v>15.5</c:v>
                </c:pt>
                <c:pt idx="8">
                  <c:v>13.9</c:v>
                </c:pt>
                <c:pt idx="9">
                  <c:v>13.4</c:v>
                </c:pt>
                <c:pt idx="10">
                  <c:v>14.2</c:v>
                </c:pt>
                <c:pt idx="11" formatCode="0.0">
                  <c:v>13</c:v>
                </c:pt>
                <c:pt idx="12">
                  <c:v>11.8</c:v>
                </c:pt>
              </c:numCache>
            </c:numRef>
          </c:val>
          <c:smooth val="0"/>
          <c:extLst xmlns:c16r2="http://schemas.microsoft.com/office/drawing/2015/06/chart">
            <c:ext xmlns:c16="http://schemas.microsoft.com/office/drawing/2014/chart" uri="{C3380CC4-5D6E-409C-BE32-E72D297353CC}">
              <c16:uniqueId val="{00000003-6107-4BB4-921E-9294DCD45ACA}"/>
            </c:ext>
          </c:extLst>
        </c:ser>
        <c:ser>
          <c:idx val="2"/>
          <c:order val="2"/>
          <c:tx>
            <c:strRef>
              <c:f>Trend!$A$5</c:f>
              <c:strCache>
                <c:ptCount val="1"/>
                <c:pt idx="0">
                  <c:v>ubóstwo ustawowe</c:v>
                </c:pt>
              </c:strCache>
            </c:strRef>
          </c:tx>
          <c:spPr>
            <a:ln>
              <a:solidFill>
                <a:srgbClr val="69BE28"/>
              </a:solidFill>
            </a:ln>
          </c:spPr>
          <c:marker>
            <c:spPr>
              <a:solidFill>
                <a:srgbClr val="69BE28"/>
              </a:solidFill>
              <a:ln>
                <a:solidFill>
                  <a:srgbClr val="69BE28"/>
                </a:solidFill>
              </a:ln>
            </c:spPr>
          </c:marker>
          <c:dLbls>
            <c:dLbl>
              <c:idx val="0"/>
              <c:layout>
                <c:manualLayout>
                  <c:x val="-3.7301869278535321E-2"/>
                  <c:y val="-4.01600340506327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107-4BB4-921E-9294DCD45ACA}"/>
                </c:ext>
                <c:ext xmlns:c15="http://schemas.microsoft.com/office/drawing/2012/chart" uri="{CE6537A1-D6FC-4f65-9D91-7224C49458BB}"/>
              </c:extLst>
            </c:dLbl>
            <c:dLbl>
              <c:idx val="1"/>
              <c:layout>
                <c:manualLayout>
                  <c:x val="-3.0116989949427089E-2"/>
                  <c:y val="-3.70462449174136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6107-4BB4-921E-9294DCD45ACA}"/>
                </c:ext>
                <c:ext xmlns:c15="http://schemas.microsoft.com/office/drawing/2012/chart" uri="{CE6537A1-D6FC-4f65-9D91-7224C49458BB}"/>
              </c:extLst>
            </c:dLbl>
            <c:dLbl>
              <c:idx val="2"/>
              <c:layout>
                <c:manualLayout>
                  <c:x val="-2.8084469624223802E-2"/>
                  <c:y val="-3.70462449174134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6107-4BB4-921E-9294DCD45ACA}"/>
                </c:ext>
                <c:ext xmlns:c15="http://schemas.microsoft.com/office/drawing/2012/chart" uri="{CE6537A1-D6FC-4f65-9D91-7224C49458BB}"/>
              </c:extLst>
            </c:dLbl>
            <c:dLbl>
              <c:idx val="4"/>
              <c:layout>
                <c:manualLayout>
                  <c:x val="-3.8489213238589157E-2"/>
                  <c:y val="-2.83026269592353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6107-4BB4-921E-9294DCD45ACA}"/>
                </c:ext>
                <c:ext xmlns:c15="http://schemas.microsoft.com/office/drawing/2012/chart" uri="{CE6537A1-D6FC-4f65-9D91-7224C49458BB}"/>
              </c:extLst>
            </c:dLbl>
            <c:dLbl>
              <c:idx val="5"/>
              <c:layout>
                <c:manualLayout>
                  <c:x val="-3.9520837334357593E-2"/>
                  <c:y val="-3.40011062532732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6107-4BB4-921E-9294DCD45ACA}"/>
                </c:ext>
                <c:ext xmlns:c15="http://schemas.microsoft.com/office/drawing/2012/chart" uri="{CE6537A1-D6FC-4f65-9D91-7224C49458BB}"/>
              </c:extLst>
            </c:dLbl>
            <c:dLbl>
              <c:idx val="6"/>
              <c:layout>
                <c:manualLayout>
                  <c:x val="-3.3028295243582355E-2"/>
                  <c:y val="-3.6339880626641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6107-4BB4-921E-9294DCD45ACA}"/>
                </c:ext>
                <c:ext xmlns:c15="http://schemas.microsoft.com/office/drawing/2012/chart" uri="{CE6537A1-D6FC-4f65-9D91-7224C49458BB}"/>
              </c:extLst>
            </c:dLbl>
            <c:dLbl>
              <c:idx val="7"/>
              <c:layout>
                <c:manualLayout>
                  <c:x val="-3.8730875104026778E-2"/>
                  <c:y val="-3.60564522614445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6107-4BB4-921E-9294DCD45ACA}"/>
                </c:ext>
                <c:ext xmlns:c15="http://schemas.microsoft.com/office/drawing/2012/chart" uri="{CE6537A1-D6FC-4f65-9D91-7224C49458BB}"/>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Trend!$B$2:$N$2</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Trend!$B$5:$N$5</c:f>
              <c:numCache>
                <c:formatCode>General</c:formatCode>
                <c:ptCount val="13"/>
                <c:pt idx="0">
                  <c:v>10.6</c:v>
                </c:pt>
                <c:pt idx="1">
                  <c:v>8.3000000000000007</c:v>
                </c:pt>
                <c:pt idx="2">
                  <c:v>7.4</c:v>
                </c:pt>
                <c:pt idx="3">
                  <c:v>6.6</c:v>
                </c:pt>
                <c:pt idx="4">
                  <c:v>7.2</c:v>
                </c:pt>
                <c:pt idx="5">
                  <c:v>12.8</c:v>
                </c:pt>
                <c:pt idx="6">
                  <c:v>12.2</c:v>
                </c:pt>
                <c:pt idx="7">
                  <c:v>12.2</c:v>
                </c:pt>
                <c:pt idx="8">
                  <c:v>12.7</c:v>
                </c:pt>
                <c:pt idx="9">
                  <c:v>10.7</c:v>
                </c:pt>
                <c:pt idx="10">
                  <c:v>10.9</c:v>
                </c:pt>
                <c:pt idx="11" formatCode="#\ ##0.0">
                  <c:v>9</c:v>
                </c:pt>
                <c:pt idx="12">
                  <c:v>9.1</c:v>
                </c:pt>
              </c:numCache>
            </c:numRef>
          </c:val>
          <c:smooth val="0"/>
          <c:extLst xmlns:c16r2="http://schemas.microsoft.com/office/drawing/2015/06/chart">
            <c:ext xmlns:c16="http://schemas.microsoft.com/office/drawing/2014/chart" uri="{C3380CC4-5D6E-409C-BE32-E72D297353CC}">
              <c16:uniqueId val="{0000000B-6107-4BB4-921E-9294DCD45ACA}"/>
            </c:ext>
          </c:extLst>
        </c:ser>
        <c:dLbls>
          <c:showLegendKey val="0"/>
          <c:showVal val="0"/>
          <c:showCatName val="0"/>
          <c:showSerName val="0"/>
          <c:showPercent val="0"/>
          <c:showBubbleSize val="0"/>
        </c:dLbls>
        <c:marker val="1"/>
        <c:smooth val="0"/>
        <c:axId val="-209405712"/>
        <c:axId val="-214229344"/>
      </c:lineChart>
      <c:catAx>
        <c:axId val="-209405712"/>
        <c:scaling>
          <c:orientation val="minMax"/>
        </c:scaling>
        <c:delete val="0"/>
        <c:axPos val="b"/>
        <c:title>
          <c:tx>
            <c:rich>
              <a:bodyPr/>
              <a:lstStyle/>
              <a:p>
                <a:pPr>
                  <a:defRPr sz="800" b="0"/>
                </a:pPr>
                <a:r>
                  <a:rPr lang="pl-PL" sz="800" b="0"/>
                  <a:t>rok</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214229344"/>
        <c:crosses val="autoZero"/>
        <c:auto val="1"/>
        <c:lblAlgn val="ctr"/>
        <c:lblOffset val="100"/>
        <c:noMultiLvlLbl val="0"/>
      </c:catAx>
      <c:valAx>
        <c:axId val="-214229344"/>
        <c:scaling>
          <c:orientation val="minMax"/>
        </c:scaling>
        <c:delete val="0"/>
        <c:axPos val="l"/>
        <c:majorGridlines/>
        <c:title>
          <c:tx>
            <c:rich>
              <a:bodyPr rot="0" vert="horz"/>
              <a:lstStyle/>
              <a:p>
                <a:pPr>
                  <a:defRPr sz="800" b="0"/>
                </a:pPr>
                <a:r>
                  <a:rPr lang="pl-PL" sz="800" b="0"/>
                  <a:t>%</a:t>
                </a:r>
              </a:p>
            </c:rich>
          </c:tx>
          <c:overlay val="0"/>
        </c:title>
        <c:numFmt formatCode="General" sourceLinked="0"/>
        <c:majorTickMark val="out"/>
        <c:minorTickMark val="none"/>
        <c:tickLblPos val="nextTo"/>
        <c:txPr>
          <a:bodyPr/>
          <a:lstStyle/>
          <a:p>
            <a:pPr>
              <a:defRPr sz="800"/>
            </a:pPr>
            <a:endParaRPr lang="pl-PL"/>
          </a:p>
        </c:txPr>
        <c:crossAx val="-209405712"/>
        <c:crosses val="autoZero"/>
        <c:crossBetween val="between"/>
        <c:majorUnit val="5"/>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216436135667"/>
          <c:y val="6.6666588882367969E-2"/>
          <c:w val="0.86122066030089794"/>
          <c:h val="0.72532256249648375"/>
        </c:manualLayout>
      </c:layout>
      <c:lineChart>
        <c:grouping val="standard"/>
        <c:varyColors val="0"/>
        <c:ser>
          <c:idx val="0"/>
          <c:order val="0"/>
          <c:tx>
            <c:strRef>
              <c:f>granice!$B$4</c:f>
              <c:strCache>
                <c:ptCount val="1"/>
                <c:pt idx="0">
                  <c:v>ubóstwa skrajnego</c:v>
                </c:pt>
              </c:strCache>
            </c:strRef>
          </c:tx>
          <c:spPr>
            <a:ln>
              <a:solidFill>
                <a:srgbClr val="001D77"/>
              </a:solidFill>
            </a:ln>
          </c:spPr>
          <c:marker>
            <c:spPr>
              <a:solidFill>
                <a:srgbClr val="001D77"/>
              </a:solidFill>
              <a:ln>
                <a:solidFill>
                  <a:srgbClr val="001D77"/>
                </a:solidFill>
              </a:ln>
            </c:spPr>
          </c:marker>
          <c:dLbls>
            <c:dLbl>
              <c:idx val="3"/>
              <c:layout>
                <c:manualLayout>
                  <c:x val="-3.6846679081315954E-2"/>
                  <c:y val="6.476098494083228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0E21-43FF-99C7-F3F854946D3D}"/>
                </c:ext>
                <c:ext xmlns:c15="http://schemas.microsoft.com/office/drawing/2012/chart" uri="{CE6537A1-D6FC-4f65-9D91-7224C49458BB}"/>
              </c:extLst>
            </c:dLbl>
            <c:dLbl>
              <c:idx val="6"/>
              <c:layout>
                <c:manualLayout>
                  <c:x val="-3.9490109468023817E-2"/>
                  <c:y val="3.549940274091901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0E21-43FF-99C7-F3F854946D3D}"/>
                </c:ext>
                <c:ext xmlns:c15="http://schemas.microsoft.com/office/drawing/2012/chart" uri="{CE6537A1-D6FC-4f65-9D91-7224C49458BB}"/>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granice!$A$5:$A$17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granice!$B$5:$B$17</c:f>
              <c:numCache>
                <c:formatCode>General</c:formatCode>
                <c:ptCount val="13"/>
                <c:pt idx="0">
                  <c:v>418</c:v>
                </c:pt>
                <c:pt idx="1">
                  <c:v>443</c:v>
                </c:pt>
                <c:pt idx="2">
                  <c:v>466</c:v>
                </c:pt>
                <c:pt idx="3">
                  <c:v>495</c:v>
                </c:pt>
                <c:pt idx="4">
                  <c:v>519</c:v>
                </c:pt>
                <c:pt idx="5">
                  <c:v>551</c:v>
                </c:pt>
                <c:pt idx="6">
                  <c:v>540</c:v>
                </c:pt>
                <c:pt idx="7">
                  <c:v>545</c:v>
                </c:pt>
                <c:pt idx="8">
                  <c:v>550</c:v>
                </c:pt>
                <c:pt idx="9">
                  <c:v>582</c:v>
                </c:pt>
                <c:pt idx="10">
                  <c:v>595</c:v>
                </c:pt>
                <c:pt idx="11">
                  <c:v>614</c:v>
                </c:pt>
                <c:pt idx="12">
                  <c:v>640</c:v>
                </c:pt>
              </c:numCache>
            </c:numRef>
          </c:val>
          <c:smooth val="0"/>
          <c:extLst xmlns:c16r2="http://schemas.microsoft.com/office/drawing/2015/06/chart">
            <c:ext xmlns:c16="http://schemas.microsoft.com/office/drawing/2014/chart" uri="{C3380CC4-5D6E-409C-BE32-E72D297353CC}">
              <c16:uniqueId val="{00000002-0E21-43FF-99C7-F3F854946D3D}"/>
            </c:ext>
          </c:extLst>
        </c:ser>
        <c:ser>
          <c:idx val="1"/>
          <c:order val="1"/>
          <c:tx>
            <c:strRef>
              <c:f>granice!$C$4</c:f>
              <c:strCache>
                <c:ptCount val="1"/>
                <c:pt idx="0">
                  <c:v>ubóstwa realatywnego</c:v>
                </c:pt>
              </c:strCache>
            </c:strRef>
          </c:tx>
          <c:spPr>
            <a:ln>
              <a:solidFill>
                <a:srgbClr val="754FAD"/>
              </a:solidFill>
            </a:ln>
          </c:spPr>
          <c:marker>
            <c:spPr>
              <a:solidFill>
                <a:srgbClr val="754FAD"/>
              </a:solidFill>
              <a:ln>
                <a:solidFill>
                  <a:srgbClr val="754FAD"/>
                </a:solidFill>
              </a:ln>
            </c:spPr>
          </c:marker>
          <c:dLbls>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granice!$A$5:$A$17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granice!$C$5:$C$17</c:f>
              <c:numCache>
                <c:formatCode>General</c:formatCode>
                <c:ptCount val="13"/>
                <c:pt idx="0">
                  <c:v>612</c:v>
                </c:pt>
                <c:pt idx="1">
                  <c:v>633</c:v>
                </c:pt>
                <c:pt idx="2">
                  <c:v>668</c:v>
                </c:pt>
                <c:pt idx="3">
                  <c:v>692</c:v>
                </c:pt>
                <c:pt idx="4">
                  <c:v>693</c:v>
                </c:pt>
                <c:pt idx="5">
                  <c:v>706</c:v>
                </c:pt>
                <c:pt idx="6">
                  <c:v>713</c:v>
                </c:pt>
                <c:pt idx="7">
                  <c:v>734</c:v>
                </c:pt>
                <c:pt idx="8">
                  <c:v>770</c:v>
                </c:pt>
                <c:pt idx="9">
                  <c:v>799</c:v>
                </c:pt>
                <c:pt idx="10">
                  <c:v>810</c:v>
                </c:pt>
                <c:pt idx="11">
                  <c:v>858</c:v>
                </c:pt>
                <c:pt idx="12">
                  <c:v>799</c:v>
                </c:pt>
              </c:numCache>
            </c:numRef>
          </c:val>
          <c:smooth val="0"/>
          <c:extLst xmlns:c16r2="http://schemas.microsoft.com/office/drawing/2015/06/chart">
            <c:ext xmlns:c16="http://schemas.microsoft.com/office/drawing/2014/chart" uri="{C3380CC4-5D6E-409C-BE32-E72D297353CC}">
              <c16:uniqueId val="{00000003-0E21-43FF-99C7-F3F854946D3D}"/>
            </c:ext>
          </c:extLst>
        </c:ser>
        <c:ser>
          <c:idx val="2"/>
          <c:order val="2"/>
          <c:tx>
            <c:strRef>
              <c:f>granice!$D$4</c:f>
              <c:strCache>
                <c:ptCount val="1"/>
                <c:pt idx="0">
                  <c:v>ubóstwa ustawowego</c:v>
                </c:pt>
              </c:strCache>
            </c:strRef>
          </c:tx>
          <c:spPr>
            <a:ln>
              <a:solidFill>
                <a:srgbClr val="69BE28"/>
              </a:solidFill>
            </a:ln>
          </c:spPr>
          <c:marker>
            <c:spPr>
              <a:solidFill>
                <a:srgbClr val="69BE28"/>
              </a:solidFill>
              <a:ln>
                <a:solidFill>
                  <a:srgbClr val="69BE28"/>
                </a:solidFill>
              </a:ln>
            </c:spPr>
          </c:marker>
          <c:dLbls>
            <c:dLbl>
              <c:idx val="0"/>
              <c:layout>
                <c:manualLayout>
                  <c:x val="-3.7301869278535321E-2"/>
                  <c:y val="-4.01600340506327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0E21-43FF-99C7-F3F854946D3D}"/>
                </c:ext>
                <c:ext xmlns:c15="http://schemas.microsoft.com/office/drawing/2012/chart" uri="{CE6537A1-D6FC-4f65-9D91-7224C49458BB}"/>
              </c:extLst>
            </c:dLbl>
            <c:dLbl>
              <c:idx val="1"/>
              <c:layout>
                <c:manualLayout>
                  <c:x val="-3.0116989949427089E-2"/>
                  <c:y val="-3.70462449174136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0E21-43FF-99C7-F3F854946D3D}"/>
                </c:ext>
                <c:ext xmlns:c15="http://schemas.microsoft.com/office/drawing/2012/chart" uri="{CE6537A1-D6FC-4f65-9D91-7224C49458BB}"/>
              </c:extLst>
            </c:dLbl>
            <c:dLbl>
              <c:idx val="2"/>
              <c:layout>
                <c:manualLayout>
                  <c:x val="-2.8084469624223802E-2"/>
                  <c:y val="-3.70462449174134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0E21-43FF-99C7-F3F854946D3D}"/>
                </c:ext>
                <c:ext xmlns:c15="http://schemas.microsoft.com/office/drawing/2012/chart" uri="{CE6537A1-D6FC-4f65-9D91-7224C49458BB}"/>
              </c:extLst>
            </c:dLbl>
            <c:dLbl>
              <c:idx val="3"/>
              <c:layout>
                <c:manualLayout>
                  <c:x val="-3.7684619031559605E-2"/>
                  <c:y val="-5.614034147687543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0E21-43FF-99C7-F3F854946D3D}"/>
                </c:ext>
                <c:ext xmlns:c15="http://schemas.microsoft.com/office/drawing/2012/chart" uri="{CE6537A1-D6FC-4f65-9D91-7224C49458BB}"/>
              </c:extLst>
            </c:dLbl>
            <c:dLbl>
              <c:idx val="4"/>
              <c:layout>
                <c:manualLayout>
                  <c:x val="-3.8489213238589157E-2"/>
                  <c:y val="-2.830262695923535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0E21-43FF-99C7-F3F854946D3D}"/>
                </c:ext>
                <c:ext xmlns:c15="http://schemas.microsoft.com/office/drawing/2012/chart" uri="{CE6537A1-D6FC-4f65-9D91-7224C49458BB}"/>
              </c:extLst>
            </c:dLbl>
            <c:dLbl>
              <c:idx val="5"/>
              <c:layout>
                <c:manualLayout>
                  <c:x val="-3.9520837334357593E-2"/>
                  <c:y val="-3.400110625327321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0E21-43FF-99C7-F3F854946D3D}"/>
                </c:ext>
                <c:ext xmlns:c15="http://schemas.microsoft.com/office/drawing/2012/chart" uri="{CE6537A1-D6FC-4f65-9D91-7224C49458BB}"/>
              </c:extLst>
            </c:dLbl>
            <c:dLbl>
              <c:idx val="6"/>
              <c:layout>
                <c:manualLayout>
                  <c:x val="-3.3028295243582355E-2"/>
                  <c:y val="-3.63398806266414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0E21-43FF-99C7-F3F854946D3D}"/>
                </c:ext>
                <c:ext xmlns:c15="http://schemas.microsoft.com/office/drawing/2012/chart" uri="{CE6537A1-D6FC-4f65-9D91-7224C49458BB}"/>
              </c:extLst>
            </c:dLbl>
            <c:dLbl>
              <c:idx val="7"/>
              <c:layout>
                <c:manualLayout>
                  <c:x val="-3.8730875104026778E-2"/>
                  <c:y val="-3.60564522614445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0E21-43FF-99C7-F3F854946D3D}"/>
                </c:ext>
                <c:ext xmlns:c15="http://schemas.microsoft.com/office/drawing/2012/chart" uri="{CE6537A1-D6FC-4f65-9D91-7224C49458BB}"/>
              </c:extLst>
            </c:dLbl>
            <c:dLbl>
              <c:idx val="8"/>
              <c:layout>
                <c:manualLayout>
                  <c:x val="-3.9118657653826702E-2"/>
                  <c:y val="-5.18872853043849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0E21-43FF-99C7-F3F854946D3D}"/>
                </c:ext>
                <c:ext xmlns:c15="http://schemas.microsoft.com/office/drawing/2012/chart" uri="{CE6537A1-D6FC-4f65-9D91-7224C49458BB}"/>
              </c:extLst>
            </c:dLbl>
            <c:dLbl>
              <c:idx val="9"/>
              <c:layout>
                <c:manualLayout>
                  <c:x val="-4.6567447225521481E-2"/>
                  <c:y val="-5.188728530438490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0E21-43FF-99C7-F3F854946D3D}"/>
                </c:ext>
                <c:ext xmlns:c15="http://schemas.microsoft.com/office/drawing/2012/chart" uri="{CE6537A1-D6FC-4f65-9D91-7224C49458BB}"/>
              </c:extLst>
            </c:dLbl>
            <c:dLbl>
              <c:idx val="10"/>
              <c:layout>
                <c:manualLayout>
                  <c:x val="-3.7839851024208566E-2"/>
                  <c:y val="-4.3381172959403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0E21-43FF-99C7-F3F854946D3D}"/>
                </c:ext>
                <c:ext xmlns:c15="http://schemas.microsoft.com/office/drawing/2012/chart" uri="{CE6537A1-D6FC-4f65-9D91-7224C49458BB}"/>
              </c:extLst>
            </c:dLbl>
            <c:dLbl>
              <c:idx val="11"/>
              <c:layout>
                <c:manualLayout>
                  <c:x val="-3.7839851024208566E-2"/>
                  <c:y val="-4.763422913189430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0E21-43FF-99C7-F3F854946D3D}"/>
                </c:ext>
                <c:ext xmlns:c15="http://schemas.microsoft.com/office/drawing/2012/chart" uri="{CE6537A1-D6FC-4f65-9D91-7224C49458BB}"/>
              </c:extLst>
            </c:dLbl>
            <c:dLbl>
              <c:idx val="12"/>
              <c:layout>
                <c:manualLayout>
                  <c:x val="-3.3780749473354937E-2"/>
                  <c:y val="-2.211589209695096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0E21-43FF-99C7-F3F854946D3D}"/>
                </c:ext>
                <c:ext xmlns:c15="http://schemas.microsoft.com/office/drawing/2012/chart" uri="{CE6537A1-D6FC-4f65-9D91-7224C49458BB}"/>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granice!$A$5:$A$17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granice!$D$5:$D$17</c:f>
              <c:numCache>
                <c:formatCode>General</c:formatCode>
                <c:ptCount val="13"/>
                <c:pt idx="0">
                  <c:v>477</c:v>
                </c:pt>
                <c:pt idx="1">
                  <c:v>477</c:v>
                </c:pt>
                <c:pt idx="2">
                  <c:v>477</c:v>
                </c:pt>
                <c:pt idx="3">
                  <c:v>477</c:v>
                </c:pt>
                <c:pt idx="4">
                  <c:v>542</c:v>
                </c:pt>
                <c:pt idx="5">
                  <c:v>542</c:v>
                </c:pt>
                <c:pt idx="6">
                  <c:v>542</c:v>
                </c:pt>
                <c:pt idx="7">
                  <c:v>634</c:v>
                </c:pt>
                <c:pt idx="8">
                  <c:v>634</c:v>
                </c:pt>
                <c:pt idx="9">
                  <c:v>634</c:v>
                </c:pt>
                <c:pt idx="10">
                  <c:v>701</c:v>
                </c:pt>
                <c:pt idx="11">
                  <c:v>701</c:v>
                </c:pt>
                <c:pt idx="12">
                  <c:v>701</c:v>
                </c:pt>
              </c:numCache>
            </c:numRef>
          </c:val>
          <c:smooth val="0"/>
          <c:extLst xmlns:c16r2="http://schemas.microsoft.com/office/drawing/2015/06/chart">
            <c:ext xmlns:c16="http://schemas.microsoft.com/office/drawing/2014/chart" uri="{C3380CC4-5D6E-409C-BE32-E72D297353CC}">
              <c16:uniqueId val="{00000011-0E21-43FF-99C7-F3F854946D3D}"/>
            </c:ext>
          </c:extLst>
        </c:ser>
        <c:dLbls>
          <c:showLegendKey val="0"/>
          <c:showVal val="0"/>
          <c:showCatName val="0"/>
          <c:showSerName val="0"/>
          <c:showPercent val="0"/>
          <c:showBubbleSize val="0"/>
        </c:dLbls>
        <c:marker val="1"/>
        <c:smooth val="0"/>
        <c:axId val="-214244032"/>
        <c:axId val="-214237504"/>
      </c:lineChart>
      <c:catAx>
        <c:axId val="-214244032"/>
        <c:scaling>
          <c:orientation val="minMax"/>
        </c:scaling>
        <c:delete val="0"/>
        <c:axPos val="b"/>
        <c:title>
          <c:tx>
            <c:rich>
              <a:bodyPr/>
              <a:lstStyle/>
              <a:p>
                <a:pPr>
                  <a:defRPr sz="800" b="0"/>
                </a:pPr>
                <a:r>
                  <a:rPr lang="pl-PL"/>
                  <a:t>Rok</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214237504"/>
        <c:crosses val="autoZero"/>
        <c:auto val="1"/>
        <c:lblAlgn val="ctr"/>
        <c:lblOffset val="100"/>
        <c:noMultiLvlLbl val="0"/>
      </c:catAx>
      <c:valAx>
        <c:axId val="-214237504"/>
        <c:scaling>
          <c:orientation val="minMax"/>
        </c:scaling>
        <c:delete val="0"/>
        <c:axPos val="l"/>
        <c:majorGridlines/>
        <c:title>
          <c:tx>
            <c:rich>
              <a:bodyPr rot="0" vert="horz"/>
              <a:lstStyle/>
              <a:p>
                <a:pPr>
                  <a:defRPr sz="800" b="0"/>
                </a:pPr>
                <a:r>
                  <a:rPr lang="pl-PL"/>
                  <a:t>Zł.</a:t>
                </a:r>
              </a:p>
            </c:rich>
          </c:tx>
          <c:layout>
            <c:manualLayout>
              <c:xMode val="edge"/>
              <c:yMode val="edge"/>
              <c:x val="9.0911335469569376E-3"/>
              <c:y val="0.40253334797902807"/>
            </c:manualLayout>
          </c:layout>
          <c:overlay val="0"/>
        </c:title>
        <c:numFmt formatCode="#,##0" sourceLinked="0"/>
        <c:majorTickMark val="out"/>
        <c:minorTickMark val="none"/>
        <c:tickLblPos val="nextTo"/>
        <c:txPr>
          <a:bodyPr/>
          <a:lstStyle/>
          <a:p>
            <a:pPr>
              <a:defRPr sz="800"/>
            </a:pPr>
            <a:endParaRPr lang="pl-PL"/>
          </a:p>
        </c:txPr>
        <c:crossAx val="-214244032"/>
        <c:crosses val="autoZero"/>
        <c:crossBetween val="between"/>
        <c:majorUnit val="200"/>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031058617672794"/>
          <c:y val="6.6666588882367969E-2"/>
          <c:w val="0.84733180227471572"/>
          <c:h val="0.72532256249648375"/>
        </c:manualLayout>
      </c:layout>
      <c:lineChart>
        <c:grouping val="standard"/>
        <c:varyColors val="0"/>
        <c:ser>
          <c:idx val="0"/>
          <c:order val="0"/>
          <c:tx>
            <c:strRef>
              <c:f>granice!$F$4</c:f>
              <c:strCache>
                <c:ptCount val="1"/>
                <c:pt idx="0">
                  <c:v>ubóstwa skrajnego</c:v>
                </c:pt>
              </c:strCache>
            </c:strRef>
          </c:tx>
          <c:spPr>
            <a:ln>
              <a:solidFill>
                <a:srgbClr val="001D77"/>
              </a:solidFill>
            </a:ln>
          </c:spPr>
          <c:marker>
            <c:spPr>
              <a:solidFill>
                <a:srgbClr val="001D77"/>
              </a:solidFill>
              <a:ln>
                <a:solidFill>
                  <a:srgbClr val="001D77"/>
                </a:solidFill>
              </a:ln>
            </c:spPr>
          </c:marker>
          <c:dLbls>
            <c:dLbl>
              <c:idx val="3"/>
              <c:layout>
                <c:manualLayout>
                  <c:x val="-3.7033685872805061E-2"/>
                  <c:y val="4.386470657042175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3CA-4630-AD51-33921DDB45D2}"/>
                </c:ext>
                <c:ext xmlns:c15="http://schemas.microsoft.com/office/drawing/2012/chart" uri="{CE6537A1-D6FC-4f65-9D91-7224C49458BB}"/>
              </c:extLst>
            </c:dLbl>
            <c:dLbl>
              <c:idx val="6"/>
              <c:layout>
                <c:manualLayout>
                  <c:x val="-3.9490109468023817E-2"/>
                  <c:y val="3.549940274091901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3CA-4630-AD51-33921DDB45D2}"/>
                </c:ext>
                <c:ext xmlns:c15="http://schemas.microsoft.com/office/drawing/2012/chart" uri="{CE6537A1-D6FC-4f65-9D91-7224C49458BB}"/>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granice!$E$5:$E$17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granice!$F$5:$F$17</c:f>
              <c:numCache>
                <c:formatCode>General</c:formatCode>
                <c:ptCount val="13"/>
                <c:pt idx="0">
                  <c:v>1129</c:v>
                </c:pt>
                <c:pt idx="1">
                  <c:v>1196</c:v>
                </c:pt>
                <c:pt idx="2">
                  <c:v>1257</c:v>
                </c:pt>
                <c:pt idx="3">
                  <c:v>1336</c:v>
                </c:pt>
                <c:pt idx="4">
                  <c:v>1401</c:v>
                </c:pt>
                <c:pt idx="5">
                  <c:v>1486</c:v>
                </c:pt>
                <c:pt idx="6">
                  <c:v>1458</c:v>
                </c:pt>
                <c:pt idx="7">
                  <c:v>1472</c:v>
                </c:pt>
                <c:pt idx="8">
                  <c:v>1486</c:v>
                </c:pt>
                <c:pt idx="9">
                  <c:v>1572</c:v>
                </c:pt>
                <c:pt idx="10">
                  <c:v>1606</c:v>
                </c:pt>
                <c:pt idx="11">
                  <c:v>1658</c:v>
                </c:pt>
                <c:pt idx="12">
                  <c:v>1727</c:v>
                </c:pt>
              </c:numCache>
            </c:numRef>
          </c:val>
          <c:smooth val="0"/>
          <c:extLst xmlns:c16r2="http://schemas.microsoft.com/office/drawing/2015/06/chart">
            <c:ext xmlns:c16="http://schemas.microsoft.com/office/drawing/2014/chart" uri="{C3380CC4-5D6E-409C-BE32-E72D297353CC}">
              <c16:uniqueId val="{00000002-73CA-4630-AD51-33921DDB45D2}"/>
            </c:ext>
          </c:extLst>
        </c:ser>
        <c:ser>
          <c:idx val="1"/>
          <c:order val="1"/>
          <c:tx>
            <c:strRef>
              <c:f>granice!$G$4</c:f>
              <c:strCache>
                <c:ptCount val="1"/>
                <c:pt idx="0">
                  <c:v>ubóstwa realatywnego</c:v>
                </c:pt>
              </c:strCache>
            </c:strRef>
          </c:tx>
          <c:spPr>
            <a:ln>
              <a:solidFill>
                <a:srgbClr val="754FAD"/>
              </a:solidFill>
            </a:ln>
          </c:spPr>
          <c:marker>
            <c:spPr>
              <a:solidFill>
                <a:srgbClr val="754FAD"/>
              </a:solidFill>
              <a:ln>
                <a:solidFill>
                  <a:srgbClr val="754FAD"/>
                </a:solidFill>
              </a:ln>
            </c:spPr>
          </c:marker>
          <c:dLbls>
            <c:spPr>
              <a:noFill/>
              <a:ln>
                <a:noFill/>
              </a:ln>
              <a:effectLst/>
            </c:spPr>
            <c:txPr>
              <a:bodyPr/>
              <a:lstStyle/>
              <a:p>
                <a:pPr>
                  <a:defRPr sz="800"/>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granice!$E$5:$E$17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granice!$G$5:$G$17</c:f>
              <c:numCache>
                <c:formatCode>General</c:formatCode>
                <c:ptCount val="13"/>
                <c:pt idx="0">
                  <c:v>1676</c:v>
                </c:pt>
                <c:pt idx="1">
                  <c:v>1709</c:v>
                </c:pt>
                <c:pt idx="2">
                  <c:v>1802</c:v>
                </c:pt>
                <c:pt idx="3">
                  <c:v>1868</c:v>
                </c:pt>
                <c:pt idx="4">
                  <c:v>1871</c:v>
                </c:pt>
                <c:pt idx="5">
                  <c:v>1906</c:v>
                </c:pt>
                <c:pt idx="6">
                  <c:v>1926</c:v>
                </c:pt>
                <c:pt idx="7">
                  <c:v>1982</c:v>
                </c:pt>
                <c:pt idx="8">
                  <c:v>2080</c:v>
                </c:pt>
                <c:pt idx="9">
                  <c:v>2157</c:v>
                </c:pt>
                <c:pt idx="10">
                  <c:v>2187</c:v>
                </c:pt>
                <c:pt idx="11">
                  <c:v>2317</c:v>
                </c:pt>
                <c:pt idx="12">
                  <c:v>2157</c:v>
                </c:pt>
              </c:numCache>
            </c:numRef>
          </c:val>
          <c:smooth val="0"/>
          <c:extLst xmlns:c16r2="http://schemas.microsoft.com/office/drawing/2015/06/chart">
            <c:ext xmlns:c16="http://schemas.microsoft.com/office/drawing/2014/chart" uri="{C3380CC4-5D6E-409C-BE32-E72D297353CC}">
              <c16:uniqueId val="{00000003-73CA-4630-AD51-33921DDB45D2}"/>
            </c:ext>
          </c:extLst>
        </c:ser>
        <c:ser>
          <c:idx val="2"/>
          <c:order val="2"/>
          <c:tx>
            <c:strRef>
              <c:f>granice!$H$4</c:f>
              <c:strCache>
                <c:ptCount val="1"/>
                <c:pt idx="0">
                  <c:v>ubóstwa ustawowego</c:v>
                </c:pt>
              </c:strCache>
            </c:strRef>
          </c:tx>
          <c:spPr>
            <a:ln>
              <a:solidFill>
                <a:srgbClr val="69BE28"/>
              </a:solidFill>
            </a:ln>
          </c:spPr>
          <c:marker>
            <c:spPr>
              <a:solidFill>
                <a:srgbClr val="69BE28"/>
              </a:solidFill>
              <a:ln>
                <a:solidFill>
                  <a:srgbClr val="69BE28"/>
                </a:solidFill>
              </a:ln>
            </c:spPr>
          </c:marker>
          <c:dLbls>
            <c:dLbl>
              <c:idx val="0"/>
              <c:layout>
                <c:manualLayout>
                  <c:x val="-3.7301869278535321E-2"/>
                  <c:y val="-4.016003405063271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3CA-4630-AD51-33921DDB45D2}"/>
                </c:ext>
                <c:ext xmlns:c15="http://schemas.microsoft.com/office/drawing/2012/chart" uri="{CE6537A1-D6FC-4f65-9D91-7224C49458BB}"/>
              </c:extLst>
            </c:dLbl>
            <c:dLbl>
              <c:idx val="1"/>
              <c:layout>
                <c:manualLayout>
                  <c:x val="-3.0116989949427089E-2"/>
                  <c:y val="-3.704624491741360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3CA-4630-AD51-33921DDB45D2}"/>
                </c:ext>
                <c:ext xmlns:c15="http://schemas.microsoft.com/office/drawing/2012/chart" uri="{CE6537A1-D6FC-4f65-9D91-7224C49458BB}"/>
              </c:extLst>
            </c:dLbl>
            <c:dLbl>
              <c:idx val="2"/>
              <c:layout>
                <c:manualLayout>
                  <c:x val="-2.8084469624223802E-2"/>
                  <c:y val="-3.704624491741348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3CA-4630-AD51-33921DDB45D2}"/>
                </c:ext>
                <c:ext xmlns:c15="http://schemas.microsoft.com/office/drawing/2012/chart" uri="{CE6537A1-D6FC-4f65-9D91-7224C49458BB}"/>
              </c:extLst>
            </c:dLbl>
            <c:dLbl>
              <c:idx val="3"/>
              <c:layout>
                <c:manualLayout>
                  <c:x val="-3.0196454263866582E-2"/>
                  <c:y val="-3.328260298463196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3CA-4630-AD51-33921DDB45D2}"/>
                </c:ext>
                <c:ext xmlns:c15="http://schemas.microsoft.com/office/drawing/2012/chart" uri="{CE6537A1-D6FC-4f65-9D91-7224C49458BB}"/>
              </c:extLst>
            </c:dLbl>
            <c:dLbl>
              <c:idx val="4"/>
              <c:layout>
                <c:manualLayout>
                  <c:x val="-2.5606854516403155E-2"/>
                  <c:y val="4.475669567096049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3CA-4630-AD51-33921DDB45D2}"/>
                </c:ext>
                <c:ext xmlns:c15="http://schemas.microsoft.com/office/drawing/2012/chart" uri="{CE6537A1-D6FC-4f65-9D91-7224C49458BB}"/>
              </c:extLst>
            </c:dLbl>
            <c:dLbl>
              <c:idx val="5"/>
              <c:layout>
                <c:manualLayout>
                  <c:x val="-3.1791443134244424E-2"/>
                  <c:y val="3.094061225415968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3CA-4630-AD51-33921DDB45D2}"/>
                </c:ext>
                <c:ext xmlns:c15="http://schemas.microsoft.com/office/drawing/2012/chart" uri="{CE6537A1-D6FC-4f65-9D91-7224C49458BB}"/>
              </c:extLst>
            </c:dLbl>
            <c:dLbl>
              <c:idx val="6"/>
              <c:layout>
                <c:manualLayout>
                  <c:x val="-4.07578286727956E-2"/>
                  <c:y val="4.483723356180100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3CA-4630-AD51-33921DDB45D2}"/>
                </c:ext>
                <c:ext xmlns:c15="http://schemas.microsoft.com/office/drawing/2012/chart" uri="{CE6537A1-D6FC-4f65-9D91-7224C49458BB}"/>
              </c:extLst>
            </c:dLbl>
            <c:dLbl>
              <c:idx val="7"/>
              <c:layout>
                <c:manualLayout>
                  <c:x val="-3.615443354970433E-2"/>
                  <c:y val="7.35326923113799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3CA-4630-AD51-33921DDB45D2}"/>
                </c:ext>
                <c:ext xmlns:c15="http://schemas.microsoft.com/office/drawing/2012/chart" uri="{CE6537A1-D6FC-4f65-9D91-7224C49458BB}"/>
              </c:extLst>
            </c:dLbl>
            <c:spPr>
              <a:noFill/>
              <a:ln>
                <a:noFill/>
              </a:ln>
              <a:effectLst/>
            </c:spPr>
            <c:txPr>
              <a:bodyPr/>
              <a:lstStyle/>
              <a:p>
                <a:pPr>
                  <a:defRPr sz="800"/>
                </a:pPr>
                <a:endParaRPr lang="pl-PL"/>
              </a:p>
            </c:txPr>
            <c:dLblPos val="b"/>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granice!$E$5:$E$17</c:f>
              <c:numCache>
                <c:formatCode>General</c:formatCode>
                <c:ptCount val="13"/>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numCache>
            </c:numRef>
          </c:cat>
          <c:val>
            <c:numRef>
              <c:f>granice!$H$5:$H$17</c:f>
              <c:numCache>
                <c:formatCode>General</c:formatCode>
                <c:ptCount val="13"/>
                <c:pt idx="0">
                  <c:v>1404</c:v>
                </c:pt>
                <c:pt idx="1">
                  <c:v>1404</c:v>
                </c:pt>
                <c:pt idx="2">
                  <c:v>1404</c:v>
                </c:pt>
                <c:pt idx="3">
                  <c:v>1404</c:v>
                </c:pt>
                <c:pt idx="4">
                  <c:v>1824</c:v>
                </c:pt>
                <c:pt idx="5">
                  <c:v>1824</c:v>
                </c:pt>
                <c:pt idx="6">
                  <c:v>1824</c:v>
                </c:pt>
                <c:pt idx="7">
                  <c:v>2056</c:v>
                </c:pt>
                <c:pt idx="8">
                  <c:v>2056</c:v>
                </c:pt>
                <c:pt idx="9">
                  <c:v>2056</c:v>
                </c:pt>
                <c:pt idx="10">
                  <c:v>2112</c:v>
                </c:pt>
                <c:pt idx="11">
                  <c:v>2112</c:v>
                </c:pt>
                <c:pt idx="12">
                  <c:v>2112</c:v>
                </c:pt>
              </c:numCache>
            </c:numRef>
          </c:val>
          <c:smooth val="0"/>
          <c:extLst xmlns:c16r2="http://schemas.microsoft.com/office/drawing/2015/06/chart">
            <c:ext xmlns:c16="http://schemas.microsoft.com/office/drawing/2014/chart" uri="{C3380CC4-5D6E-409C-BE32-E72D297353CC}">
              <c16:uniqueId val="{0000000C-73CA-4630-AD51-33921DDB45D2}"/>
            </c:ext>
          </c:extLst>
        </c:ser>
        <c:dLbls>
          <c:showLegendKey val="0"/>
          <c:showVal val="0"/>
          <c:showCatName val="0"/>
          <c:showSerName val="0"/>
          <c:showPercent val="0"/>
          <c:showBubbleSize val="0"/>
        </c:dLbls>
        <c:marker val="1"/>
        <c:smooth val="0"/>
        <c:axId val="-214243488"/>
        <c:axId val="-214241856"/>
      </c:lineChart>
      <c:catAx>
        <c:axId val="-214243488"/>
        <c:scaling>
          <c:orientation val="minMax"/>
        </c:scaling>
        <c:delete val="0"/>
        <c:axPos val="b"/>
        <c:title>
          <c:tx>
            <c:rich>
              <a:bodyPr/>
              <a:lstStyle/>
              <a:p>
                <a:pPr>
                  <a:defRPr sz="800" b="0"/>
                </a:pPr>
                <a:r>
                  <a:rPr lang="pl-PL"/>
                  <a:t>Rok</a:t>
                </a:r>
              </a:p>
            </c:rich>
          </c:tx>
          <c:layout>
            <c:manualLayout>
              <c:xMode val="edge"/>
              <c:yMode val="edge"/>
              <c:x val="0.51260242622111263"/>
              <c:y val="0.86500792422557382"/>
            </c:manualLayout>
          </c:layout>
          <c:overlay val="0"/>
        </c:title>
        <c:numFmt formatCode="General" sourceLinked="1"/>
        <c:majorTickMark val="out"/>
        <c:minorTickMark val="none"/>
        <c:tickLblPos val="nextTo"/>
        <c:txPr>
          <a:bodyPr/>
          <a:lstStyle/>
          <a:p>
            <a:pPr>
              <a:defRPr sz="800"/>
            </a:pPr>
            <a:endParaRPr lang="pl-PL"/>
          </a:p>
        </c:txPr>
        <c:crossAx val="-214241856"/>
        <c:crosses val="autoZero"/>
        <c:auto val="1"/>
        <c:lblAlgn val="ctr"/>
        <c:lblOffset val="100"/>
        <c:noMultiLvlLbl val="0"/>
      </c:catAx>
      <c:valAx>
        <c:axId val="-214241856"/>
        <c:scaling>
          <c:orientation val="minMax"/>
          <c:max val="2400"/>
        </c:scaling>
        <c:delete val="0"/>
        <c:axPos val="l"/>
        <c:majorGridlines/>
        <c:title>
          <c:tx>
            <c:rich>
              <a:bodyPr rot="0" vert="horz"/>
              <a:lstStyle/>
              <a:p>
                <a:pPr>
                  <a:defRPr sz="800" b="0"/>
                </a:pPr>
                <a:r>
                  <a:rPr lang="pl-PL"/>
                  <a:t>Zł.</a:t>
                </a:r>
              </a:p>
            </c:rich>
          </c:tx>
          <c:layout>
            <c:manualLayout>
              <c:xMode val="edge"/>
              <c:yMode val="edge"/>
              <c:x val="9.0911335469569376E-3"/>
              <c:y val="0.40253334797902807"/>
            </c:manualLayout>
          </c:layout>
          <c:overlay val="0"/>
        </c:title>
        <c:numFmt formatCode="#,##0" sourceLinked="0"/>
        <c:majorTickMark val="out"/>
        <c:minorTickMark val="none"/>
        <c:tickLblPos val="nextTo"/>
        <c:txPr>
          <a:bodyPr/>
          <a:lstStyle/>
          <a:p>
            <a:pPr>
              <a:defRPr sz="800"/>
            </a:pPr>
            <a:endParaRPr lang="pl-PL"/>
          </a:p>
        </c:txPr>
        <c:crossAx val="-214243488"/>
        <c:crosses val="autoZero"/>
        <c:crossBetween val="between"/>
        <c:majorUnit val="300"/>
      </c:valAx>
    </c:plotArea>
    <c:legend>
      <c:legendPos val="b"/>
      <c:legendEntry>
        <c:idx val="0"/>
        <c:txPr>
          <a:bodyPr/>
          <a:lstStyle/>
          <a:p>
            <a:pPr>
              <a:defRPr sz="800"/>
            </a:pPr>
            <a:endParaRPr lang="pl-PL"/>
          </a:p>
        </c:txPr>
      </c:legendEntry>
      <c:layout>
        <c:manualLayout>
          <c:xMode val="edge"/>
          <c:yMode val="edge"/>
          <c:x val="7.4025234797457547E-3"/>
          <c:y val="0.92090607831253224"/>
          <c:w val="0.98784255130759258"/>
          <c:h val="7.614857138373847E-2"/>
        </c:manualLayout>
      </c:layout>
      <c:overlay val="0"/>
      <c:txPr>
        <a:bodyPr/>
        <a:lstStyle/>
        <a:p>
          <a:pPr>
            <a:defRPr sz="800"/>
          </a:pPr>
          <a:endParaRPr lang="pl-PL"/>
        </a:p>
      </c:txPr>
    </c:legend>
    <c:plotVisOnly val="1"/>
    <c:dispBlanksAs val="gap"/>
    <c:showDLblsOverMax val="0"/>
  </c:chart>
  <c:spPr>
    <a:ln>
      <a:noFill/>
    </a:ln>
  </c:spPr>
  <c:txPr>
    <a:bodyPr/>
    <a:lstStyle/>
    <a:p>
      <a:pPr>
        <a:defRPr>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5268253968253971"/>
          <c:y val="5.1735498830291826E-2"/>
          <c:w val="0.59698511904761908"/>
          <c:h val="0.71669405310274847"/>
        </c:manualLayout>
      </c:layout>
      <c:barChart>
        <c:barDir val="bar"/>
        <c:grouping val="clustered"/>
        <c:varyColors val="0"/>
        <c:ser>
          <c:idx val="0"/>
          <c:order val="0"/>
          <c:tx>
            <c:strRef>
              <c:f>'Gr społ-ekon'!$B$1</c:f>
              <c:strCache>
                <c:ptCount val="1"/>
                <c:pt idx="0">
                  <c:v>2019 r.</c:v>
                </c:pt>
              </c:strCache>
            </c:strRef>
          </c:tx>
          <c:spPr>
            <a:solidFill>
              <a:srgbClr val="D9E2FF"/>
            </a:solidFill>
            <a:ln>
              <a:noFill/>
            </a:ln>
            <a:effectLst/>
          </c:spPr>
          <c:invertIfNegative val="0"/>
          <c:dPt>
            <c:idx val="6"/>
            <c:invertIfNegative val="0"/>
            <c:bubble3D val="0"/>
            <c:extLst xmlns:c16r2="http://schemas.microsoft.com/office/drawing/2015/06/chart">
              <c:ext xmlns:c16="http://schemas.microsoft.com/office/drawing/2014/chart" uri="{C3380CC4-5D6E-409C-BE32-E72D297353CC}">
                <c16:uniqueId val="{00000000-6178-4565-907A-FF6850A73830}"/>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'Gr społ-ekon'!$A$2:$A$7</c:f>
              <c:strCache>
                <c:ptCount val="6"/>
                <c:pt idx="0">
                  <c:v>utrzymujących się z innych 
niezarobkowych źródeł</c:v>
                </c:pt>
                <c:pt idx="1">
                  <c:v>rolników</c:v>
                </c:pt>
                <c:pt idx="2">
                  <c:v>rencistów</c:v>
                </c:pt>
                <c:pt idx="3">
                  <c:v>pracowników </c:v>
                </c:pt>
                <c:pt idx="4">
                  <c:v>emerytów</c:v>
                </c:pt>
                <c:pt idx="5">
                  <c:v>pracujących na
własny rachunek</c:v>
                </c:pt>
              </c:strCache>
            </c:strRef>
          </c:cat>
          <c:val>
            <c:numRef>
              <c:f>'Gr społ-ekon'!$B$2:$B$7</c:f>
              <c:numCache>
                <c:formatCode>0.0</c:formatCode>
                <c:ptCount val="6"/>
                <c:pt idx="0">
                  <c:v>10.9</c:v>
                </c:pt>
                <c:pt idx="1">
                  <c:v>9.8000000000000007</c:v>
                </c:pt>
                <c:pt idx="2">
                  <c:v>6.3</c:v>
                </c:pt>
                <c:pt idx="3">
                  <c:v>3.6</c:v>
                </c:pt>
                <c:pt idx="4" formatCode="General">
                  <c:v>3.5</c:v>
                </c:pt>
                <c:pt idx="5" formatCode="General">
                  <c:v>2.4</c:v>
                </c:pt>
              </c:numCache>
            </c:numRef>
          </c:val>
          <c:extLst xmlns:c16r2="http://schemas.microsoft.com/office/drawing/2015/06/chart">
            <c:ext xmlns:c16="http://schemas.microsoft.com/office/drawing/2014/chart" uri="{C3380CC4-5D6E-409C-BE32-E72D297353CC}">
              <c16:uniqueId val="{00000001-6178-4565-907A-FF6850A73830}"/>
            </c:ext>
          </c:extLst>
        </c:ser>
        <c:ser>
          <c:idx val="1"/>
          <c:order val="1"/>
          <c:tx>
            <c:strRef>
              <c:f>'Gr społ-ekon'!$C$1</c:f>
              <c:strCache>
                <c:ptCount val="1"/>
                <c:pt idx="0">
                  <c:v>2020 r.</c:v>
                </c:pt>
              </c:strCache>
            </c:strRef>
          </c:tx>
          <c:spPr>
            <a:solidFill>
              <a:srgbClr val="001D77"/>
            </a:solidFill>
            <a:effectLst/>
          </c:spPr>
          <c:invertIfNegative val="0"/>
          <c:dLbls>
            <c:spPr>
              <a:noFill/>
              <a:ln>
                <a:noFill/>
              </a:ln>
              <a:effectLst/>
            </c:spPr>
            <c:txPr>
              <a:bodyPr wrap="square" lIns="38100" tIns="19050" rIns="38100" bIns="19050" anchor="ctr">
                <a:spAutoFit/>
              </a:bodyPr>
              <a:lstStyle/>
              <a:p>
                <a:pPr>
                  <a:defRPr sz="800"/>
                </a:pPr>
                <a:endParaRPr lang="pl-PL"/>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'Gr społ-ekon'!$A$2:$A$7</c:f>
              <c:strCache>
                <c:ptCount val="6"/>
                <c:pt idx="0">
                  <c:v>utrzymujących się z innych 
niezarobkowych źródeł</c:v>
                </c:pt>
                <c:pt idx="1">
                  <c:v>rolników</c:v>
                </c:pt>
                <c:pt idx="2">
                  <c:v>rencistów</c:v>
                </c:pt>
                <c:pt idx="3">
                  <c:v>pracowników </c:v>
                </c:pt>
                <c:pt idx="4">
                  <c:v>emerytów</c:v>
                </c:pt>
                <c:pt idx="5">
                  <c:v>pracujących na
własny rachunek</c:v>
                </c:pt>
              </c:strCache>
            </c:strRef>
          </c:cat>
          <c:val>
            <c:numRef>
              <c:f>'Gr społ-ekon'!$C$2:$C$7</c:f>
              <c:numCache>
                <c:formatCode>0.0</c:formatCode>
                <c:ptCount val="6"/>
                <c:pt idx="0">
                  <c:v>13.6</c:v>
                </c:pt>
                <c:pt idx="1">
                  <c:v>13.5</c:v>
                </c:pt>
                <c:pt idx="2">
                  <c:v>8.1999999999999993</c:v>
                </c:pt>
                <c:pt idx="3">
                  <c:v>4.5999999999999996</c:v>
                </c:pt>
                <c:pt idx="4" formatCode="General">
                  <c:v>4.2</c:v>
                </c:pt>
                <c:pt idx="5" formatCode="General">
                  <c:v>2.7</c:v>
                </c:pt>
              </c:numCache>
            </c:numRef>
          </c:val>
          <c:extLst xmlns:c16r2="http://schemas.microsoft.com/office/drawing/2015/06/chart">
            <c:ext xmlns:c16="http://schemas.microsoft.com/office/drawing/2014/chart" uri="{C3380CC4-5D6E-409C-BE32-E72D297353CC}">
              <c16:uniqueId val="{00000002-6178-4565-907A-FF6850A73830}"/>
            </c:ext>
          </c:extLst>
        </c:ser>
        <c:dLbls>
          <c:showLegendKey val="0"/>
          <c:showVal val="0"/>
          <c:showCatName val="0"/>
          <c:showSerName val="0"/>
          <c:showPercent val="0"/>
          <c:showBubbleSize val="0"/>
        </c:dLbls>
        <c:gapWidth val="60"/>
        <c:axId val="-214241312"/>
        <c:axId val="-214236960"/>
      </c:barChart>
      <c:catAx>
        <c:axId val="-214241312"/>
        <c:scaling>
          <c:orientation val="minMax"/>
        </c:scaling>
        <c:delete val="0"/>
        <c:axPos val="l"/>
        <c:numFmt formatCode="General" sourceLinked="0"/>
        <c:majorTickMark val="out"/>
        <c:minorTickMark val="none"/>
        <c:tickLblPos val="nextTo"/>
        <c:crossAx val="-214236960"/>
        <c:crosses val="autoZero"/>
        <c:auto val="0"/>
        <c:lblAlgn val="ctr"/>
        <c:lblOffset val="100"/>
        <c:noMultiLvlLbl val="0"/>
      </c:catAx>
      <c:valAx>
        <c:axId val="-214236960"/>
        <c:scaling>
          <c:orientation val="minMax"/>
        </c:scaling>
        <c:delete val="0"/>
        <c:axPos val="b"/>
        <c:majorGridlines/>
        <c:title>
          <c:tx>
            <c:rich>
              <a:bodyPr/>
              <a:lstStyle/>
              <a:p>
                <a:pPr>
                  <a:defRPr b="0"/>
                </a:pPr>
                <a:r>
                  <a:rPr lang="pl-PL" b="0"/>
                  <a:t>% osób w gospodarstwach domowych</a:t>
                </a:r>
              </a:p>
            </c:rich>
          </c:tx>
          <c:layout>
            <c:manualLayout>
              <c:xMode val="edge"/>
              <c:yMode val="edge"/>
              <c:x val="0.46615158730158729"/>
              <c:y val="0.82845246951057361"/>
            </c:manualLayout>
          </c:layout>
          <c:overlay val="0"/>
        </c:title>
        <c:numFmt formatCode="General" sourceLinked="0"/>
        <c:majorTickMark val="out"/>
        <c:minorTickMark val="none"/>
        <c:tickLblPos val="nextTo"/>
        <c:crossAx val="-214241312"/>
        <c:crosses val="autoZero"/>
        <c:crossBetween val="between"/>
      </c:valAx>
    </c:plotArea>
    <c:legend>
      <c:legendPos val="b"/>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4512301587301586"/>
          <c:y val="6.4113503336368408E-2"/>
          <c:w val="0.60958432539682539"/>
          <c:h val="0.72413383905386741"/>
        </c:manualLayout>
      </c:layout>
      <c:barChart>
        <c:barDir val="bar"/>
        <c:grouping val="clustered"/>
        <c:varyColors val="0"/>
        <c:ser>
          <c:idx val="0"/>
          <c:order val="0"/>
          <c:tx>
            <c:strRef>
              <c:f>'Typ biol'!$B$1</c:f>
              <c:strCache>
                <c:ptCount val="1"/>
                <c:pt idx="0">
                  <c:v>2019 r.</c:v>
                </c:pt>
              </c:strCache>
            </c:strRef>
          </c:tx>
          <c:spPr>
            <a:solidFill>
              <a:srgbClr val="D9E2FF"/>
            </a:solidFill>
            <a:effectLst/>
          </c:spPr>
          <c:invertIfNegative val="0"/>
          <c:dPt>
            <c:idx val="6"/>
            <c:invertIfNegative val="0"/>
            <c:bubble3D val="0"/>
            <c:extLst xmlns:c16r2="http://schemas.microsoft.com/office/drawing/2015/06/chart">
              <c:ext xmlns:c16="http://schemas.microsoft.com/office/drawing/2014/chart" uri="{C3380CC4-5D6E-409C-BE32-E72D297353CC}">
                <c16:uniqueId val="{00000000-15DA-48C1-A62E-0AB1E476AA76}"/>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'Typ biol'!$A$2:$A$7</c:f>
              <c:strCache>
                <c:ptCount val="6"/>
                <c:pt idx="0">
                  <c:v>Matka lub ojciec z dziećmi 
na utrzymaniu</c:v>
                </c:pt>
                <c:pt idx="1">
                  <c:v>z co najmniej 3 dzieci
na utrzymaniu</c:v>
                </c:pt>
                <c:pt idx="2">
                  <c:v>z 2 dzieci</c:v>
                </c:pt>
                <c:pt idx="3">
                  <c:v>z 1 dzieckiem</c:v>
                </c:pt>
                <c:pt idx="4">
                  <c:v>bez dzieci na utrzymaniu</c:v>
                </c:pt>
                <c:pt idx="5">
                  <c:v>Gospodarstwa 1-osobowe</c:v>
                </c:pt>
              </c:strCache>
            </c:strRef>
          </c:cat>
          <c:val>
            <c:numRef>
              <c:f>'Typ biol'!$B$2:$B$7</c:f>
              <c:numCache>
                <c:formatCode>0.0</c:formatCode>
                <c:ptCount val="6"/>
                <c:pt idx="0">
                  <c:v>1.9</c:v>
                </c:pt>
                <c:pt idx="1">
                  <c:v>5</c:v>
                </c:pt>
                <c:pt idx="2">
                  <c:v>1.9</c:v>
                </c:pt>
                <c:pt idx="3">
                  <c:v>1</c:v>
                </c:pt>
                <c:pt idx="4">
                  <c:v>1.1000000000000001</c:v>
                </c:pt>
                <c:pt idx="5">
                  <c:v>1.3</c:v>
                </c:pt>
              </c:numCache>
            </c:numRef>
          </c:val>
          <c:extLst xmlns:c16r2="http://schemas.microsoft.com/office/drawing/2015/06/chart">
            <c:ext xmlns:c16="http://schemas.microsoft.com/office/drawing/2014/chart" uri="{C3380CC4-5D6E-409C-BE32-E72D297353CC}">
              <c16:uniqueId val="{00000001-15DA-48C1-A62E-0AB1E476AA76}"/>
            </c:ext>
          </c:extLst>
        </c:ser>
        <c:ser>
          <c:idx val="1"/>
          <c:order val="1"/>
          <c:tx>
            <c:strRef>
              <c:f>'Typ biol'!$C$1</c:f>
              <c:strCache>
                <c:ptCount val="1"/>
                <c:pt idx="0">
                  <c:v>2020 r.</c:v>
                </c:pt>
              </c:strCache>
            </c:strRef>
          </c:tx>
          <c:spPr>
            <a:solidFill>
              <a:srgbClr val="001D77"/>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'Typ biol'!$A$2:$A$7</c:f>
              <c:strCache>
                <c:ptCount val="6"/>
                <c:pt idx="0">
                  <c:v>Matka lub ojciec z dziećmi 
na utrzymaniu</c:v>
                </c:pt>
                <c:pt idx="1">
                  <c:v>z co najmniej 3 dzieci
na utrzymaniu</c:v>
                </c:pt>
                <c:pt idx="2">
                  <c:v>z 2 dzieci</c:v>
                </c:pt>
                <c:pt idx="3">
                  <c:v>z 1 dzieckiem</c:v>
                </c:pt>
                <c:pt idx="4">
                  <c:v>bez dzieci na utrzymaniu</c:v>
                </c:pt>
                <c:pt idx="5">
                  <c:v>Gospodarstwa 1-osobowe</c:v>
                </c:pt>
              </c:strCache>
            </c:strRef>
          </c:cat>
          <c:val>
            <c:numRef>
              <c:f>'Typ biol'!$C$2:$C$7</c:f>
              <c:numCache>
                <c:formatCode>0.0</c:formatCode>
                <c:ptCount val="6"/>
                <c:pt idx="0">
                  <c:v>2.8</c:v>
                </c:pt>
                <c:pt idx="1">
                  <c:v>5.9</c:v>
                </c:pt>
                <c:pt idx="2">
                  <c:v>2.7</c:v>
                </c:pt>
                <c:pt idx="3">
                  <c:v>1.4</c:v>
                </c:pt>
                <c:pt idx="4">
                  <c:v>1.4</c:v>
                </c:pt>
                <c:pt idx="5">
                  <c:v>1.4</c:v>
                </c:pt>
              </c:numCache>
            </c:numRef>
          </c:val>
          <c:extLst xmlns:c16r2="http://schemas.microsoft.com/office/drawing/2015/06/chart">
            <c:ext xmlns:c16="http://schemas.microsoft.com/office/drawing/2014/chart" uri="{C3380CC4-5D6E-409C-BE32-E72D297353CC}">
              <c16:uniqueId val="{00000002-15DA-48C1-A62E-0AB1E476AA76}"/>
            </c:ext>
          </c:extLst>
        </c:ser>
        <c:dLbls>
          <c:showLegendKey val="0"/>
          <c:showVal val="0"/>
          <c:showCatName val="0"/>
          <c:showSerName val="0"/>
          <c:showPercent val="0"/>
          <c:showBubbleSize val="0"/>
        </c:dLbls>
        <c:gapWidth val="60"/>
        <c:axId val="-214238048"/>
        <c:axId val="-214236416"/>
      </c:barChart>
      <c:catAx>
        <c:axId val="-214238048"/>
        <c:scaling>
          <c:orientation val="minMax"/>
        </c:scaling>
        <c:delete val="0"/>
        <c:axPos val="l"/>
        <c:numFmt formatCode="General" sourceLinked="0"/>
        <c:majorTickMark val="out"/>
        <c:minorTickMark val="none"/>
        <c:tickLblPos val="nextTo"/>
        <c:crossAx val="-214236416"/>
        <c:crosses val="autoZero"/>
        <c:auto val="0"/>
        <c:lblAlgn val="ctr"/>
        <c:lblOffset val="100"/>
        <c:noMultiLvlLbl val="0"/>
      </c:catAx>
      <c:valAx>
        <c:axId val="-214236416"/>
        <c:scaling>
          <c:orientation val="minMax"/>
        </c:scaling>
        <c:delete val="0"/>
        <c:axPos val="b"/>
        <c:majorGridlines/>
        <c:title>
          <c:tx>
            <c:rich>
              <a:bodyPr/>
              <a:lstStyle/>
              <a:p>
                <a:pPr>
                  <a:defRPr b="0"/>
                </a:pPr>
                <a:r>
                  <a:rPr lang="pl-PL" b="0"/>
                  <a:t>% osób w gospodarstwach domowych</a:t>
                </a:r>
              </a:p>
            </c:rich>
          </c:tx>
          <c:layout>
            <c:manualLayout>
              <c:xMode val="edge"/>
              <c:yMode val="edge"/>
              <c:x val="0.48632599206349209"/>
              <c:y val="0.84759569590339645"/>
            </c:manualLayout>
          </c:layout>
          <c:overlay val="0"/>
        </c:title>
        <c:numFmt formatCode="General" sourceLinked="0"/>
        <c:majorTickMark val="out"/>
        <c:minorTickMark val="none"/>
        <c:tickLblPos val="nextTo"/>
        <c:crossAx val="-214238048"/>
        <c:crosses val="autoZero"/>
        <c:crossBetween val="between"/>
      </c:valAx>
    </c:plotArea>
    <c:legend>
      <c:legendPos val="b"/>
      <c:layout>
        <c:manualLayout>
          <c:xMode val="edge"/>
          <c:yMode val="edge"/>
          <c:x val="0.39263908730158736"/>
          <c:y val="0.92043618714204911"/>
          <c:w val="0.21472182539682538"/>
          <c:h val="6.7442554461354817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32496428571428571"/>
          <c:y val="5.5141505285561006E-2"/>
          <c:w val="0.64486210317460313"/>
          <c:h val="0.72075281867271723"/>
        </c:manualLayout>
      </c:layout>
      <c:barChart>
        <c:barDir val="bar"/>
        <c:grouping val="clustered"/>
        <c:varyColors val="0"/>
        <c:ser>
          <c:idx val="0"/>
          <c:order val="0"/>
          <c:tx>
            <c:strRef>
              <c:f>'Do 18 lat'!$D$8</c:f>
              <c:strCache>
                <c:ptCount val="1"/>
                <c:pt idx="0">
                  <c:v>2019 r.</c:v>
                </c:pt>
              </c:strCache>
            </c:strRef>
          </c:tx>
          <c:spPr>
            <a:solidFill>
              <a:srgbClr val="D9E2FF"/>
            </a:solidFill>
            <a:ln>
              <a:noFill/>
            </a:ln>
            <a:effectLst/>
          </c:spPr>
          <c:invertIfNegative val="0"/>
          <c:dPt>
            <c:idx val="6"/>
            <c:invertIfNegative val="0"/>
            <c:bubble3D val="0"/>
            <c:extLst xmlns:c16r2="http://schemas.microsoft.com/office/drawing/2015/06/chart">
              <c:ext xmlns:c16="http://schemas.microsoft.com/office/drawing/2014/chart" uri="{C3380CC4-5D6E-409C-BE32-E72D297353CC}">
                <c16:uniqueId val="{00000000-D43F-4E50-9BEC-2935258C89C3}"/>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'Do 18 lat'!$A$10:$C$13</c:f>
              <c:strCache>
                <c:ptCount val="4"/>
                <c:pt idx="0">
                  <c:v>z co najmniej 3 dzieci 
w wieku 0-17 lat</c:v>
                </c:pt>
                <c:pt idx="1">
                  <c:v>z dokładnie 2 dzieci 
w wieku 0-17 lat</c:v>
                </c:pt>
                <c:pt idx="2">
                  <c:v>z dokładnie 1 dzieckiem
 w wieku 0-17 lat</c:v>
                </c:pt>
                <c:pt idx="3">
                  <c:v>z co najmniej 1 dzieckiem 
w wieku 0-17 lat</c:v>
                </c:pt>
              </c:strCache>
            </c:strRef>
          </c:cat>
          <c:val>
            <c:numRef>
              <c:f>'Do 18 lat'!$D$10:$D$13</c:f>
              <c:numCache>
                <c:formatCode>General</c:formatCode>
                <c:ptCount val="4"/>
                <c:pt idx="0">
                  <c:v>6.8</c:v>
                </c:pt>
                <c:pt idx="1">
                  <c:v>5.0999999999999996</c:v>
                </c:pt>
                <c:pt idx="2" formatCode="0.0">
                  <c:v>4</c:v>
                </c:pt>
                <c:pt idx="3">
                  <c:v>5.0999999999999996</c:v>
                </c:pt>
              </c:numCache>
            </c:numRef>
          </c:val>
          <c:extLst xmlns:c16r2="http://schemas.microsoft.com/office/drawing/2015/06/chart">
            <c:ext xmlns:c16="http://schemas.microsoft.com/office/drawing/2014/chart" uri="{C3380CC4-5D6E-409C-BE32-E72D297353CC}">
              <c16:uniqueId val="{00000001-D43F-4E50-9BEC-2935258C89C3}"/>
            </c:ext>
          </c:extLst>
        </c:ser>
        <c:ser>
          <c:idx val="1"/>
          <c:order val="1"/>
          <c:tx>
            <c:strRef>
              <c:f>'Do 18 lat'!$E$8</c:f>
              <c:strCache>
                <c:ptCount val="1"/>
                <c:pt idx="0">
                  <c:v>2020 r.</c:v>
                </c:pt>
              </c:strCache>
            </c:strRef>
          </c:tx>
          <c:spPr>
            <a:solidFill>
              <a:srgbClr val="001D77"/>
            </a:solidFill>
            <a:effectLst/>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'Do 18 lat'!$A$10:$C$13</c:f>
              <c:strCache>
                <c:ptCount val="4"/>
                <c:pt idx="0">
                  <c:v>z co najmniej 3 dzieci 
w wieku 0-17 lat</c:v>
                </c:pt>
                <c:pt idx="1">
                  <c:v>z dokładnie 2 dzieci 
w wieku 0-17 lat</c:v>
                </c:pt>
                <c:pt idx="2">
                  <c:v>z dokładnie 1 dzieckiem
 w wieku 0-17 lat</c:v>
                </c:pt>
                <c:pt idx="3">
                  <c:v>z co najmniej 1 dzieckiem 
w wieku 0-17 lat</c:v>
                </c:pt>
              </c:strCache>
            </c:strRef>
          </c:cat>
          <c:val>
            <c:numRef>
              <c:f>'Do 18 lat'!$E$10:$E$13</c:f>
              <c:numCache>
                <c:formatCode>General</c:formatCode>
                <c:ptCount val="4"/>
                <c:pt idx="0">
                  <c:v>8.6999999999999993</c:v>
                </c:pt>
                <c:pt idx="1">
                  <c:v>6.5</c:v>
                </c:pt>
                <c:pt idx="2" formatCode="0.0">
                  <c:v>5.2</c:v>
                </c:pt>
                <c:pt idx="3">
                  <c:v>6.5</c:v>
                </c:pt>
              </c:numCache>
            </c:numRef>
          </c:val>
          <c:extLst xmlns:c16r2="http://schemas.microsoft.com/office/drawing/2015/06/chart">
            <c:ext xmlns:c16="http://schemas.microsoft.com/office/drawing/2014/chart" uri="{C3380CC4-5D6E-409C-BE32-E72D297353CC}">
              <c16:uniqueId val="{00000002-D43F-4E50-9BEC-2935258C89C3}"/>
            </c:ext>
          </c:extLst>
        </c:ser>
        <c:dLbls>
          <c:showLegendKey val="0"/>
          <c:showVal val="0"/>
          <c:showCatName val="0"/>
          <c:showSerName val="0"/>
          <c:showPercent val="0"/>
          <c:showBubbleSize val="0"/>
        </c:dLbls>
        <c:gapWidth val="60"/>
        <c:axId val="-214235872"/>
        <c:axId val="-214233152"/>
      </c:barChart>
      <c:catAx>
        <c:axId val="-214235872"/>
        <c:scaling>
          <c:orientation val="minMax"/>
        </c:scaling>
        <c:delete val="0"/>
        <c:axPos val="l"/>
        <c:numFmt formatCode="General" sourceLinked="0"/>
        <c:majorTickMark val="out"/>
        <c:minorTickMark val="none"/>
        <c:tickLblPos val="nextTo"/>
        <c:crossAx val="-214233152"/>
        <c:crosses val="autoZero"/>
        <c:auto val="0"/>
        <c:lblAlgn val="ctr"/>
        <c:lblOffset val="100"/>
        <c:noMultiLvlLbl val="0"/>
      </c:catAx>
      <c:valAx>
        <c:axId val="-214233152"/>
        <c:scaling>
          <c:orientation val="minMax"/>
        </c:scaling>
        <c:delete val="0"/>
        <c:axPos val="b"/>
        <c:majorGridlines/>
        <c:title>
          <c:tx>
            <c:rich>
              <a:bodyPr/>
              <a:lstStyle/>
              <a:p>
                <a:pPr>
                  <a:defRPr b="0"/>
                </a:pPr>
                <a:r>
                  <a:rPr lang="pl-PL" b="0"/>
                  <a:t>% osób w gospodarstwach domowych</a:t>
                </a:r>
              </a:p>
            </c:rich>
          </c:tx>
          <c:layout>
            <c:manualLayout>
              <c:xMode val="edge"/>
              <c:yMode val="edge"/>
              <c:x val="0.49638968253968246"/>
              <c:y val="0.8350999947232336"/>
            </c:manualLayout>
          </c:layout>
          <c:overlay val="0"/>
        </c:title>
        <c:numFmt formatCode="General" sourceLinked="0"/>
        <c:majorTickMark val="out"/>
        <c:minorTickMark val="none"/>
        <c:tickLblPos val="nextTo"/>
        <c:crossAx val="-214235872"/>
        <c:crosses val="autoZero"/>
        <c:crossBetween val="between"/>
      </c:valAx>
    </c:plotArea>
    <c:legend>
      <c:legendPos val="b"/>
      <c:layout>
        <c:manualLayout>
          <c:xMode val="edge"/>
          <c:yMode val="edge"/>
          <c:x val="0.40476468253968256"/>
          <c:y val="0.91202293634460807"/>
          <c:w val="0.21472182539682538"/>
          <c:h val="8.3669378313169313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20821170634920635"/>
          <c:y val="6.277740169356659E-2"/>
          <c:w val="0.7137376984126983"/>
          <c:h val="0.63473786173169833"/>
        </c:manualLayout>
      </c:layout>
      <c:barChart>
        <c:barDir val="bar"/>
        <c:grouping val="clustered"/>
        <c:varyColors val="0"/>
        <c:ser>
          <c:idx val="0"/>
          <c:order val="0"/>
          <c:tx>
            <c:strRef>
              <c:f>Wiek!$C$1</c:f>
              <c:strCache>
                <c:ptCount val="1"/>
                <c:pt idx="0">
                  <c:v>2019 r.</c:v>
                </c:pt>
              </c:strCache>
            </c:strRef>
          </c:tx>
          <c:spPr>
            <a:solidFill>
              <a:srgbClr val="D9E2FF"/>
            </a:solidFill>
            <a:effectLst/>
          </c:spPr>
          <c:invertIfNegative val="0"/>
          <c:dPt>
            <c:idx val="6"/>
            <c:invertIfNegative val="0"/>
            <c:bubble3D val="0"/>
            <c:extLst xmlns:c16r2="http://schemas.microsoft.com/office/drawing/2015/06/chart">
              <c:ext xmlns:c16="http://schemas.microsoft.com/office/drawing/2014/chart" uri="{C3380CC4-5D6E-409C-BE32-E72D297353CC}">
                <c16:uniqueId val="{00000000-1220-4DF0-BD10-1654C5E7DB77}"/>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Wiek!$B$2:$B$4</c:f>
              <c:strCache>
                <c:ptCount val="3"/>
                <c:pt idx="0">
                  <c:v>65 i więcej lat</c:v>
                </c:pt>
                <c:pt idx="1">
                  <c:v>18-64 lat</c:v>
                </c:pt>
                <c:pt idx="2">
                  <c:v>0-17 lat</c:v>
                </c:pt>
              </c:strCache>
            </c:strRef>
          </c:cat>
          <c:val>
            <c:numRef>
              <c:f>Wiek!$C$2:$C$4</c:f>
              <c:numCache>
                <c:formatCode>0.0</c:formatCode>
                <c:ptCount val="3"/>
                <c:pt idx="0">
                  <c:v>3.8</c:v>
                </c:pt>
                <c:pt idx="1">
                  <c:v>4.2</c:v>
                </c:pt>
                <c:pt idx="2">
                  <c:v>4.5</c:v>
                </c:pt>
              </c:numCache>
            </c:numRef>
          </c:val>
          <c:extLst xmlns:c16r2="http://schemas.microsoft.com/office/drawing/2015/06/chart">
            <c:ext xmlns:c16="http://schemas.microsoft.com/office/drawing/2014/chart" uri="{C3380CC4-5D6E-409C-BE32-E72D297353CC}">
              <c16:uniqueId val="{00000001-1220-4DF0-BD10-1654C5E7DB77}"/>
            </c:ext>
          </c:extLst>
        </c:ser>
        <c:ser>
          <c:idx val="1"/>
          <c:order val="1"/>
          <c:tx>
            <c:strRef>
              <c:f>Wiek!$D$1</c:f>
              <c:strCache>
                <c:ptCount val="1"/>
                <c:pt idx="0">
                  <c:v>2020 r.</c:v>
                </c:pt>
              </c:strCache>
            </c:strRef>
          </c:tx>
          <c:spPr>
            <a:solidFill>
              <a:srgbClr val="001D77"/>
            </a:solidFill>
            <a:effectLst/>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Wiek!$B$2:$B$4</c:f>
              <c:strCache>
                <c:ptCount val="3"/>
                <c:pt idx="0">
                  <c:v>65 i więcej lat</c:v>
                </c:pt>
                <c:pt idx="1">
                  <c:v>18-64 lat</c:v>
                </c:pt>
                <c:pt idx="2">
                  <c:v>0-17 lat</c:v>
                </c:pt>
              </c:strCache>
            </c:strRef>
          </c:cat>
          <c:val>
            <c:numRef>
              <c:f>Wiek!$D$2:$D$4</c:f>
              <c:numCache>
                <c:formatCode>0.0</c:formatCode>
                <c:ptCount val="3"/>
                <c:pt idx="0">
                  <c:v>4.4000000000000004</c:v>
                </c:pt>
                <c:pt idx="1">
                  <c:v>5.0999999999999996</c:v>
                </c:pt>
                <c:pt idx="2">
                  <c:v>5.9</c:v>
                </c:pt>
              </c:numCache>
            </c:numRef>
          </c:val>
          <c:extLst xmlns:c16r2="http://schemas.microsoft.com/office/drawing/2015/06/chart">
            <c:ext xmlns:c16="http://schemas.microsoft.com/office/drawing/2014/chart" uri="{C3380CC4-5D6E-409C-BE32-E72D297353CC}">
              <c16:uniqueId val="{00000002-1220-4DF0-BD10-1654C5E7DB77}"/>
            </c:ext>
          </c:extLst>
        </c:ser>
        <c:dLbls>
          <c:showLegendKey val="0"/>
          <c:showVal val="0"/>
          <c:showCatName val="0"/>
          <c:showSerName val="0"/>
          <c:showPercent val="0"/>
          <c:showBubbleSize val="0"/>
        </c:dLbls>
        <c:gapWidth val="60"/>
        <c:axId val="-668784928"/>
        <c:axId val="-235560672"/>
      </c:barChart>
      <c:catAx>
        <c:axId val="-668784928"/>
        <c:scaling>
          <c:orientation val="minMax"/>
        </c:scaling>
        <c:delete val="0"/>
        <c:axPos val="l"/>
        <c:numFmt formatCode="General" sourceLinked="0"/>
        <c:majorTickMark val="out"/>
        <c:minorTickMark val="none"/>
        <c:tickLblPos val="nextTo"/>
        <c:crossAx val="-235560672"/>
        <c:crosses val="autoZero"/>
        <c:auto val="0"/>
        <c:lblAlgn val="ctr"/>
        <c:lblOffset val="100"/>
        <c:noMultiLvlLbl val="0"/>
      </c:catAx>
      <c:valAx>
        <c:axId val="-235560672"/>
        <c:scaling>
          <c:orientation val="minMax"/>
        </c:scaling>
        <c:delete val="0"/>
        <c:axPos val="b"/>
        <c:majorGridlines/>
        <c:title>
          <c:tx>
            <c:rich>
              <a:bodyPr/>
              <a:lstStyle/>
              <a:p>
                <a:pPr>
                  <a:defRPr b="0"/>
                </a:pPr>
                <a:r>
                  <a:rPr lang="pl-PL" b="0"/>
                  <a:t>% osób w gospodarstwach domowych</a:t>
                </a:r>
              </a:p>
            </c:rich>
          </c:tx>
          <c:layout>
            <c:manualLayout>
              <c:xMode val="edge"/>
              <c:yMode val="edge"/>
              <c:x val="0.37763214285714286"/>
              <c:y val="0.77743494732841656"/>
            </c:manualLayout>
          </c:layout>
          <c:overlay val="0"/>
        </c:title>
        <c:numFmt formatCode="General" sourceLinked="0"/>
        <c:majorTickMark val="out"/>
        <c:minorTickMark val="none"/>
        <c:tickLblPos val="nextTo"/>
        <c:crossAx val="-668784928"/>
        <c:crosses val="autoZero"/>
        <c:crossBetween val="between"/>
      </c:valAx>
    </c:plotArea>
    <c:legend>
      <c:legendPos val="b"/>
      <c:layout>
        <c:manualLayout>
          <c:xMode val="edge"/>
          <c:yMode val="edge"/>
          <c:x val="0.41689027777777787"/>
          <c:y val="0.88722794266101357"/>
          <c:w val="0.21472182539682538"/>
          <c:h val="0.100705692331445"/>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0.44275218253968252"/>
          <c:y val="4.7376968633409865E-2"/>
          <c:w val="0.52350873015873012"/>
          <c:h val="0.7360909547920923"/>
        </c:manualLayout>
      </c:layout>
      <c:barChart>
        <c:barDir val="bar"/>
        <c:grouping val="clustered"/>
        <c:varyColors val="0"/>
        <c:ser>
          <c:idx val="0"/>
          <c:order val="0"/>
          <c:tx>
            <c:strRef>
              <c:f>Niepełnospr!$C$12</c:f>
              <c:strCache>
                <c:ptCount val="1"/>
                <c:pt idx="0">
                  <c:v>2019 r.</c:v>
                </c:pt>
              </c:strCache>
            </c:strRef>
          </c:tx>
          <c:spPr>
            <a:solidFill>
              <a:srgbClr val="D9E2FF"/>
            </a:solidFill>
            <a:effectLst/>
          </c:spPr>
          <c:invertIfNegative val="0"/>
          <c:dPt>
            <c:idx val="6"/>
            <c:invertIfNegative val="0"/>
            <c:bubble3D val="0"/>
            <c:extLst xmlns:c16r2="http://schemas.microsoft.com/office/drawing/2015/06/chart">
              <c:ext xmlns:c16="http://schemas.microsoft.com/office/drawing/2014/chart" uri="{C3380CC4-5D6E-409C-BE32-E72D297353CC}">
                <c16:uniqueId val="{00000000-8D3C-4182-8076-8B57BE75EFA5}"/>
              </c:ext>
            </c:extLst>
          </c:dPt>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Niepełnospr!$B$13:$B$16</c:f>
              <c:strCache>
                <c:ptCount val="4"/>
                <c:pt idx="0">
                  <c:v>Gospodarstwa domowe bez osób  
z niepełnosprawnością</c:v>
                </c:pt>
                <c:pt idx="1">
                  <c:v>z przynajmniej 1 dzieckiem do 
lat 16 posiadającym orzeczenie 
o niepełnosprawności</c:v>
                </c:pt>
                <c:pt idx="2">
                  <c:v>z głową gospodarstwa domowego
z niepełnosprawnością</c:v>
                </c:pt>
                <c:pt idx="3">
                  <c:v>Gospodarstwa domowe z co najmniej 
1 osobą z niepełnosprawnością</c:v>
                </c:pt>
              </c:strCache>
            </c:strRef>
          </c:cat>
          <c:val>
            <c:numRef>
              <c:f>Niepełnospr!$C$13:$C$16</c:f>
              <c:numCache>
                <c:formatCode>0.0</c:formatCode>
                <c:ptCount val="4"/>
                <c:pt idx="0" formatCode="General">
                  <c:v>3.7</c:v>
                </c:pt>
                <c:pt idx="1">
                  <c:v>5.5</c:v>
                </c:pt>
                <c:pt idx="2">
                  <c:v>5</c:v>
                </c:pt>
                <c:pt idx="3">
                  <c:v>6.5</c:v>
                </c:pt>
              </c:numCache>
            </c:numRef>
          </c:val>
          <c:extLst xmlns:c16r2="http://schemas.microsoft.com/office/drawing/2015/06/chart">
            <c:ext xmlns:c16="http://schemas.microsoft.com/office/drawing/2014/chart" uri="{C3380CC4-5D6E-409C-BE32-E72D297353CC}">
              <c16:uniqueId val="{00000001-8D3C-4182-8076-8B57BE75EFA5}"/>
            </c:ext>
          </c:extLst>
        </c:ser>
        <c:ser>
          <c:idx val="1"/>
          <c:order val="1"/>
          <c:tx>
            <c:strRef>
              <c:f>Niepełnospr!$D$12</c:f>
              <c:strCache>
                <c:ptCount val="1"/>
                <c:pt idx="0">
                  <c:v>2020 r.</c:v>
                </c:pt>
              </c:strCache>
            </c:strRef>
          </c:tx>
          <c:spPr>
            <a:solidFill>
              <a:srgbClr val="001D77"/>
            </a:solidFill>
          </c:spPr>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Niepełnospr!$B$13:$B$16</c:f>
              <c:strCache>
                <c:ptCount val="4"/>
                <c:pt idx="0">
                  <c:v>Gospodarstwa domowe bez osób  
z niepełnosprawnością</c:v>
                </c:pt>
                <c:pt idx="1">
                  <c:v>z przynajmniej 1 dzieckiem do 
lat 16 posiadającym orzeczenie 
o niepełnosprawności</c:v>
                </c:pt>
                <c:pt idx="2">
                  <c:v>z głową gospodarstwa domowego
z niepełnosprawnością</c:v>
                </c:pt>
                <c:pt idx="3">
                  <c:v>Gospodarstwa domowe z co najmniej 
1 osobą z niepełnosprawnością</c:v>
                </c:pt>
              </c:strCache>
            </c:strRef>
          </c:cat>
          <c:val>
            <c:numRef>
              <c:f>Niepełnospr!$D$13:$D$16</c:f>
              <c:numCache>
                <c:formatCode>0.0</c:formatCode>
                <c:ptCount val="4"/>
                <c:pt idx="0" formatCode="General">
                  <c:v>4.7</c:v>
                </c:pt>
                <c:pt idx="1">
                  <c:v>7</c:v>
                </c:pt>
                <c:pt idx="2">
                  <c:v>6.5</c:v>
                </c:pt>
                <c:pt idx="3">
                  <c:v>7.5</c:v>
                </c:pt>
              </c:numCache>
            </c:numRef>
          </c:val>
          <c:extLst xmlns:c16r2="http://schemas.microsoft.com/office/drawing/2015/06/chart">
            <c:ext xmlns:c16="http://schemas.microsoft.com/office/drawing/2014/chart" uri="{C3380CC4-5D6E-409C-BE32-E72D297353CC}">
              <c16:uniqueId val="{00000002-8D3C-4182-8076-8B57BE75EFA5}"/>
            </c:ext>
          </c:extLst>
        </c:ser>
        <c:dLbls>
          <c:showLegendKey val="0"/>
          <c:showVal val="0"/>
          <c:showCatName val="0"/>
          <c:showSerName val="0"/>
          <c:showPercent val="0"/>
          <c:showBubbleSize val="0"/>
        </c:dLbls>
        <c:gapWidth val="60"/>
        <c:axId val="-233084704"/>
        <c:axId val="-233088512"/>
      </c:barChart>
      <c:catAx>
        <c:axId val="-233084704"/>
        <c:scaling>
          <c:orientation val="minMax"/>
        </c:scaling>
        <c:delete val="0"/>
        <c:axPos val="l"/>
        <c:numFmt formatCode="General" sourceLinked="0"/>
        <c:majorTickMark val="out"/>
        <c:minorTickMark val="none"/>
        <c:tickLblPos val="nextTo"/>
        <c:crossAx val="-233088512"/>
        <c:crosses val="autoZero"/>
        <c:auto val="0"/>
        <c:lblAlgn val="ctr"/>
        <c:lblOffset val="100"/>
        <c:noMultiLvlLbl val="0"/>
      </c:catAx>
      <c:valAx>
        <c:axId val="-233088512"/>
        <c:scaling>
          <c:orientation val="minMax"/>
        </c:scaling>
        <c:delete val="0"/>
        <c:axPos val="b"/>
        <c:majorGridlines/>
        <c:title>
          <c:tx>
            <c:rich>
              <a:bodyPr/>
              <a:lstStyle/>
              <a:p>
                <a:pPr>
                  <a:defRPr b="0"/>
                </a:pPr>
                <a:r>
                  <a:rPr lang="pl-PL" b="0"/>
                  <a:t>% osób w gospodarstwach domowych</a:t>
                </a:r>
              </a:p>
            </c:rich>
          </c:tx>
          <c:layout>
            <c:manualLayout>
              <c:xMode val="edge"/>
              <c:yMode val="edge"/>
              <c:x val="0.53436943724461683"/>
              <c:y val="0.84529664689708039"/>
            </c:manualLayout>
          </c:layout>
          <c:overlay val="0"/>
        </c:title>
        <c:numFmt formatCode="General" sourceLinked="0"/>
        <c:majorTickMark val="out"/>
        <c:minorTickMark val="none"/>
        <c:tickLblPos val="nextTo"/>
        <c:crossAx val="-233084704"/>
        <c:crosses val="autoZero"/>
        <c:crossBetween val="between"/>
      </c:valAx>
    </c:plotArea>
    <c:legend>
      <c:legendPos val="b"/>
      <c:layout>
        <c:manualLayout>
          <c:xMode val="edge"/>
          <c:yMode val="edge"/>
          <c:x val="0.39263908730158736"/>
          <c:y val="0.9041142866836932"/>
          <c:w val="0.21472182539682538"/>
          <c:h val="8.5626150414078381E-2"/>
        </c:manualLayout>
      </c:layout>
      <c:overlay val="0"/>
      <c:txPr>
        <a:bodyPr/>
        <a:lstStyle/>
        <a:p>
          <a:pPr>
            <a:defRPr sz="900"/>
          </a:pPr>
          <a:endParaRPr lang="pl-PL"/>
        </a:p>
      </c:txPr>
    </c:legend>
    <c:plotVisOnly val="1"/>
    <c:dispBlanksAs val="gap"/>
    <c:showDLblsOverMax val="0"/>
  </c:chart>
  <c:spPr>
    <a:ln>
      <a:noFill/>
    </a:ln>
  </c:spPr>
  <c:txPr>
    <a:bodyPr/>
    <a:lstStyle/>
    <a:p>
      <a:pPr>
        <a:defRPr sz="800">
          <a:latin typeface="Fira Sans" panose="020B0503050000020004" pitchFamily="34" charset="0"/>
          <a:ea typeface="Fira Sans" panose="020B0503050000020004" pitchFamily="34" charset="0"/>
        </a:defRPr>
      </a:pPr>
      <a:endParaRPr lang="pl-PL"/>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0.28538</cdr:x>
      <cdr:y>0.02938</cdr:y>
    </cdr:from>
    <cdr:to>
      <cdr:x>0.4668</cdr:x>
      <cdr:y>0.25686</cdr:y>
    </cdr:to>
    <cdr:sp macro="" textlink="">
      <cdr:nvSpPr>
        <cdr:cNvPr id="2" name="pole tekstowe 1"/>
        <cdr:cNvSpPr txBox="1"/>
      </cdr:nvSpPr>
      <cdr:spPr>
        <a:xfrm xmlns:a="http://schemas.openxmlformats.org/drawingml/2006/main">
          <a:off x="1438296" y="112509"/>
          <a:ext cx="914357" cy="87103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pl-PL" sz="800" b="1">
              <a:effectLst/>
              <a:latin typeface="Fira Sans" panose="020B0503050000020004" pitchFamily="34" charset="0"/>
              <a:ea typeface="Fira Sans" panose="020B0503050000020004" pitchFamily="34" charset="0"/>
              <a:cs typeface="+mn-cs"/>
            </a:rPr>
            <a:t>Granice ubóstwa dla gospodarstw domowych 1 osobowych </a:t>
          </a:r>
          <a:endParaRPr lang="pl-PL" sz="800">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0.23435</cdr:x>
      <cdr:y>0.41479</cdr:y>
    </cdr:from>
    <cdr:to>
      <cdr:x>0.93171</cdr:x>
      <cdr:y>0.50498</cdr:y>
    </cdr:to>
    <cdr:sp macro="" textlink="">
      <cdr:nvSpPr>
        <cdr:cNvPr id="3" name="pole tekstowe 2"/>
        <cdr:cNvSpPr txBox="1"/>
      </cdr:nvSpPr>
      <cdr:spPr>
        <a:xfrm xmlns:a="http://schemas.openxmlformats.org/drawingml/2006/main">
          <a:off x="1181125" y="1588251"/>
          <a:ext cx="3514695" cy="345324"/>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none" rtlCol="0"/>
        <a:lstStyle xmlns:a="http://schemas.openxmlformats.org/drawingml/2006/main"/>
        <a:p xmlns:a="http://schemas.openxmlformats.org/drawingml/2006/main">
          <a:pPr algn="ctr"/>
          <a:r>
            <a:rPr lang="pl-PL" sz="800" b="1">
              <a:effectLst/>
              <a:latin typeface="Fira Sans" panose="020B0503050000020004" pitchFamily="34" charset="0"/>
              <a:ea typeface="Fira Sans" panose="020B0503050000020004" pitchFamily="34" charset="0"/>
              <a:cs typeface="+mn-cs"/>
            </a:rPr>
            <a:t>Granice ubóstwa dla gospodarstw domowych 4 osobowych </a:t>
          </a:r>
        </a:p>
        <a:p xmlns:a="http://schemas.openxmlformats.org/drawingml/2006/main">
          <a:pPr algn="ctr"/>
          <a:r>
            <a:rPr lang="pl-PL" sz="800">
              <a:solidFill>
                <a:srgbClr val="000000"/>
              </a:solidFill>
              <a:effectLst/>
              <a:latin typeface="Fira Sans" panose="020B0503050000020004" pitchFamily="34" charset="0"/>
              <a:ea typeface="Calibri" panose="020F0502020204030204" pitchFamily="34" charset="0"/>
              <a:cs typeface="Arial" panose="020B0604020202020204" pitchFamily="34" charset="0"/>
            </a:rPr>
            <a:t>(2 osoby dorosłe + 2 dzieci do lat 14)</a:t>
          </a:r>
          <a:endParaRPr lang="pl-PL" sz="800">
            <a:latin typeface="Fira Sans" panose="020B0503050000020004" pitchFamily="34" charset="0"/>
            <a:ea typeface="Fira Sans" panose="020B05030500000200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3.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4.xml><?xml version="1.0" encoding="utf-8"?>
<c:userShapes xmlns:c="http://schemas.openxmlformats.org/drawingml/2006/chart">
  <cdr:relSizeAnchor xmlns:cdr="http://schemas.openxmlformats.org/drawingml/2006/chartDrawing">
    <cdr:from>
      <cdr:x>0.01797</cdr:x>
      <cdr:y>0.02234</cdr:y>
    </cdr:from>
    <cdr:to>
      <cdr:x>0.99673</cdr:x>
      <cdr:y>0.13499</cdr:y>
    </cdr:to>
    <cdr:sp macro="" textlink="">
      <cdr:nvSpPr>
        <cdr:cNvPr id="2" name="pole tekstowe 1"/>
        <cdr:cNvSpPr txBox="1"/>
      </cdr:nvSpPr>
      <cdr:spPr>
        <a:xfrm xmlns:a="http://schemas.openxmlformats.org/drawingml/2006/main">
          <a:off x="104775" y="85019"/>
          <a:ext cx="5705475" cy="4286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l-PL" sz="1100"/>
        </a:p>
      </cdr:txBody>
    </cdr:sp>
  </cdr:relSizeAnchor>
</c:userShapes>
</file>

<file path=word/drawings/drawing5.xml><?xml version="1.0" encoding="utf-8"?>
<c:userShapes xmlns:c="http://schemas.openxmlformats.org/drawingml/2006/chart">
  <cdr:relSizeAnchor xmlns:cdr="http://schemas.openxmlformats.org/drawingml/2006/chartDrawing">
    <cdr:from>
      <cdr:x>0.06701</cdr:x>
      <cdr:y>0.0477</cdr:y>
    </cdr:from>
    <cdr:to>
      <cdr:x>0.08958</cdr:x>
      <cdr:y>0.76152</cdr:y>
    </cdr:to>
    <cdr:sp macro="" textlink="">
      <cdr:nvSpPr>
        <cdr:cNvPr id="2" name="Nawias otwierający 1"/>
        <cdr:cNvSpPr/>
      </cdr:nvSpPr>
      <cdr:spPr>
        <a:xfrm xmlns:a="http://schemas.openxmlformats.org/drawingml/2006/main">
          <a:off x="337754" y="147582"/>
          <a:ext cx="113753" cy="2208355"/>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0.02973</cdr:x>
      <cdr:y>0.078</cdr:y>
    </cdr:from>
    <cdr:to>
      <cdr:x>0.05619</cdr:x>
      <cdr:y>0.7461</cdr:y>
    </cdr:to>
    <cdr:sp macro="" textlink="">
      <cdr:nvSpPr>
        <cdr:cNvPr id="3" name="pole tekstowe 2"/>
        <cdr:cNvSpPr txBox="1"/>
      </cdr:nvSpPr>
      <cdr:spPr>
        <a:xfrm xmlns:a="http://schemas.openxmlformats.org/drawingml/2006/main">
          <a:off x="149860" y="241300"/>
          <a:ext cx="133349" cy="206692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Gospodarstwa domowe:</a:t>
          </a:r>
        </a:p>
      </cdr:txBody>
    </cdr:sp>
  </cdr:relSizeAnchor>
</c:userShapes>
</file>

<file path=word/drawings/drawing6.xml><?xml version="1.0" encoding="utf-8"?>
<c:userShapes xmlns:c="http://schemas.openxmlformats.org/drawingml/2006/chart">
  <cdr:relSizeAnchor xmlns:cdr="http://schemas.openxmlformats.org/drawingml/2006/chartDrawing">
    <cdr:from>
      <cdr:x>0.0765</cdr:x>
      <cdr:y>0.2</cdr:y>
    </cdr:from>
    <cdr:to>
      <cdr:x>0.09449</cdr:x>
      <cdr:y>0.64848</cdr:y>
    </cdr:to>
    <cdr:sp macro="" textlink="">
      <cdr:nvSpPr>
        <cdr:cNvPr id="2" name="Nawias otwierający 1"/>
        <cdr:cNvSpPr/>
      </cdr:nvSpPr>
      <cdr:spPr>
        <a:xfrm xmlns:a="http://schemas.openxmlformats.org/drawingml/2006/main">
          <a:off x="385560" y="628638"/>
          <a:ext cx="90690" cy="1409700"/>
        </a:xfrm>
        <a:prstGeom xmlns:a="http://schemas.openxmlformats.org/drawingml/2006/main" prst="leftBracket">
          <a:avLst/>
        </a:prstGeom>
        <a:ln xmlns:a="http://schemas.openxmlformats.org/drawingml/2006/main" w="3175">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0.03089</cdr:x>
      <cdr:y>0.19373</cdr:y>
    </cdr:from>
    <cdr:to>
      <cdr:x>0.07188</cdr:x>
      <cdr:y>0.66251</cdr:y>
    </cdr:to>
    <cdr:sp macro="" textlink="">
      <cdr:nvSpPr>
        <cdr:cNvPr id="3" name="pole tekstowe 3"/>
        <cdr:cNvSpPr txBox="1"/>
      </cdr:nvSpPr>
      <cdr:spPr>
        <a:xfrm xmlns:a="http://schemas.openxmlformats.org/drawingml/2006/main">
          <a:off x="165100" y="561340"/>
          <a:ext cx="219075" cy="1358265"/>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Małżeństwa:</a:t>
          </a:r>
        </a:p>
      </cdr:txBody>
    </cdr:sp>
  </cdr:relSizeAnchor>
</c:userShapes>
</file>

<file path=word/drawings/drawing7.xml><?xml version="1.0" encoding="utf-8"?>
<c:userShapes xmlns:c="http://schemas.openxmlformats.org/drawingml/2006/chart">
  <cdr:relSizeAnchor xmlns:cdr="http://schemas.openxmlformats.org/drawingml/2006/chartDrawing">
    <cdr:from>
      <cdr:x>0.01701</cdr:x>
      <cdr:y>0.07088</cdr:y>
    </cdr:from>
    <cdr:to>
      <cdr:x>0.04914</cdr:x>
      <cdr:y>0.76732</cdr:y>
    </cdr:to>
    <cdr:sp macro="" textlink="">
      <cdr:nvSpPr>
        <cdr:cNvPr id="3" name="pole tekstowe 2"/>
        <cdr:cNvSpPr txBox="1"/>
      </cdr:nvSpPr>
      <cdr:spPr>
        <a:xfrm xmlns:a="http://schemas.openxmlformats.org/drawingml/2006/main">
          <a:off x="85725" y="201492"/>
          <a:ext cx="161925" cy="1979722"/>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Gospodarstwa domowe:</a:t>
          </a:r>
        </a:p>
      </cdr:txBody>
    </cdr:sp>
  </cdr:relSizeAnchor>
  <cdr:relSizeAnchor xmlns:cdr="http://schemas.openxmlformats.org/drawingml/2006/chartDrawing">
    <cdr:from>
      <cdr:x>0.05328</cdr:x>
      <cdr:y>0.07142</cdr:y>
    </cdr:from>
    <cdr:to>
      <cdr:x>0.06993</cdr:x>
      <cdr:y>0.76397</cdr:y>
    </cdr:to>
    <cdr:sp macro="" textlink="">
      <cdr:nvSpPr>
        <cdr:cNvPr id="2" name="Nawias otwierający 1"/>
        <cdr:cNvSpPr/>
      </cdr:nvSpPr>
      <cdr:spPr>
        <a:xfrm xmlns:a="http://schemas.openxmlformats.org/drawingml/2006/main">
          <a:off x="268524" y="203012"/>
          <a:ext cx="83901" cy="1968677"/>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latin typeface="Fira Sans" panose="020B0503050000020004" pitchFamily="34" charset="0"/>
            <a:ea typeface="Fira Sans" panose="020B0503050000020004" pitchFamily="34" charset="0"/>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0.09834</cdr:x>
      <cdr:y>0.26263</cdr:y>
    </cdr:from>
    <cdr:to>
      <cdr:x>0.10934</cdr:x>
      <cdr:y>0.58957</cdr:y>
    </cdr:to>
    <cdr:sp macro="" textlink="">
      <cdr:nvSpPr>
        <cdr:cNvPr id="2" name="Nawias otwierający 1"/>
        <cdr:cNvSpPr/>
      </cdr:nvSpPr>
      <cdr:spPr>
        <a:xfrm xmlns:a="http://schemas.openxmlformats.org/drawingml/2006/main">
          <a:off x="498062" y="738714"/>
          <a:ext cx="55714" cy="919596"/>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0.05908</cdr:x>
      <cdr:y>0.16999</cdr:y>
    </cdr:from>
    <cdr:to>
      <cdr:x>0.08932</cdr:x>
      <cdr:y>0.66282</cdr:y>
    </cdr:to>
    <cdr:sp macro="" textlink="">
      <cdr:nvSpPr>
        <cdr:cNvPr id="3" name="pole tekstowe 2"/>
        <cdr:cNvSpPr txBox="1"/>
      </cdr:nvSpPr>
      <cdr:spPr>
        <a:xfrm xmlns:a="http://schemas.openxmlformats.org/drawingml/2006/main">
          <a:off x="299215" y="478127"/>
          <a:ext cx="153163" cy="1386202"/>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w</a:t>
          </a:r>
          <a:r>
            <a:rPr lang="pl-PL" sz="800" b="0" baseline="0">
              <a:latin typeface="Fira Sans" panose="020B0503050000020004" pitchFamily="34" charset="0"/>
              <a:ea typeface="Fira Sans" panose="020B0503050000020004" pitchFamily="34" charset="0"/>
            </a:rPr>
            <a:t> tym</a:t>
          </a:r>
          <a:r>
            <a:rPr lang="pl-PL" sz="800" b="0">
              <a:latin typeface="Fira Sans" panose="020B0503050000020004" pitchFamily="34" charset="0"/>
              <a:ea typeface="Fira Sans" panose="020B0503050000020004" pitchFamily="34" charset="0"/>
            </a:rPr>
            <a:t>:</a:t>
          </a:r>
        </a:p>
      </cdr:txBody>
    </cdr:sp>
  </cdr:relSizeAnchor>
</c:userShapes>
</file>

<file path=word/drawings/drawing9.xml><?xml version="1.0" encoding="utf-8"?>
<c:userShapes xmlns:c="http://schemas.openxmlformats.org/drawingml/2006/chart">
  <cdr:relSizeAnchor xmlns:cdr="http://schemas.openxmlformats.org/drawingml/2006/chartDrawing">
    <cdr:from>
      <cdr:x>0.06922</cdr:x>
      <cdr:y>0.18122</cdr:y>
    </cdr:from>
    <cdr:to>
      <cdr:x>0.08077</cdr:x>
      <cdr:y>0.67497</cdr:y>
    </cdr:to>
    <cdr:sp macro="" textlink="">
      <cdr:nvSpPr>
        <cdr:cNvPr id="2" name="Nawias otwierający 1"/>
        <cdr:cNvSpPr/>
      </cdr:nvSpPr>
      <cdr:spPr>
        <a:xfrm xmlns:a="http://schemas.openxmlformats.org/drawingml/2006/main">
          <a:off x="348874" y="557539"/>
          <a:ext cx="58197" cy="1519053"/>
        </a:xfrm>
        <a:prstGeom xmlns:a="http://schemas.openxmlformats.org/drawingml/2006/main" prst="leftBracket">
          <a:avLst/>
        </a:prstGeom>
        <a:ln xmlns:a="http://schemas.openxmlformats.org/drawingml/2006/main" w="6350">
          <a:solidFill>
            <a:schemeClr val="tx1"/>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pl-PL"/>
        </a:p>
      </cdr:txBody>
    </cdr:sp>
  </cdr:relSizeAnchor>
  <cdr:relSizeAnchor xmlns:cdr="http://schemas.openxmlformats.org/drawingml/2006/chartDrawing">
    <cdr:from>
      <cdr:x>0.02369</cdr:x>
      <cdr:y>0.12121</cdr:y>
    </cdr:from>
    <cdr:to>
      <cdr:x>0.0577</cdr:x>
      <cdr:y>0.7317</cdr:y>
    </cdr:to>
    <cdr:sp macro="" textlink="">
      <cdr:nvSpPr>
        <cdr:cNvPr id="4" name="pole tekstowe 3"/>
        <cdr:cNvSpPr txBox="1"/>
      </cdr:nvSpPr>
      <cdr:spPr>
        <a:xfrm xmlns:a="http://schemas.openxmlformats.org/drawingml/2006/main">
          <a:off x="119380" y="347980"/>
          <a:ext cx="171451" cy="1752600"/>
        </a:xfrm>
        <a:prstGeom xmlns:a="http://schemas.openxmlformats.org/drawingml/2006/main" prst="rect">
          <a:avLst/>
        </a:prstGeom>
        <a:solidFill xmlns:a="http://schemas.openxmlformats.org/drawingml/2006/main">
          <a:schemeClr val="lt1"/>
        </a:solidFill>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vert="vert270" wrap="square" rtlCol="0" anchor="ctr"/>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pPr algn="ctr"/>
          <a:r>
            <a:rPr lang="pl-PL" sz="800" b="0">
              <a:latin typeface="Fira Sans" panose="020B0503050000020004" pitchFamily="34" charset="0"/>
              <a:ea typeface="Fira Sans" panose="020B0503050000020004" pitchFamily="34" charset="0"/>
            </a:rPr>
            <a:t>Miasta</a:t>
          </a:r>
          <a:r>
            <a:rPr lang="pl-PL" sz="800" b="0" baseline="0">
              <a:latin typeface="Fira Sans" panose="020B0503050000020004" pitchFamily="34" charset="0"/>
              <a:ea typeface="Fira Sans" panose="020B0503050000020004" pitchFamily="34" charset="0"/>
            </a:rPr>
            <a:t> o liczbie mieszkańców</a:t>
          </a:r>
          <a:r>
            <a:rPr lang="pl-PL" sz="800" b="0">
              <a:latin typeface="Fira Sans" panose="020B0503050000020004" pitchFamily="34" charset="0"/>
              <a:ea typeface="Fira Sans" panose="020B0503050000020004" pitchFamily="34" charset="0"/>
            </a:rPr>
            <a:t>:</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1" ma:contentTypeDescription="Utwórz nowy dokument." ma:contentTypeScope="" ma:versionID="b20bbc3dded4abcf92e167189ff234f7">
  <xsd:schema xmlns:xsd="http://www.w3.org/2001/XMLSchema" xmlns:xs="http://www.w3.org/2001/XMLSchema" xmlns:p="http://schemas.microsoft.com/office/2006/metadata/properties" xmlns:ns2="30d47203-49ec-4c8c-a442-62231931aabb" targetNamespace="http://schemas.microsoft.com/office/2006/metadata/properties" ma:root="true" ma:fieldsID="c1fa5ad568066013d8ffcd1c33bb2164" ns2:_="">
    <xsd:import namespace="30d47203-49ec-4c8c-a442-62231931aabb"/>
    <xsd:element name="properties">
      <xsd:complexType>
        <xsd:sequence>
          <xsd:element name="documentManagement">
            <xsd:complexType>
              <xsd:all>
                <xsd:element ref="ns2: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8"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30d47203-49ec-4c8c-a442-62231931aabb"/>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3AF4DC58-EFEE-42A1-9591-F32E189D2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0A0CA1-EDF8-42FA-A4FE-D2D87521F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1914</Words>
  <Characters>11486</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13374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2021-06-30T06:06:00Z</cp:lastPrinted>
  <dcterms:created xsi:type="dcterms:W3CDTF">2021-06-29T11:20:00Z</dcterms:created>
  <dcterms:modified xsi:type="dcterms:W3CDTF">2021-06-30T06:07:00Z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